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方正小标宋简体" w:hAnsi="宋体" w:eastAsia="方正小标宋简体" w:cs="Times New Roman"/>
          <w:color w:val="000000"/>
          <w:sz w:val="72"/>
          <w:szCs w:val="72"/>
          <w:lang w:eastAsia="zh-CN"/>
        </w:rPr>
      </w:pPr>
      <w:bookmarkStart w:id="1" w:name="_Toc15377193"/>
      <w:bookmarkStart w:id="2" w:name="_Toc15396597"/>
      <w:bookmarkStart w:id="3" w:name="_Toc15377425"/>
      <w:bookmarkStart w:id="4" w:name="_Toc15378441"/>
      <w:bookmarkStart w:id="5" w:name="_Toc15396475"/>
      <w:r>
        <w:rPr>
          <w:rFonts w:hint="eastAsia" w:ascii="方正小标宋简体" w:hAnsi="宋体" w:eastAsia="方正小标宋简体" w:cs="Times New Roman"/>
          <w:color w:val="000000"/>
          <w:sz w:val="72"/>
          <w:szCs w:val="72"/>
          <w:lang w:eastAsia="zh-CN"/>
        </w:rPr>
        <w:t>2019年度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s="Times New Roman"/>
          <w:color w:val="000000"/>
          <w:sz w:val="72"/>
          <w:szCs w:val="72"/>
          <w:lang w:eastAsia="zh-CN"/>
        </w:rPr>
      </w:pPr>
      <w:bookmarkStart w:id="6" w:name="_Toc15378442"/>
      <w:bookmarkStart w:id="7" w:name="_Toc15377194"/>
      <w:bookmarkStart w:id="8" w:name="_Toc15396598"/>
      <w:bookmarkStart w:id="9" w:name="_Toc15396476"/>
      <w:bookmarkStart w:id="10" w:name="_Toc15377426"/>
      <w:r>
        <w:rPr>
          <w:rFonts w:hint="eastAsia" w:ascii="方正小标宋简体" w:hAnsi="宋体" w:eastAsia="方正小标宋简体" w:cs="Times New Roman"/>
          <w:color w:val="000000"/>
          <w:sz w:val="72"/>
          <w:szCs w:val="72"/>
          <w:lang w:eastAsia="zh-CN"/>
        </w:rPr>
        <w:t>四川省</w:t>
      </w:r>
      <w:bookmarkEnd w:id="0"/>
      <w:bookmarkStart w:id="11" w:name="_Toc15306268"/>
      <w:r>
        <w:rPr>
          <w:rFonts w:hint="eastAsia" w:ascii="方正小标宋简体" w:hAnsi="宋体" w:eastAsia="方正小标宋简体" w:cs="Times New Roman"/>
          <w:color w:val="000000"/>
          <w:sz w:val="72"/>
          <w:szCs w:val="72"/>
          <w:lang w:eastAsia="zh-CN"/>
        </w:rPr>
        <w:t>通江县</w:t>
      </w:r>
    </w:p>
    <w:p>
      <w:pPr>
        <w:adjustRightInd w:val="0"/>
        <w:snapToGrid w:val="0"/>
        <w:spacing w:line="360" w:lineRule="auto"/>
        <w:jc w:val="center"/>
        <w:outlineLvl w:val="0"/>
        <w:rPr>
          <w:rFonts w:hint="eastAsia" w:ascii="方正小标宋简体" w:hAnsi="宋体" w:eastAsia="方正小标宋简体" w:cs="Times New Roman"/>
          <w:color w:val="000000"/>
          <w:sz w:val="72"/>
          <w:szCs w:val="72"/>
          <w:lang w:eastAsia="zh-CN"/>
        </w:rPr>
      </w:pPr>
      <w:r>
        <w:rPr>
          <w:rFonts w:hint="eastAsia" w:ascii="方正小标宋简体" w:hAnsi="宋体" w:eastAsia="方正小标宋简体" w:cs="Times New Roman"/>
          <w:color w:val="000000"/>
          <w:sz w:val="72"/>
          <w:szCs w:val="72"/>
          <w:lang w:eastAsia="zh-CN"/>
        </w:rPr>
        <w:t>铁佛镇人民政府部门决算</w:t>
      </w:r>
      <w:bookmarkEnd w:id="6"/>
      <w:bookmarkEnd w:id="7"/>
      <w:bookmarkEnd w:id="8"/>
      <w:bookmarkEnd w:id="9"/>
      <w:bookmarkEnd w:id="10"/>
      <w:bookmarkEnd w:id="11"/>
    </w:p>
    <w:p>
      <w:pPr>
        <w:adjustRightInd w:val="0"/>
        <w:snapToGrid w:val="0"/>
        <w:spacing w:line="360" w:lineRule="auto"/>
        <w:jc w:val="center"/>
        <w:outlineLvl w:val="0"/>
        <w:rPr>
          <w:rFonts w:hint="eastAsia" w:ascii="方正小标宋简体" w:hAnsi="宋体" w:eastAsia="方正小标宋简体" w:cs="Times New Roman"/>
          <w:color w:val="000000"/>
          <w:sz w:val="72"/>
          <w:szCs w:val="72"/>
          <w:lang w:eastAsia="zh-CN"/>
        </w:rPr>
      </w:pPr>
      <w:r>
        <w:rPr>
          <w:rFonts w:hint="eastAsia" w:ascii="方正小标宋简体" w:hAnsi="宋体" w:eastAsia="方正小标宋简体"/>
          <w:color w:val="000000"/>
          <w:sz w:val="72"/>
          <w:szCs w:val="72"/>
        </w:rPr>
        <w:t>编制说明</w:t>
      </w:r>
    </w:p>
    <w:p>
      <w:pPr>
        <w:widowControl/>
        <w:jc w:val="center"/>
        <w:rPr>
          <w:rFonts w:ascii="方正小标宋简体" w:hAnsi="宋体" w:eastAsia="方正小标宋简体"/>
          <w:color w:val="000000"/>
          <w:sz w:val="36"/>
          <w:szCs w:val="36"/>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公开时间：2020年10月</w:t>
      </w:r>
      <w:r>
        <w:rPr>
          <w:rFonts w:hint="eastAsia"/>
          <w:lang w:val="en-US" w:eastAsia="zh-CN"/>
        </w:rPr>
        <w:t>21</w:t>
      </w:r>
      <w:r>
        <w:rPr>
          <w:rFonts w:hint="eastAsia"/>
        </w:rPr>
        <w:t>日</w:t>
      </w:r>
    </w:p>
    <w:p/>
    <w:p>
      <w:pPr>
        <w:pStyle w:val="10"/>
        <w:adjustRightInd w:val="0"/>
        <w:snapToGrid w:val="0"/>
        <w:spacing w:before="0" w:line="440" w:lineRule="exact"/>
        <w:jc w:val="left"/>
        <w:rPr>
          <w:rFonts w:hint="default" w:asciiTheme="minorEastAsia" w:hAnsiTheme="minorEastAsia" w:eastAsiaTheme="minorEastAsia" w:cstheme="minorEastAsia"/>
          <w:sz w:val="28"/>
          <w:szCs w:val="32"/>
          <w:lang w:val="en-US" w:eastAsia="zh-CN"/>
        </w:rPr>
      </w:pPr>
      <w:r>
        <w:rPr>
          <w:rFonts w:hint="eastAsia" w:asciiTheme="minorEastAsia" w:hAnsiTheme="minorEastAsia" w:eastAsiaTheme="minorEastAsia" w:cstheme="minorEastAsia"/>
          <w:sz w:val="28"/>
          <w:szCs w:val="32"/>
        </w:rPr>
        <w:t>第一部分 部门概况</w:t>
      </w:r>
      <w:r>
        <w:rPr>
          <w:rFonts w:hint="eastAsia" w:asciiTheme="minorEastAsia" w:hAnsiTheme="minorEastAsia" w:eastAsiaTheme="minorEastAsia" w:cstheme="minorEastAsia"/>
          <w:sz w:val="28"/>
          <w:szCs w:val="32"/>
          <w:lang w:val="en-US" w:eastAsia="zh-CN"/>
        </w:rPr>
        <w:tab/>
      </w:r>
      <w:r>
        <w:rPr>
          <w:rFonts w:hint="eastAsia" w:asciiTheme="minorEastAsia" w:hAnsiTheme="minorEastAsia" w:eastAsiaTheme="minorEastAsia" w:cstheme="minorEastAsia"/>
          <w:sz w:val="28"/>
          <w:szCs w:val="32"/>
          <w:lang w:val="en-US" w:eastAsia="zh-CN"/>
        </w:rPr>
        <w:t>1</w:t>
      </w:r>
    </w:p>
    <w:p>
      <w:pPr>
        <w:pStyle w:val="11"/>
        <w:adjustRightInd w:val="0"/>
        <w:snapToGrid w:val="0"/>
        <w:spacing w:line="440" w:lineRule="exact"/>
        <w:jc w:val="left"/>
        <w:rPr>
          <w:rFonts w:hint="default" w:ascii="仿宋" w:hAnsi="仿宋" w:eastAsia="宋体"/>
          <w:sz w:val="24"/>
          <w:lang w:val="en-US" w:eastAsia="zh-CN"/>
        </w:rPr>
      </w:pPr>
      <w:r>
        <w:rPr>
          <w:rFonts w:hint="eastAsia"/>
          <w:sz w:val="24"/>
        </w:rPr>
        <w:t>一、基本职能及主要工作</w:t>
      </w:r>
      <w:r>
        <w:rPr>
          <w:rFonts w:hint="eastAsia"/>
          <w:sz w:val="24"/>
          <w:lang w:val="en-US" w:eastAsia="zh-CN"/>
        </w:rPr>
        <w:tab/>
      </w:r>
      <w:r>
        <w:rPr>
          <w:rFonts w:hint="eastAsia"/>
          <w:sz w:val="24"/>
          <w:lang w:val="en-US" w:eastAsia="zh-CN"/>
        </w:rPr>
        <w:t>1</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二、机构设置</w:t>
      </w:r>
      <w:r>
        <w:rPr>
          <w:rFonts w:hint="eastAsia"/>
          <w:sz w:val="24"/>
          <w:lang w:val="en-US" w:eastAsia="zh-CN"/>
        </w:rPr>
        <w:tab/>
      </w:r>
      <w:r>
        <w:rPr>
          <w:rFonts w:hint="eastAsia"/>
          <w:sz w:val="24"/>
          <w:lang w:val="en-US" w:eastAsia="zh-CN"/>
        </w:rPr>
        <w:t>4</w:t>
      </w:r>
    </w:p>
    <w:p>
      <w:pPr>
        <w:pStyle w:val="10"/>
        <w:adjustRightInd w:val="0"/>
        <w:snapToGrid w:val="0"/>
        <w:spacing w:before="0" w:line="440" w:lineRule="exact"/>
        <w:jc w:val="left"/>
        <w:rPr>
          <w:rFonts w:hint="default" w:asciiTheme="minorEastAsia" w:hAnsiTheme="minorEastAsia" w:eastAsiaTheme="minorEastAsia" w:cstheme="minorEastAsia"/>
          <w:sz w:val="28"/>
          <w:szCs w:val="32"/>
          <w:lang w:val="en-US" w:eastAsia="zh-CN"/>
        </w:rPr>
      </w:pPr>
      <w:r>
        <w:rPr>
          <w:rFonts w:hint="eastAsia" w:asciiTheme="minorEastAsia" w:hAnsiTheme="minorEastAsia" w:eastAsiaTheme="minorEastAsia" w:cstheme="minorEastAsia"/>
          <w:sz w:val="28"/>
          <w:szCs w:val="32"/>
        </w:rPr>
        <w:t>第二部分</w:t>
      </w:r>
      <w:r>
        <w:rPr>
          <w:rFonts w:hint="eastAsia" w:asciiTheme="minorEastAsia" w:hAnsiTheme="minorEastAsia" w:eastAsiaTheme="minorEastAsia" w:cstheme="minorEastAsia"/>
          <w:sz w:val="28"/>
          <w:szCs w:val="32"/>
          <w:lang w:val="en-US" w:eastAsia="zh-CN"/>
        </w:rPr>
        <w:t>2019年</w:t>
      </w:r>
      <w:r>
        <w:rPr>
          <w:rFonts w:hint="eastAsia" w:asciiTheme="minorEastAsia" w:hAnsiTheme="minorEastAsia" w:eastAsiaTheme="minorEastAsia" w:cstheme="minorEastAsia"/>
          <w:sz w:val="28"/>
          <w:szCs w:val="32"/>
        </w:rPr>
        <w:t>度部门决算情况说明</w:t>
      </w:r>
      <w:r>
        <w:rPr>
          <w:rFonts w:hint="eastAsia" w:asciiTheme="minorEastAsia" w:hAnsiTheme="minorEastAsia" w:eastAsiaTheme="minorEastAsia" w:cstheme="minorEastAsia"/>
          <w:sz w:val="28"/>
          <w:szCs w:val="32"/>
          <w:lang w:val="en-US" w:eastAsia="zh-CN"/>
        </w:rPr>
        <w:tab/>
      </w:r>
      <w:r>
        <w:rPr>
          <w:rFonts w:hint="eastAsia" w:asciiTheme="minorEastAsia" w:hAnsiTheme="minorEastAsia" w:eastAsiaTheme="minorEastAsia" w:cstheme="minorEastAsia"/>
          <w:sz w:val="28"/>
          <w:szCs w:val="32"/>
          <w:lang w:val="en-US" w:eastAsia="zh-CN"/>
        </w:rPr>
        <w:t>5</w:t>
      </w:r>
    </w:p>
    <w:p>
      <w:pPr>
        <w:pStyle w:val="10"/>
        <w:bidi w:val="0"/>
        <w:rPr>
          <w:rFonts w:hint="default"/>
          <w:lang w:val="en-US" w:eastAsia="zh-CN"/>
        </w:rPr>
      </w:pPr>
      <w:r>
        <w:rPr>
          <w:rFonts w:hint="eastAsia"/>
        </w:rPr>
        <w:t>一、收入支出决算总体情况说明</w:t>
      </w:r>
      <w:r>
        <w:rPr>
          <w:rFonts w:hint="eastAsia"/>
          <w:lang w:val="en-US" w:eastAsia="zh-CN"/>
        </w:rPr>
        <w:tab/>
      </w:r>
      <w:r>
        <w:rPr>
          <w:rFonts w:hint="eastAsia"/>
          <w:lang w:val="en-US" w:eastAsia="zh-CN"/>
        </w:rPr>
        <w:t>5</w:t>
      </w:r>
    </w:p>
    <w:p>
      <w:pPr>
        <w:pStyle w:val="10"/>
        <w:bidi w:val="0"/>
        <w:rPr>
          <w:rFonts w:hint="default"/>
          <w:lang w:val="en-US" w:eastAsia="zh-CN"/>
        </w:rPr>
      </w:pPr>
      <w:r>
        <w:rPr>
          <w:rFonts w:hint="eastAsia"/>
        </w:rPr>
        <w:t>二、收入决算情况说明</w:t>
      </w:r>
      <w:r>
        <w:rPr>
          <w:rFonts w:hint="eastAsia"/>
          <w:lang w:val="en-US" w:eastAsia="zh-CN"/>
        </w:rPr>
        <w:tab/>
      </w:r>
      <w:r>
        <w:rPr>
          <w:rFonts w:hint="eastAsia"/>
          <w:lang w:val="en-US" w:eastAsia="zh-CN"/>
        </w:rPr>
        <w:t>5</w:t>
      </w:r>
    </w:p>
    <w:p>
      <w:pPr>
        <w:pStyle w:val="10"/>
        <w:bidi w:val="0"/>
        <w:rPr>
          <w:rFonts w:hint="default"/>
          <w:lang w:val="en-US" w:eastAsia="zh-CN"/>
        </w:rPr>
      </w:pPr>
      <w:r>
        <w:rPr>
          <w:rFonts w:hint="eastAsia"/>
        </w:rPr>
        <w:t>三、支出决算情况说明</w:t>
      </w:r>
      <w:r>
        <w:rPr>
          <w:rFonts w:hint="eastAsia"/>
          <w:lang w:val="en-US" w:eastAsia="zh-CN"/>
        </w:rPr>
        <w:tab/>
      </w:r>
      <w:r>
        <w:rPr>
          <w:rFonts w:hint="eastAsia"/>
          <w:lang w:val="en-US" w:eastAsia="zh-CN"/>
        </w:rPr>
        <w:t>6</w:t>
      </w:r>
    </w:p>
    <w:p>
      <w:pPr>
        <w:pStyle w:val="10"/>
        <w:bidi w:val="0"/>
        <w:rPr>
          <w:rFonts w:hint="default"/>
          <w:lang w:val="en-US" w:eastAsia="zh-CN"/>
        </w:rPr>
      </w:pPr>
      <w:r>
        <w:rPr>
          <w:rFonts w:hint="eastAsia"/>
        </w:rPr>
        <w:t>四、财政拨款收入支出决算总体情况说明</w:t>
      </w:r>
      <w:r>
        <w:rPr>
          <w:rFonts w:hint="eastAsia"/>
          <w:lang w:val="en-US" w:eastAsia="zh-CN"/>
        </w:rPr>
        <w:tab/>
      </w:r>
      <w:r>
        <w:rPr>
          <w:rFonts w:hint="eastAsia"/>
          <w:lang w:val="en-US" w:eastAsia="zh-CN"/>
        </w:rPr>
        <w:t>7</w:t>
      </w:r>
    </w:p>
    <w:p>
      <w:pPr>
        <w:pStyle w:val="10"/>
        <w:bidi w:val="0"/>
        <w:rPr>
          <w:rFonts w:hint="default"/>
          <w:lang w:val="en-US" w:eastAsia="zh-CN"/>
        </w:rPr>
      </w:pPr>
      <w:r>
        <w:rPr>
          <w:rFonts w:hint="eastAsia"/>
        </w:rPr>
        <w:t>五、一般公共预算财政拨款支出决算情况说明</w:t>
      </w:r>
      <w:r>
        <w:rPr>
          <w:rFonts w:hint="eastAsia"/>
          <w:lang w:val="en-US" w:eastAsia="zh-CN"/>
        </w:rPr>
        <w:tab/>
      </w:r>
      <w:r>
        <w:rPr>
          <w:rFonts w:hint="eastAsia"/>
          <w:lang w:val="en-US" w:eastAsia="zh-CN"/>
        </w:rPr>
        <w:t>7</w:t>
      </w:r>
    </w:p>
    <w:p>
      <w:pPr>
        <w:pStyle w:val="10"/>
        <w:bidi w:val="0"/>
        <w:rPr>
          <w:rFonts w:hint="default"/>
          <w:lang w:val="en-US" w:eastAsia="zh-CN"/>
        </w:rPr>
      </w:pPr>
      <w:r>
        <w:rPr>
          <w:rFonts w:hint="eastAsia"/>
        </w:rPr>
        <w:t>六、一般公共预算财政拨款基本支出决算情况说明</w:t>
      </w:r>
      <w:r>
        <w:rPr>
          <w:rFonts w:hint="eastAsia"/>
          <w:lang w:val="en-US" w:eastAsia="zh-CN"/>
        </w:rPr>
        <w:tab/>
      </w:r>
      <w:r>
        <w:rPr>
          <w:rFonts w:hint="eastAsia"/>
          <w:lang w:val="en-US" w:eastAsia="zh-CN"/>
        </w:rPr>
        <w:t>11</w:t>
      </w:r>
    </w:p>
    <w:p>
      <w:pPr>
        <w:pStyle w:val="10"/>
        <w:bidi w:val="0"/>
        <w:rPr>
          <w:rFonts w:hint="default"/>
          <w:lang w:val="en-US" w:eastAsia="zh-CN"/>
        </w:rPr>
      </w:pPr>
      <w:r>
        <w:rPr>
          <w:rFonts w:hint="eastAsia"/>
        </w:rPr>
        <w:t>七、“三公”经费财政拨款支出决算情况说明</w:t>
      </w:r>
      <w:r>
        <w:rPr>
          <w:rFonts w:hint="eastAsia"/>
          <w:lang w:val="en-US" w:eastAsia="zh-CN"/>
        </w:rPr>
        <w:tab/>
      </w:r>
      <w:r>
        <w:rPr>
          <w:rFonts w:hint="eastAsia"/>
          <w:lang w:val="en-US" w:eastAsia="zh-CN"/>
        </w:rPr>
        <w:t>12</w:t>
      </w:r>
    </w:p>
    <w:p>
      <w:pPr>
        <w:pStyle w:val="10"/>
        <w:bidi w:val="0"/>
        <w:rPr>
          <w:rFonts w:hint="default"/>
          <w:lang w:val="en-US" w:eastAsia="zh-CN"/>
        </w:rPr>
      </w:pPr>
      <w:r>
        <w:rPr>
          <w:rFonts w:hint="eastAsia"/>
          <w:lang w:val="en-US" w:eastAsia="zh-CN"/>
        </w:rPr>
        <w:t>八、政府性基金预算支出决算情况说</w:t>
      </w:r>
      <w:r>
        <w:rPr>
          <w:rFonts w:hint="eastAsia"/>
        </w:rPr>
        <w:t>明</w:t>
      </w:r>
      <w:r>
        <w:rPr>
          <w:rFonts w:hint="eastAsia"/>
          <w:lang w:val="en-US" w:eastAsia="zh-CN"/>
        </w:rPr>
        <w:tab/>
      </w:r>
      <w:r>
        <w:rPr>
          <w:rFonts w:hint="eastAsia"/>
          <w:lang w:val="en-US" w:eastAsia="zh-CN"/>
        </w:rPr>
        <w:t>14</w:t>
      </w:r>
    </w:p>
    <w:p>
      <w:pPr>
        <w:pStyle w:val="10"/>
        <w:bidi w:val="0"/>
        <w:rPr>
          <w:rFonts w:hint="default"/>
          <w:lang w:val="en-US" w:eastAsia="zh-CN"/>
        </w:rPr>
      </w:pPr>
      <w:r>
        <w:rPr>
          <w:rFonts w:hint="eastAsia"/>
          <w:lang w:val="en-US" w:eastAsia="zh-CN"/>
        </w:rPr>
        <w:t>九、 国有资</w:t>
      </w:r>
      <w:r>
        <w:rPr>
          <w:rFonts w:hint="eastAsia"/>
        </w:rPr>
        <w:t>本经营预算支出决算情况说明</w:t>
      </w:r>
      <w:r>
        <w:rPr>
          <w:rFonts w:hint="eastAsia"/>
          <w:lang w:val="en-US" w:eastAsia="zh-CN"/>
        </w:rPr>
        <w:tab/>
      </w:r>
      <w:r>
        <w:rPr>
          <w:rFonts w:hint="eastAsia"/>
          <w:lang w:val="en-US" w:eastAsia="zh-CN"/>
        </w:rPr>
        <w:t>14</w:t>
      </w:r>
    </w:p>
    <w:p>
      <w:pPr>
        <w:pStyle w:val="10"/>
        <w:bidi w:val="0"/>
        <w:rPr>
          <w:rFonts w:hint="default" w:ascii="Times New Roman" w:hAnsi="Times New Roman" w:eastAsia="宋体" w:cs="Times New Roman"/>
          <w:kern w:val="2"/>
          <w:szCs w:val="24"/>
          <w:lang w:val="en-US" w:eastAsia="zh-CN" w:bidi="ar-SA"/>
        </w:rPr>
      </w:pPr>
      <w:r>
        <w:rPr>
          <w:rFonts w:hint="eastAsia"/>
          <w:lang w:val="en-US" w:eastAsia="zh-CN"/>
        </w:rPr>
        <w:t>十、其他重要事项的情况说明</w:t>
      </w:r>
      <w:r>
        <w:rPr>
          <w:rStyle w:val="39"/>
          <w:rFonts w:hint="eastAsia"/>
          <w:lang w:val="en-US" w:eastAsia="zh-CN"/>
        </w:rPr>
        <w:tab/>
      </w:r>
      <w:r>
        <w:rPr>
          <w:rStyle w:val="39"/>
          <w:rFonts w:hint="eastAsia"/>
          <w:lang w:val="en-US" w:eastAsia="zh-CN"/>
        </w:rPr>
        <w:t>14</w:t>
      </w:r>
    </w:p>
    <w:p>
      <w:pPr>
        <w:pStyle w:val="10"/>
        <w:adjustRightInd w:val="0"/>
        <w:snapToGrid w:val="0"/>
        <w:spacing w:before="0" w:line="440" w:lineRule="exact"/>
        <w:jc w:val="left"/>
        <w:rPr>
          <w:rFonts w:hint="default" w:asciiTheme="minorEastAsia" w:hAnsiTheme="minorEastAsia" w:eastAsiaTheme="minorEastAsia" w:cstheme="minorEastAsia"/>
          <w:sz w:val="28"/>
          <w:szCs w:val="32"/>
          <w:lang w:val="en-US" w:eastAsia="zh-CN"/>
        </w:rPr>
      </w:pPr>
      <w:r>
        <w:rPr>
          <w:rFonts w:hint="eastAsia" w:asciiTheme="minorEastAsia" w:hAnsiTheme="minorEastAsia" w:eastAsiaTheme="minorEastAsia" w:cstheme="minorEastAsia"/>
          <w:sz w:val="28"/>
          <w:szCs w:val="32"/>
        </w:rPr>
        <w:t>第三部分 名词解释</w:t>
      </w:r>
      <w:r>
        <w:rPr>
          <w:rFonts w:hint="eastAsia" w:asciiTheme="minorEastAsia" w:hAnsiTheme="minorEastAsia" w:eastAsiaTheme="minorEastAsia" w:cstheme="minorEastAsia"/>
          <w:sz w:val="28"/>
          <w:szCs w:val="32"/>
          <w:lang w:val="en-US" w:eastAsia="zh-CN"/>
        </w:rPr>
        <w:tab/>
      </w:r>
      <w:r>
        <w:rPr>
          <w:rFonts w:hint="eastAsia" w:asciiTheme="minorEastAsia" w:hAnsiTheme="minorEastAsia" w:eastAsiaTheme="minorEastAsia" w:cstheme="minorEastAsia"/>
          <w:sz w:val="28"/>
          <w:szCs w:val="32"/>
          <w:lang w:val="en-US" w:eastAsia="zh-CN"/>
        </w:rPr>
        <w:t>27</w:t>
      </w:r>
    </w:p>
    <w:p>
      <w:pPr>
        <w:pStyle w:val="10"/>
        <w:adjustRightInd w:val="0"/>
        <w:snapToGrid w:val="0"/>
        <w:spacing w:before="0" w:line="440" w:lineRule="exact"/>
        <w:jc w:val="left"/>
        <w:rPr>
          <w:rFonts w:hint="default" w:asciiTheme="minorEastAsia" w:hAnsiTheme="minorEastAsia" w:eastAsiaTheme="minorEastAsia" w:cstheme="minorEastAsia"/>
          <w:sz w:val="28"/>
          <w:szCs w:val="32"/>
          <w:lang w:val="en-US" w:eastAsia="zh-CN"/>
        </w:rPr>
      </w:pPr>
      <w:r>
        <w:rPr>
          <w:rFonts w:hint="eastAsia" w:asciiTheme="minorEastAsia" w:hAnsiTheme="minorEastAsia" w:eastAsiaTheme="minorEastAsia" w:cstheme="minorEastAsia"/>
          <w:sz w:val="28"/>
          <w:szCs w:val="32"/>
        </w:rPr>
        <w:t>第四部分 附件</w:t>
      </w:r>
      <w:r>
        <w:rPr>
          <w:rFonts w:hint="eastAsia" w:asciiTheme="minorEastAsia" w:hAnsiTheme="minorEastAsia" w:eastAsiaTheme="minorEastAsia" w:cstheme="minorEastAsia"/>
          <w:sz w:val="28"/>
          <w:szCs w:val="32"/>
          <w:lang w:val="en-US" w:eastAsia="zh-CN"/>
        </w:rPr>
        <w:tab/>
      </w:r>
      <w:r>
        <w:rPr>
          <w:rFonts w:hint="eastAsia" w:asciiTheme="minorEastAsia" w:hAnsiTheme="minorEastAsia" w:eastAsiaTheme="minorEastAsia" w:cstheme="minorEastAsia"/>
          <w:sz w:val="28"/>
          <w:szCs w:val="32"/>
          <w:lang w:val="en-US" w:eastAsia="zh-CN"/>
        </w:rPr>
        <w:t>34</w:t>
      </w:r>
    </w:p>
    <w:p>
      <w:pPr>
        <w:pStyle w:val="10"/>
        <w:bidi w:val="0"/>
        <w:jc w:val="left"/>
        <w:rPr>
          <w:rFonts w:hint="default"/>
          <w:lang w:val="en-US" w:eastAsia="zh-CN"/>
        </w:rPr>
      </w:pPr>
      <w:r>
        <w:rPr>
          <w:rFonts w:hint="eastAsia"/>
          <w:lang w:val="en-US" w:eastAsia="zh-CN"/>
        </w:rPr>
        <w:t>附件1</w:t>
      </w:r>
      <w:r>
        <w:rPr>
          <w:rFonts w:hint="eastAsia"/>
          <w:lang w:val="en-US" w:eastAsia="zh-CN"/>
        </w:rPr>
        <w:tab/>
      </w:r>
      <w:r>
        <w:rPr>
          <w:rFonts w:hint="eastAsia"/>
          <w:lang w:val="en-US" w:eastAsia="zh-CN"/>
        </w:rPr>
        <w:t>34</w:t>
      </w:r>
    </w:p>
    <w:p>
      <w:pPr>
        <w:pStyle w:val="10"/>
        <w:bidi w:val="0"/>
        <w:jc w:val="left"/>
        <w:rPr>
          <w:rFonts w:hint="default"/>
          <w:lang w:val="en-US" w:eastAsia="zh-CN"/>
        </w:rPr>
      </w:pPr>
      <w:r>
        <w:rPr>
          <w:rFonts w:hint="eastAsia"/>
          <w:lang w:val="en-US" w:eastAsia="zh-CN"/>
        </w:rPr>
        <w:t>附件2</w:t>
      </w:r>
      <w:r>
        <w:rPr>
          <w:rFonts w:hint="eastAsia"/>
          <w:lang w:val="en-US" w:eastAsia="zh-CN"/>
        </w:rPr>
        <w:tab/>
      </w:r>
      <w:r>
        <w:rPr>
          <w:rFonts w:hint="eastAsia"/>
          <w:lang w:val="en-US" w:eastAsia="zh-CN"/>
        </w:rPr>
        <w:t>38</w:t>
      </w:r>
    </w:p>
    <w:p>
      <w:pPr>
        <w:pStyle w:val="10"/>
        <w:adjustRightInd w:val="0"/>
        <w:snapToGrid w:val="0"/>
        <w:spacing w:before="0" w:line="440" w:lineRule="exact"/>
        <w:jc w:val="left"/>
        <w:rPr>
          <w:rFonts w:hint="default" w:asciiTheme="minorEastAsia" w:hAnsiTheme="minorEastAsia" w:eastAsiaTheme="minorEastAsia" w:cstheme="minorEastAsia"/>
          <w:sz w:val="28"/>
          <w:szCs w:val="32"/>
          <w:lang w:val="en-US" w:eastAsia="zh-CN"/>
        </w:rPr>
      </w:pPr>
      <w:r>
        <w:rPr>
          <w:rFonts w:hint="eastAsia" w:asciiTheme="minorEastAsia" w:hAnsiTheme="minorEastAsia" w:eastAsiaTheme="minorEastAsia" w:cstheme="minorEastAsia"/>
          <w:sz w:val="28"/>
          <w:szCs w:val="32"/>
        </w:rPr>
        <w:t>第五部分 附表</w:t>
      </w:r>
      <w:r>
        <w:rPr>
          <w:rFonts w:hint="eastAsia" w:asciiTheme="minorEastAsia" w:hAnsiTheme="minorEastAsia" w:eastAsiaTheme="minorEastAsia" w:cstheme="minorEastAsia"/>
          <w:sz w:val="28"/>
          <w:szCs w:val="32"/>
          <w:lang w:val="en-US" w:eastAsia="zh-CN"/>
        </w:rPr>
        <w:tab/>
      </w:r>
      <w:r>
        <w:rPr>
          <w:rFonts w:hint="eastAsia" w:asciiTheme="minorEastAsia" w:hAnsiTheme="minorEastAsia" w:eastAsiaTheme="minorEastAsia" w:cstheme="minorEastAsia"/>
          <w:sz w:val="28"/>
          <w:szCs w:val="32"/>
          <w:lang w:val="en-US" w:eastAsia="zh-CN"/>
        </w:rPr>
        <w:t>48</w:t>
      </w:r>
    </w:p>
    <w:p>
      <w:pPr>
        <w:pStyle w:val="10"/>
        <w:bidi w:val="0"/>
        <w:jc w:val="left"/>
        <w:rPr>
          <w:rFonts w:hint="default"/>
          <w:lang w:val="en-US" w:eastAsia="zh-CN"/>
        </w:rPr>
      </w:pPr>
      <w:r>
        <w:rPr>
          <w:rFonts w:hint="eastAsia"/>
          <w:lang w:val="en-US" w:eastAsia="zh-CN"/>
        </w:rPr>
        <w:t>一、收入支出决算总表</w:t>
      </w:r>
      <w:r>
        <w:rPr>
          <w:rFonts w:hint="eastAsia"/>
          <w:lang w:val="en-US" w:eastAsia="zh-CN"/>
        </w:rPr>
        <w:tab/>
      </w:r>
      <w:r>
        <w:rPr>
          <w:rFonts w:hint="eastAsia"/>
          <w:lang w:val="en-US" w:eastAsia="zh-CN"/>
        </w:rPr>
        <w:t>48</w:t>
      </w:r>
    </w:p>
    <w:p>
      <w:pPr>
        <w:pStyle w:val="10"/>
        <w:bidi w:val="0"/>
        <w:jc w:val="left"/>
        <w:rPr>
          <w:rFonts w:hint="default"/>
          <w:lang w:val="en-US" w:eastAsia="zh-CN"/>
        </w:rPr>
      </w:pPr>
      <w:r>
        <w:rPr>
          <w:rFonts w:hint="eastAsia"/>
          <w:lang w:val="en-US" w:eastAsia="zh-CN"/>
        </w:rPr>
        <w:t>二、收入决算表</w:t>
      </w:r>
      <w:r>
        <w:rPr>
          <w:rFonts w:hint="eastAsia"/>
          <w:lang w:val="en-US" w:eastAsia="zh-CN"/>
        </w:rPr>
        <w:tab/>
      </w:r>
      <w:r>
        <w:rPr>
          <w:rFonts w:hint="eastAsia"/>
          <w:lang w:val="en-US" w:eastAsia="zh-CN"/>
        </w:rPr>
        <w:t>48</w:t>
      </w:r>
    </w:p>
    <w:p>
      <w:pPr>
        <w:pStyle w:val="10"/>
        <w:bidi w:val="0"/>
        <w:jc w:val="left"/>
        <w:rPr>
          <w:rFonts w:hint="default"/>
          <w:lang w:val="en-US" w:eastAsia="zh-CN"/>
        </w:rPr>
      </w:pPr>
      <w:r>
        <w:rPr>
          <w:rFonts w:hint="eastAsia"/>
          <w:lang w:val="en-US" w:eastAsia="zh-CN"/>
        </w:rPr>
        <w:t>三、支出决算表</w:t>
      </w:r>
      <w:r>
        <w:rPr>
          <w:rFonts w:hint="eastAsia"/>
          <w:lang w:val="en-US" w:eastAsia="zh-CN"/>
        </w:rPr>
        <w:tab/>
      </w:r>
      <w:r>
        <w:rPr>
          <w:rFonts w:hint="eastAsia"/>
          <w:lang w:val="en-US" w:eastAsia="zh-CN"/>
        </w:rPr>
        <w:t>48</w:t>
      </w:r>
    </w:p>
    <w:p>
      <w:pPr>
        <w:pStyle w:val="10"/>
        <w:bidi w:val="0"/>
        <w:jc w:val="left"/>
        <w:rPr>
          <w:rFonts w:hint="default"/>
          <w:lang w:val="en-US" w:eastAsia="zh-CN"/>
        </w:rPr>
      </w:pPr>
      <w:r>
        <w:rPr>
          <w:rFonts w:hint="eastAsia"/>
          <w:lang w:val="en-US" w:eastAsia="zh-CN"/>
        </w:rPr>
        <w:t>四、财政拨款收入支出决算总表</w:t>
      </w:r>
      <w:r>
        <w:rPr>
          <w:rFonts w:hint="eastAsia"/>
          <w:lang w:val="en-US" w:eastAsia="zh-CN"/>
        </w:rPr>
        <w:tab/>
      </w:r>
      <w:r>
        <w:rPr>
          <w:rFonts w:hint="eastAsia"/>
          <w:lang w:val="en-US" w:eastAsia="zh-CN"/>
        </w:rPr>
        <w:t>48</w:t>
      </w:r>
    </w:p>
    <w:p>
      <w:pPr>
        <w:pStyle w:val="10"/>
        <w:bidi w:val="0"/>
        <w:jc w:val="left"/>
        <w:rPr>
          <w:rFonts w:hint="default"/>
          <w:lang w:val="en-US" w:eastAsia="zh-CN"/>
        </w:rPr>
      </w:pPr>
      <w:r>
        <w:rPr>
          <w:rFonts w:hint="eastAsia"/>
          <w:lang w:val="en-US" w:eastAsia="zh-CN"/>
        </w:rPr>
        <w:t>五、财政拨款支出决算明细表</w:t>
      </w:r>
      <w:r>
        <w:rPr>
          <w:rFonts w:hint="eastAsia"/>
          <w:lang w:val="en-US" w:eastAsia="zh-CN"/>
        </w:rPr>
        <w:tab/>
      </w:r>
      <w:r>
        <w:rPr>
          <w:rFonts w:hint="eastAsia"/>
          <w:lang w:val="en-US" w:eastAsia="zh-CN"/>
        </w:rPr>
        <w:t>48</w:t>
      </w:r>
    </w:p>
    <w:p>
      <w:pPr>
        <w:pStyle w:val="10"/>
        <w:bidi w:val="0"/>
        <w:jc w:val="left"/>
        <w:rPr>
          <w:rFonts w:hint="default"/>
          <w:lang w:val="en-US" w:eastAsia="zh-CN"/>
        </w:rPr>
      </w:pPr>
      <w:r>
        <w:rPr>
          <w:rFonts w:hint="eastAsia"/>
          <w:lang w:val="en-US" w:eastAsia="zh-CN"/>
        </w:rPr>
        <w:t>六、一般公共预算财政拨款支出决算表</w:t>
      </w:r>
      <w:r>
        <w:rPr>
          <w:rFonts w:hint="eastAsia"/>
          <w:lang w:val="en-US" w:eastAsia="zh-CN"/>
        </w:rPr>
        <w:tab/>
      </w:r>
      <w:r>
        <w:rPr>
          <w:rFonts w:hint="eastAsia"/>
          <w:lang w:val="en-US" w:eastAsia="zh-CN"/>
        </w:rPr>
        <w:t>48</w:t>
      </w:r>
    </w:p>
    <w:p>
      <w:pPr>
        <w:pStyle w:val="10"/>
        <w:bidi w:val="0"/>
        <w:jc w:val="left"/>
        <w:rPr>
          <w:rFonts w:hint="default"/>
          <w:lang w:val="en-US" w:eastAsia="zh-CN"/>
        </w:rPr>
      </w:pPr>
      <w:r>
        <w:rPr>
          <w:rFonts w:hint="eastAsia"/>
          <w:lang w:val="en-US" w:eastAsia="zh-CN"/>
        </w:rPr>
        <w:t>七、一般公共预算财政拨款支出决算明细表</w:t>
      </w:r>
      <w:r>
        <w:rPr>
          <w:rFonts w:hint="eastAsia"/>
          <w:lang w:val="en-US" w:eastAsia="zh-CN"/>
        </w:rPr>
        <w:tab/>
      </w:r>
      <w:r>
        <w:rPr>
          <w:rFonts w:hint="eastAsia"/>
          <w:lang w:val="en-US" w:eastAsia="zh-CN"/>
        </w:rPr>
        <w:t>48</w:t>
      </w:r>
    </w:p>
    <w:p>
      <w:pPr>
        <w:pStyle w:val="10"/>
        <w:bidi w:val="0"/>
        <w:jc w:val="left"/>
        <w:rPr>
          <w:rFonts w:hint="default"/>
          <w:lang w:val="en-US" w:eastAsia="zh-CN"/>
        </w:rPr>
      </w:pPr>
      <w:r>
        <w:rPr>
          <w:rFonts w:hint="eastAsia"/>
          <w:lang w:val="en-US" w:eastAsia="zh-CN"/>
        </w:rPr>
        <w:t>八、一般公共预算财政拨款基本支出决算表</w:t>
      </w:r>
      <w:r>
        <w:rPr>
          <w:rFonts w:hint="eastAsia"/>
          <w:lang w:val="en-US" w:eastAsia="zh-CN"/>
        </w:rPr>
        <w:tab/>
      </w:r>
      <w:r>
        <w:rPr>
          <w:rFonts w:hint="eastAsia"/>
          <w:lang w:val="en-US" w:eastAsia="zh-CN"/>
        </w:rPr>
        <w:t>48</w:t>
      </w:r>
    </w:p>
    <w:p>
      <w:pPr>
        <w:pStyle w:val="10"/>
        <w:bidi w:val="0"/>
        <w:jc w:val="left"/>
        <w:rPr>
          <w:rFonts w:hint="default"/>
          <w:lang w:val="en-US" w:eastAsia="zh-CN"/>
        </w:rPr>
      </w:pPr>
      <w:r>
        <w:rPr>
          <w:rFonts w:hint="eastAsia"/>
          <w:lang w:val="en-US" w:eastAsia="zh-CN"/>
        </w:rPr>
        <w:t>九、一般公共预算财政拨款项目支出决算表</w:t>
      </w:r>
      <w:r>
        <w:rPr>
          <w:rFonts w:hint="eastAsia"/>
          <w:lang w:val="en-US" w:eastAsia="zh-CN"/>
        </w:rPr>
        <w:tab/>
      </w:r>
      <w:r>
        <w:rPr>
          <w:rFonts w:hint="eastAsia"/>
          <w:lang w:val="en-US" w:eastAsia="zh-CN"/>
        </w:rPr>
        <w:t>48</w:t>
      </w:r>
    </w:p>
    <w:p>
      <w:pPr>
        <w:pStyle w:val="10"/>
        <w:bidi w:val="0"/>
        <w:jc w:val="left"/>
        <w:rPr>
          <w:rFonts w:hint="default"/>
          <w:lang w:val="en-US" w:eastAsia="zh-CN"/>
        </w:rPr>
      </w:pPr>
      <w:r>
        <w:rPr>
          <w:rFonts w:hint="eastAsia"/>
          <w:lang w:val="en-US" w:eastAsia="zh-CN"/>
        </w:rPr>
        <w:t>十、一般公共预算财政拨款“三公”经费支出决算表</w:t>
      </w:r>
      <w:r>
        <w:rPr>
          <w:rFonts w:hint="eastAsia"/>
          <w:lang w:val="en-US" w:eastAsia="zh-CN"/>
        </w:rPr>
        <w:tab/>
      </w:r>
      <w:r>
        <w:rPr>
          <w:rFonts w:hint="eastAsia"/>
          <w:lang w:val="en-US" w:eastAsia="zh-CN"/>
        </w:rPr>
        <w:t>48</w:t>
      </w:r>
    </w:p>
    <w:p>
      <w:pPr>
        <w:pStyle w:val="10"/>
        <w:bidi w:val="0"/>
        <w:jc w:val="left"/>
        <w:rPr>
          <w:rFonts w:hint="default"/>
          <w:lang w:val="en-US" w:eastAsia="zh-CN"/>
        </w:rPr>
      </w:pPr>
      <w:r>
        <w:rPr>
          <w:rFonts w:hint="eastAsia"/>
          <w:lang w:val="en-US" w:eastAsia="zh-CN"/>
        </w:rPr>
        <w:t>十一、政府性基金预算财政拨款收入支出决算表</w:t>
      </w:r>
      <w:r>
        <w:rPr>
          <w:rFonts w:hint="eastAsia"/>
          <w:lang w:val="en-US" w:eastAsia="zh-CN"/>
        </w:rPr>
        <w:tab/>
      </w:r>
      <w:r>
        <w:rPr>
          <w:rFonts w:hint="eastAsia"/>
          <w:lang w:val="en-US" w:eastAsia="zh-CN"/>
        </w:rPr>
        <w:t>48</w:t>
      </w:r>
    </w:p>
    <w:p>
      <w:pPr>
        <w:pStyle w:val="10"/>
        <w:bidi w:val="0"/>
        <w:jc w:val="left"/>
        <w:rPr>
          <w:rFonts w:hint="default"/>
          <w:lang w:val="en-US" w:eastAsia="zh-CN"/>
        </w:rPr>
      </w:pPr>
      <w:r>
        <w:rPr>
          <w:rFonts w:hint="eastAsia"/>
          <w:lang w:val="en-US" w:eastAsia="zh-CN"/>
        </w:rPr>
        <w:t>十二、政府性基金预算财政拨款“三公”经费支出决算表</w:t>
      </w:r>
      <w:r>
        <w:rPr>
          <w:rFonts w:hint="eastAsia"/>
          <w:lang w:val="en-US" w:eastAsia="zh-CN"/>
        </w:rPr>
        <w:tab/>
      </w:r>
      <w:r>
        <w:rPr>
          <w:rFonts w:hint="eastAsia"/>
          <w:lang w:val="en-US" w:eastAsia="zh-CN"/>
        </w:rPr>
        <w:t>48</w:t>
      </w:r>
    </w:p>
    <w:p>
      <w:pPr>
        <w:pStyle w:val="10"/>
        <w:bidi w:val="0"/>
        <w:jc w:val="left"/>
        <w:rPr>
          <w:rFonts w:hint="default"/>
          <w:lang w:val="en-US" w:eastAsia="zh-CN"/>
        </w:rPr>
      </w:pPr>
      <w:r>
        <w:rPr>
          <w:rFonts w:hint="eastAsia"/>
          <w:lang w:val="en-US" w:eastAsia="zh-CN"/>
        </w:rPr>
        <w:t>十三、国有资本经营预算支出决算表</w:t>
      </w:r>
      <w:r>
        <w:rPr>
          <w:rFonts w:hint="eastAsia"/>
          <w:lang w:val="en-US" w:eastAsia="zh-CN"/>
        </w:rPr>
        <w:tab/>
      </w:r>
      <w:r>
        <w:rPr>
          <w:rFonts w:hint="eastAsia"/>
          <w:lang w:val="en-US" w:eastAsia="zh-CN"/>
        </w:rPr>
        <w:t>48</w:t>
      </w:r>
    </w:p>
    <w:p>
      <w:pPr>
        <w:pStyle w:val="2"/>
        <w:jc w:val="center"/>
        <w:rPr>
          <w:rFonts w:hint="eastAsia" w:ascii="黑体" w:hAnsi="黑体" w:eastAsia="黑体"/>
          <w:b w:val="0"/>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bookmarkStart w:id="12" w:name="_Toc15377196"/>
      <w:bookmarkStart w:id="13" w:name="_Toc15396599"/>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bookmarkStart w:id="18" w:name="_Toc15378446"/>
      <w:bookmarkStart w:id="19" w:name="_Toc15377199"/>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1.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2.制定并组织实施村镇建设规划，部署重点工程建设，地方道路建设及公共设施，水利设施的管理，负责土地、林木、水等自然资源和生态环境的保护，做好护林防火工作。</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3.负责本行政区域内的民政、计划生育、文化教育、卫生、体育等社会公益事业的综合性工作，维护一切经济单位和个人的正当经济权益，取缔非法经济活动，调解和处理民事纠纷，打击刑事犯罪维护社会稳定。</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4.按计划组织本级财政收入和地方税的征收，完成国家财政计划，不断培植税源，管好财政资金，增强财政实力。</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5.抓好精神文明建设，丰富群众文化生活，提倡移风易俗，反对封建迷信，破除陈规陋习，树立社会主义新风尚。</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6.完成上级政府交办的其它事项。</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lang w:val="en-US" w:eastAsia="zh-CN"/>
        </w:rPr>
        <w:t>1.</w:t>
      </w:r>
      <w:r>
        <w:rPr>
          <w:rFonts w:hint="eastAsia" w:ascii="仿宋" w:hAnsi="仿宋" w:eastAsia="仿宋"/>
          <w:b/>
          <w:bCs w:val="0"/>
          <w:color w:val="000000"/>
          <w:sz w:val="32"/>
          <w:szCs w:val="32"/>
        </w:rPr>
        <w:t>全面完成脱贫任务。</w:t>
      </w:r>
      <w:r>
        <w:rPr>
          <w:rFonts w:hint="eastAsia" w:ascii="仿宋" w:hAnsi="仿宋" w:eastAsia="仿宋"/>
          <w:bCs/>
          <w:color w:val="000000"/>
          <w:sz w:val="32"/>
          <w:szCs w:val="32"/>
          <w:lang w:eastAsia="zh-CN"/>
        </w:rPr>
        <w:t>铁佛镇</w:t>
      </w:r>
      <w:r>
        <w:rPr>
          <w:rFonts w:hint="eastAsia" w:ascii="仿宋" w:hAnsi="仿宋" w:eastAsia="仿宋"/>
          <w:bCs/>
          <w:color w:val="000000"/>
          <w:sz w:val="32"/>
          <w:szCs w:val="32"/>
        </w:rPr>
        <w:t>党委政府紧紧围绕“两不愁三保障”和贫困户“一超六有”、贫困村“一低五有”、乡“三有”目标，推动脱贫攻坚政策、责任、工作三落实。巩固提升脱贫攻坚“双向承诺三步走”工作机制，脱贫攻坚成效卓越。一是全面完成脱贫计划。完成2019年计划脱贫目标307户980人，贫困发生率由2014年14.47%下降至2019年0.1%。二是全面完成脱贫项目。实施易地搬迁67户224人，集中安置6户17人，分散安置51户179人，进场镇安置2户8人，进县城安置1户4人，投亲靠友安置7户16人。危旧房改造826户（一般户736户，四类人员90户），共投入916万元；启动土地增减挂钩项目建设14个村；三是全面整改排查问题。通过“大排查、大走访、大整改”和镇自行组织的脱贫攻坚成效交叉检查共梳理问题2008个，开展“两不愁三保障”回头看大排查发现问题246个，均已全部完成整改。建立并完善了脱贫攻坚佐证资料库；组织全镇村社干部、公益性岗位、社区矫正人员开展环境大整治10余次。四是全面提升脱贫认可。成功举办铁佛镇“庆七一·颂党恩、助推脱贫攻坚”表彰大会及文艺汇演活动，表彰先进集体26个，优秀个人227名，文艺汇演通过“大美通江”微信公众号直播，点击率达8万余次，极大地提高了脱贫攻坚及党风廉政建设社会满意度。</w:t>
      </w:r>
    </w:p>
    <w:p>
      <w:pPr>
        <w:pStyle w:val="5"/>
        <w:adjustRightInd w:val="0"/>
        <w:snapToGrid w:val="0"/>
        <w:spacing w:before="93" w:line="600" w:lineRule="exact"/>
        <w:ind w:firstLine="675" w:firstLineChars="210"/>
        <w:outlineLvl w:val="2"/>
        <w:rPr>
          <w:rFonts w:hint="eastAsia" w:ascii="仿宋" w:hAnsi="仿宋" w:eastAsia="仿宋"/>
          <w:bCs/>
          <w:color w:val="000000"/>
          <w:sz w:val="32"/>
          <w:szCs w:val="32"/>
        </w:rPr>
      </w:pPr>
      <w:r>
        <w:rPr>
          <w:rFonts w:hint="eastAsia" w:ascii="仿宋" w:hAnsi="仿宋" w:eastAsia="仿宋"/>
          <w:b/>
          <w:bCs w:val="0"/>
          <w:color w:val="000000"/>
          <w:sz w:val="32"/>
          <w:szCs w:val="32"/>
          <w:lang w:val="en-US" w:eastAsia="zh-CN"/>
        </w:rPr>
        <w:t>2.</w:t>
      </w:r>
      <w:r>
        <w:rPr>
          <w:rFonts w:hint="eastAsia" w:ascii="仿宋" w:hAnsi="仿宋" w:eastAsia="仿宋"/>
          <w:b/>
          <w:bCs w:val="0"/>
          <w:color w:val="000000"/>
          <w:sz w:val="32"/>
          <w:szCs w:val="32"/>
        </w:rPr>
        <w:t>特色产业蓬勃发展。</w:t>
      </w:r>
      <w:r>
        <w:rPr>
          <w:rFonts w:hint="eastAsia" w:ascii="仿宋" w:hAnsi="仿宋" w:eastAsia="仿宋"/>
          <w:bCs/>
          <w:color w:val="000000"/>
          <w:sz w:val="32"/>
          <w:szCs w:val="32"/>
        </w:rPr>
        <w:t>我镇始终坚持“一村一产业、一户一庭园”的发展思路。按“政府主导、村支两委主抓、农户主入”模式，大力发展“一线三片”特色产业。小岭子村1100亩猕猴桃再获丰收，2019年收货约80万斤，实现销售收入800万余元。八庙岭村、大佛寺村、谷山包村600余亩翠冠梨共采摘19万余斤，年实现销售额85.5万余元。新植九龙庙村、陆家山村、中岭村、平坝村茶叶2000亩，巩固发展大佛寺村、凤凰村、跑马村、熨斗山村、黄嘴头村、伍家塬村、社口村、吴松坪村青花椒4500亩；带动农户1500户，实现户均增收3000元。栽植“中国好粮油”优质水稻1552亩，实现每亩增收300元。</w:t>
      </w:r>
    </w:p>
    <w:p>
      <w:pPr>
        <w:pStyle w:val="5"/>
        <w:adjustRightInd w:val="0"/>
        <w:snapToGrid w:val="0"/>
        <w:spacing w:before="93" w:line="600" w:lineRule="exact"/>
        <w:ind w:firstLine="675" w:firstLineChars="210"/>
        <w:outlineLvl w:val="2"/>
        <w:rPr>
          <w:rFonts w:hint="eastAsia" w:ascii="仿宋" w:hAnsi="仿宋" w:eastAsia="仿宋"/>
          <w:bCs/>
          <w:color w:val="000000"/>
          <w:sz w:val="32"/>
          <w:szCs w:val="32"/>
        </w:rPr>
      </w:pPr>
      <w:r>
        <w:rPr>
          <w:rFonts w:hint="eastAsia" w:ascii="仿宋" w:hAnsi="仿宋" w:eastAsia="仿宋"/>
          <w:b/>
          <w:bCs w:val="0"/>
          <w:color w:val="000000"/>
          <w:sz w:val="32"/>
          <w:szCs w:val="32"/>
          <w:lang w:val="en-US" w:eastAsia="zh-CN"/>
        </w:rPr>
        <w:t>3.</w:t>
      </w:r>
      <w:r>
        <w:rPr>
          <w:rFonts w:hint="eastAsia" w:ascii="仿宋" w:hAnsi="仿宋" w:eastAsia="仿宋"/>
          <w:b/>
          <w:bCs w:val="0"/>
          <w:color w:val="000000"/>
          <w:sz w:val="32"/>
          <w:szCs w:val="32"/>
        </w:rPr>
        <w:t>民生事业统筹推进。</w:t>
      </w:r>
      <w:r>
        <w:rPr>
          <w:rFonts w:hint="eastAsia" w:ascii="仿宋" w:hAnsi="仿宋" w:eastAsia="仿宋"/>
          <w:bCs/>
          <w:color w:val="000000"/>
          <w:sz w:val="32"/>
          <w:szCs w:val="32"/>
        </w:rPr>
        <w:t>一是社会保障持续加强。全年共开展就业脱贫技能培训共110人次，东西部协作扶贫残疾人技能培训80人次，农村低保惠及28144人次；城镇低保惠及2052人次；农村特困供养分散1429人次；残疾人护理补贴惠及2848人次；困难残疾人生活补贴9203人次；残疾人扶贫对象生活补贴惠及408人次；发放大病医疗救助资金14.13万元，惠及40人次。兑现退耕还林资金143.39万元，生态公益林资金23.44万元，26人贫困户护林员补助资金13万元。成立铁佛镇退役军人服务站，发放光荣牌1350张，慰问贫困党员9人。二是基础设施建设稳步推进。便民服务中心和群众文化活动中心、公共厕所、第二水厂均已竣工并投入使用，便民服务中心共设置财税、卫生、民政、社保等8个便民窗口，铁佛敬老院已开工建设，殡仪馆已完成初步选址。三是交通条件不断改善。投入563.35万元启动18.27公里道路建设（建新硬化8.27公里，拓宽10公里），全面实现村村通水泥路、50%的社通硬化路。</w:t>
      </w:r>
    </w:p>
    <w:p>
      <w:pPr>
        <w:pStyle w:val="3"/>
        <w:rPr>
          <w:rStyle w:val="25"/>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ind w:firstLine="640" w:firstLineChars="200"/>
        <w:rPr>
          <w:rFonts w:hint="eastAsia" w:ascii="仿宋_GB2312" w:eastAsia="仿宋_GB2312" w:cs="Times New Roman"/>
          <w:color w:val="000000"/>
          <w:sz w:val="32"/>
          <w:szCs w:val="32"/>
          <w:u w:val="none"/>
        </w:rPr>
      </w:pPr>
      <w:r>
        <w:rPr>
          <w:rFonts w:hint="eastAsia" w:ascii="仿宋" w:hAnsi="仿宋" w:eastAsia="仿宋" w:cs="Times New Roman"/>
          <w:sz w:val="32"/>
          <w:szCs w:val="32"/>
        </w:rPr>
        <w:t>铁佛镇下属二级单位</w:t>
      </w:r>
      <w:r>
        <w:rPr>
          <w:rFonts w:hint="eastAsia" w:ascii="仿宋" w:hAnsi="仿宋" w:eastAsia="仿宋" w:cs="Times New Roman"/>
          <w:sz w:val="32"/>
          <w:szCs w:val="32"/>
          <w:lang w:val="en-US" w:eastAsia="zh-CN"/>
        </w:rPr>
        <w:t>6</w:t>
      </w:r>
      <w:r>
        <w:rPr>
          <w:rFonts w:hint="eastAsia" w:ascii="仿宋" w:hAnsi="仿宋" w:eastAsia="仿宋" w:cs="Times New Roman"/>
          <w:sz w:val="32"/>
          <w:szCs w:val="32"/>
        </w:rPr>
        <w:t>个，其中行政单位</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rPr>
        <w:t>个，其他事业单位</w:t>
      </w:r>
      <w:r>
        <w:rPr>
          <w:rFonts w:hint="eastAsia" w:ascii="仿宋" w:hAnsi="仿宋" w:eastAsia="仿宋" w:cs="Times New Roman"/>
          <w:sz w:val="32"/>
          <w:szCs w:val="32"/>
          <w:lang w:val="en-US" w:eastAsia="zh-CN"/>
        </w:rPr>
        <w:t>5</w:t>
      </w:r>
      <w:r>
        <w:rPr>
          <w:rFonts w:hint="eastAsia" w:ascii="仿宋" w:hAnsi="仿宋" w:eastAsia="仿宋" w:cs="Times New Roman"/>
          <w:sz w:val="32"/>
          <w:szCs w:val="32"/>
        </w:rPr>
        <w:t>个。</w:t>
      </w:r>
    </w:p>
    <w:p>
      <w:pPr>
        <w:pStyle w:val="5"/>
        <w:adjustRightInd w:val="0"/>
        <w:snapToGrid w:val="0"/>
        <w:spacing w:before="93" w:line="600" w:lineRule="exact"/>
        <w:ind w:firstLine="600" w:firstLineChars="210"/>
        <w:rPr>
          <w:rFonts w:ascii="仿宋" w:hAnsi="仿宋" w:eastAsia="仿宋"/>
          <w:color w:val="000000"/>
          <w:sz w:val="32"/>
          <w:szCs w:val="32"/>
        </w:rPr>
      </w:pPr>
      <w:r>
        <w:rPr>
          <w:rFonts w:hint="eastAsia" w:ascii="仿宋" w:hAnsi="仿宋" w:eastAsia="仿宋"/>
          <w:color w:val="000000"/>
          <w:spacing w:val="-17"/>
          <w:sz w:val="32"/>
          <w:szCs w:val="32"/>
        </w:rPr>
        <w:t>纳入</w:t>
      </w:r>
      <w:r>
        <w:rPr>
          <w:rFonts w:hint="eastAsia" w:ascii="仿宋" w:hAnsi="仿宋" w:eastAsia="仿宋" w:cs="Times New Roman"/>
          <w:color w:val="000000"/>
          <w:spacing w:val="-17"/>
          <w:sz w:val="32"/>
          <w:szCs w:val="32"/>
        </w:rPr>
        <w:t>铁佛镇20</w:t>
      </w:r>
      <w:r>
        <w:rPr>
          <w:rFonts w:hint="eastAsia" w:ascii="仿宋" w:hAnsi="仿宋" w:eastAsia="仿宋"/>
          <w:color w:val="000000"/>
          <w:spacing w:val="-17"/>
          <w:sz w:val="32"/>
          <w:szCs w:val="32"/>
        </w:rPr>
        <w:t>1</w:t>
      </w:r>
      <w:r>
        <w:rPr>
          <w:rFonts w:hint="eastAsia" w:ascii="仿宋" w:hAnsi="仿宋" w:eastAsia="仿宋"/>
          <w:color w:val="000000"/>
          <w:spacing w:val="-17"/>
          <w:sz w:val="32"/>
          <w:szCs w:val="32"/>
          <w:lang w:val="en-US" w:eastAsia="zh-CN"/>
        </w:rPr>
        <w:t>9</w:t>
      </w:r>
      <w:r>
        <w:rPr>
          <w:rFonts w:hint="eastAsia" w:ascii="仿宋" w:hAnsi="仿宋" w:eastAsia="仿宋"/>
          <w:color w:val="000000"/>
          <w:spacing w:val="-17"/>
          <w:sz w:val="32"/>
          <w:szCs w:val="32"/>
        </w:rPr>
        <w:t>年度部门决算编制范围的二级预算单位包括：</w:t>
      </w:r>
    </w:p>
    <w:p>
      <w:pPr>
        <w:pStyle w:val="5"/>
        <w:numPr>
          <w:ilvl w:val="0"/>
          <w:numId w:val="1"/>
        </w:numPr>
        <w:adjustRightInd w:val="0"/>
        <w:snapToGrid w:val="0"/>
        <w:spacing w:before="93" w:line="600" w:lineRule="exact"/>
        <w:outlineLvl w:val="2"/>
        <w:rPr>
          <w:rFonts w:ascii="仿宋" w:hAnsi="仿宋" w:eastAsia="仿宋"/>
          <w:color w:val="000000"/>
          <w:sz w:val="32"/>
          <w:szCs w:val="32"/>
        </w:rPr>
      </w:pPr>
      <w:bookmarkStart w:id="22" w:name="_Toc15377201"/>
      <w:bookmarkStart w:id="23" w:name="_Toc15378448"/>
      <w:bookmarkStart w:id="24" w:name="_Toc15377432"/>
      <w:bookmarkStart w:id="25" w:name="_Toc15306275"/>
      <w:r>
        <w:rPr>
          <w:rFonts w:hint="eastAsia" w:ascii="仿宋" w:hAnsi="仿宋" w:eastAsia="仿宋" w:cs="Times New Roman"/>
          <w:color w:val="000000"/>
          <w:sz w:val="32"/>
          <w:szCs w:val="32"/>
        </w:rPr>
        <w:t>铁佛镇人民政府（本级）</w:t>
      </w:r>
      <w:bookmarkEnd w:id="22"/>
      <w:bookmarkEnd w:id="23"/>
      <w:bookmarkEnd w:id="24"/>
      <w:bookmarkEnd w:id="25"/>
    </w:p>
    <w:p>
      <w:pPr>
        <w:pStyle w:val="5"/>
        <w:numPr>
          <w:ilvl w:val="0"/>
          <w:numId w:val="1"/>
        </w:numPr>
        <w:adjustRightInd w:val="0"/>
        <w:snapToGrid w:val="0"/>
        <w:spacing w:before="93" w:line="600" w:lineRule="exact"/>
        <w:outlineLvl w:val="2"/>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铁佛中学</w:t>
      </w:r>
    </w:p>
    <w:p>
      <w:pPr>
        <w:pStyle w:val="5"/>
        <w:numPr>
          <w:ilvl w:val="0"/>
          <w:numId w:val="1"/>
        </w:numPr>
        <w:adjustRightInd w:val="0"/>
        <w:snapToGrid w:val="0"/>
        <w:spacing w:before="93" w:line="600" w:lineRule="exact"/>
        <w:outlineLvl w:val="2"/>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铁佛中心小学</w:t>
      </w:r>
    </w:p>
    <w:p>
      <w:pPr>
        <w:pStyle w:val="5"/>
        <w:numPr>
          <w:ilvl w:val="0"/>
          <w:numId w:val="1"/>
        </w:numPr>
        <w:adjustRightInd w:val="0"/>
        <w:snapToGrid w:val="0"/>
        <w:spacing w:before="93" w:line="600" w:lineRule="exact"/>
        <w:outlineLvl w:val="2"/>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曲滨中心小学</w:t>
      </w:r>
    </w:p>
    <w:p>
      <w:pPr>
        <w:pStyle w:val="5"/>
        <w:numPr>
          <w:ilvl w:val="0"/>
          <w:numId w:val="1"/>
        </w:numPr>
        <w:adjustRightInd w:val="0"/>
        <w:snapToGrid w:val="0"/>
        <w:spacing w:before="93" w:line="600" w:lineRule="exact"/>
        <w:outlineLvl w:val="2"/>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跑马中心小学</w:t>
      </w:r>
    </w:p>
    <w:p>
      <w:pPr>
        <w:pStyle w:val="5"/>
        <w:numPr>
          <w:ilvl w:val="0"/>
          <w:numId w:val="1"/>
        </w:numPr>
        <w:adjustRightInd w:val="0"/>
        <w:snapToGrid w:val="0"/>
        <w:spacing w:before="93" w:line="600" w:lineRule="exact"/>
        <w:outlineLvl w:val="2"/>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铁佛中心卫生院</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6" w:name="_Toc15377204"/>
      <w:bookmarkStart w:id="27"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6"/>
      <w:bookmarkEnd w:id="27"/>
    </w:p>
    <w:p/>
    <w:p>
      <w:pPr>
        <w:pStyle w:val="23"/>
        <w:numPr>
          <w:ilvl w:val="0"/>
          <w:numId w:val="2"/>
        </w:numPr>
        <w:spacing w:line="600" w:lineRule="exact"/>
        <w:ind w:firstLineChars="0"/>
        <w:outlineLvl w:val="1"/>
        <w:rPr>
          <w:rStyle w:val="25"/>
          <w:rFonts w:ascii="黑体" w:hAnsi="黑体" w:eastAsia="黑体"/>
          <w:b w:val="0"/>
        </w:rPr>
      </w:pPr>
      <w:bookmarkStart w:id="28" w:name="_Toc15377205"/>
      <w:bookmarkStart w:id="29"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8"/>
      <w:bookmarkEnd w:id="29"/>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2019年度收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11511.27</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，支出总计</w:t>
      </w:r>
      <w:r>
        <w:rPr>
          <w:rFonts w:hint="eastAsia" w:ascii="仿宋" w:hAnsi="仿宋" w:eastAsia="仿宋"/>
          <w:color w:val="000000"/>
          <w:sz w:val="32"/>
          <w:szCs w:val="32"/>
          <w:lang w:val="en-US" w:eastAsia="zh-CN"/>
        </w:rPr>
        <w:t>11598.77</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,年初结转和结余163.08万元，</w:t>
      </w:r>
      <w:r>
        <w:rPr>
          <w:rFonts w:hint="eastAsia" w:ascii="仿宋" w:hAnsi="仿宋" w:eastAsia="仿宋"/>
          <w:color w:val="000000"/>
          <w:sz w:val="32"/>
          <w:szCs w:val="32"/>
        </w:rPr>
        <w:t>年末结转和结余</w:t>
      </w:r>
      <w:r>
        <w:rPr>
          <w:rFonts w:hint="eastAsia" w:ascii="仿宋" w:hAnsi="仿宋" w:eastAsia="仿宋"/>
          <w:color w:val="000000"/>
          <w:sz w:val="32"/>
          <w:szCs w:val="32"/>
          <w:lang w:val="en-US" w:eastAsia="zh-CN"/>
        </w:rPr>
        <w:t>75.58</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。与2018年相比，收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1325.60</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10.33</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rPr>
        <w:t>主</w:t>
      </w:r>
      <w:r>
        <w:rPr>
          <w:rFonts w:hint="eastAsia" w:ascii="仿宋" w:hAnsi="仿宋" w:eastAsia="仿宋"/>
          <w:color w:val="auto"/>
          <w:sz w:val="32"/>
          <w:szCs w:val="32"/>
        </w:rPr>
        <w:t>要变动原因是</w:t>
      </w:r>
      <w:r>
        <w:rPr>
          <w:rFonts w:hint="eastAsia" w:ascii="仿宋" w:hAnsi="仿宋" w:eastAsia="仿宋"/>
          <w:color w:val="auto"/>
          <w:sz w:val="32"/>
          <w:szCs w:val="32"/>
          <w:lang w:eastAsia="zh-CN"/>
        </w:rPr>
        <w:t>脱贫项目及人员变动。支出</w:t>
      </w:r>
      <w:r>
        <w:rPr>
          <w:rFonts w:hint="eastAsia" w:ascii="仿宋" w:hAnsi="仿宋" w:eastAsia="仿宋"/>
          <w:color w:val="auto"/>
          <w:sz w:val="32"/>
          <w:szCs w:val="32"/>
        </w:rPr>
        <w:t>总计</w:t>
      </w:r>
      <w:r>
        <w:rPr>
          <w:rFonts w:hint="eastAsia" w:ascii="仿宋" w:hAnsi="仿宋" w:eastAsia="仿宋"/>
          <w:color w:val="auto"/>
          <w:sz w:val="32"/>
          <w:szCs w:val="32"/>
          <w:lang w:eastAsia="zh-CN"/>
        </w:rPr>
        <w:t>减少</w:t>
      </w:r>
      <w:r>
        <w:rPr>
          <w:rFonts w:hint="eastAsia" w:ascii="仿宋" w:hAnsi="仿宋" w:eastAsia="仿宋"/>
          <w:color w:val="auto"/>
          <w:sz w:val="32"/>
          <w:szCs w:val="32"/>
          <w:lang w:val="en-US" w:eastAsia="zh-CN"/>
        </w:rPr>
        <w:t>1075.02</w:t>
      </w:r>
      <w:r>
        <w:rPr>
          <w:rFonts w:hint="eastAsia" w:ascii="仿宋" w:hAnsi="仿宋" w:eastAsia="仿宋"/>
          <w:color w:val="auto"/>
          <w:sz w:val="32"/>
          <w:szCs w:val="32"/>
        </w:rPr>
        <w:t>万元，</w:t>
      </w:r>
      <w:r>
        <w:rPr>
          <w:rFonts w:hint="eastAsia" w:ascii="仿宋" w:hAnsi="仿宋" w:eastAsia="仿宋"/>
          <w:color w:val="000000"/>
          <w:sz w:val="32"/>
          <w:szCs w:val="32"/>
          <w:lang w:eastAsia="zh-CN"/>
        </w:rPr>
        <w:t>减少</w:t>
      </w:r>
      <w:r>
        <w:rPr>
          <w:rFonts w:hint="eastAsia" w:ascii="仿宋" w:hAnsi="仿宋" w:eastAsia="仿宋"/>
          <w:color w:val="auto"/>
          <w:sz w:val="32"/>
          <w:szCs w:val="32"/>
          <w:lang w:val="en-US" w:eastAsia="zh-CN"/>
        </w:rPr>
        <w:t>8.48</w:t>
      </w:r>
      <w:r>
        <w:rPr>
          <w:rFonts w:ascii="仿宋" w:hAnsi="仿宋" w:eastAsia="仿宋"/>
          <w:color w:val="auto"/>
          <w:sz w:val="32"/>
          <w:szCs w:val="32"/>
        </w:rPr>
        <w:t>%</w:t>
      </w:r>
      <w:r>
        <w:rPr>
          <w:rFonts w:hint="eastAsia" w:ascii="仿宋" w:hAnsi="仿宋" w:eastAsia="仿宋"/>
          <w:color w:val="auto"/>
          <w:sz w:val="32"/>
          <w:szCs w:val="32"/>
        </w:rPr>
        <w:t>。主要变动原因是</w:t>
      </w:r>
      <w:r>
        <w:rPr>
          <w:rFonts w:hint="eastAsia" w:ascii="仿宋" w:hAnsi="仿宋" w:eastAsia="仿宋"/>
          <w:color w:val="auto"/>
          <w:sz w:val="32"/>
          <w:szCs w:val="32"/>
          <w:lang w:eastAsia="zh-CN"/>
        </w:rPr>
        <w:t>脱贫项目及人员变动。</w:t>
      </w:r>
    </w:p>
    <w:p>
      <w:pPr>
        <w:spacing w:line="600" w:lineRule="exact"/>
        <w:ind w:firstLine="640" w:firstLineChars="200"/>
        <w:rPr>
          <w:rFonts w:ascii="仿宋_GB2312" w:eastAsia="仿宋_GB2312"/>
          <w:color w:val="000000"/>
          <w:sz w:val="32"/>
          <w:szCs w:val="32"/>
        </w:rPr>
      </w:pPr>
      <w:r>
        <w:rPr>
          <w:rFonts w:hint="eastAsia" w:ascii="仿宋" w:hAnsi="仿宋" w:eastAsia="仿宋"/>
          <w:color w:val="000000" w:themeColor="text1"/>
          <w:sz w:val="32"/>
          <w:szCs w:val="32"/>
          <w:lang w:eastAsia="zh-CN"/>
        </w:rPr>
        <w:drawing>
          <wp:anchor distT="0" distB="0" distL="114300" distR="114300" simplePos="0" relativeHeight="251660288" behindDoc="0" locked="0" layoutInCell="1" allowOverlap="1">
            <wp:simplePos x="0" y="0"/>
            <wp:positionH relativeFrom="column">
              <wp:posOffset>48895</wp:posOffset>
            </wp:positionH>
            <wp:positionV relativeFrom="paragraph">
              <wp:posOffset>541655</wp:posOffset>
            </wp:positionV>
            <wp:extent cx="5080000" cy="3597275"/>
            <wp:effectExtent l="5080" t="4445" r="20320" b="17780"/>
            <wp:wrapTopAndBottom/>
            <wp:docPr id="1" name="图表 1" title="（图1：收、支决算总计变动情况图）（柱状图）"/>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pStyle w:val="23"/>
        <w:numPr>
          <w:ilvl w:val="0"/>
          <w:numId w:val="2"/>
        </w:numPr>
        <w:spacing w:line="600" w:lineRule="exact"/>
        <w:ind w:firstLineChars="0"/>
        <w:outlineLvl w:val="1"/>
        <w:rPr>
          <w:rStyle w:val="25"/>
          <w:rFonts w:ascii="黑体" w:hAnsi="黑体" w:eastAsia="黑体"/>
          <w:b w:val="0"/>
        </w:rPr>
      </w:pPr>
      <w:bookmarkStart w:id="30" w:name="_Toc15377206"/>
      <w:bookmarkStart w:id="31"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30"/>
      <w:bookmarkEnd w:id="31"/>
    </w:p>
    <w:p>
      <w:pPr>
        <w:spacing w:line="60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11511.27</w:t>
      </w:r>
      <w:r>
        <w:rPr>
          <w:rFonts w:hint="eastAsia" w:ascii="仿宋" w:hAnsi="仿宋" w:eastAsia="仿宋"/>
          <w:color w:val="000000"/>
          <w:sz w:val="32"/>
          <w:szCs w:val="32"/>
        </w:rPr>
        <w:t>万元，其中：一般公共预算财政拨款收入10450.44万元，占</w:t>
      </w:r>
      <w:r>
        <w:rPr>
          <w:rFonts w:hint="eastAsia" w:ascii="仿宋" w:hAnsi="仿宋" w:eastAsia="仿宋"/>
          <w:color w:val="000000"/>
          <w:sz w:val="32"/>
          <w:szCs w:val="32"/>
          <w:lang w:val="en-US" w:eastAsia="zh-CN"/>
        </w:rPr>
        <w:t>90.78</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35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0.30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913.84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7.94</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112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0.97</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jc w:val="center"/>
        <w:outlineLvl w:val="1"/>
        <w:rPr>
          <w:rFonts w:ascii="仿宋_GB2312" w:eastAsia="仿宋_GB2312"/>
          <w:color w:val="FF0000"/>
          <w:sz w:val="32"/>
          <w:szCs w:val="32"/>
        </w:rPr>
      </w:pPr>
      <w:r>
        <w:rPr>
          <w:rFonts w:hint="eastAsia" w:ascii="仿宋_GB2312" w:eastAsia="仿宋_GB2312"/>
          <w:color w:val="FF0000"/>
          <w:sz w:val="32"/>
          <w:szCs w:val="32"/>
          <w:lang w:eastAsia="zh-CN"/>
        </w:rPr>
        <w:drawing>
          <wp:anchor distT="0" distB="0" distL="114300" distR="114300" simplePos="0" relativeHeight="251662336" behindDoc="0" locked="0" layoutInCell="1" allowOverlap="1">
            <wp:simplePos x="0" y="0"/>
            <wp:positionH relativeFrom="column">
              <wp:posOffset>229235</wp:posOffset>
            </wp:positionH>
            <wp:positionV relativeFrom="paragraph">
              <wp:posOffset>602615</wp:posOffset>
            </wp:positionV>
            <wp:extent cx="5216525" cy="3120390"/>
            <wp:effectExtent l="4445" t="4445" r="17780" b="7556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000000" w:themeColor="text1"/>
          <w:sz w:val="32"/>
          <w:szCs w:val="32"/>
        </w:rPr>
        <w:t>（图2：收入决算结构图）（饼状图）</w:t>
      </w:r>
    </w:p>
    <w:p>
      <w:pPr>
        <w:pStyle w:val="23"/>
        <w:numPr>
          <w:ilvl w:val="0"/>
          <w:numId w:val="2"/>
        </w:numPr>
        <w:spacing w:line="600" w:lineRule="exact"/>
        <w:ind w:firstLineChars="0"/>
        <w:outlineLvl w:val="1"/>
        <w:rPr>
          <w:rStyle w:val="25"/>
          <w:rFonts w:ascii="黑体" w:hAnsi="黑体" w:eastAsia="黑体"/>
          <w:b w:val="0"/>
        </w:rPr>
      </w:pPr>
      <w:bookmarkStart w:id="32" w:name="_Toc15396605"/>
      <w:bookmarkStart w:id="33"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32"/>
      <w:bookmarkEnd w:id="33"/>
    </w:p>
    <w:p>
      <w:pPr>
        <w:spacing w:line="60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11598.77</w:t>
      </w:r>
      <w:r>
        <w:rPr>
          <w:rFonts w:hint="eastAsia" w:ascii="仿宋" w:hAnsi="仿宋" w:eastAsia="仿宋"/>
          <w:color w:val="000000"/>
          <w:sz w:val="32"/>
          <w:szCs w:val="32"/>
        </w:rPr>
        <w:t>万元，其中：基本支出7775.57万元，占</w:t>
      </w:r>
      <w:r>
        <w:rPr>
          <w:rFonts w:hint="eastAsia" w:ascii="仿宋" w:hAnsi="仿宋" w:eastAsia="仿宋"/>
          <w:color w:val="000000"/>
          <w:sz w:val="32"/>
          <w:szCs w:val="32"/>
          <w:lang w:val="en-US" w:eastAsia="zh-CN"/>
        </w:rPr>
        <w:t>67.04</w:t>
      </w:r>
      <w:r>
        <w:rPr>
          <w:rFonts w:ascii="仿宋" w:hAnsi="仿宋" w:eastAsia="仿宋"/>
          <w:color w:val="000000"/>
          <w:sz w:val="32"/>
          <w:szCs w:val="32"/>
        </w:rPr>
        <w:t>%</w:t>
      </w:r>
      <w:r>
        <w:rPr>
          <w:rFonts w:hint="eastAsia" w:ascii="仿宋" w:hAnsi="仿宋" w:eastAsia="仿宋"/>
          <w:color w:val="000000"/>
          <w:sz w:val="32"/>
          <w:szCs w:val="32"/>
        </w:rPr>
        <w:t>；项目支出3823.2万元，占</w:t>
      </w:r>
      <w:r>
        <w:rPr>
          <w:rFonts w:hint="eastAsia" w:ascii="仿宋" w:hAnsi="仿宋" w:eastAsia="仿宋"/>
          <w:color w:val="000000"/>
          <w:sz w:val="32"/>
          <w:szCs w:val="32"/>
          <w:lang w:val="en-US" w:eastAsia="zh-CN"/>
        </w:rPr>
        <w:t>32.96</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jc w:val="center"/>
        <w:rPr>
          <w:rFonts w:hint="eastAsia" w:ascii="仿宋" w:hAnsi="仿宋" w:eastAsia="仿宋"/>
          <w:color w:val="000000"/>
          <w:sz w:val="32"/>
          <w:szCs w:val="32"/>
        </w:rPr>
      </w:pPr>
      <w:r>
        <w:rPr>
          <w:rFonts w:hint="eastAsia" w:ascii="仿宋" w:hAnsi="仿宋" w:eastAsia="仿宋"/>
          <w:color w:val="000000" w:themeColor="text1"/>
          <w:sz w:val="32"/>
          <w:szCs w:val="32"/>
        </w:rPr>
        <w:t>（图3：支出决算结构图）（饼状图）</w:t>
      </w:r>
    </w:p>
    <w:p>
      <w:pPr>
        <w:spacing w:line="600" w:lineRule="exact"/>
        <w:ind w:firstLine="640" w:firstLineChars="200"/>
        <w:rPr>
          <w:rFonts w:ascii="仿宋_GB2312" w:eastAsia="仿宋_GB2312"/>
          <w:color w:val="FF0000"/>
          <w:sz w:val="32"/>
          <w:szCs w:val="32"/>
        </w:rPr>
      </w:pPr>
      <w:r>
        <w:rPr>
          <w:rFonts w:hint="eastAsia" w:ascii="仿宋_GB2312" w:eastAsia="仿宋_GB2312"/>
          <w:color w:val="FF0000"/>
          <w:sz w:val="32"/>
          <w:szCs w:val="32"/>
          <w:lang w:eastAsia="zh-CN"/>
        </w:rPr>
        <w:drawing>
          <wp:anchor distT="0" distB="0" distL="114300" distR="114300" simplePos="0" relativeHeight="251666432" behindDoc="0" locked="0" layoutInCell="1" allowOverlap="1">
            <wp:simplePos x="0" y="0"/>
            <wp:positionH relativeFrom="column">
              <wp:posOffset>838200</wp:posOffset>
            </wp:positionH>
            <wp:positionV relativeFrom="paragraph">
              <wp:posOffset>90170</wp:posOffset>
            </wp:positionV>
            <wp:extent cx="4023360" cy="2139950"/>
            <wp:effectExtent l="4445" t="4445" r="10795" b="8445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outlineLvl w:val="1"/>
        <w:rPr>
          <w:rStyle w:val="25"/>
          <w:rFonts w:ascii="黑体" w:hAnsi="黑体" w:eastAsia="黑体"/>
          <w:b w:val="0"/>
        </w:rPr>
      </w:pPr>
      <w:bookmarkStart w:id="34" w:name="_Toc15396606"/>
      <w:bookmarkStart w:id="35"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4"/>
      <w:bookmarkEnd w:id="3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10450.44</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财政拨款</w:t>
      </w:r>
      <w:r>
        <w:rPr>
          <w:rFonts w:hint="eastAsia" w:ascii="仿宋" w:hAnsi="仿宋" w:eastAsia="仿宋"/>
          <w:color w:val="000000"/>
          <w:sz w:val="32"/>
          <w:szCs w:val="32"/>
          <w:lang w:eastAsia="zh-CN"/>
        </w:rPr>
        <w:t>支出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10537.94</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年相比，财政拨款收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1383.15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11.69</w:t>
      </w:r>
      <w:r>
        <w:rPr>
          <w:rFonts w:ascii="仿宋" w:hAnsi="仿宋" w:eastAsia="仿宋"/>
          <w:color w:val="000000"/>
          <w:sz w:val="32"/>
          <w:szCs w:val="32"/>
        </w:rPr>
        <w:t>%</w:t>
      </w:r>
      <w:r>
        <w:rPr>
          <w:rFonts w:hint="eastAsia" w:ascii="仿宋" w:hAnsi="仿宋" w:eastAsia="仿宋"/>
          <w:color w:val="000000"/>
          <w:sz w:val="32"/>
          <w:szCs w:val="32"/>
        </w:rPr>
        <w:t>。主</w:t>
      </w:r>
      <w:r>
        <w:rPr>
          <w:rFonts w:hint="eastAsia" w:ascii="仿宋" w:hAnsi="仿宋" w:eastAsia="仿宋"/>
          <w:color w:val="auto"/>
          <w:sz w:val="32"/>
          <w:szCs w:val="32"/>
        </w:rPr>
        <w:t>要变动原因是</w:t>
      </w:r>
      <w:r>
        <w:rPr>
          <w:rFonts w:hint="eastAsia" w:ascii="仿宋" w:hAnsi="仿宋" w:eastAsia="仿宋"/>
          <w:color w:val="auto"/>
          <w:sz w:val="32"/>
          <w:szCs w:val="32"/>
          <w:lang w:eastAsia="zh-CN"/>
        </w:rPr>
        <w:t>脱贫项目及人员变动，</w:t>
      </w:r>
      <w:r>
        <w:rPr>
          <w:rFonts w:hint="eastAsia" w:ascii="仿宋" w:hAnsi="仿宋" w:eastAsia="仿宋"/>
          <w:color w:val="auto"/>
          <w:sz w:val="32"/>
          <w:szCs w:val="32"/>
        </w:rPr>
        <w:t>财政拨款</w:t>
      </w:r>
      <w:r>
        <w:rPr>
          <w:rFonts w:hint="eastAsia" w:ascii="仿宋" w:hAnsi="仿宋" w:eastAsia="仿宋"/>
          <w:color w:val="auto"/>
          <w:sz w:val="32"/>
          <w:szCs w:val="32"/>
          <w:lang w:eastAsia="zh-CN"/>
        </w:rPr>
        <w:t>支出</w:t>
      </w:r>
      <w:r>
        <w:rPr>
          <w:rFonts w:hint="eastAsia" w:ascii="仿宋" w:hAnsi="仿宋" w:eastAsia="仿宋"/>
          <w:color w:val="auto"/>
          <w:sz w:val="32"/>
          <w:szCs w:val="32"/>
        </w:rPr>
        <w:t>总计</w:t>
      </w:r>
      <w:r>
        <w:rPr>
          <w:rFonts w:hint="eastAsia" w:ascii="仿宋" w:hAnsi="仿宋" w:eastAsia="仿宋"/>
          <w:color w:val="auto"/>
          <w:sz w:val="32"/>
          <w:szCs w:val="32"/>
          <w:lang w:eastAsia="zh-CN"/>
        </w:rPr>
        <w:t>减少</w:t>
      </w:r>
      <w:r>
        <w:rPr>
          <w:rFonts w:hint="eastAsia" w:ascii="仿宋" w:hAnsi="仿宋" w:eastAsia="仿宋"/>
          <w:color w:val="auto"/>
          <w:sz w:val="32"/>
          <w:szCs w:val="32"/>
          <w:lang w:val="en-US" w:eastAsia="zh-CN"/>
        </w:rPr>
        <w:t>1132.56</w:t>
      </w:r>
      <w:r>
        <w:rPr>
          <w:rFonts w:hint="eastAsia" w:ascii="仿宋" w:hAnsi="仿宋" w:eastAsia="仿宋"/>
          <w:color w:val="auto"/>
          <w:sz w:val="32"/>
          <w:szCs w:val="32"/>
        </w:rPr>
        <w:t>万元，</w:t>
      </w:r>
      <w:r>
        <w:rPr>
          <w:rFonts w:hint="eastAsia" w:ascii="仿宋" w:hAnsi="仿宋" w:eastAsia="仿宋"/>
          <w:color w:val="auto"/>
          <w:sz w:val="32"/>
          <w:szCs w:val="32"/>
          <w:lang w:eastAsia="zh-CN"/>
        </w:rPr>
        <w:t>减少</w:t>
      </w:r>
      <w:r>
        <w:rPr>
          <w:rFonts w:hint="eastAsia" w:ascii="仿宋" w:hAnsi="仿宋" w:eastAsia="仿宋"/>
          <w:color w:val="auto"/>
          <w:sz w:val="32"/>
          <w:szCs w:val="32"/>
          <w:lang w:val="en-US" w:eastAsia="zh-CN"/>
        </w:rPr>
        <w:t>9.70</w:t>
      </w:r>
      <w:r>
        <w:rPr>
          <w:rFonts w:ascii="仿宋" w:hAnsi="仿宋" w:eastAsia="仿宋"/>
          <w:color w:val="auto"/>
          <w:sz w:val="32"/>
          <w:szCs w:val="32"/>
        </w:rPr>
        <w:t>%</w:t>
      </w:r>
      <w:r>
        <w:rPr>
          <w:rFonts w:hint="eastAsia" w:ascii="仿宋" w:hAnsi="仿宋" w:eastAsia="仿宋"/>
          <w:color w:val="auto"/>
          <w:sz w:val="32"/>
          <w:szCs w:val="32"/>
        </w:rPr>
        <w:t>。主要变动原因是</w:t>
      </w:r>
      <w:r>
        <w:rPr>
          <w:rFonts w:hint="eastAsia" w:ascii="仿宋" w:hAnsi="仿宋" w:eastAsia="仿宋"/>
          <w:color w:val="auto"/>
          <w:sz w:val="32"/>
          <w:szCs w:val="32"/>
          <w:lang w:eastAsia="zh-CN"/>
        </w:rPr>
        <w:t>脱贫项目及人员变动</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spacing w:line="600" w:lineRule="exact"/>
        <w:ind w:firstLine="640"/>
        <w:rPr>
          <w:rFonts w:ascii="仿宋" w:hAnsi="仿宋" w:eastAsia="仿宋"/>
          <w:b/>
          <w:color w:val="00B050"/>
          <w:sz w:val="32"/>
          <w:szCs w:val="32"/>
        </w:rPr>
      </w:pPr>
      <w:r>
        <w:rPr>
          <w:rFonts w:hint="eastAsia" w:ascii="黑体" w:hAnsi="黑体" w:eastAsia="黑体"/>
          <w:color w:val="000000"/>
          <w:sz w:val="32"/>
          <w:szCs w:val="32"/>
        </w:rPr>
        <w:drawing>
          <wp:anchor distT="0" distB="0" distL="114300" distR="114300" simplePos="0" relativeHeight="251671552" behindDoc="0" locked="0" layoutInCell="1" allowOverlap="1">
            <wp:simplePos x="0" y="0"/>
            <wp:positionH relativeFrom="column">
              <wp:posOffset>135255</wp:posOffset>
            </wp:positionH>
            <wp:positionV relativeFrom="paragraph">
              <wp:posOffset>185420</wp:posOffset>
            </wp:positionV>
            <wp:extent cx="5080000" cy="3208020"/>
            <wp:effectExtent l="4445" t="4445" r="20955" b="698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outlineLvl w:val="1"/>
        <w:rPr>
          <w:rStyle w:val="25"/>
          <w:rFonts w:ascii="黑体" w:hAnsi="黑体" w:eastAsia="黑体"/>
          <w:b w:val="0"/>
        </w:rPr>
      </w:pPr>
      <w:bookmarkStart w:id="36" w:name="_Toc15377209"/>
      <w:bookmarkStart w:id="37"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6"/>
      <w:bookmarkEnd w:id="37"/>
    </w:p>
    <w:p>
      <w:pPr>
        <w:spacing w:line="600" w:lineRule="exact"/>
        <w:ind w:firstLine="643" w:firstLineChars="200"/>
        <w:outlineLvl w:val="2"/>
        <w:rPr>
          <w:rFonts w:ascii="仿宋" w:hAnsi="仿宋" w:eastAsia="仿宋"/>
          <w:b/>
          <w:color w:val="000000"/>
          <w:sz w:val="32"/>
          <w:szCs w:val="32"/>
        </w:rPr>
      </w:pPr>
      <w:bookmarkStart w:id="38" w:name="_Toc15377210"/>
      <w:r>
        <w:rPr>
          <w:rFonts w:hint="eastAsia" w:ascii="仿宋" w:hAnsi="仿宋" w:eastAsia="仿宋"/>
          <w:b/>
          <w:color w:val="000000"/>
          <w:sz w:val="32"/>
          <w:szCs w:val="32"/>
        </w:rPr>
        <w:t>（一）一般公共预算财政拨款支出决算总体情况</w:t>
      </w:r>
      <w:bookmarkEnd w:id="38"/>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10450.44</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90.10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w:t>
      </w:r>
      <w:r>
        <w:rPr>
          <w:rFonts w:hint="eastAsia" w:ascii="仿宋" w:hAnsi="仿宋" w:eastAsia="仿宋"/>
          <w:color w:val="000000"/>
          <w:sz w:val="32"/>
          <w:szCs w:val="32"/>
          <w:lang w:val="en-US" w:eastAsia="zh-CN"/>
        </w:rPr>
        <w:t>1090.69</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9.45</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auto"/>
          <w:sz w:val="32"/>
          <w:szCs w:val="32"/>
        </w:rPr>
        <w:t>主要变动原因是</w:t>
      </w:r>
      <w:r>
        <w:rPr>
          <w:rFonts w:hint="eastAsia" w:ascii="仿宋" w:hAnsi="仿宋" w:eastAsia="仿宋"/>
          <w:color w:val="auto"/>
          <w:sz w:val="32"/>
          <w:szCs w:val="32"/>
          <w:lang w:eastAsia="zh-CN"/>
        </w:rPr>
        <w:t>脱贫项目及压减支出。</w:t>
      </w:r>
    </w:p>
    <w:p>
      <w:pPr>
        <w:spacing w:line="600" w:lineRule="exact"/>
        <w:ind w:firstLine="640" w:firstLineChars="200"/>
        <w:rPr>
          <w:rFonts w:ascii="仿宋" w:hAnsi="仿宋" w:eastAsia="仿宋"/>
          <w:color w:val="000000"/>
          <w:sz w:val="32"/>
          <w:szCs w:val="32"/>
        </w:rPr>
      </w:pPr>
    </w:p>
    <w:p>
      <w:pPr>
        <w:spacing w:line="6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（图5：一般公共预算财政拨款支出决算变动情况）（柱状图）</w:t>
      </w:r>
    </w:p>
    <w:p>
      <w:pPr>
        <w:spacing w:line="600" w:lineRule="exact"/>
        <w:ind w:firstLine="560" w:firstLineChars="200"/>
        <w:rPr>
          <w:rFonts w:ascii="仿宋" w:hAnsi="仿宋" w:eastAsia="仿宋"/>
          <w:color w:val="000000" w:themeColor="text1"/>
          <w:sz w:val="32"/>
          <w:szCs w:val="32"/>
        </w:rPr>
      </w:pPr>
      <w:r>
        <w:rPr>
          <w:rFonts w:hint="eastAsia" w:ascii="仿宋" w:hAnsi="仿宋" w:eastAsia="仿宋"/>
          <w:color w:val="auto"/>
          <w:sz w:val="28"/>
          <w:szCs w:val="28"/>
        </w:rPr>
        <w:drawing>
          <wp:anchor distT="0" distB="0" distL="114300" distR="114300" simplePos="0" relativeHeight="251677696" behindDoc="0" locked="0" layoutInCell="1" allowOverlap="1">
            <wp:simplePos x="0" y="0"/>
            <wp:positionH relativeFrom="column">
              <wp:posOffset>194945</wp:posOffset>
            </wp:positionH>
            <wp:positionV relativeFrom="paragraph">
              <wp:posOffset>125095</wp:posOffset>
            </wp:positionV>
            <wp:extent cx="5080000" cy="3341370"/>
            <wp:effectExtent l="4445" t="4445" r="20955" b="698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3" w:firstLineChars="200"/>
        <w:outlineLvl w:val="2"/>
        <w:rPr>
          <w:rFonts w:ascii="仿宋" w:hAnsi="仿宋" w:eastAsia="仿宋"/>
          <w:b/>
          <w:color w:val="000000"/>
          <w:sz w:val="32"/>
          <w:szCs w:val="32"/>
        </w:rPr>
      </w:pPr>
      <w:bookmarkStart w:id="39" w:name="_Toc15377211"/>
      <w:r>
        <w:rPr>
          <w:rFonts w:hint="eastAsia" w:ascii="仿宋" w:hAnsi="仿宋" w:eastAsia="仿宋"/>
          <w:b/>
          <w:color w:val="000000"/>
          <w:sz w:val="32"/>
          <w:szCs w:val="32"/>
        </w:rPr>
        <w:t>（二）一般公共预算财政拨款支出决算结构情况</w:t>
      </w:r>
      <w:bookmarkEnd w:id="39"/>
    </w:p>
    <w:p>
      <w:pPr>
        <w:spacing w:line="600" w:lineRule="exact"/>
        <w:ind w:firstLine="640"/>
        <w:rPr>
          <w:rFonts w:ascii="仿宋" w:hAnsi="仿宋" w:eastAsia="仿宋"/>
          <w:b/>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sz w:val="32"/>
          <w:szCs w:val="32"/>
          <w:lang w:val="en-US" w:eastAsia="zh-CN"/>
        </w:rPr>
        <w:t>10537.94</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565.62</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5.37</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教育支出（类）</w:t>
      </w:r>
      <w:r>
        <w:rPr>
          <w:rFonts w:hint="eastAsia" w:ascii="仿宋" w:hAnsi="仿宋" w:eastAsia="仿宋"/>
          <w:color w:val="000000" w:themeColor="text1"/>
          <w:sz w:val="32"/>
          <w:szCs w:val="32"/>
          <w:lang w:val="en-US" w:eastAsia="zh-CN"/>
        </w:rPr>
        <w:t>4879.76</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46.31</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文化旅游体育与传媒（类）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26.17</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0.25</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632.86</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6.01</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w:t>
      </w:r>
      <w:r>
        <w:rPr>
          <w:rFonts w:hint="eastAsia" w:ascii="仿宋" w:hAnsi="仿宋" w:eastAsia="仿宋"/>
          <w:color w:val="000000" w:themeColor="text1"/>
          <w:sz w:val="32"/>
          <w:szCs w:val="32"/>
          <w:lang w:val="en-US" w:eastAsia="zh-CN"/>
        </w:rPr>
        <w:t>733.77</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6.96</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节能环保支出</w:t>
      </w:r>
      <w:r>
        <w:rPr>
          <w:rFonts w:hint="eastAsia" w:ascii="仿宋" w:hAnsi="仿宋" w:eastAsia="仿宋"/>
          <w:color w:val="000000" w:themeColor="text1"/>
          <w:sz w:val="32"/>
          <w:szCs w:val="32"/>
          <w:lang w:val="en-US" w:eastAsia="zh-CN"/>
        </w:rPr>
        <w:t>24.25</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0.23</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城乡社区支出</w:t>
      </w:r>
      <w:r>
        <w:rPr>
          <w:rFonts w:hint="eastAsia" w:ascii="仿宋" w:hAnsi="仿宋" w:eastAsia="仿宋"/>
          <w:color w:val="000000" w:themeColor="text1"/>
          <w:sz w:val="32"/>
          <w:szCs w:val="32"/>
          <w:lang w:val="en-US" w:eastAsia="zh-CN"/>
        </w:rPr>
        <w:t>919.07</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8.72</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农林水支出</w:t>
      </w:r>
      <w:r>
        <w:rPr>
          <w:rFonts w:hint="eastAsia" w:ascii="仿宋" w:hAnsi="仿宋" w:eastAsia="仿宋"/>
          <w:color w:val="000000" w:themeColor="text1"/>
          <w:sz w:val="32"/>
          <w:szCs w:val="32"/>
          <w:lang w:val="en-US" w:eastAsia="zh-CN"/>
        </w:rPr>
        <w:t>2312.24</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21.94</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交通运输支出</w:t>
      </w:r>
      <w:r>
        <w:rPr>
          <w:rFonts w:hint="eastAsia" w:ascii="仿宋" w:hAnsi="仿宋" w:eastAsia="仿宋"/>
          <w:color w:val="000000" w:themeColor="text1"/>
          <w:sz w:val="32"/>
          <w:szCs w:val="32"/>
          <w:lang w:val="en-US" w:eastAsia="zh-CN"/>
        </w:rPr>
        <w:t>6.7</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0.06</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商业服务业等支出</w:t>
      </w:r>
      <w:r>
        <w:rPr>
          <w:rFonts w:hint="eastAsia" w:ascii="仿宋" w:hAnsi="仿宋" w:eastAsia="仿宋"/>
          <w:color w:val="000000" w:themeColor="text1"/>
          <w:sz w:val="32"/>
          <w:szCs w:val="32"/>
          <w:lang w:val="en-US" w:eastAsia="zh-CN"/>
        </w:rPr>
        <w:t>15.46</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0.15</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住房保障</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422.04</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4</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（罗列全部功能分类科目，至类级。）</w:t>
      </w:r>
    </w:p>
    <w:p>
      <w:pPr>
        <w:spacing w:line="600" w:lineRule="exact"/>
        <w:ind w:firstLine="64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84864" behindDoc="0" locked="0" layoutInCell="1" allowOverlap="1">
            <wp:simplePos x="0" y="0"/>
            <wp:positionH relativeFrom="column">
              <wp:posOffset>-506730</wp:posOffset>
            </wp:positionH>
            <wp:positionV relativeFrom="paragraph">
              <wp:posOffset>126365</wp:posOffset>
            </wp:positionV>
            <wp:extent cx="6264910" cy="3977005"/>
            <wp:effectExtent l="4445" t="5080" r="17145" b="1841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3" w:firstLineChars="200"/>
        <w:outlineLvl w:val="2"/>
        <w:rPr>
          <w:rFonts w:ascii="仿宋" w:hAnsi="仿宋" w:eastAsia="仿宋"/>
          <w:b/>
          <w:color w:val="000000"/>
          <w:sz w:val="32"/>
          <w:szCs w:val="32"/>
        </w:rPr>
      </w:pPr>
      <w:bookmarkStart w:id="40" w:name="_Toc15377212"/>
      <w:r>
        <w:rPr>
          <w:rFonts w:hint="eastAsia" w:ascii="仿宋" w:hAnsi="仿宋" w:eastAsia="仿宋"/>
          <w:b/>
          <w:color w:val="000000"/>
          <w:sz w:val="32"/>
          <w:szCs w:val="32"/>
        </w:rPr>
        <w:t>（三）一般公共预算财政拨款支出决算具体情况</w:t>
      </w:r>
      <w:bookmarkEnd w:id="40"/>
    </w:p>
    <w:p>
      <w:pPr>
        <w:spacing w:line="600" w:lineRule="exact"/>
        <w:ind w:firstLine="643" w:firstLineChars="200"/>
        <w:outlineLvl w:val="2"/>
        <w:rPr>
          <w:rStyle w:val="14"/>
          <w:rFonts w:hint="eastAsia" w:ascii="仿宋" w:hAnsi="仿宋" w:eastAsia="仿宋"/>
          <w:bCs/>
          <w:color w:val="000000"/>
          <w:sz w:val="32"/>
          <w:szCs w:val="32"/>
        </w:rPr>
      </w:pPr>
      <w:bookmarkStart w:id="41" w:name="_Toc15377213"/>
      <w:bookmarkStart w:id="42" w:name="_Toc15378460"/>
      <w:bookmarkStart w:id="43" w:name="_Toc15377444"/>
      <w:r>
        <w:rPr>
          <w:rFonts w:hint="eastAsia" w:ascii="仿宋" w:hAnsi="仿宋" w:eastAsia="仿宋"/>
          <w:b/>
          <w:color w:val="000000" w:themeColor="text1"/>
          <w:sz w:val="32"/>
          <w:szCs w:val="32"/>
        </w:rPr>
        <w:t>2019年</w:t>
      </w:r>
      <w:r>
        <w:rPr>
          <w:rFonts w:hint="eastAsia" w:ascii="仿宋" w:hAnsi="仿宋" w:eastAsia="仿宋"/>
          <w:b/>
          <w:color w:val="000000" w:themeColor="text1"/>
          <w:sz w:val="32"/>
          <w:szCs w:val="32"/>
          <w:lang w:eastAsia="zh-CN"/>
        </w:rPr>
        <w:t>一</w:t>
      </w:r>
      <w:r>
        <w:rPr>
          <w:rFonts w:hint="eastAsia" w:ascii="仿宋" w:hAnsi="仿宋" w:eastAsia="仿宋"/>
          <w:b/>
          <w:color w:val="000000" w:themeColor="text1"/>
          <w:sz w:val="32"/>
          <w:szCs w:val="32"/>
        </w:rPr>
        <w:t>般公共预算支出决算数为10537.94万元</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41"/>
      <w:bookmarkEnd w:id="42"/>
      <w:bookmarkEnd w:id="43"/>
    </w:p>
    <w:tbl>
      <w:tblPr>
        <w:tblStyle w:val="12"/>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05"/>
        <w:gridCol w:w="4320"/>
        <w:gridCol w:w="4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05"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w:t>
            </w:r>
          </w:p>
        </w:tc>
        <w:tc>
          <w:tcPr>
            <w:tcW w:w="4320"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一般公共服务支出</w:t>
            </w:r>
          </w:p>
        </w:tc>
        <w:tc>
          <w:tcPr>
            <w:tcW w:w="4365" w:type="dxa"/>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20101</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人大事务</w:t>
            </w:r>
          </w:p>
        </w:tc>
        <w:tc>
          <w:tcPr>
            <w:tcW w:w="4365" w:type="dxa"/>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2010101</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行政运行</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支出决算为8.63万元完成预算100%。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20103</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政府办公厅（室）及相关机构事务</w:t>
            </w:r>
          </w:p>
        </w:tc>
        <w:tc>
          <w:tcPr>
            <w:tcW w:w="4365" w:type="dxa"/>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2010301</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行政运行</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支出决算为384.5万元完成预算100%。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2010302</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一般行政管理事务</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支出决算为48万元完成预算100%。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2010308</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信访事务</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支出决算为5万元完成预算100%。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20105</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统计信息事务</w:t>
            </w:r>
          </w:p>
        </w:tc>
        <w:tc>
          <w:tcPr>
            <w:tcW w:w="4365" w:type="dxa"/>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2010507</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专项普查活动</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支出决算为1万元完成预算100%。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20106</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财政事务</w:t>
            </w:r>
          </w:p>
        </w:tc>
        <w:tc>
          <w:tcPr>
            <w:tcW w:w="4365" w:type="dxa"/>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2010601</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行政运行</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支出决算为38.91万元完成预算100%。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2010650</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事业运行</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支出决算为10.04万元完成预算100%。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20111</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纪检监察事务</w:t>
            </w:r>
          </w:p>
        </w:tc>
        <w:tc>
          <w:tcPr>
            <w:tcW w:w="4365" w:type="dxa"/>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2011101</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行政运行</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支出决算为16.75万元完成预算100%。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2011105</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派驻派出机构</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支出决算为29.52万元完成预算100%。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20131</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党委办公厅（室）及相关机构事务</w:t>
            </w:r>
          </w:p>
        </w:tc>
        <w:tc>
          <w:tcPr>
            <w:tcW w:w="4365" w:type="dxa"/>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2013101</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行政运行</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支出决算为23.28万元完成预算100%。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205</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教育支出</w:t>
            </w:r>
          </w:p>
        </w:tc>
        <w:tc>
          <w:tcPr>
            <w:tcW w:w="4365" w:type="dxa"/>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20502</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普通教育</w:t>
            </w:r>
          </w:p>
        </w:tc>
        <w:tc>
          <w:tcPr>
            <w:tcW w:w="4365" w:type="dxa"/>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2050201</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学前教育</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支出决算为31.9万元完成预算100%。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2050202</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小学教育</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支出决算为2128.41万元完成预算100%。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2050203</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初中教育</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支出决算为28.33万元完成预算100%。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2050204</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高中教育</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支出决算为2452.84万元完成预算100%。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2050299</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其他普通教育支出</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支出决算为234.37万元完成预算100%。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20503</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职业教育</w:t>
            </w:r>
          </w:p>
        </w:tc>
        <w:tc>
          <w:tcPr>
            <w:tcW w:w="4365" w:type="dxa"/>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2050399</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其他职业教育支出</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支出决算为3.9万元完成预算100%。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207</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文化旅游体育与传媒支出</w:t>
            </w:r>
          </w:p>
        </w:tc>
        <w:tc>
          <w:tcPr>
            <w:tcW w:w="4365" w:type="dxa"/>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20701</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文化和旅游</w:t>
            </w:r>
          </w:p>
        </w:tc>
        <w:tc>
          <w:tcPr>
            <w:tcW w:w="4365" w:type="dxa"/>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2070109</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群众文化</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支出决算为14.17万元完成预算100%。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2070199</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其他文化和旅游支出</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支出决算为3万元完成预算100%。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20799</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其他文化体育与传媒支出</w:t>
            </w:r>
          </w:p>
        </w:tc>
        <w:tc>
          <w:tcPr>
            <w:tcW w:w="4365" w:type="dxa"/>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2079999</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其他文化体育与传媒支出</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支出决算为9万元完成预算100%。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208</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社会保障和就业支出</w:t>
            </w:r>
          </w:p>
        </w:tc>
        <w:tc>
          <w:tcPr>
            <w:tcW w:w="4365" w:type="dxa"/>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20801</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人力资源和社会保障管理事务</w:t>
            </w:r>
          </w:p>
        </w:tc>
        <w:tc>
          <w:tcPr>
            <w:tcW w:w="4365" w:type="dxa"/>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2080109</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社会保险经办机构</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支出决算为23.47万元完成预算100%。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20805</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行政事业单位离退休</w:t>
            </w:r>
          </w:p>
        </w:tc>
        <w:tc>
          <w:tcPr>
            <w:tcW w:w="4365" w:type="dxa"/>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2080505</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机关事业单位基本养老保险缴费支出</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支出决算为609.39万元完成预算100%。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210</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卫生健康支出</w:t>
            </w:r>
          </w:p>
        </w:tc>
        <w:tc>
          <w:tcPr>
            <w:tcW w:w="4365" w:type="dxa"/>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21003</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基层医疗卫生机构</w:t>
            </w:r>
          </w:p>
        </w:tc>
        <w:tc>
          <w:tcPr>
            <w:tcW w:w="4365" w:type="dxa"/>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2100302</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乡镇卫生院</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支出决算为284.11万元完成预算100%。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2100399</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其他基层医疗卫生机构支出</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支出决算为84.4万元完成预算100%。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21004</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公共卫生</w:t>
            </w:r>
          </w:p>
        </w:tc>
        <w:tc>
          <w:tcPr>
            <w:tcW w:w="4365" w:type="dxa"/>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2100408</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基本公共卫生服务</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支出决算为160.23万元完成预算100%。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21007</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计划生育事务</w:t>
            </w:r>
          </w:p>
        </w:tc>
        <w:tc>
          <w:tcPr>
            <w:tcW w:w="4365" w:type="dxa"/>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2100716</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计划生育机构</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支出决算为5.54万元完成预算100%。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2100717</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计划生育服务</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支出决算为19.63万元完成预算100%。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21011</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行政事业单位医疗</w:t>
            </w:r>
          </w:p>
        </w:tc>
        <w:tc>
          <w:tcPr>
            <w:tcW w:w="4365" w:type="dxa"/>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2101101</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行政单位医疗</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支出决算为27.49万元完成预算100%。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2101102</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事业单位医疗</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支出决算为33.87万元完成预算100%。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2101103</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公务员医疗补助</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支出决算为5.42万元完成预算100%。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211</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节能环保支出</w:t>
            </w:r>
          </w:p>
        </w:tc>
        <w:tc>
          <w:tcPr>
            <w:tcW w:w="4365" w:type="dxa"/>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21104</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自然生态保护</w:t>
            </w:r>
          </w:p>
        </w:tc>
        <w:tc>
          <w:tcPr>
            <w:tcW w:w="4365" w:type="dxa"/>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2110402</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农村环境保护</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支出决算为23万元完成预算100%。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21106</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退耕还林</w:t>
            </w:r>
          </w:p>
        </w:tc>
        <w:tc>
          <w:tcPr>
            <w:tcW w:w="4365" w:type="dxa"/>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2110602</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退耕现金</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支出决算为1.25万元完成预算100%。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212</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城乡社区支出</w:t>
            </w:r>
          </w:p>
        </w:tc>
        <w:tc>
          <w:tcPr>
            <w:tcW w:w="4365" w:type="dxa"/>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21202</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城乡社区规划与管理</w:t>
            </w:r>
          </w:p>
        </w:tc>
        <w:tc>
          <w:tcPr>
            <w:tcW w:w="4365" w:type="dxa"/>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2120201</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城乡社区规划与管理</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支出决算为13.82万元完成预算100%。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21205</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城乡社区环境卫生</w:t>
            </w:r>
          </w:p>
        </w:tc>
        <w:tc>
          <w:tcPr>
            <w:tcW w:w="4365" w:type="dxa"/>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2120501</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城乡社区环境卫生</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支出决算为35万元完成预算100%。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21299</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其他城乡社区支出</w:t>
            </w:r>
          </w:p>
        </w:tc>
        <w:tc>
          <w:tcPr>
            <w:tcW w:w="4365" w:type="dxa"/>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2129901</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其他城乡社区支出</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支出决算为820.25万元完成预算100%。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213</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农林水支出</w:t>
            </w:r>
          </w:p>
        </w:tc>
        <w:tc>
          <w:tcPr>
            <w:tcW w:w="4365" w:type="dxa"/>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21301</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农业</w:t>
            </w:r>
          </w:p>
        </w:tc>
        <w:tc>
          <w:tcPr>
            <w:tcW w:w="4365" w:type="dxa"/>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2130104</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事业运行</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支出决算为170.67万元完成预算100%。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2130122</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农业生产支持补贴</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支出决算为432.11万元完成预算100%。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21302</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林业和草原</w:t>
            </w:r>
          </w:p>
        </w:tc>
        <w:tc>
          <w:tcPr>
            <w:tcW w:w="4365" w:type="dxa"/>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2130204</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事业机构</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支出决算为33.39万元完成预算100%。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2130207</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森林资源管理</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支出决算为0.51万元完成预算100%。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2130209</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森林生态效益补偿</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支出决算为21.95万元完成预算100%。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21303</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水利</w:t>
            </w:r>
          </w:p>
        </w:tc>
        <w:tc>
          <w:tcPr>
            <w:tcW w:w="4365" w:type="dxa"/>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2130317</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水利技术推广</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支出决算为37.1万元完成预算100%。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21305</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扶贫</w:t>
            </w:r>
          </w:p>
        </w:tc>
        <w:tc>
          <w:tcPr>
            <w:tcW w:w="4365" w:type="dxa"/>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2130504</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农村基础设施建设</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支出决算为803.8万元完成预算100%。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2130505</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生产发展</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支出决算为295.64万元完成预算100%。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2130507</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扶贫贷款奖补和贴息</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支出决算为30.1万元完成预算100%。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2130599</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其他扶贫支出</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支出决算为92.02万元完成预算100%。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21307</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农村综合改革</w:t>
            </w:r>
          </w:p>
        </w:tc>
        <w:tc>
          <w:tcPr>
            <w:tcW w:w="4365" w:type="dxa"/>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2130705</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对村民委员会和村党支部的补助</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支出决算为390.54万元完成预算100%。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2130706</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对村集体经济组织的补助</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支出决算为80万元完成预算100%。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214</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交通运输支出</w:t>
            </w:r>
          </w:p>
        </w:tc>
        <w:tc>
          <w:tcPr>
            <w:tcW w:w="4365" w:type="dxa"/>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21401</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公路水路运输</w:t>
            </w:r>
          </w:p>
        </w:tc>
        <w:tc>
          <w:tcPr>
            <w:tcW w:w="4365" w:type="dxa"/>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2140112</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公路运输管理</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支出决算为6.7万元完成预算100%。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216</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商业服务业等支出</w:t>
            </w:r>
          </w:p>
        </w:tc>
        <w:tc>
          <w:tcPr>
            <w:tcW w:w="4365" w:type="dxa"/>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21602</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商业流通事务</w:t>
            </w:r>
          </w:p>
        </w:tc>
        <w:tc>
          <w:tcPr>
            <w:tcW w:w="4365" w:type="dxa"/>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2160299</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其他商业流通事务支出</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支出决算为15.46万元完成预算100%。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221</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住房保障支出</w:t>
            </w:r>
          </w:p>
        </w:tc>
        <w:tc>
          <w:tcPr>
            <w:tcW w:w="4365" w:type="dxa"/>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22102</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住房改革支出</w:t>
            </w:r>
          </w:p>
        </w:tc>
        <w:tc>
          <w:tcPr>
            <w:tcW w:w="4365" w:type="dxa"/>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2210201</w:t>
            </w:r>
          </w:p>
        </w:tc>
        <w:tc>
          <w:tcPr>
            <w:tcW w:w="0" w:type="auto"/>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住房公积金</w:t>
            </w:r>
          </w:p>
        </w:tc>
        <w:tc>
          <w:tcPr>
            <w:tcW w:w="436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支出决算为422.04万元完成预算100%。</w:t>
            </w:r>
          </w:p>
        </w:tc>
      </w:tr>
    </w:tbl>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5"/>
        </w:rPr>
      </w:pPr>
      <w:bookmarkStart w:id="44" w:name="_Toc15396608"/>
      <w:bookmarkStart w:id="45"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4"/>
      <w:bookmarkEnd w:id="45"/>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6749.73</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6095.73</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654</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6" w:name="_Toc15396609"/>
      <w:bookmarkStart w:id="47"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6"/>
      <w:bookmarkEnd w:id="47"/>
    </w:p>
    <w:p>
      <w:pPr>
        <w:spacing w:line="600" w:lineRule="exact"/>
        <w:ind w:firstLine="640"/>
        <w:outlineLvl w:val="2"/>
        <w:rPr>
          <w:rFonts w:ascii="仿宋" w:hAnsi="仿宋" w:eastAsia="仿宋"/>
          <w:b/>
          <w:color w:val="000000"/>
          <w:sz w:val="32"/>
          <w:szCs w:val="32"/>
        </w:rPr>
      </w:pPr>
      <w:bookmarkStart w:id="48" w:name="_Toc15377216"/>
      <w:r>
        <w:rPr>
          <w:rFonts w:hint="eastAsia" w:ascii="仿宋" w:hAnsi="仿宋" w:eastAsia="仿宋"/>
          <w:b/>
          <w:color w:val="000000"/>
          <w:sz w:val="32"/>
          <w:szCs w:val="32"/>
        </w:rPr>
        <w:t>（一）“三公”经费财政拨款支出决算总体情况说明</w:t>
      </w:r>
      <w:bookmarkEnd w:id="48"/>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13.07</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9" w:name="_Toc15377217"/>
      <w:r>
        <w:rPr>
          <w:rFonts w:hint="eastAsia" w:ascii="仿宋" w:hAnsi="仿宋" w:eastAsia="仿宋"/>
          <w:b/>
          <w:color w:val="000000"/>
          <w:sz w:val="32"/>
          <w:szCs w:val="32"/>
        </w:rPr>
        <w:t>（二）“三公”经费财政拨款支出决算具体情况说明</w:t>
      </w:r>
      <w:bookmarkEnd w:id="49"/>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13.07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spacing w:line="600" w:lineRule="exact"/>
        <w:ind w:firstLine="640"/>
        <w:rPr>
          <w:rFonts w:hint="eastAsia" w:ascii="仿宋_GB2312" w:eastAsia="仿宋_GB2312"/>
          <w:b/>
          <w:color w:val="000000"/>
          <w:sz w:val="32"/>
          <w:szCs w:val="32"/>
          <w:lang w:eastAsia="zh-CN"/>
        </w:rPr>
      </w:pPr>
      <w:r>
        <w:rPr>
          <w:rFonts w:hint="eastAsia" w:ascii="仿宋" w:hAnsi="仿宋" w:eastAsia="仿宋"/>
          <w:color w:val="000000"/>
          <w:sz w:val="32"/>
          <w:szCs w:val="32"/>
          <w:lang w:eastAsia="zh-CN"/>
        </w:rPr>
        <w:drawing>
          <wp:anchor distT="0" distB="0" distL="114300" distR="114300" simplePos="0" relativeHeight="251693056" behindDoc="0" locked="0" layoutInCell="1" allowOverlap="1">
            <wp:simplePos x="0" y="0"/>
            <wp:positionH relativeFrom="column">
              <wp:posOffset>154305</wp:posOffset>
            </wp:positionH>
            <wp:positionV relativeFrom="paragraph">
              <wp:posOffset>240030</wp:posOffset>
            </wp:positionV>
            <wp:extent cx="4823460" cy="2073275"/>
            <wp:effectExtent l="5080" t="4445" r="10160" b="17780"/>
            <wp:wrapTopAndBottom/>
            <wp:docPr id="8" name="图表 8" title="（图8：“三公”经费财政拨款支出结构）（饼状图）"/>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w:t>
      </w:r>
      <w:r>
        <w:rPr>
          <w:rFonts w:hint="eastAsia" w:ascii="仿宋_GB2312" w:eastAsia="仿宋_GB2312"/>
          <w:color w:val="000000"/>
          <w:sz w:val="32"/>
          <w:szCs w:val="32"/>
          <w:lang w:eastAsia="zh-CN"/>
        </w:rPr>
        <w:t>与</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持平。</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w:t>
      </w:r>
      <w:r>
        <w:rPr>
          <w:rFonts w:hint="eastAsia" w:ascii="仿宋_GB2312" w:eastAsia="仿宋_GB2312"/>
          <w:color w:val="000000"/>
          <w:sz w:val="32"/>
          <w:szCs w:val="32"/>
          <w:lang w:eastAsia="zh-CN"/>
        </w:rPr>
        <w:t>与</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持平。</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13.07</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0.38</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2.83</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接待减少</w:t>
      </w:r>
      <w:r>
        <w:rPr>
          <w:rFonts w:hint="eastAsia" w:ascii="仿宋_GB2312" w:eastAsia="仿宋_GB2312"/>
          <w:color w:val="000000"/>
          <w:sz w:val="32"/>
          <w:szCs w:val="32"/>
        </w:rPr>
        <w:t>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13.07</w:t>
      </w:r>
      <w:r>
        <w:rPr>
          <w:rFonts w:hint="eastAsia" w:ascii="仿宋_GB2312" w:eastAsia="仿宋_GB2312"/>
          <w:color w:val="000000"/>
          <w:sz w:val="32"/>
          <w:szCs w:val="32"/>
        </w:rPr>
        <w:t>万元，主要用于执行公务、开展业务活动开支的交通费、住宿费、用餐费等。国内公务接待</w:t>
      </w:r>
      <w:r>
        <w:rPr>
          <w:rFonts w:hint="eastAsia" w:ascii="仿宋_GB2312" w:eastAsia="仿宋_GB2312"/>
          <w:color w:val="000000"/>
          <w:sz w:val="32"/>
          <w:szCs w:val="32"/>
          <w:lang w:val="en-US" w:eastAsia="zh-CN"/>
        </w:rPr>
        <w:t>237</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1835</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13.07</w:t>
      </w:r>
      <w:r>
        <w:rPr>
          <w:rFonts w:hint="eastAsia" w:ascii="仿宋_GB2312" w:eastAsia="仿宋_GB2312"/>
          <w:color w:val="000000"/>
          <w:sz w:val="32"/>
          <w:szCs w:val="32"/>
        </w:rPr>
        <w:t>万元，具体内容包括接待省、市、县级各部门检查、审计、指导工作。</w:t>
      </w:r>
    </w:p>
    <w:p>
      <w:pPr>
        <w:spacing w:line="600" w:lineRule="exact"/>
        <w:ind w:firstLine="643" w:firstLineChars="200"/>
        <w:rPr>
          <w:rFonts w:hint="eastAsia" w:ascii="仿宋_GB2312" w:eastAsia="仿宋_GB2312"/>
          <w:color w:val="000000" w:themeColor="text1"/>
          <w:sz w:val="32"/>
          <w:szCs w:val="32"/>
          <w:lang w:val="en-US" w:eastAsia="zh-CN"/>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批次，</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人，共计支出</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万元</w:t>
      </w:r>
      <w:r>
        <w:rPr>
          <w:rFonts w:hint="eastAsia" w:ascii="仿宋_GB2312" w:eastAsia="仿宋_GB2312"/>
          <w:color w:val="000000" w:themeColor="text1"/>
          <w:sz w:val="32"/>
          <w:szCs w:val="32"/>
          <w:lang w:val="en-US" w:eastAsia="zh-CN"/>
        </w:rPr>
        <w:t>。</w:t>
      </w:r>
    </w:p>
    <w:p>
      <w:pPr>
        <w:spacing w:line="600" w:lineRule="exact"/>
        <w:ind w:firstLine="640"/>
        <w:outlineLvl w:val="1"/>
        <w:rPr>
          <w:rFonts w:ascii="黑体" w:eastAsia="黑体"/>
          <w:color w:val="000000"/>
          <w:sz w:val="32"/>
          <w:szCs w:val="32"/>
        </w:rPr>
      </w:pPr>
      <w:bookmarkStart w:id="50" w:name="_Toc15377218"/>
      <w:bookmarkStart w:id="51" w:name="_Toc15396610"/>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50"/>
      <w:bookmarkEnd w:id="51"/>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35</w:t>
      </w:r>
      <w:r>
        <w:rPr>
          <w:rFonts w:hint="eastAsia" w:ascii="仿宋_GB2312" w:eastAsia="仿宋_GB2312"/>
          <w:color w:val="000000"/>
          <w:sz w:val="32"/>
          <w:szCs w:val="32"/>
        </w:rPr>
        <w:t>万元。</w:t>
      </w:r>
    </w:p>
    <w:p>
      <w:pPr>
        <w:numPr>
          <w:ilvl w:val="0"/>
          <w:numId w:val="3"/>
        </w:numPr>
        <w:spacing w:line="600" w:lineRule="exact"/>
        <w:ind w:firstLine="640"/>
        <w:outlineLvl w:val="1"/>
        <w:rPr>
          <w:rStyle w:val="25"/>
          <w:rFonts w:ascii="黑体" w:hAnsi="黑体" w:eastAsia="黑体"/>
          <w:b w:val="0"/>
        </w:rPr>
      </w:pPr>
      <w:bookmarkStart w:id="52" w:name="_Toc15396611"/>
      <w:bookmarkStart w:id="53" w:name="_Toc15377219"/>
      <w:r>
        <w:rPr>
          <w:rStyle w:val="25"/>
          <w:rFonts w:hint="eastAsia" w:ascii="黑体" w:hAnsi="黑体" w:eastAsia="黑体"/>
          <w:b w:val="0"/>
        </w:rPr>
        <w:t>国有资本经营预算支出决算情况说明</w:t>
      </w:r>
      <w:bookmarkEnd w:id="52"/>
      <w:bookmarkEnd w:id="53"/>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800" w:firstLineChars="250"/>
        <w:outlineLvl w:val="1"/>
        <w:rPr>
          <w:rStyle w:val="25"/>
          <w:rFonts w:ascii="黑体" w:hAnsi="黑体" w:eastAsia="黑体"/>
        </w:rPr>
      </w:pPr>
      <w:bookmarkStart w:id="54" w:name="_Toc15377221"/>
      <w:bookmarkStart w:id="55" w:name="_Toc15396612"/>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4"/>
      <w:bookmarkEnd w:id="55"/>
    </w:p>
    <w:p>
      <w:pPr>
        <w:spacing w:line="600" w:lineRule="exact"/>
        <w:ind w:firstLine="643" w:firstLineChars="200"/>
        <w:outlineLvl w:val="2"/>
        <w:rPr>
          <w:rFonts w:ascii="仿宋" w:hAnsi="仿宋" w:eastAsia="仿宋"/>
          <w:color w:val="000000"/>
          <w:sz w:val="32"/>
          <w:szCs w:val="32"/>
        </w:rPr>
      </w:pPr>
      <w:bookmarkStart w:id="56" w:name="_Toc15377222"/>
      <w:r>
        <w:rPr>
          <w:rFonts w:hint="eastAsia" w:ascii="仿宋" w:hAnsi="仿宋" w:eastAsia="仿宋"/>
          <w:b/>
          <w:color w:val="000000"/>
          <w:sz w:val="32"/>
          <w:szCs w:val="32"/>
        </w:rPr>
        <w:t>（一）机关运行经费支出情况</w:t>
      </w:r>
      <w:bookmarkEnd w:id="56"/>
    </w:p>
    <w:p>
      <w:pPr>
        <w:spacing w:line="600" w:lineRule="exact"/>
        <w:ind w:firstLine="640" w:firstLineChars="200"/>
        <w:rPr>
          <w:rFonts w:ascii="仿宋" w:hAnsi="仿宋" w:eastAsia="仿宋"/>
          <w:b/>
          <w:color w:val="FF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铁佛镇</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654</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79.64</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13.87</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主要原因是</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7" w:name="_Toc15377223"/>
      <w:r>
        <w:rPr>
          <w:rFonts w:hint="eastAsia" w:ascii="仿宋" w:hAnsi="仿宋" w:eastAsia="仿宋"/>
          <w:b/>
          <w:color w:val="000000"/>
          <w:sz w:val="32"/>
          <w:szCs w:val="32"/>
        </w:rPr>
        <w:t>（二）政府采购支出情况</w:t>
      </w:r>
      <w:bookmarkEnd w:id="57"/>
    </w:p>
    <w:p>
      <w:pPr>
        <w:spacing w:line="600" w:lineRule="exact"/>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2019年，</w:t>
      </w:r>
      <w:r>
        <w:rPr>
          <w:rFonts w:hint="eastAsia" w:ascii="仿宋_GB2312" w:eastAsia="仿宋_GB2312"/>
          <w:color w:val="000000" w:themeColor="text1"/>
          <w:sz w:val="32"/>
          <w:szCs w:val="32"/>
          <w:lang w:val="en-US" w:eastAsia="zh-CN"/>
        </w:rPr>
        <w:t>铁佛镇</w:t>
      </w:r>
      <w:r>
        <w:rPr>
          <w:rFonts w:hint="eastAsia" w:ascii="仿宋_GB2312" w:eastAsia="仿宋_GB2312"/>
          <w:color w:val="000000" w:themeColor="text1"/>
          <w:sz w:val="32"/>
          <w:szCs w:val="32"/>
        </w:rPr>
        <w:t>政府采购支出总额</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万元，其中：政府采购货物支出</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万元、政府采购工程支出</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万元、政府采购服务支出</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万元。授予中小企业合同金额</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万元，占政府采购支出总额的</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%，其中：授予小微企业合同金额</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万元，占政府采购支出总额的</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8" w:name="_Toc15377224"/>
      <w:r>
        <w:rPr>
          <w:rFonts w:hint="eastAsia" w:ascii="仿宋" w:hAnsi="仿宋" w:eastAsia="仿宋"/>
          <w:b/>
          <w:color w:val="000000"/>
          <w:sz w:val="32"/>
          <w:szCs w:val="32"/>
        </w:rPr>
        <w:t>（三）国有资产占有使用情况</w:t>
      </w:r>
      <w:bookmarkEnd w:id="58"/>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铁佛镇</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highlight w:val="none"/>
        </w:rPr>
      </w:pPr>
      <w:r>
        <w:rPr>
          <w:rFonts w:hint="eastAsia" w:ascii="仿宋" w:hAnsi="仿宋" w:eastAsia="仿宋"/>
          <w:b/>
          <w:color w:val="000000"/>
          <w:sz w:val="32"/>
          <w:szCs w:val="32"/>
          <w:highlight w:val="none"/>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根据预算绩效管理要求，本单位在年初预算编制阶段，组织对脱贫攻坚项目</w:t>
      </w:r>
      <w:r>
        <w:rPr>
          <w:rFonts w:hint="eastAsia" w:ascii="仿宋_GB2312" w:hAnsi="仿宋_GB2312" w:eastAsia="仿宋_GB2312" w:cs="仿宋_GB2312"/>
          <w:sz w:val="32"/>
          <w:szCs w:val="32"/>
          <w:lang w:eastAsia="zh-CN"/>
        </w:rPr>
        <w:t>、脱贫摘帽贫困村道路补短板</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耕地保护保护补贴</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开展了预算事前绩效评估，对32个项目编制了绩效目标，预算执行过程中，选取</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本部门按要求对2019年部门整体支出开展绩效自评，从评价情况来看完成进度较好</w:t>
      </w:r>
      <w:r>
        <w:rPr>
          <w:rFonts w:hint="eastAsia" w:ascii="仿宋_GB2312" w:hAnsi="仿宋_GB2312" w:eastAsia="仿宋_GB2312" w:cs="仿宋_GB2312"/>
          <w:sz w:val="32"/>
          <w:szCs w:val="32"/>
          <w:lang w:eastAsia="zh-CN"/>
        </w:rPr>
        <w:t>。</w:t>
      </w:r>
    </w:p>
    <w:p>
      <w:pPr>
        <w:numPr>
          <w:ilvl w:val="0"/>
          <w:numId w:val="4"/>
        </w:numPr>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val="en-US" w:eastAsia="zh-CN"/>
        </w:rPr>
        <w:t>雨露计划</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2019年完善退耕还林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耕地地力保护补贴项目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2019年森林生态效益补偿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2019年建档立卡贫困人口产业扶持增量奖补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资金</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个项目绩效目标实际完成情况。</w:t>
      </w:r>
    </w:p>
    <w:p>
      <w:pPr>
        <w:numPr>
          <w:ilvl w:val="0"/>
          <w:numId w:val="0"/>
        </w:num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雨露计划</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34.65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34.65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实施，</w:t>
      </w:r>
      <w:r>
        <w:rPr>
          <w:rFonts w:hint="eastAsia" w:ascii="仿宋_GB2312" w:hAnsi="仿宋_GB2312" w:eastAsia="仿宋_GB2312" w:cs="仿宋_GB2312"/>
          <w:sz w:val="32"/>
          <w:szCs w:val="32"/>
          <w:lang w:eastAsia="zh-CN"/>
        </w:rPr>
        <w:t>进一步扎实了我镇教育扶贫。</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2019年完善退耕还林</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1.25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1.25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促进了我镇</w:t>
      </w:r>
      <w:r>
        <w:rPr>
          <w:rFonts w:hint="eastAsia" w:ascii="仿宋_GB2312" w:hAnsi="仿宋_GB2312" w:eastAsia="仿宋_GB2312" w:cs="仿宋_GB2312"/>
          <w:sz w:val="32"/>
          <w:szCs w:val="32"/>
          <w:lang w:val="en-US" w:eastAsia="zh-CN"/>
        </w:rPr>
        <w:t>完善退耕还林政策</w:t>
      </w:r>
      <w:r>
        <w:rPr>
          <w:rFonts w:hint="eastAsia" w:ascii="仿宋_GB2312" w:hAnsi="仿宋_GB2312" w:eastAsia="仿宋_GB2312" w:cs="仿宋_GB2312"/>
          <w:sz w:val="32"/>
          <w:szCs w:val="32"/>
          <w:lang w:eastAsia="zh-CN"/>
        </w:rPr>
        <w:t>。</w:t>
      </w:r>
    </w:p>
    <w:p>
      <w:pPr>
        <w:numPr>
          <w:ilvl w:val="0"/>
          <w:numId w:val="5"/>
        </w:num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耕地地力保护补贴</w:t>
      </w:r>
      <w:r>
        <w:rPr>
          <w:rFonts w:hint="eastAsia" w:ascii="仿宋_GB2312" w:hAnsi="仿宋_GB2312" w:eastAsia="仿宋_GB2312" w:cs="仿宋_GB2312"/>
          <w:sz w:val="32"/>
          <w:szCs w:val="32"/>
        </w:rPr>
        <w:t>项目绩效目标完成情况综述。项目全年预算数432.111202万元，执行数为432.111202万元，完成预算的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val="en-US" w:eastAsia="zh-CN"/>
        </w:rPr>
        <w:t>树立示范样板带动农户实现增收，提高了农民种粮积极性和农业劳动生产率，逐步改变了习惯掠夺性生产方式，降低了粮农种粮生产成本，促进了粮食增产、农业增效和农民增收，确保了粮食安全有利于农村经济可持续发展</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val="en-US" w:eastAsia="zh-CN"/>
        </w:rPr>
        <w:t>：农作物秸秆有效利用率未达到90%以上。</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强化宣传，提高农户认识。</w:t>
      </w:r>
    </w:p>
    <w:p>
      <w:pPr>
        <w:numPr>
          <w:ilvl w:val="0"/>
          <w:numId w:val="5"/>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2019年森林生态效益补偿</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21.947115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21.947115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实施，</w:t>
      </w:r>
      <w:r>
        <w:rPr>
          <w:rFonts w:hint="eastAsia" w:ascii="仿宋_GB2312" w:hAnsi="仿宋_GB2312" w:eastAsia="仿宋_GB2312" w:cs="仿宋_GB2312"/>
          <w:sz w:val="32"/>
          <w:szCs w:val="32"/>
          <w:lang w:eastAsia="zh-CN"/>
        </w:rPr>
        <w:t>我镇实现了生态保护与农民增收的双提升。</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val="en-US" w:eastAsia="zh-CN"/>
        </w:rPr>
        <w:t>：农户增收未达到较高水平。</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强化宣传，优化林木种类，提高</w:t>
      </w:r>
      <w:r>
        <w:rPr>
          <w:rFonts w:hint="eastAsia" w:ascii="仿宋_GB2312" w:hAnsi="仿宋_GB2312" w:eastAsia="仿宋_GB2312" w:cs="仿宋_GB2312"/>
          <w:sz w:val="32"/>
          <w:szCs w:val="32"/>
          <w:lang w:val="en-US" w:eastAsia="zh-CN"/>
        </w:rPr>
        <w:t>农户经济收入。</w:t>
      </w:r>
    </w:p>
    <w:p>
      <w:pPr>
        <w:numPr>
          <w:ilvl w:val="0"/>
          <w:numId w:val="5"/>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2019年建档立卡贫困人口产业扶持“增量奖补”</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285.30万元</w:t>
      </w:r>
      <w:r>
        <w:rPr>
          <w:rFonts w:hint="eastAsia" w:ascii="仿宋_GB2312" w:hAnsi="仿宋_GB2312" w:eastAsia="仿宋_GB2312" w:cs="仿宋_GB2312"/>
          <w:sz w:val="32"/>
          <w:szCs w:val="32"/>
        </w:rPr>
        <w:t>，执行数为</w:t>
      </w:r>
      <w:r>
        <w:rPr>
          <w:rFonts w:hint="eastAsia" w:ascii="仿宋_GB2312" w:hAnsi="仿宋_GB2312" w:eastAsia="仿宋_GB2312" w:cs="仿宋_GB2312"/>
          <w:sz w:val="32"/>
          <w:szCs w:val="32"/>
          <w:lang w:val="en-US" w:eastAsia="zh-CN"/>
        </w:rPr>
        <w:t>285.30万元</w:t>
      </w:r>
      <w:r>
        <w:rPr>
          <w:rFonts w:hint="eastAsia" w:ascii="仿宋_GB2312" w:hAnsi="仿宋_GB2312" w:eastAsia="仿宋_GB2312" w:cs="仿宋_GB2312"/>
          <w:sz w:val="32"/>
          <w:szCs w:val="32"/>
        </w:rPr>
        <w:t>，完成预算</w:t>
      </w:r>
      <w:r>
        <w:rPr>
          <w:rFonts w:hint="eastAsia" w:ascii="仿宋_GB2312" w:hAnsi="仿宋_GB2312" w:eastAsia="仿宋_GB2312" w:cs="仿宋_GB2312"/>
          <w:sz w:val="32"/>
          <w:szCs w:val="32"/>
          <w:lang w:val="en-US" w:eastAsia="zh-CN"/>
        </w:rPr>
        <w:t>的100%。通过项目的实施，提高了贫困人员经济收入，保证脱贫攻坚任务园满完成，推进了新农村建设，为建设美丽乡村增添了光彩。</w:t>
      </w:r>
    </w:p>
    <w:tbl>
      <w:tblPr>
        <w:tblStyle w:val="12"/>
        <w:tblpPr w:leftFromText="180" w:rightFromText="180" w:vertAnchor="text" w:horzAnchor="page" w:tblpX="1844" w:tblpY="-274"/>
        <w:tblOverlap w:val="never"/>
        <w:tblW w:w="8260" w:type="dxa"/>
        <w:tblInd w:w="0" w:type="dxa"/>
        <w:shd w:val="clear" w:color="auto" w:fill="auto"/>
        <w:tblLayout w:type="autofit"/>
        <w:tblCellMar>
          <w:top w:w="0" w:type="dxa"/>
          <w:left w:w="0" w:type="dxa"/>
          <w:bottom w:w="0" w:type="dxa"/>
          <w:right w:w="0" w:type="dxa"/>
        </w:tblCellMar>
      </w:tblPr>
      <w:tblGrid>
        <w:gridCol w:w="431"/>
        <w:gridCol w:w="594"/>
        <w:gridCol w:w="811"/>
        <w:gridCol w:w="1954"/>
        <w:gridCol w:w="479"/>
        <w:gridCol w:w="471"/>
        <w:gridCol w:w="1016"/>
        <w:gridCol w:w="738"/>
        <w:gridCol w:w="536"/>
        <w:gridCol w:w="712"/>
        <w:gridCol w:w="518"/>
      </w:tblGrid>
      <w:tr>
        <w:tblPrEx>
          <w:shd w:val="clear" w:color="auto" w:fill="auto"/>
          <w:tblCellMar>
            <w:top w:w="0" w:type="dxa"/>
            <w:left w:w="0" w:type="dxa"/>
            <w:bottom w:w="0" w:type="dxa"/>
            <w:right w:w="0" w:type="dxa"/>
          </w:tblCellMar>
        </w:tblPrEx>
        <w:trPr>
          <w:trHeight w:val="178" w:hRule="atLeast"/>
        </w:trPr>
        <w:tc>
          <w:tcPr>
            <w:tcW w:w="8260"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绩效目标自评表</w:t>
            </w:r>
            <w:r>
              <w:rPr>
                <w:rStyle w:val="30"/>
                <w:lang w:val="en-US" w:eastAsia="zh-CN" w:bidi="ar"/>
              </w:rPr>
              <w:t xml:space="preserve"> </w:t>
            </w:r>
          </w:p>
        </w:tc>
      </w:tr>
      <w:tr>
        <w:tblPrEx>
          <w:tblCellMar>
            <w:top w:w="0" w:type="dxa"/>
            <w:left w:w="0" w:type="dxa"/>
            <w:bottom w:w="0" w:type="dxa"/>
            <w:right w:w="0" w:type="dxa"/>
          </w:tblCellMar>
        </w:tblPrEx>
        <w:trPr>
          <w:trHeight w:val="91" w:hRule="atLeast"/>
        </w:trPr>
        <w:tc>
          <w:tcPr>
            <w:tcW w:w="8260" w:type="dxa"/>
            <w:gridSpan w:val="11"/>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（2019年度）</w:t>
            </w:r>
          </w:p>
        </w:tc>
      </w:tr>
      <w:tr>
        <w:tblPrEx>
          <w:tblCellMar>
            <w:top w:w="0" w:type="dxa"/>
            <w:left w:w="0" w:type="dxa"/>
            <w:bottom w:w="0" w:type="dxa"/>
            <w:right w:w="0" w:type="dxa"/>
          </w:tblCellMar>
        </w:tblPrEx>
        <w:trPr>
          <w:trHeight w:val="181" w:hRule="atLeast"/>
        </w:trPr>
        <w:tc>
          <w:tcPr>
            <w:tcW w:w="18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9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雨露计划</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250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13219311165</w:t>
            </w:r>
          </w:p>
        </w:tc>
      </w:tr>
      <w:tr>
        <w:tblPrEx>
          <w:tblCellMar>
            <w:top w:w="0" w:type="dxa"/>
            <w:left w:w="0" w:type="dxa"/>
            <w:bottom w:w="0" w:type="dxa"/>
            <w:right w:w="0" w:type="dxa"/>
          </w:tblCellMar>
        </w:tblPrEx>
        <w:trPr>
          <w:trHeight w:val="94" w:hRule="atLeast"/>
        </w:trPr>
        <w:tc>
          <w:tcPr>
            <w:tcW w:w="18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29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通江县扶贫局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50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铁佛镇人民政府</w:t>
            </w:r>
          </w:p>
        </w:tc>
      </w:tr>
      <w:tr>
        <w:tblPrEx>
          <w:tblCellMar>
            <w:top w:w="0" w:type="dxa"/>
            <w:left w:w="0" w:type="dxa"/>
            <w:bottom w:w="0" w:type="dxa"/>
            <w:right w:w="0" w:type="dxa"/>
          </w:tblCellMar>
        </w:tblPrEx>
        <w:trPr>
          <w:trHeight w:val="181" w:hRule="atLeast"/>
        </w:trPr>
        <w:tc>
          <w:tcPr>
            <w:tcW w:w="18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1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全年预算数（A）</w:t>
            </w:r>
          </w:p>
        </w:tc>
        <w:tc>
          <w:tcPr>
            <w:tcW w:w="1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全年执行数（B）</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执行率（B/A)</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tblPrEx>
          <w:tblCellMar>
            <w:top w:w="0" w:type="dxa"/>
            <w:left w:w="0" w:type="dxa"/>
            <w:bottom w:w="0" w:type="dxa"/>
            <w:right w:w="0" w:type="dxa"/>
          </w:tblCellMar>
        </w:tblPrEx>
        <w:trPr>
          <w:trHeight w:val="94" w:hRule="atLeast"/>
        </w:trPr>
        <w:tc>
          <w:tcPr>
            <w:tcW w:w="18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34.65</w:t>
            </w:r>
          </w:p>
        </w:tc>
        <w:tc>
          <w:tcPr>
            <w:tcW w:w="1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34.65</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CellMar>
            <w:top w:w="0" w:type="dxa"/>
            <w:left w:w="0" w:type="dxa"/>
            <w:bottom w:w="0" w:type="dxa"/>
            <w:right w:w="0" w:type="dxa"/>
          </w:tblCellMar>
        </w:tblPrEx>
        <w:trPr>
          <w:trHeight w:val="94" w:hRule="atLeast"/>
        </w:trPr>
        <w:tc>
          <w:tcPr>
            <w:tcW w:w="18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31"/>
                <w:lang w:val="en-US" w:eastAsia="zh-CN" w:bidi="ar"/>
              </w:rPr>
              <w:t xml:space="preserve"> 其中：本年财政拨款</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34.65</w:t>
            </w:r>
          </w:p>
        </w:tc>
        <w:tc>
          <w:tcPr>
            <w:tcW w:w="1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34.65</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94" w:hRule="atLeast"/>
        </w:trPr>
        <w:tc>
          <w:tcPr>
            <w:tcW w:w="18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31"/>
                <w:lang w:val="en-US" w:eastAsia="zh-CN" w:bidi="ar"/>
              </w:rPr>
              <w:t xml:space="preserve">       其他资金</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94" w:hRule="atLeast"/>
        </w:trPr>
        <w:tc>
          <w:tcPr>
            <w:tcW w:w="4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430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年初设定目标</w:t>
            </w:r>
          </w:p>
        </w:tc>
        <w:tc>
          <w:tcPr>
            <w:tcW w:w="352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年度总体目标完成情况综述</w:t>
            </w:r>
          </w:p>
        </w:tc>
      </w:tr>
      <w:tr>
        <w:tblPrEx>
          <w:tblCellMar>
            <w:top w:w="0" w:type="dxa"/>
            <w:left w:w="0" w:type="dxa"/>
            <w:bottom w:w="0" w:type="dxa"/>
            <w:right w:w="0" w:type="dxa"/>
          </w:tblCellMar>
        </w:tblPrEx>
        <w:trPr>
          <w:trHeight w:val="181"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0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全镇22个村建档立卡人口就读中等职业学校，高职高专院校，技师学院</w:t>
            </w:r>
          </w:p>
        </w:tc>
        <w:tc>
          <w:tcPr>
            <w:tcW w:w="352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对在校职业教育学生进行补助</w:t>
            </w:r>
          </w:p>
        </w:tc>
      </w:tr>
      <w:tr>
        <w:tblPrEx>
          <w:tblCellMar>
            <w:top w:w="0" w:type="dxa"/>
            <w:left w:w="0" w:type="dxa"/>
            <w:bottom w:w="0" w:type="dxa"/>
            <w:right w:w="0" w:type="dxa"/>
          </w:tblCellMar>
        </w:tblPrEx>
        <w:trPr>
          <w:trHeight w:val="267" w:hRule="atLeast"/>
        </w:trPr>
        <w:tc>
          <w:tcPr>
            <w:tcW w:w="4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年度指标值</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全年实际值</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未完成原因及拟采取的改进措施</w:t>
            </w:r>
          </w:p>
        </w:tc>
      </w:tr>
      <w:tr>
        <w:tblPrEx>
          <w:tblCellMar>
            <w:top w:w="0" w:type="dxa"/>
            <w:left w:w="0" w:type="dxa"/>
            <w:bottom w:w="0" w:type="dxa"/>
            <w:right w:w="0" w:type="dxa"/>
          </w:tblCellMar>
        </w:tblPrEx>
        <w:trPr>
          <w:trHeight w:val="94"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(50分)</w:t>
            </w: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雨露计划职业教育补助人数</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≥257人</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4"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81"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就读职业技术学校的建档立卡贫困人口进行雨露补助率</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4"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67"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就读职业技术学校的建档立卡贫困人口进行雨露补助发放及时率</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4"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4"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81"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雨露计划职业教育春季补助成本</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81"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雨露计划职业教育秋季补助成本</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4"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4"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4"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(30分)</w:t>
            </w: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贫困户人均收入增加</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≥1348.25</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1348.25</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4"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4"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4"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67"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建档立卡贫困户就业人口中接受职业教育（培训）占比(≥**%)</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67"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职业学校建档立卡等贫困人口毕业生稳定就业率（≥**%）</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81"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职业学校建档立卡等贫困人口学生满意度(≥**%)</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81"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职业学校建档立卡等贫困人口学生家长满意度(≥**%)</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4"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4"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4" w:hRule="atLeast"/>
        </w:trPr>
        <w:tc>
          <w:tcPr>
            <w:tcW w:w="426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1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99</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67" w:hRule="atLeast"/>
        </w:trPr>
        <w:tc>
          <w:tcPr>
            <w:tcW w:w="8260" w:type="dxa"/>
            <w:gridSpan w:val="11"/>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注：1</w:t>
            </w:r>
            <w:r>
              <w:rPr>
                <w:rStyle w:val="32"/>
                <w:lang w:val="en-US" w:eastAsia="zh-CN" w:bidi="ar"/>
              </w:rPr>
              <w:t>.一级指标分值统一设置为：产出指标50分、效益指标30分、满意度指标10分、预算资金执行率10分。如有特殊情况，上述权重可做适当调整，但加总后应等于100分。各部门根据各项指标重要程度确定三级指标的分值。得分最高不能超过该指标分值上限。</w:t>
            </w:r>
          </w:p>
        </w:tc>
      </w:tr>
      <w:tr>
        <w:tblPrEx>
          <w:tblCellMar>
            <w:top w:w="0" w:type="dxa"/>
            <w:left w:w="0" w:type="dxa"/>
            <w:bottom w:w="0" w:type="dxa"/>
            <w:right w:w="0" w:type="dxa"/>
          </w:tblCellMar>
        </w:tblPrEx>
        <w:trPr>
          <w:trHeight w:val="264" w:hRule="atLeast"/>
        </w:trPr>
        <w:tc>
          <w:tcPr>
            <w:tcW w:w="8260"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2.定性指标根据指标完成情况分为：达成预期指标、部分达成预期指标并具有一定效果、未达成预期指标且效果较差三档，分别按照该指标对应分值区间100-80%(含80%)、80-60%(含60%)、60-0%合理确定得分。</w:t>
            </w:r>
          </w:p>
        </w:tc>
      </w:tr>
      <w:tr>
        <w:tblPrEx>
          <w:tblCellMar>
            <w:top w:w="0" w:type="dxa"/>
            <w:left w:w="0" w:type="dxa"/>
            <w:bottom w:w="0" w:type="dxa"/>
            <w:right w:w="0" w:type="dxa"/>
          </w:tblCellMar>
        </w:tblPrEx>
        <w:trPr>
          <w:trHeight w:val="264" w:hRule="atLeast"/>
        </w:trPr>
        <w:tc>
          <w:tcPr>
            <w:tcW w:w="8260"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3.定量指标若为正向指标（即指标值为</w:t>
            </w:r>
            <w:r>
              <w:rPr>
                <w:rStyle w:val="32"/>
                <w:lang w:val="en-US" w:eastAsia="zh-CN" w:bidi="ar"/>
              </w:rPr>
              <w:t>≥*），则得分计算方法应用全年实际值/年度指标值</w:t>
            </w:r>
            <w:r>
              <w:rPr>
                <w:rStyle w:val="33"/>
                <w:lang w:val="en-US" w:eastAsia="zh-CN" w:bidi="ar"/>
              </w:rPr>
              <w:t>╳</w:t>
            </w:r>
            <w:r>
              <w:rPr>
                <w:rStyle w:val="32"/>
                <w:lang w:val="en-US" w:eastAsia="zh-CN" w:bidi="ar"/>
              </w:rPr>
              <w:t>该指标分值；若定量指标为反向指标（即指标值为≤*），则得分计算方法应用年度指标值/全年实际值</w:t>
            </w:r>
            <w:r>
              <w:rPr>
                <w:rStyle w:val="33"/>
                <w:lang w:val="en-US" w:eastAsia="zh-CN" w:bidi="ar"/>
              </w:rPr>
              <w:t>╳</w:t>
            </w:r>
            <w:r>
              <w:rPr>
                <w:rStyle w:val="32"/>
                <w:lang w:val="en-US" w:eastAsia="zh-CN" w:bidi="ar"/>
              </w:rPr>
              <w:t>该指标分值；定量指标得分最高不得超过该指标分值上限。</w:t>
            </w:r>
          </w:p>
        </w:tc>
      </w:tr>
    </w:tbl>
    <w:p>
      <w:pPr>
        <w:spacing w:line="580" w:lineRule="exact"/>
        <w:rPr>
          <w:rFonts w:hint="eastAsia" w:ascii="楷体_GB2312" w:hAnsi="楷体_GB2312" w:eastAsia="楷体_GB2312" w:cs="楷体_GB2312"/>
          <w:sz w:val="32"/>
          <w:szCs w:val="32"/>
        </w:rPr>
      </w:pPr>
    </w:p>
    <w:tbl>
      <w:tblPr>
        <w:tblStyle w:val="12"/>
        <w:tblW w:w="8234" w:type="dxa"/>
        <w:tblInd w:w="0" w:type="dxa"/>
        <w:shd w:val="clear" w:color="auto" w:fill="auto"/>
        <w:tblLayout w:type="autofit"/>
        <w:tblCellMar>
          <w:top w:w="0" w:type="dxa"/>
          <w:left w:w="0" w:type="dxa"/>
          <w:bottom w:w="0" w:type="dxa"/>
          <w:right w:w="0" w:type="dxa"/>
        </w:tblCellMar>
      </w:tblPr>
      <w:tblGrid>
        <w:gridCol w:w="427"/>
        <w:gridCol w:w="587"/>
        <w:gridCol w:w="793"/>
        <w:gridCol w:w="1918"/>
        <w:gridCol w:w="471"/>
        <w:gridCol w:w="461"/>
        <w:gridCol w:w="1001"/>
        <w:gridCol w:w="725"/>
        <w:gridCol w:w="529"/>
        <w:gridCol w:w="725"/>
        <w:gridCol w:w="597"/>
      </w:tblGrid>
      <w:tr>
        <w:tblPrEx>
          <w:shd w:val="clear" w:color="auto" w:fill="auto"/>
          <w:tblCellMar>
            <w:top w:w="0" w:type="dxa"/>
            <w:left w:w="0" w:type="dxa"/>
            <w:bottom w:w="0" w:type="dxa"/>
            <w:right w:w="0" w:type="dxa"/>
          </w:tblCellMar>
        </w:tblPrEx>
        <w:trPr>
          <w:trHeight w:val="570" w:hRule="atLeast"/>
        </w:trPr>
        <w:tc>
          <w:tcPr>
            <w:tcW w:w="8234"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绩效目标自评表</w:t>
            </w:r>
            <w:r>
              <w:rPr>
                <w:rStyle w:val="34"/>
                <w:lang w:val="en-US" w:eastAsia="zh-CN" w:bidi="ar"/>
              </w:rPr>
              <w:t xml:space="preserve"> </w:t>
            </w:r>
          </w:p>
        </w:tc>
      </w:tr>
      <w:tr>
        <w:tblPrEx>
          <w:tblCellMar>
            <w:top w:w="0" w:type="dxa"/>
            <w:left w:w="0" w:type="dxa"/>
            <w:bottom w:w="0" w:type="dxa"/>
            <w:right w:w="0" w:type="dxa"/>
          </w:tblCellMar>
        </w:tblPrEx>
        <w:trPr>
          <w:trHeight w:val="420" w:hRule="atLeast"/>
        </w:trPr>
        <w:tc>
          <w:tcPr>
            <w:tcW w:w="8234" w:type="dxa"/>
            <w:gridSpan w:val="11"/>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（2019年度）</w:t>
            </w:r>
          </w:p>
        </w:tc>
      </w:tr>
      <w:tr>
        <w:tblPrEx>
          <w:tblCellMar>
            <w:top w:w="0" w:type="dxa"/>
            <w:left w:w="0" w:type="dxa"/>
            <w:bottom w:w="0" w:type="dxa"/>
            <w:right w:w="0" w:type="dxa"/>
          </w:tblCellMar>
        </w:tblPrEx>
        <w:trPr>
          <w:trHeight w:val="555" w:hRule="atLeast"/>
        </w:trPr>
        <w:tc>
          <w:tcPr>
            <w:tcW w:w="180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8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2019年完善退耕还林</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25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李劲松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0827-7330013</w:t>
            </w:r>
          </w:p>
        </w:tc>
      </w:tr>
      <w:tr>
        <w:tblPrEx>
          <w:tblCellMar>
            <w:top w:w="0" w:type="dxa"/>
            <w:left w:w="0" w:type="dxa"/>
            <w:bottom w:w="0" w:type="dxa"/>
            <w:right w:w="0" w:type="dxa"/>
          </w:tblCellMar>
        </w:tblPrEx>
        <w:trPr>
          <w:trHeight w:val="300" w:hRule="atLeast"/>
        </w:trPr>
        <w:tc>
          <w:tcPr>
            <w:tcW w:w="180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28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通江县林业局</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5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铁佛镇人民政府</w:t>
            </w:r>
          </w:p>
        </w:tc>
      </w:tr>
      <w:tr>
        <w:tblPrEx>
          <w:tblCellMar>
            <w:top w:w="0" w:type="dxa"/>
            <w:left w:w="0" w:type="dxa"/>
            <w:bottom w:w="0" w:type="dxa"/>
            <w:right w:w="0" w:type="dxa"/>
          </w:tblCellMar>
        </w:tblPrEx>
        <w:trPr>
          <w:trHeight w:val="465" w:hRule="atLeast"/>
        </w:trPr>
        <w:tc>
          <w:tcPr>
            <w:tcW w:w="18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全年预算数（A）</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全年执行数（B）</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执行率（B/A)</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tblPrEx>
          <w:tblCellMar>
            <w:top w:w="0" w:type="dxa"/>
            <w:left w:w="0" w:type="dxa"/>
            <w:bottom w:w="0" w:type="dxa"/>
            <w:right w:w="0" w:type="dxa"/>
          </w:tblCellMar>
        </w:tblPrEx>
        <w:trPr>
          <w:trHeight w:val="282" w:hRule="atLeast"/>
        </w:trPr>
        <w:tc>
          <w:tcPr>
            <w:tcW w:w="18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CellMar>
            <w:top w:w="0" w:type="dxa"/>
            <w:left w:w="0" w:type="dxa"/>
            <w:bottom w:w="0" w:type="dxa"/>
            <w:right w:w="0" w:type="dxa"/>
          </w:tblCellMar>
        </w:tblPrEx>
        <w:trPr>
          <w:trHeight w:val="282" w:hRule="atLeast"/>
        </w:trPr>
        <w:tc>
          <w:tcPr>
            <w:tcW w:w="18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35"/>
                <w:lang w:val="en-US" w:eastAsia="zh-CN" w:bidi="ar"/>
              </w:rPr>
              <w:t xml:space="preserve"> 其中：本年财政拨款</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282" w:hRule="atLeast"/>
        </w:trPr>
        <w:tc>
          <w:tcPr>
            <w:tcW w:w="18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35"/>
                <w:lang w:val="en-US" w:eastAsia="zh-CN" w:bidi="ar"/>
              </w:rPr>
              <w:t xml:space="preserve">       其他资金</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282"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423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年初设定目标</w:t>
            </w:r>
          </w:p>
        </w:tc>
        <w:tc>
          <w:tcPr>
            <w:tcW w:w="35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年度总体目标完成情况综述</w:t>
            </w:r>
          </w:p>
        </w:tc>
      </w:tr>
      <w:tr>
        <w:tblPrEx>
          <w:tblCellMar>
            <w:top w:w="0" w:type="dxa"/>
            <w:left w:w="0" w:type="dxa"/>
            <w:bottom w:w="0" w:type="dxa"/>
            <w:right w:w="0" w:type="dxa"/>
          </w:tblCellMar>
        </w:tblPrEx>
        <w:trPr>
          <w:trHeight w:val="110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3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根据川财农〔2018〕227号、通财农（2019）32号文件，下达你乡镇2019年完善退耕还林政策补助资金。</w:t>
            </w:r>
          </w:p>
        </w:tc>
        <w:tc>
          <w:tcPr>
            <w:tcW w:w="35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6"/>
                <w:szCs w:val="16"/>
                <w:u w:val="none"/>
                <w:lang w:val="en-US" w:eastAsia="zh-CN" w:bidi="ar"/>
              </w:rPr>
              <w:t>根据川财农〔2018〕227号、通财农（2019）32号文件，下达你乡镇2019年完善退耕还林政策补助资金，已经100%兑现到林农一卡通账户上。</w:t>
            </w:r>
          </w:p>
        </w:tc>
      </w:tr>
      <w:tr>
        <w:tblPrEx>
          <w:tblCellMar>
            <w:top w:w="0" w:type="dxa"/>
            <w:left w:w="0" w:type="dxa"/>
            <w:bottom w:w="0" w:type="dxa"/>
            <w:right w:w="0" w:type="dxa"/>
          </w:tblCellMar>
        </w:tblPrEx>
        <w:trPr>
          <w:trHeight w:val="308"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年度指标值</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全年实际值</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未完成原因及拟采取的改进措施</w:t>
            </w:r>
          </w:p>
        </w:tc>
      </w:tr>
      <w:tr>
        <w:tblPrEx>
          <w:tblCellMar>
            <w:top w:w="0" w:type="dxa"/>
            <w:left w:w="0" w:type="dxa"/>
            <w:bottom w:w="0" w:type="dxa"/>
            <w:right w:w="0" w:type="dxa"/>
          </w:tblCellMar>
        </w:tblPrEx>
        <w:trPr>
          <w:trHeight w:val="252"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(50分)</w:t>
            </w:r>
          </w:p>
        </w:tc>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退耕还林面积</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w:t>
            </w:r>
            <w:r>
              <w:rPr>
                <w:rStyle w:val="35"/>
                <w:lang w:val="en-US" w:eastAsia="zh-CN" w:bidi="ar"/>
              </w:rPr>
              <w:t>亩</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100亩</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2"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退耕还林受益户数</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≧29户</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29户</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2"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2"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退耕还林合格面积</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w:t>
            </w:r>
            <w:r>
              <w:rPr>
                <w:rStyle w:val="35"/>
                <w:lang w:val="en-US" w:eastAsia="zh-CN" w:bidi="ar"/>
              </w:rPr>
              <w:t>亩</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100亩</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2"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2"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2"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退耕还林实施完成时间</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2"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2"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2"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退耕还林补助费用</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1.25万元</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1.25万元</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2"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2"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2"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2"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(30分)</w:t>
            </w:r>
          </w:p>
        </w:tc>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平均农户补贴增收</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2"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2"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2"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保障农户生活水平提升</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74"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1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2"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保障森林覆盖率</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2"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2"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2"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2"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2"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2"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社会对退耕还林满意度</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2"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2"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2"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2" w:hRule="atLeast"/>
        </w:trPr>
        <w:tc>
          <w:tcPr>
            <w:tcW w:w="41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99</w:t>
            </w: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39" w:hRule="atLeast"/>
        </w:trPr>
        <w:tc>
          <w:tcPr>
            <w:tcW w:w="8234" w:type="dxa"/>
            <w:gridSpan w:val="11"/>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1.一级指标分值统一设置为：产出指标50分、效益指标30分、满意度指标10分、预算资金执行率10分。如有特殊情况，上述权重可做适当调整，但加总后应等于100分。各部门根据各项指标重要程度确定三级指标的分值。得分最高不能超过该指标分值上限。</w:t>
            </w:r>
          </w:p>
        </w:tc>
      </w:tr>
      <w:tr>
        <w:tblPrEx>
          <w:tblCellMar>
            <w:top w:w="0" w:type="dxa"/>
            <w:left w:w="0" w:type="dxa"/>
            <w:bottom w:w="0" w:type="dxa"/>
            <w:right w:w="0" w:type="dxa"/>
          </w:tblCellMar>
        </w:tblPrEx>
        <w:trPr>
          <w:trHeight w:val="469" w:hRule="atLeast"/>
        </w:trPr>
        <w:tc>
          <w:tcPr>
            <w:tcW w:w="8234"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2.定性指标根据指标完成情况分为：达成预期指标、部分达成预期指标并具有一定效果、未达成预期指标且效果较差三档，分别按照该指标对应分值区间100-80%(含80%)、80-60%(含60%)、60-0%合理确定得分。</w:t>
            </w:r>
          </w:p>
        </w:tc>
      </w:tr>
      <w:tr>
        <w:tblPrEx>
          <w:tblCellMar>
            <w:top w:w="0" w:type="dxa"/>
            <w:left w:w="0" w:type="dxa"/>
            <w:bottom w:w="0" w:type="dxa"/>
            <w:right w:w="0" w:type="dxa"/>
          </w:tblCellMar>
        </w:tblPrEx>
        <w:trPr>
          <w:trHeight w:val="720" w:hRule="atLeast"/>
        </w:trPr>
        <w:tc>
          <w:tcPr>
            <w:tcW w:w="8234"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3.定量指标若为正向指标（即指标值为≥*），则得分计算方法应用全年实际值/年度指标值</w:t>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8"/>
                <w:szCs w:val="18"/>
                <w:u w:val="none"/>
                <w:lang w:val="en-US" w:eastAsia="zh-CN" w:bidi="ar"/>
              </w:rPr>
              <w:t>该指标分值；若定量指标为反向指标（即指标值为≤*），则得分计算方法应用年度指标值/全年实际值</w:t>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8"/>
                <w:szCs w:val="18"/>
                <w:u w:val="none"/>
                <w:lang w:val="en-US" w:eastAsia="zh-CN" w:bidi="ar"/>
              </w:rPr>
              <w:t>该指标分值；定量指标得分最高不得超过该指标分值上限。</w:t>
            </w:r>
          </w:p>
        </w:tc>
      </w:tr>
    </w:tbl>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br w:type="page"/>
      </w:r>
    </w:p>
    <w:p>
      <w:pPr>
        <w:spacing w:line="580" w:lineRule="exact"/>
        <w:ind w:left="630"/>
        <w:rPr>
          <w:rFonts w:hint="eastAsia" w:ascii="楷体_GB2312" w:hAnsi="楷体_GB2312" w:eastAsia="楷体_GB2312" w:cs="楷体_GB2312"/>
          <w:sz w:val="32"/>
          <w:szCs w:val="32"/>
        </w:rPr>
      </w:pPr>
    </w:p>
    <w:tbl>
      <w:tblPr>
        <w:tblStyle w:val="12"/>
        <w:tblW w:w="8200" w:type="dxa"/>
        <w:tblInd w:w="0" w:type="dxa"/>
        <w:shd w:val="clear" w:color="auto" w:fill="auto"/>
        <w:tblLayout w:type="autofit"/>
        <w:tblCellMar>
          <w:top w:w="0" w:type="dxa"/>
          <w:left w:w="0" w:type="dxa"/>
          <w:bottom w:w="0" w:type="dxa"/>
          <w:right w:w="0" w:type="dxa"/>
        </w:tblCellMar>
      </w:tblPr>
      <w:tblGrid>
        <w:gridCol w:w="409"/>
        <w:gridCol w:w="563"/>
        <w:gridCol w:w="762"/>
        <w:gridCol w:w="1828"/>
        <w:gridCol w:w="457"/>
        <w:gridCol w:w="530"/>
        <w:gridCol w:w="962"/>
        <w:gridCol w:w="1021"/>
        <w:gridCol w:w="511"/>
        <w:gridCol w:w="680"/>
        <w:gridCol w:w="477"/>
      </w:tblGrid>
      <w:tr>
        <w:tblPrEx>
          <w:shd w:val="clear" w:color="auto" w:fill="auto"/>
          <w:tblCellMar>
            <w:top w:w="0" w:type="dxa"/>
            <w:left w:w="0" w:type="dxa"/>
            <w:bottom w:w="0" w:type="dxa"/>
            <w:right w:w="0" w:type="dxa"/>
          </w:tblCellMar>
        </w:tblPrEx>
        <w:trPr>
          <w:trHeight w:val="653" w:hRule="atLeast"/>
        </w:trPr>
        <w:tc>
          <w:tcPr>
            <w:tcW w:w="8200"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b/>
                <w:i w:val="0"/>
                <w:color w:val="000000"/>
                <w:kern w:val="0"/>
                <w:sz w:val="32"/>
                <w:szCs w:val="32"/>
                <w:u w:val="none"/>
                <w:lang w:val="en-US" w:eastAsia="zh-CN" w:bidi="ar"/>
              </w:rPr>
              <w:t>绩效目标自评表</w:t>
            </w:r>
            <w:r>
              <w:rPr>
                <w:rFonts w:hint="eastAsia" w:ascii="宋体" w:hAnsi="宋体" w:eastAsia="宋体" w:cs="宋体"/>
                <w:i w:val="0"/>
                <w:color w:val="000000"/>
                <w:kern w:val="0"/>
                <w:sz w:val="32"/>
                <w:szCs w:val="32"/>
                <w:u w:val="none"/>
                <w:lang w:val="en-US" w:eastAsia="zh-CN" w:bidi="ar"/>
              </w:rPr>
              <w:t xml:space="preserve"> </w:t>
            </w:r>
          </w:p>
        </w:tc>
      </w:tr>
      <w:tr>
        <w:tblPrEx>
          <w:tblCellMar>
            <w:top w:w="0" w:type="dxa"/>
            <w:left w:w="0" w:type="dxa"/>
            <w:bottom w:w="0" w:type="dxa"/>
            <w:right w:w="0" w:type="dxa"/>
          </w:tblCellMar>
        </w:tblPrEx>
        <w:trPr>
          <w:trHeight w:val="444" w:hRule="atLeast"/>
        </w:trPr>
        <w:tc>
          <w:tcPr>
            <w:tcW w:w="8200" w:type="dxa"/>
            <w:gridSpan w:val="11"/>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（2019年度）</w:t>
            </w:r>
          </w:p>
        </w:tc>
      </w:tr>
      <w:tr>
        <w:tblPrEx>
          <w:tblCellMar>
            <w:top w:w="0" w:type="dxa"/>
            <w:left w:w="0" w:type="dxa"/>
            <w:bottom w:w="0" w:type="dxa"/>
            <w:right w:w="0" w:type="dxa"/>
          </w:tblCellMar>
        </w:tblPrEx>
        <w:trPr>
          <w:trHeight w:val="663" w:hRule="atLeast"/>
        </w:trPr>
        <w:tc>
          <w:tcPr>
            <w:tcW w:w="17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8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耕地地力保护补贴项目</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26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雷祥川（18398926480）</w:t>
            </w:r>
          </w:p>
        </w:tc>
      </w:tr>
      <w:tr>
        <w:tblPrEx>
          <w:tblCellMar>
            <w:top w:w="0" w:type="dxa"/>
            <w:left w:w="0" w:type="dxa"/>
            <w:bottom w:w="0" w:type="dxa"/>
            <w:right w:w="0" w:type="dxa"/>
          </w:tblCellMar>
        </w:tblPrEx>
        <w:trPr>
          <w:trHeight w:val="344" w:hRule="atLeast"/>
        </w:trPr>
        <w:tc>
          <w:tcPr>
            <w:tcW w:w="17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28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通江县农业局</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6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铁佛镇人民政府</w:t>
            </w:r>
          </w:p>
        </w:tc>
      </w:tr>
      <w:tr>
        <w:tblPrEx>
          <w:tblCellMar>
            <w:top w:w="0" w:type="dxa"/>
            <w:left w:w="0" w:type="dxa"/>
            <w:bottom w:w="0" w:type="dxa"/>
            <w:right w:w="0" w:type="dxa"/>
          </w:tblCellMar>
        </w:tblPrEx>
        <w:trPr>
          <w:trHeight w:val="663" w:hRule="atLeast"/>
        </w:trPr>
        <w:tc>
          <w:tcPr>
            <w:tcW w:w="173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1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全年预算数（A）</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全年执行数（B）</w:t>
            </w: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执行率（B/A)</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tblPrEx>
          <w:tblCellMar>
            <w:top w:w="0" w:type="dxa"/>
            <w:left w:w="0" w:type="dxa"/>
            <w:bottom w:w="0" w:type="dxa"/>
            <w:right w:w="0" w:type="dxa"/>
          </w:tblCellMar>
        </w:tblPrEx>
        <w:trPr>
          <w:trHeight w:val="344" w:hRule="atLeast"/>
        </w:trPr>
        <w:tc>
          <w:tcPr>
            <w:tcW w:w="17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432.111202</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432.111202</w:t>
            </w: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CellMar>
            <w:top w:w="0" w:type="dxa"/>
            <w:left w:w="0" w:type="dxa"/>
            <w:bottom w:w="0" w:type="dxa"/>
            <w:right w:w="0" w:type="dxa"/>
          </w:tblCellMar>
        </w:tblPrEx>
        <w:trPr>
          <w:trHeight w:val="344" w:hRule="atLeast"/>
        </w:trPr>
        <w:tc>
          <w:tcPr>
            <w:tcW w:w="17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其中：本年财政拨款</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432.111202</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432.111202</w:t>
            </w: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44" w:hRule="atLeast"/>
        </w:trPr>
        <w:tc>
          <w:tcPr>
            <w:tcW w:w="17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44" w:hRule="atLeast"/>
        </w:trPr>
        <w:tc>
          <w:tcPr>
            <w:tcW w:w="4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414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年初设定目标</w:t>
            </w:r>
          </w:p>
        </w:tc>
        <w:tc>
          <w:tcPr>
            <w:tcW w:w="365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年度总体目标完成情况综述</w:t>
            </w:r>
          </w:p>
        </w:tc>
      </w:tr>
      <w:tr>
        <w:tblPrEx>
          <w:tblCellMar>
            <w:top w:w="0" w:type="dxa"/>
            <w:left w:w="0" w:type="dxa"/>
            <w:bottom w:w="0" w:type="dxa"/>
            <w:right w:w="0" w:type="dxa"/>
          </w:tblCellMar>
        </w:tblPrEx>
        <w:trPr>
          <w:trHeight w:val="1302" w:hRule="atLeast"/>
        </w:trPr>
        <w:tc>
          <w:tcPr>
            <w:tcW w:w="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4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落实农业生产支持补贴项目，加强耕地地力保护</w:t>
            </w:r>
          </w:p>
        </w:tc>
        <w:tc>
          <w:tcPr>
            <w:tcW w:w="365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通过兑付耕地地力保护补贴，充分发挥农业支持保护补贴政策效应，树立示范样板带动农户实现增收，2019年度全镇共完成粮食播种面积29151.4亩，兑付补贴资金432.111202万元。提高了农民种粮积极性和农业劳动生产率，逐步改变了习惯掠夺性生产方式，降低了粮农种粮生产成本，促进了粮食增产、农业增效和农民增收，确保了粮食安全有利于农村经济可持续发展。</w:t>
            </w:r>
          </w:p>
        </w:tc>
      </w:tr>
      <w:tr>
        <w:tblPrEx>
          <w:tblCellMar>
            <w:top w:w="0" w:type="dxa"/>
            <w:left w:w="0" w:type="dxa"/>
            <w:bottom w:w="0" w:type="dxa"/>
            <w:right w:w="0" w:type="dxa"/>
          </w:tblCellMar>
        </w:tblPrEx>
        <w:trPr>
          <w:trHeight w:val="663" w:hRule="atLeast"/>
        </w:trPr>
        <w:tc>
          <w:tcPr>
            <w:tcW w:w="4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年度指标值</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全年实际值</w:t>
            </w: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未完成原因及拟采取的改进措施</w:t>
            </w:r>
          </w:p>
        </w:tc>
      </w:tr>
      <w:tr>
        <w:tblPrEx>
          <w:tblCellMar>
            <w:top w:w="0" w:type="dxa"/>
            <w:left w:w="0" w:type="dxa"/>
            <w:bottom w:w="0" w:type="dxa"/>
            <w:right w:w="0" w:type="dxa"/>
          </w:tblCellMar>
        </w:tblPrEx>
        <w:trPr>
          <w:trHeight w:val="344" w:hRule="atLeast"/>
        </w:trPr>
        <w:tc>
          <w:tcPr>
            <w:tcW w:w="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(50分)</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粮食播种面积（亩）</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29151.4</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29151.4</w:t>
            </w: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4" w:hRule="atLeast"/>
        </w:trPr>
        <w:tc>
          <w:tcPr>
            <w:tcW w:w="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耕地地力保护补贴资金补贴农户数</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9363</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9363</w:t>
            </w: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4" w:hRule="atLeast"/>
        </w:trPr>
        <w:tc>
          <w:tcPr>
            <w:tcW w:w="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4" w:hRule="atLeast"/>
        </w:trPr>
        <w:tc>
          <w:tcPr>
            <w:tcW w:w="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补贴资金兑现率</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w:t>
            </w: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63" w:hRule="atLeast"/>
        </w:trPr>
        <w:tc>
          <w:tcPr>
            <w:tcW w:w="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补贴资金兑付完成时间</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2019年10月底完成</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2019年10月底完成</w:t>
            </w: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4" w:hRule="atLeast"/>
        </w:trPr>
        <w:tc>
          <w:tcPr>
            <w:tcW w:w="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亩均补贴标准</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148.23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148.23 </w:t>
            </w: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4" w:hRule="atLeast"/>
        </w:trPr>
        <w:tc>
          <w:tcPr>
            <w:tcW w:w="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4" w:hRule="atLeast"/>
        </w:trPr>
        <w:tc>
          <w:tcPr>
            <w:tcW w:w="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(30分)</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带动农户实现亩均增产</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≧76.6公斤</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≧76.6公斤</w:t>
            </w: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4" w:hRule="atLeast"/>
        </w:trPr>
        <w:tc>
          <w:tcPr>
            <w:tcW w:w="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带动农户实现亩均增收</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≧148.23元</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148.23元</w:t>
            </w: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4" w:hRule="atLeast"/>
        </w:trPr>
        <w:tc>
          <w:tcPr>
            <w:tcW w:w="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4" w:hRule="atLeast"/>
        </w:trPr>
        <w:tc>
          <w:tcPr>
            <w:tcW w:w="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解决贫困人口收入问题（≥人）</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4" w:hRule="atLeast"/>
        </w:trPr>
        <w:tc>
          <w:tcPr>
            <w:tcW w:w="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地力保护面积指标（≥亩）</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29151.4</w:t>
            </w: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4" w:hRule="atLeast"/>
        </w:trPr>
        <w:tc>
          <w:tcPr>
            <w:tcW w:w="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4" w:hRule="atLeast"/>
        </w:trPr>
        <w:tc>
          <w:tcPr>
            <w:tcW w:w="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4" w:hRule="atLeast"/>
        </w:trPr>
        <w:tc>
          <w:tcPr>
            <w:tcW w:w="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化肥使用量较上年增长率</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4" w:hRule="atLeast"/>
        </w:trPr>
        <w:tc>
          <w:tcPr>
            <w:tcW w:w="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农作物秸秆有效利用率</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86%</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≧86%</w:t>
            </w: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4" w:hRule="atLeast"/>
        </w:trPr>
        <w:tc>
          <w:tcPr>
            <w:tcW w:w="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4" w:hRule="atLeast"/>
        </w:trPr>
        <w:tc>
          <w:tcPr>
            <w:tcW w:w="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4" w:hRule="atLeast"/>
        </w:trPr>
        <w:tc>
          <w:tcPr>
            <w:tcW w:w="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228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农业支持补贴服务对象满意度</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≧99%</w:t>
            </w: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4" w:hRule="atLeast"/>
        </w:trPr>
        <w:tc>
          <w:tcPr>
            <w:tcW w:w="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4" w:hRule="atLeast"/>
        </w:trPr>
        <w:tc>
          <w:tcPr>
            <w:tcW w:w="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4" w:hRule="atLeast"/>
        </w:trPr>
        <w:tc>
          <w:tcPr>
            <w:tcW w:w="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4" w:hRule="atLeast"/>
        </w:trPr>
        <w:tc>
          <w:tcPr>
            <w:tcW w:w="401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99.5</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81" w:hRule="atLeast"/>
        </w:trPr>
        <w:tc>
          <w:tcPr>
            <w:tcW w:w="8200" w:type="dxa"/>
            <w:gridSpan w:val="11"/>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1.一级指标分值统一设置为：产出指标50分、效益指标30分、满意度指标10分、预算资金执行率10分。如有特殊情况，上述权重可做适当调整，但加总后应等于100分。各部门根据各项指标重要程度确定三级指标的分值。得分最高不能超过该指标分值上限。</w:t>
            </w:r>
          </w:p>
        </w:tc>
      </w:tr>
      <w:tr>
        <w:tblPrEx>
          <w:tblCellMar>
            <w:top w:w="0" w:type="dxa"/>
            <w:left w:w="0" w:type="dxa"/>
            <w:bottom w:w="0" w:type="dxa"/>
            <w:right w:w="0" w:type="dxa"/>
          </w:tblCellMar>
        </w:tblPrEx>
        <w:trPr>
          <w:trHeight w:val="653" w:hRule="atLeast"/>
        </w:trPr>
        <w:tc>
          <w:tcPr>
            <w:tcW w:w="8200"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2.定性指标根据指标完成情况分为：达成预期指标、部分达成预期指标并具有一定效果、未达成预期指标且效果较差三档，分别按照该指标对应分值区间100-80%(含80%)、80-60%(含60%)、60-0%合理确定得分。</w:t>
            </w:r>
          </w:p>
        </w:tc>
      </w:tr>
      <w:tr>
        <w:tblPrEx>
          <w:tblCellMar>
            <w:top w:w="0" w:type="dxa"/>
            <w:left w:w="0" w:type="dxa"/>
            <w:bottom w:w="0" w:type="dxa"/>
            <w:right w:w="0" w:type="dxa"/>
          </w:tblCellMar>
        </w:tblPrEx>
        <w:trPr>
          <w:trHeight w:val="751" w:hRule="atLeast"/>
        </w:trPr>
        <w:tc>
          <w:tcPr>
            <w:tcW w:w="8200"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3.定量指标若为正向指标（即指标值为≥*），则得分计算方法应用全年实际值/年度指标值</w:t>
            </w:r>
            <w:r>
              <w:rPr>
                <w:rStyle w:val="36"/>
                <w:lang w:val="en-US" w:eastAsia="zh-CN" w:bidi="ar"/>
              </w:rPr>
              <w:t>╳</w:t>
            </w:r>
            <w:r>
              <w:rPr>
                <w:rFonts w:hint="eastAsia" w:ascii="宋体" w:hAnsi="宋体" w:eastAsia="宋体" w:cs="宋体"/>
                <w:i w:val="0"/>
                <w:color w:val="000000"/>
                <w:kern w:val="0"/>
                <w:sz w:val="18"/>
                <w:szCs w:val="18"/>
                <w:u w:val="none"/>
                <w:lang w:val="en-US" w:eastAsia="zh-CN" w:bidi="ar"/>
              </w:rPr>
              <w:t>该指标分值；若定量指标为反向指标（即指标值为≤*），则得分计算方法应用年度指标值/全年实际值</w:t>
            </w:r>
            <w:r>
              <w:rPr>
                <w:rStyle w:val="36"/>
                <w:lang w:val="en-US" w:eastAsia="zh-CN" w:bidi="ar"/>
              </w:rPr>
              <w:t>╳</w:t>
            </w:r>
            <w:r>
              <w:rPr>
                <w:rFonts w:hint="eastAsia" w:ascii="宋体" w:hAnsi="宋体" w:eastAsia="宋体" w:cs="宋体"/>
                <w:i w:val="0"/>
                <w:color w:val="000000"/>
                <w:kern w:val="0"/>
                <w:sz w:val="18"/>
                <w:szCs w:val="18"/>
                <w:u w:val="none"/>
                <w:lang w:val="en-US" w:eastAsia="zh-CN" w:bidi="ar"/>
              </w:rPr>
              <w:t>该指标分值；定量指标得分最高不得超过该指标分值上限。</w:t>
            </w:r>
          </w:p>
        </w:tc>
      </w:tr>
    </w:tbl>
    <w:p>
      <w:pPr>
        <w:spacing w:line="580" w:lineRule="exact"/>
        <w:ind w:left="630"/>
        <w:rPr>
          <w:rFonts w:hint="eastAsia" w:ascii="楷体_GB2312" w:hAnsi="楷体_GB2312" w:eastAsia="楷体_GB2312" w:cs="楷体_GB2312"/>
          <w:sz w:val="32"/>
          <w:szCs w:val="32"/>
        </w:rPr>
      </w:pPr>
    </w:p>
    <w:tbl>
      <w:tblPr>
        <w:tblStyle w:val="12"/>
        <w:tblW w:w="8135" w:type="dxa"/>
        <w:tblInd w:w="0" w:type="dxa"/>
        <w:shd w:val="clear" w:color="auto" w:fill="auto"/>
        <w:tblLayout w:type="autofit"/>
        <w:tblCellMar>
          <w:top w:w="0" w:type="dxa"/>
          <w:left w:w="0" w:type="dxa"/>
          <w:bottom w:w="0" w:type="dxa"/>
          <w:right w:w="0" w:type="dxa"/>
        </w:tblCellMar>
      </w:tblPr>
      <w:tblGrid>
        <w:gridCol w:w="497"/>
        <w:gridCol w:w="480"/>
        <w:gridCol w:w="625"/>
        <w:gridCol w:w="734"/>
        <w:gridCol w:w="549"/>
        <w:gridCol w:w="803"/>
        <w:gridCol w:w="1353"/>
        <w:gridCol w:w="1353"/>
        <w:gridCol w:w="484"/>
        <w:gridCol w:w="916"/>
        <w:gridCol w:w="341"/>
      </w:tblGrid>
      <w:tr>
        <w:tblPrEx>
          <w:shd w:val="clear" w:color="auto" w:fill="auto"/>
          <w:tblCellMar>
            <w:top w:w="0" w:type="dxa"/>
            <w:left w:w="0" w:type="dxa"/>
            <w:bottom w:w="0" w:type="dxa"/>
            <w:right w:w="0" w:type="dxa"/>
          </w:tblCellMar>
        </w:tblPrEx>
        <w:trPr>
          <w:trHeight w:val="380" w:hRule="atLeast"/>
        </w:trPr>
        <w:tc>
          <w:tcPr>
            <w:tcW w:w="497" w:type="dxa"/>
            <w:tcBorders>
              <w:top w:val="nil"/>
              <w:left w:val="nil"/>
              <w:bottom w:val="nil"/>
              <w:right w:val="nil"/>
            </w:tcBorders>
            <w:shd w:val="clear" w:color="auto" w:fill="auto"/>
            <w:noWrap/>
            <w:tcMar>
              <w:top w:w="15" w:type="dxa"/>
              <w:left w:w="15" w:type="dxa"/>
              <w:right w:w="15" w:type="dxa"/>
            </w:tcMar>
            <w:vAlign w:val="center"/>
          </w:tcPr>
          <w:p>
            <w:pPr>
              <w:rPr>
                <w:rFonts w:hint="eastAsia" w:ascii="黑体" w:hAnsi="宋体" w:eastAsia="黑体" w:cs="黑体"/>
                <w:i w:val="0"/>
                <w:color w:val="000000"/>
                <w:sz w:val="24"/>
                <w:szCs w:val="24"/>
                <w:u w:val="none"/>
              </w:rPr>
            </w:pPr>
          </w:p>
        </w:tc>
        <w:tc>
          <w:tcPr>
            <w:tcW w:w="480" w:type="dxa"/>
            <w:tcBorders>
              <w:top w:val="nil"/>
              <w:left w:val="nil"/>
              <w:bottom w:val="nil"/>
              <w:right w:val="nil"/>
            </w:tcBorders>
            <w:shd w:val="clear" w:color="auto" w:fill="auto"/>
            <w:tcMar>
              <w:top w:w="15" w:type="dxa"/>
              <w:left w:w="15" w:type="dxa"/>
              <w:right w:w="15" w:type="dxa"/>
            </w:tcMar>
            <w:vAlign w:val="center"/>
          </w:tcPr>
          <w:p>
            <w:pPr>
              <w:rPr>
                <w:rFonts w:hint="eastAsia" w:ascii="黑体" w:hAnsi="宋体" w:eastAsia="黑体" w:cs="黑体"/>
                <w:i w:val="0"/>
                <w:color w:val="000000"/>
                <w:sz w:val="24"/>
                <w:szCs w:val="24"/>
                <w:u w:val="none"/>
              </w:rPr>
            </w:pPr>
          </w:p>
        </w:tc>
        <w:tc>
          <w:tcPr>
            <w:tcW w:w="625" w:type="dxa"/>
            <w:tcBorders>
              <w:top w:val="nil"/>
              <w:left w:val="nil"/>
              <w:bottom w:val="nil"/>
              <w:right w:val="nil"/>
            </w:tcBorders>
            <w:shd w:val="clear" w:color="auto" w:fill="auto"/>
            <w:tcMar>
              <w:top w:w="15" w:type="dxa"/>
              <w:left w:w="15" w:type="dxa"/>
              <w:right w:w="15" w:type="dxa"/>
            </w:tcMar>
            <w:vAlign w:val="center"/>
          </w:tcPr>
          <w:p>
            <w:pPr>
              <w:rPr>
                <w:rFonts w:hint="eastAsia" w:ascii="黑体" w:hAnsi="宋体" w:eastAsia="黑体" w:cs="黑体"/>
                <w:i w:val="0"/>
                <w:color w:val="000000"/>
                <w:sz w:val="24"/>
                <w:szCs w:val="24"/>
                <w:u w:val="none"/>
              </w:rPr>
            </w:pPr>
          </w:p>
        </w:tc>
        <w:tc>
          <w:tcPr>
            <w:tcW w:w="734" w:type="dxa"/>
            <w:tcBorders>
              <w:top w:val="nil"/>
              <w:left w:val="nil"/>
              <w:bottom w:val="nil"/>
              <w:right w:val="nil"/>
            </w:tcBorders>
            <w:shd w:val="clear" w:color="auto" w:fill="auto"/>
            <w:tcMar>
              <w:top w:w="15" w:type="dxa"/>
              <w:left w:w="15" w:type="dxa"/>
              <w:right w:w="15" w:type="dxa"/>
            </w:tcMar>
            <w:vAlign w:val="center"/>
          </w:tcPr>
          <w:p>
            <w:pPr>
              <w:rPr>
                <w:rFonts w:hint="eastAsia" w:ascii="黑体" w:hAnsi="宋体" w:eastAsia="黑体" w:cs="黑体"/>
                <w:i w:val="0"/>
                <w:color w:val="000000"/>
                <w:sz w:val="24"/>
                <w:szCs w:val="24"/>
                <w:u w:val="none"/>
              </w:rPr>
            </w:pPr>
          </w:p>
        </w:tc>
        <w:tc>
          <w:tcPr>
            <w:tcW w:w="54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0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5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5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4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90" w:hRule="atLeast"/>
        </w:trPr>
        <w:tc>
          <w:tcPr>
            <w:tcW w:w="8135"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绩效目标自评表</w:t>
            </w:r>
            <w:r>
              <w:rPr>
                <w:rFonts w:hint="eastAsia" w:ascii="宋体" w:hAnsi="宋体" w:eastAsia="宋体" w:cs="宋体"/>
                <w:i w:val="0"/>
                <w:color w:val="000000"/>
                <w:kern w:val="0"/>
                <w:sz w:val="32"/>
                <w:szCs w:val="32"/>
                <w:u w:val="none"/>
                <w:lang w:val="en-US" w:eastAsia="zh-CN" w:bidi="ar"/>
              </w:rPr>
              <w:t xml:space="preserve"> </w:t>
            </w:r>
          </w:p>
        </w:tc>
      </w:tr>
      <w:tr>
        <w:tblPrEx>
          <w:tblCellMar>
            <w:top w:w="0" w:type="dxa"/>
            <w:left w:w="0" w:type="dxa"/>
            <w:bottom w:w="0" w:type="dxa"/>
            <w:right w:w="0" w:type="dxa"/>
          </w:tblCellMar>
        </w:tblPrEx>
        <w:trPr>
          <w:trHeight w:val="475" w:hRule="atLeast"/>
        </w:trPr>
        <w:tc>
          <w:tcPr>
            <w:tcW w:w="8135" w:type="dxa"/>
            <w:gridSpan w:val="11"/>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（2019年度）</w:t>
            </w:r>
          </w:p>
        </w:tc>
      </w:tr>
      <w:tr>
        <w:tblPrEx>
          <w:tblCellMar>
            <w:top w:w="0" w:type="dxa"/>
            <w:left w:w="0" w:type="dxa"/>
            <w:bottom w:w="0" w:type="dxa"/>
            <w:right w:w="0" w:type="dxa"/>
          </w:tblCellMar>
        </w:tblPrEx>
        <w:trPr>
          <w:trHeight w:val="710" w:hRule="atLeast"/>
        </w:trPr>
        <w:tc>
          <w:tcPr>
            <w:tcW w:w="16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2019年森林生态效益补偿</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309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李劲松</w:t>
            </w:r>
          </w:p>
        </w:tc>
      </w:tr>
      <w:tr>
        <w:tblPrEx>
          <w:tblCellMar>
            <w:top w:w="0" w:type="dxa"/>
            <w:left w:w="0" w:type="dxa"/>
            <w:bottom w:w="0" w:type="dxa"/>
            <w:right w:w="0" w:type="dxa"/>
          </w:tblCellMar>
        </w:tblPrEx>
        <w:trPr>
          <w:trHeight w:val="382" w:hRule="atLeast"/>
        </w:trPr>
        <w:tc>
          <w:tcPr>
            <w:tcW w:w="16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通江县林业局</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309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铁佛镇人民政府</w:t>
            </w:r>
          </w:p>
        </w:tc>
      </w:tr>
      <w:tr>
        <w:tblPrEx>
          <w:tblCellMar>
            <w:top w:w="0" w:type="dxa"/>
            <w:left w:w="0" w:type="dxa"/>
            <w:bottom w:w="0" w:type="dxa"/>
            <w:right w:w="0" w:type="dxa"/>
          </w:tblCellMar>
        </w:tblPrEx>
        <w:trPr>
          <w:trHeight w:val="710" w:hRule="atLeast"/>
        </w:trPr>
        <w:tc>
          <w:tcPr>
            <w:tcW w:w="160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全年预算数（A）</w:t>
            </w: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全年执行数（B）</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执行率（B/A)</w:t>
            </w:r>
          </w:p>
        </w:tc>
        <w:tc>
          <w:tcPr>
            <w:tcW w:w="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tblPrEx>
          <w:tblCellMar>
            <w:top w:w="0" w:type="dxa"/>
            <w:left w:w="0" w:type="dxa"/>
            <w:bottom w:w="0" w:type="dxa"/>
            <w:right w:w="0" w:type="dxa"/>
          </w:tblCellMar>
        </w:tblPrEx>
        <w:trPr>
          <w:trHeight w:val="90" w:hRule="atLeast"/>
        </w:trPr>
        <w:tc>
          <w:tcPr>
            <w:tcW w:w="16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13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21.947115</w:t>
            </w: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21.947115</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CellMar>
            <w:top w:w="0" w:type="dxa"/>
            <w:left w:w="0" w:type="dxa"/>
            <w:bottom w:w="0" w:type="dxa"/>
            <w:right w:w="0" w:type="dxa"/>
          </w:tblCellMar>
        </w:tblPrEx>
        <w:trPr>
          <w:trHeight w:val="1211" w:hRule="atLeast"/>
        </w:trPr>
        <w:tc>
          <w:tcPr>
            <w:tcW w:w="16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其中：本年财政拨款</w:t>
            </w:r>
          </w:p>
        </w:tc>
        <w:tc>
          <w:tcPr>
            <w:tcW w:w="13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1033" w:hRule="atLeast"/>
        </w:trPr>
        <w:tc>
          <w:tcPr>
            <w:tcW w:w="16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13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82" w:hRule="atLeast"/>
        </w:trPr>
        <w:tc>
          <w:tcPr>
            <w:tcW w:w="4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319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年初设定目标</w:t>
            </w:r>
          </w:p>
        </w:tc>
        <w:tc>
          <w:tcPr>
            <w:tcW w:w="444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年度总体目标完成情况综述</w:t>
            </w:r>
          </w:p>
        </w:tc>
      </w:tr>
      <w:tr>
        <w:tblPrEx>
          <w:tblCellMar>
            <w:top w:w="0" w:type="dxa"/>
            <w:left w:w="0" w:type="dxa"/>
            <w:bottom w:w="0" w:type="dxa"/>
            <w:right w:w="0" w:type="dxa"/>
          </w:tblCellMar>
        </w:tblPrEx>
        <w:trPr>
          <w:trHeight w:val="1656"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9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val="en-US" w:eastAsia="zh-CN"/>
              </w:rPr>
            </w:pPr>
            <w:r>
              <w:rPr>
                <w:rFonts w:ascii="仿宋" w:hAnsi="仿宋" w:eastAsia="仿宋" w:cs="仿宋"/>
                <w:i w:val="0"/>
                <w:caps w:val="0"/>
                <w:color w:val="333333"/>
                <w:spacing w:val="0"/>
                <w:kern w:val="2"/>
                <w:sz w:val="24"/>
                <w:szCs w:val="24"/>
                <w:shd w:val="clear" w:fill="FFFFFF"/>
                <w:lang w:val="en-US" w:eastAsia="zh-CN" w:bidi="ar-SA"/>
              </w:rPr>
              <w:t>全</w:t>
            </w:r>
            <w:r>
              <w:rPr>
                <w:rFonts w:hint="eastAsia" w:ascii="仿宋" w:hAnsi="仿宋" w:eastAsia="仿宋" w:cs="仿宋"/>
                <w:i w:val="0"/>
                <w:caps w:val="0"/>
                <w:color w:val="333333"/>
                <w:spacing w:val="0"/>
                <w:kern w:val="2"/>
                <w:sz w:val="24"/>
                <w:szCs w:val="24"/>
                <w:shd w:val="clear" w:fill="FFFFFF"/>
                <w:lang w:val="en-US" w:eastAsia="zh-CN" w:bidi="ar-SA"/>
              </w:rPr>
              <w:t>镇</w:t>
            </w:r>
            <w:r>
              <w:rPr>
                <w:rFonts w:ascii="仿宋" w:hAnsi="仿宋" w:eastAsia="仿宋" w:cs="仿宋"/>
                <w:i w:val="0"/>
                <w:caps w:val="0"/>
                <w:color w:val="333333"/>
                <w:spacing w:val="0"/>
                <w:kern w:val="2"/>
                <w:sz w:val="24"/>
                <w:szCs w:val="24"/>
                <w:shd w:val="clear" w:fill="FFFFFF"/>
                <w:lang w:val="en-US" w:eastAsia="zh-CN" w:bidi="ar-SA"/>
              </w:rPr>
              <w:t>森林生态效益补偿基金在资金使用和管理中，实际支出与计划规定的用途一致，资金收支平衡。资金使用都能做到公开、公平，按程序上报和审批。</w:t>
            </w:r>
          </w:p>
        </w:tc>
        <w:tc>
          <w:tcPr>
            <w:tcW w:w="444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仿宋" w:cs="宋体"/>
                <w:i w:val="0"/>
                <w:color w:val="000000"/>
                <w:sz w:val="20"/>
                <w:szCs w:val="20"/>
                <w:u w:val="none"/>
                <w:lang w:eastAsia="zh-CN"/>
              </w:rPr>
            </w:pPr>
            <w:r>
              <w:rPr>
                <w:rFonts w:ascii="仿宋" w:hAnsi="仿宋" w:eastAsia="仿宋" w:cs="仿宋"/>
                <w:i w:val="0"/>
                <w:caps w:val="0"/>
                <w:color w:val="333333"/>
                <w:spacing w:val="0"/>
                <w:kern w:val="2"/>
                <w:sz w:val="24"/>
                <w:szCs w:val="24"/>
                <w:shd w:val="clear" w:fill="FFFFFF"/>
                <w:lang w:val="en-US" w:eastAsia="zh-CN" w:bidi="ar-SA"/>
              </w:rPr>
              <w:t>全</w:t>
            </w:r>
            <w:r>
              <w:rPr>
                <w:rFonts w:hint="eastAsia" w:ascii="仿宋" w:hAnsi="仿宋" w:eastAsia="仿宋" w:cs="仿宋"/>
                <w:i w:val="0"/>
                <w:caps w:val="0"/>
                <w:color w:val="333333"/>
                <w:spacing w:val="0"/>
                <w:kern w:val="2"/>
                <w:sz w:val="24"/>
                <w:szCs w:val="24"/>
                <w:shd w:val="clear" w:fill="FFFFFF"/>
                <w:lang w:val="en-US" w:eastAsia="zh-CN" w:bidi="ar-SA"/>
              </w:rPr>
              <w:t>镇</w:t>
            </w:r>
            <w:r>
              <w:rPr>
                <w:rFonts w:ascii="仿宋" w:hAnsi="仿宋" w:eastAsia="仿宋" w:cs="仿宋"/>
                <w:i w:val="0"/>
                <w:caps w:val="0"/>
                <w:color w:val="333333"/>
                <w:spacing w:val="0"/>
                <w:kern w:val="2"/>
                <w:sz w:val="24"/>
                <w:szCs w:val="24"/>
                <w:shd w:val="clear" w:fill="FFFFFF"/>
                <w:lang w:val="en-US" w:eastAsia="zh-CN" w:bidi="ar-SA"/>
              </w:rPr>
              <w:t>森林生态效益补偿基金在资金使用和管理中，实际支出与计划规定的用途一致，资金收支平衡。资金使用都能做到公开、公平，按程序上报和审批。</w:t>
            </w:r>
            <w:r>
              <w:rPr>
                <w:rFonts w:hint="eastAsia" w:ascii="仿宋" w:hAnsi="仿宋" w:eastAsia="仿宋" w:cs="仿宋"/>
                <w:i w:val="0"/>
                <w:caps w:val="0"/>
                <w:color w:val="333333"/>
                <w:spacing w:val="0"/>
                <w:kern w:val="2"/>
                <w:sz w:val="24"/>
                <w:szCs w:val="24"/>
                <w:shd w:val="clear" w:fill="FFFFFF"/>
                <w:lang w:val="en-US" w:eastAsia="zh-CN" w:bidi="ar-SA"/>
              </w:rPr>
              <w:t>兑付资金21.947115万元。</w:t>
            </w:r>
          </w:p>
        </w:tc>
      </w:tr>
      <w:tr>
        <w:tblPrEx>
          <w:tblCellMar>
            <w:top w:w="0" w:type="dxa"/>
            <w:left w:w="0" w:type="dxa"/>
            <w:bottom w:w="0" w:type="dxa"/>
            <w:right w:w="0" w:type="dxa"/>
          </w:tblCellMar>
        </w:tblPrEx>
        <w:trPr>
          <w:trHeight w:val="1368" w:hRule="atLeast"/>
        </w:trPr>
        <w:tc>
          <w:tcPr>
            <w:tcW w:w="4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年度指标值</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全年实际值</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未完成原因及拟采取的改进措施</w:t>
            </w:r>
          </w:p>
        </w:tc>
      </w:tr>
      <w:tr>
        <w:tblPrEx>
          <w:tblCellMar>
            <w:top w:w="0" w:type="dxa"/>
            <w:left w:w="0" w:type="dxa"/>
            <w:bottom w:w="0" w:type="dxa"/>
            <w:right w:w="0" w:type="dxa"/>
          </w:tblCellMar>
        </w:tblPrEx>
        <w:trPr>
          <w:trHeight w:val="1033"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(50分)</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森林生态效益林补偿面积</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≧15125</w:t>
            </w:r>
            <w:r>
              <w:rPr>
                <w:rFonts w:hint="eastAsia" w:ascii="宋体" w:hAnsi="宋体" w:eastAsia="宋体" w:cs="宋体"/>
                <w:i w:val="0"/>
                <w:color w:val="000000"/>
                <w:kern w:val="0"/>
                <w:sz w:val="20"/>
                <w:szCs w:val="20"/>
                <w:u w:val="none"/>
                <w:lang w:val="en-US" w:eastAsia="zh-CN" w:bidi="ar"/>
              </w:rPr>
              <w:t>亩</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15125亩</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368"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森林生态效益林补偿受益户数</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≧4707户</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4707户</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82"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368"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森林生态效益林补偿合格面积</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≧15125</w:t>
            </w:r>
            <w:r>
              <w:rPr>
                <w:rFonts w:hint="eastAsia" w:ascii="宋体" w:hAnsi="宋体" w:eastAsia="宋体" w:cs="宋体"/>
                <w:i w:val="0"/>
                <w:color w:val="000000"/>
                <w:kern w:val="0"/>
                <w:sz w:val="20"/>
                <w:szCs w:val="20"/>
                <w:u w:val="none"/>
                <w:lang w:val="en-US" w:eastAsia="zh-CN" w:bidi="ar"/>
              </w:rPr>
              <w:t>亩</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15125亩</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82"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82"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368"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森林生态效益林补偿实施完成时间</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12月底前</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11月前</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82"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82"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033"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森林生态效益林补偿费（元）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219471.15</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219471.15</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97"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(30分)</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平均农户补贴增收</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47.4</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47.4</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033"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保障农户生活水平提升</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97"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保障森林覆盖率</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82"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368"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社会对森林生态效益林补偿满意度</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82"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82" w:hRule="atLeast"/>
        </w:trPr>
        <w:tc>
          <w:tcPr>
            <w:tcW w:w="288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368" w:hRule="atLeast"/>
        </w:trPr>
        <w:tc>
          <w:tcPr>
            <w:tcW w:w="8135" w:type="dxa"/>
            <w:gridSpan w:val="11"/>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1.一级指标分值统一设置为：产出指标50分、效益指标30分、满意度指标10分、预算资金执行率10分。如有特殊情况，上述权重可做适当调整，但加总后应等于100分。各部门根据各项指标重要程度确定三级指标的分值。得分最高不能超过该指标分值上限。</w:t>
            </w:r>
          </w:p>
        </w:tc>
      </w:tr>
      <w:tr>
        <w:tblPrEx>
          <w:tblCellMar>
            <w:top w:w="0" w:type="dxa"/>
            <w:left w:w="0" w:type="dxa"/>
            <w:bottom w:w="0" w:type="dxa"/>
            <w:right w:w="0" w:type="dxa"/>
          </w:tblCellMar>
        </w:tblPrEx>
        <w:trPr>
          <w:trHeight w:val="1357" w:hRule="atLeast"/>
        </w:trPr>
        <w:tc>
          <w:tcPr>
            <w:tcW w:w="8135"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2.定性指标根据指标完成情况分为：达成预期指标、部分达成预期指标并具有一定效果、未达成预期指标且效果较差三档，分别按照该指标对应分值区间100-80%(含80%)、80-60%(含60%)、60-0%合理确定得分。</w:t>
            </w:r>
          </w:p>
        </w:tc>
      </w:tr>
      <w:tr>
        <w:tblPrEx>
          <w:tblCellMar>
            <w:top w:w="0" w:type="dxa"/>
            <w:left w:w="0" w:type="dxa"/>
            <w:bottom w:w="0" w:type="dxa"/>
            <w:right w:w="0" w:type="dxa"/>
          </w:tblCellMar>
        </w:tblPrEx>
        <w:trPr>
          <w:trHeight w:val="1357" w:hRule="atLeast"/>
        </w:trPr>
        <w:tc>
          <w:tcPr>
            <w:tcW w:w="8135"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3.定量指标若为正向指标（即指标值为≥*），则得分计算方法应用全年实际值/年度指标值</w:t>
            </w:r>
            <w:r>
              <w:rPr>
                <w:rStyle w:val="37"/>
                <w:lang w:val="en-US" w:eastAsia="zh-CN" w:bidi="ar"/>
              </w:rPr>
              <w:t>╳</w:t>
            </w:r>
            <w:r>
              <w:rPr>
                <w:rFonts w:hint="eastAsia" w:ascii="宋体" w:hAnsi="宋体" w:eastAsia="宋体" w:cs="宋体"/>
                <w:i w:val="0"/>
                <w:color w:val="000000"/>
                <w:kern w:val="0"/>
                <w:sz w:val="18"/>
                <w:szCs w:val="18"/>
                <w:u w:val="none"/>
                <w:lang w:val="en-US" w:eastAsia="zh-CN" w:bidi="ar"/>
              </w:rPr>
              <w:t>该指标分值；若定量指标为反向指标（即指标值为≤*），则得分计算方法应用年度指标值/全年实际值</w:t>
            </w:r>
            <w:r>
              <w:rPr>
                <w:rStyle w:val="37"/>
                <w:lang w:val="en-US" w:eastAsia="zh-CN" w:bidi="ar"/>
              </w:rPr>
              <w:t>╳</w:t>
            </w:r>
            <w:r>
              <w:rPr>
                <w:rFonts w:hint="eastAsia" w:ascii="宋体" w:hAnsi="宋体" w:eastAsia="宋体" w:cs="宋体"/>
                <w:i w:val="0"/>
                <w:color w:val="000000"/>
                <w:kern w:val="0"/>
                <w:sz w:val="18"/>
                <w:szCs w:val="18"/>
                <w:u w:val="none"/>
                <w:lang w:val="en-US" w:eastAsia="zh-CN" w:bidi="ar"/>
              </w:rPr>
              <w:t>该指标分值；定量指标得分最高不得超过该指标分值上限。</w:t>
            </w:r>
          </w:p>
        </w:tc>
      </w:tr>
    </w:tbl>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page"/>
      </w:r>
    </w:p>
    <w:tbl>
      <w:tblPr>
        <w:tblStyle w:val="12"/>
        <w:tblW w:w="8240" w:type="dxa"/>
        <w:tblInd w:w="0" w:type="dxa"/>
        <w:shd w:val="clear" w:color="auto" w:fill="auto"/>
        <w:tblLayout w:type="autofit"/>
        <w:tblCellMar>
          <w:top w:w="0" w:type="dxa"/>
          <w:left w:w="0" w:type="dxa"/>
          <w:bottom w:w="0" w:type="dxa"/>
          <w:right w:w="0" w:type="dxa"/>
        </w:tblCellMar>
      </w:tblPr>
      <w:tblGrid>
        <w:gridCol w:w="413"/>
        <w:gridCol w:w="405"/>
        <w:gridCol w:w="448"/>
        <w:gridCol w:w="3287"/>
        <w:gridCol w:w="999"/>
        <w:gridCol w:w="750"/>
        <w:gridCol w:w="749"/>
        <w:gridCol w:w="271"/>
        <w:gridCol w:w="630"/>
        <w:gridCol w:w="288"/>
      </w:tblGrid>
      <w:tr>
        <w:tblPrEx>
          <w:shd w:val="clear" w:color="auto" w:fill="auto"/>
          <w:tblCellMar>
            <w:top w:w="0" w:type="dxa"/>
            <w:left w:w="0" w:type="dxa"/>
            <w:bottom w:w="0" w:type="dxa"/>
            <w:right w:w="0" w:type="dxa"/>
          </w:tblCellMar>
        </w:tblPrEx>
        <w:trPr>
          <w:trHeight w:val="272" w:hRule="atLeast"/>
        </w:trPr>
        <w:tc>
          <w:tcPr>
            <w:tcW w:w="824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项目绩效目标自评表</w:t>
            </w:r>
            <w:r>
              <w:rPr>
                <w:rFonts w:hint="eastAsia" w:ascii="宋体" w:hAnsi="宋体" w:eastAsia="宋体" w:cs="宋体"/>
                <w:i w:val="0"/>
                <w:color w:val="000000"/>
                <w:kern w:val="0"/>
                <w:sz w:val="32"/>
                <w:szCs w:val="32"/>
                <w:u w:val="none"/>
                <w:lang w:val="en-US" w:eastAsia="zh-CN" w:bidi="ar"/>
              </w:rPr>
              <w:t xml:space="preserve"> </w:t>
            </w:r>
          </w:p>
        </w:tc>
      </w:tr>
      <w:tr>
        <w:tblPrEx>
          <w:tblCellMar>
            <w:top w:w="0" w:type="dxa"/>
            <w:left w:w="0" w:type="dxa"/>
            <w:bottom w:w="0" w:type="dxa"/>
            <w:right w:w="0" w:type="dxa"/>
          </w:tblCellMar>
        </w:tblPrEx>
        <w:trPr>
          <w:trHeight w:val="170" w:hRule="atLeast"/>
        </w:trPr>
        <w:tc>
          <w:tcPr>
            <w:tcW w:w="8240" w:type="dxa"/>
            <w:gridSpan w:val="10"/>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r>
      <w:tr>
        <w:tblPrEx>
          <w:tblCellMar>
            <w:top w:w="0" w:type="dxa"/>
            <w:left w:w="0" w:type="dxa"/>
            <w:bottom w:w="0" w:type="dxa"/>
            <w:right w:w="0" w:type="dxa"/>
          </w:tblCellMar>
        </w:tblPrEx>
        <w:trPr>
          <w:trHeight w:val="410" w:hRule="atLeast"/>
        </w:trPr>
        <w:tc>
          <w:tcPr>
            <w:tcW w:w="12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42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2019年建档立卡贫困人口产业扶持“增量奖补”资金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193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雷祥川    电话：0827-7330013</w:t>
            </w:r>
          </w:p>
        </w:tc>
      </w:tr>
      <w:tr>
        <w:tblPrEx>
          <w:tblCellMar>
            <w:top w:w="0" w:type="dxa"/>
            <w:left w:w="0" w:type="dxa"/>
            <w:bottom w:w="0" w:type="dxa"/>
            <w:right w:w="0" w:type="dxa"/>
          </w:tblCellMar>
        </w:tblPrEx>
        <w:trPr>
          <w:trHeight w:val="277" w:hRule="atLeast"/>
        </w:trPr>
        <w:tc>
          <w:tcPr>
            <w:tcW w:w="12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42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铁佛镇人民政府</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93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铁佛镇人民政府</w:t>
            </w:r>
          </w:p>
        </w:tc>
      </w:tr>
      <w:tr>
        <w:tblPrEx>
          <w:tblCellMar>
            <w:top w:w="0" w:type="dxa"/>
            <w:left w:w="0" w:type="dxa"/>
            <w:bottom w:w="0" w:type="dxa"/>
            <w:right w:w="0" w:type="dxa"/>
          </w:tblCellMar>
        </w:tblPrEx>
        <w:trPr>
          <w:trHeight w:val="277" w:hRule="atLeast"/>
        </w:trPr>
        <w:tc>
          <w:tcPr>
            <w:tcW w:w="12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3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全年执行数（B）</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执行率（B/A)</w:t>
            </w:r>
          </w:p>
        </w:tc>
        <w:tc>
          <w:tcPr>
            <w:tcW w:w="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tblPrEx>
          <w:tblCellMar>
            <w:top w:w="0" w:type="dxa"/>
            <w:left w:w="0" w:type="dxa"/>
            <w:bottom w:w="0" w:type="dxa"/>
            <w:right w:w="0" w:type="dxa"/>
          </w:tblCellMar>
        </w:tblPrEx>
        <w:trPr>
          <w:trHeight w:val="144" w:hRule="atLeast"/>
        </w:trPr>
        <w:tc>
          <w:tcPr>
            <w:tcW w:w="12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285.3万元</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285.3万元</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CellMar>
            <w:top w:w="0" w:type="dxa"/>
            <w:left w:w="0" w:type="dxa"/>
            <w:bottom w:w="0" w:type="dxa"/>
            <w:right w:w="0" w:type="dxa"/>
          </w:tblCellMar>
        </w:tblPrEx>
        <w:trPr>
          <w:trHeight w:val="144" w:hRule="atLeast"/>
        </w:trPr>
        <w:tc>
          <w:tcPr>
            <w:tcW w:w="12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其中：本年财政拨款</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285.3万元</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285.3万元</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144" w:hRule="atLeast"/>
        </w:trPr>
        <w:tc>
          <w:tcPr>
            <w:tcW w:w="12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144" w:hRule="atLeast"/>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51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年初设定目标</w:t>
            </w:r>
          </w:p>
        </w:tc>
        <w:tc>
          <w:tcPr>
            <w:tcW w:w="268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年度总体目标完成情况综述</w:t>
            </w:r>
          </w:p>
        </w:tc>
      </w:tr>
      <w:tr>
        <w:tblPrEx>
          <w:tblCellMar>
            <w:top w:w="0" w:type="dxa"/>
            <w:left w:w="0" w:type="dxa"/>
            <w:bottom w:w="0" w:type="dxa"/>
            <w:right w:w="0" w:type="dxa"/>
          </w:tblCellMar>
        </w:tblPrEx>
        <w:trPr>
          <w:trHeight w:val="1339"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通财农（2019）23号文件下达2019年建档立卡贫困人口产业扶持“增量奖补”资金285.30万元。建档立卡贫困人口产业扶持“增量奖补”资金是扶持贫困人口脱贫摘帽的一项扶持措施，提高了贫困人员经济收入，推进了新农村建设，为建设美丽乡村增添了光彩。</w:t>
            </w:r>
          </w:p>
        </w:tc>
        <w:tc>
          <w:tcPr>
            <w:tcW w:w="268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通财农（2019）23号文件下达2019年建档立卡贫困人口产业扶持“增量奖补”资金285.3万元,实际兑现285.30万元。建档立卡贫困人口产业扶持“增量奖补”资金是扶持贫困人口脱贫摘帽的一项扶持措施，提高了贫困人员经济收入，保证脱贫攻坚任务园满完成效果明显，推进了新农村建设，为建设美丽乡村增添了光彩。</w:t>
            </w:r>
          </w:p>
        </w:tc>
      </w:tr>
      <w:tr>
        <w:tblPrEx>
          <w:tblCellMar>
            <w:top w:w="0" w:type="dxa"/>
            <w:left w:w="0" w:type="dxa"/>
            <w:bottom w:w="0" w:type="dxa"/>
            <w:right w:w="0" w:type="dxa"/>
          </w:tblCellMar>
        </w:tblPrEx>
        <w:trPr>
          <w:trHeight w:val="542" w:hRule="atLeast"/>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年度指标值</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全年实际值</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未完成原因及拟采取的改进措施</w:t>
            </w:r>
          </w:p>
        </w:tc>
      </w:tr>
      <w:tr>
        <w:tblPrEx>
          <w:tblCellMar>
            <w:top w:w="0" w:type="dxa"/>
            <w:left w:w="0" w:type="dxa"/>
            <w:bottom w:w="0" w:type="dxa"/>
            <w:right w:w="0" w:type="dxa"/>
          </w:tblCellMar>
        </w:tblPrEx>
        <w:trPr>
          <w:trHeight w:val="144"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(50分)</w:t>
            </w:r>
          </w:p>
        </w:tc>
        <w:tc>
          <w:tcPr>
            <w:tcW w:w="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涉及建档立卡贫困人口</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1685户</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1685户</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44"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项目覆盖村</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44"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44"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资金使用合规率</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&gt;=100%</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&gt;=100%</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44"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项目（工程）验收合格率 （100%）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&gt;=100%</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&gt;=100%</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44"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44"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项目（工程）完成及时率</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&gt;=100%</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&gt;=100%</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44"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7"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建档立卡贫困人口产业扶持“增量奖补”资金标准</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400-600元/每人</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400-600元/每人</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44"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44"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2"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(30分)</w:t>
            </w:r>
          </w:p>
        </w:tc>
        <w:tc>
          <w:tcPr>
            <w:tcW w:w="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32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建档立卡贫困人口产业扶持“增量奖补”资金保证脱贫攻坚任务园满完成</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效果明显</w:t>
            </w: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效果明显</w:t>
            </w:r>
          </w:p>
        </w:tc>
        <w:tc>
          <w:tcPr>
            <w:tcW w:w="2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2"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44"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7"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3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建档立卡贫困人口产业扶持“增量奖补”资金贫困人口经济收入</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增长</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增长</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7"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构建和谐社会，提高贫困人口生产生活水平</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提高</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提高</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44"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44"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3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66"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7"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3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经济发展</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持续稳定增长</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持续稳定增长</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66"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44"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44"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3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受益贫困人口满意度</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32"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66"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44" w:hRule="atLeast"/>
        </w:trPr>
        <w:tc>
          <w:tcPr>
            <w:tcW w:w="455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99</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10" w:hRule="atLeast"/>
        </w:trPr>
        <w:tc>
          <w:tcPr>
            <w:tcW w:w="8240" w:type="dxa"/>
            <w:gridSpan w:val="10"/>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1.一级指标分值统一设置为：产出指标50分、效益指标30分、满意度指标10分、预算资金执行率10分。如有特殊情况，上述权重可做适当调整，但加总后应等于100分。各部门根据各项指标重要程度确定三级指标的分值。得分最高不能超过该指标分值上限。</w:t>
            </w:r>
          </w:p>
        </w:tc>
      </w:tr>
      <w:tr>
        <w:tblPrEx>
          <w:tblCellMar>
            <w:top w:w="0" w:type="dxa"/>
            <w:left w:w="0" w:type="dxa"/>
            <w:bottom w:w="0" w:type="dxa"/>
            <w:right w:w="0" w:type="dxa"/>
          </w:tblCellMar>
        </w:tblPrEx>
        <w:trPr>
          <w:trHeight w:val="405" w:hRule="atLeast"/>
        </w:trPr>
        <w:tc>
          <w:tcPr>
            <w:tcW w:w="824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2.定性指标根据指标完成情况分为：达成预期指标、部分达成预期指标并具有一定效果、未达成预期指标且效果较差三档，分别按照该指标对应分值区间100-80%(含80%)、80-60%(含60%)、60-0%合理确定得分。</w:t>
            </w:r>
          </w:p>
        </w:tc>
      </w:tr>
      <w:tr>
        <w:tblPrEx>
          <w:tblCellMar>
            <w:top w:w="0" w:type="dxa"/>
            <w:left w:w="0" w:type="dxa"/>
            <w:bottom w:w="0" w:type="dxa"/>
            <w:right w:w="0" w:type="dxa"/>
          </w:tblCellMar>
        </w:tblPrEx>
        <w:trPr>
          <w:trHeight w:val="405" w:hRule="atLeast"/>
        </w:trPr>
        <w:tc>
          <w:tcPr>
            <w:tcW w:w="824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3.定量指标若为正向指标（即指标值为≥*），则得分计算方法应用全年实际值/年度指标值</w:t>
            </w:r>
            <w:r>
              <w:rPr>
                <w:rStyle w:val="38"/>
                <w:lang w:val="en-US" w:eastAsia="zh-CN" w:bidi="ar"/>
              </w:rPr>
              <w:t>╳</w:t>
            </w:r>
            <w:r>
              <w:rPr>
                <w:rFonts w:hint="eastAsia" w:ascii="宋体" w:hAnsi="宋体" w:eastAsia="宋体" w:cs="宋体"/>
                <w:i w:val="0"/>
                <w:color w:val="000000"/>
                <w:kern w:val="0"/>
                <w:sz w:val="18"/>
                <w:szCs w:val="18"/>
                <w:u w:val="none"/>
                <w:lang w:val="en-US" w:eastAsia="zh-CN" w:bidi="ar"/>
              </w:rPr>
              <w:t>该指标分值；若定量指标为反向指标（即指标值为≤*），则得分计算方法应用年度指标值/全年实际值</w:t>
            </w:r>
            <w:r>
              <w:rPr>
                <w:rStyle w:val="38"/>
                <w:lang w:val="en-US" w:eastAsia="zh-CN" w:bidi="ar"/>
              </w:rPr>
              <w:t>╳</w:t>
            </w:r>
            <w:r>
              <w:rPr>
                <w:rFonts w:hint="eastAsia" w:ascii="宋体" w:hAnsi="宋体" w:eastAsia="宋体" w:cs="宋体"/>
                <w:i w:val="0"/>
                <w:color w:val="000000"/>
                <w:kern w:val="0"/>
                <w:sz w:val="18"/>
                <w:szCs w:val="18"/>
                <w:u w:val="none"/>
                <w:lang w:val="en-US" w:eastAsia="zh-CN" w:bidi="ar"/>
              </w:rPr>
              <w:t>该指标分值；定量指标得分最高不得超过该指标分值上限。</w:t>
            </w:r>
          </w:p>
        </w:tc>
      </w:tr>
    </w:tbl>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铁佛镇</w:t>
      </w:r>
      <w:r>
        <w:rPr>
          <w:rFonts w:hint="eastAsia" w:ascii="仿宋_GB2312" w:hAnsi="仿宋_GB2312" w:eastAsia="仿宋_GB2312" w:cs="仿宋_GB2312"/>
          <w:sz w:val="32"/>
          <w:szCs w:val="32"/>
        </w:rPr>
        <w:t>部门2019年部门整体支出绩效评价报告》见附件（附件1）。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val="en-US" w:eastAsia="zh-CN"/>
        </w:rPr>
        <w:t>雨露计划</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2019年完善退耕还林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耕地地力保护补贴项目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2019年森林生态效益补偿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2019年建档立卡贫困人口产业扶持增量奖补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资金</w:t>
      </w:r>
      <w:r>
        <w:rPr>
          <w:rFonts w:hint="eastAsia" w:ascii="仿宋_GB2312" w:hAnsi="仿宋_GB2312" w:eastAsia="仿宋_GB2312" w:cs="仿宋_GB2312"/>
          <w:sz w:val="32"/>
          <w:szCs w:val="32"/>
        </w:rPr>
        <w:t>开展了绩效评价，《项目2019年绩效评价报告》见附件（附件2）。</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0" w:firstLineChars="150"/>
        <w:jc w:val="center"/>
        <w:outlineLvl w:val="0"/>
        <w:rPr>
          <w:rStyle w:val="24"/>
          <w:rFonts w:ascii="黑体" w:hAnsi="黑体" w:eastAsia="黑体"/>
          <w:b w:val="0"/>
          <w:highlight w:val="none"/>
        </w:rPr>
      </w:pPr>
      <w:bookmarkStart w:id="59" w:name="_Toc15377225"/>
      <w:bookmarkStart w:id="60" w:name="_Toc15396613"/>
      <w:r>
        <w:rPr>
          <w:rFonts w:hint="eastAsia" w:ascii="黑体" w:hAnsi="黑体" w:eastAsia="黑体"/>
          <w:color w:val="000000"/>
          <w:sz w:val="44"/>
          <w:szCs w:val="44"/>
          <w:highlight w:val="none"/>
        </w:rPr>
        <w:t>名</w:t>
      </w:r>
      <w:r>
        <w:rPr>
          <w:rStyle w:val="24"/>
          <w:rFonts w:hint="eastAsia" w:ascii="黑体" w:hAnsi="黑体" w:eastAsia="黑体"/>
          <w:b w:val="0"/>
          <w:highlight w:val="none"/>
        </w:rPr>
        <w:t>词解释</w:t>
      </w:r>
      <w:bookmarkEnd w:id="59"/>
      <w:bookmarkEnd w:id="60"/>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w:t>
      </w:r>
      <w:r>
        <w:rPr>
          <w:rFonts w:hint="eastAsia" w:ascii="仿宋_GB2312" w:eastAsia="仿宋_GB2312"/>
          <w:sz w:val="32"/>
          <w:szCs w:val="32"/>
          <w:lang w:eastAsia="zh-CN"/>
        </w:rPr>
        <w:t>利息、租金、捐赠款</w:t>
      </w:r>
      <w:r>
        <w:rPr>
          <w:rFonts w:hint="eastAsia" w:ascii="仿宋_GB2312" w:eastAsia="仿宋_GB2312"/>
          <w:sz w:val="32"/>
          <w:szCs w:val="32"/>
        </w:rPr>
        <w:t>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keepNext w:val="0"/>
        <w:keepLines w:val="0"/>
        <w:widowControl/>
        <w:suppressLineNumbers w:val="0"/>
        <w:shd w:val="clear" w:fill="FFFFFF"/>
        <w:spacing w:before="0" w:beforeAutospacing="0" w:after="0" w:afterAutospacing="0"/>
        <w:ind w:left="0" w:right="0" w:firstLine="640"/>
        <w:jc w:val="both"/>
        <w:rPr>
          <w:rFonts w:ascii="瀹嬩綋" w:hAnsi="瀹嬩綋" w:eastAsia="瀹嬩綋" w:cs="瀹嬩綋"/>
          <w:i w:val="0"/>
          <w:caps w:val="0"/>
          <w:color w:val="4E4342"/>
          <w:spacing w:val="0"/>
          <w:sz w:val="21"/>
          <w:szCs w:val="21"/>
        </w:rPr>
      </w:pPr>
      <w:r>
        <w:rPr>
          <w:rFonts w:ascii="仿宋_GB2312" w:eastAsia="仿宋_GB2312"/>
          <w:color w:val="000000"/>
          <w:sz w:val="32"/>
          <w:szCs w:val="32"/>
        </w:rPr>
        <w:t>9.</w:t>
      </w:r>
      <w:r>
        <w:rPr>
          <w:rFonts w:ascii="仿宋_GB2312" w:hAnsi="瀹嬩綋" w:eastAsia="仿宋_GB2312" w:cs="仿宋_GB2312"/>
          <w:i w:val="0"/>
          <w:caps w:val="0"/>
          <w:color w:val="4E4342"/>
          <w:spacing w:val="0"/>
          <w:kern w:val="0"/>
          <w:sz w:val="32"/>
          <w:szCs w:val="32"/>
          <w:shd w:val="clear" w:fill="FFFFFF"/>
          <w:lang w:val="en-US" w:eastAsia="zh-CN" w:bidi="ar"/>
        </w:rPr>
        <w:t>一般公共服务（类）人大事务（款）行政运行（项）: 反映行政单位（包括实行公务员管理的事业单位）的基本支出。</w:t>
      </w:r>
    </w:p>
    <w:p>
      <w:pPr>
        <w:keepNext w:val="0"/>
        <w:keepLines w:val="0"/>
        <w:widowControl/>
        <w:suppressLineNumbers w:val="0"/>
        <w:shd w:val="clear" w:fill="FFFFFF"/>
        <w:spacing w:before="0" w:beforeAutospacing="0" w:after="0" w:afterAutospacing="0"/>
        <w:ind w:left="0" w:right="0" w:firstLine="640"/>
        <w:jc w:val="both"/>
        <w:rPr>
          <w:rFonts w:hint="default" w:ascii="瀹嬩綋" w:hAnsi="瀹嬩綋" w:eastAsia="瀹嬩綋" w:cs="瀹嬩綋"/>
          <w:i w:val="0"/>
          <w:caps w:val="0"/>
          <w:color w:val="4E4342"/>
          <w:spacing w:val="0"/>
          <w:sz w:val="21"/>
          <w:szCs w:val="21"/>
        </w:rPr>
      </w:pPr>
      <w:r>
        <w:rPr>
          <w:rFonts w:hint="eastAsia" w:ascii="仿宋_GB2312" w:hAnsi="瀹嬩綋" w:eastAsia="仿宋_GB2312" w:cs="仿宋_GB2312"/>
          <w:i w:val="0"/>
          <w:caps w:val="0"/>
          <w:color w:val="4E4342"/>
          <w:spacing w:val="0"/>
          <w:kern w:val="0"/>
          <w:sz w:val="32"/>
          <w:szCs w:val="32"/>
          <w:shd w:val="clear" w:fill="FFFFFF"/>
          <w:lang w:val="en-US" w:eastAsia="zh-CN" w:bidi="ar"/>
        </w:rPr>
        <w:t>10.一般公共服务（类）政府办公厅（室）及相关机构事务（款）行政运行（项）:反映行政单位（包括实行公务员管理的事业单位）的基本支出。</w:t>
      </w:r>
    </w:p>
    <w:p>
      <w:pPr>
        <w:keepNext w:val="0"/>
        <w:keepLines w:val="0"/>
        <w:widowControl/>
        <w:suppressLineNumbers w:val="0"/>
        <w:shd w:val="clear" w:fill="FFFFFF"/>
        <w:spacing w:before="0" w:beforeAutospacing="0" w:after="0" w:afterAutospacing="0"/>
        <w:ind w:left="0" w:right="0" w:firstLine="640"/>
        <w:jc w:val="both"/>
        <w:rPr>
          <w:rFonts w:hint="default" w:ascii="瀹嬩綋" w:hAnsi="瀹嬩綋" w:eastAsia="瀹嬩綋" w:cs="瀹嬩綋"/>
          <w:i w:val="0"/>
          <w:caps w:val="0"/>
          <w:color w:val="4E4342"/>
          <w:spacing w:val="0"/>
          <w:sz w:val="21"/>
          <w:szCs w:val="21"/>
        </w:rPr>
      </w:pPr>
      <w:r>
        <w:rPr>
          <w:rFonts w:hint="eastAsia" w:ascii="仿宋_GB2312" w:hAnsi="瀹嬩綋" w:eastAsia="仿宋_GB2312" w:cs="仿宋_GB2312"/>
          <w:i w:val="0"/>
          <w:caps w:val="0"/>
          <w:color w:val="4E4342"/>
          <w:spacing w:val="0"/>
          <w:kern w:val="0"/>
          <w:sz w:val="32"/>
          <w:szCs w:val="32"/>
          <w:shd w:val="clear" w:fill="FFFFFF"/>
          <w:lang w:val="en-US" w:eastAsia="zh-CN" w:bidi="ar"/>
        </w:rPr>
        <w:t>11.一般公共服务（类）政府办公厅（室）及相关机构事务（款）一般行政管理事务（项）:反应行政单位行政管理事物方面的支出。</w:t>
      </w:r>
    </w:p>
    <w:p>
      <w:pPr>
        <w:keepNext w:val="0"/>
        <w:keepLines w:val="0"/>
        <w:widowControl/>
        <w:suppressLineNumbers w:val="0"/>
        <w:shd w:val="clear" w:fill="FFFFFF"/>
        <w:spacing w:before="0" w:beforeAutospacing="0" w:after="0" w:afterAutospacing="0"/>
        <w:ind w:left="0" w:right="0" w:firstLine="640"/>
        <w:jc w:val="both"/>
        <w:rPr>
          <w:rFonts w:hint="default" w:ascii="瀹嬩綋" w:hAnsi="瀹嬩綋" w:eastAsia="瀹嬩綋" w:cs="瀹嬩綋"/>
          <w:i w:val="0"/>
          <w:caps w:val="0"/>
          <w:color w:val="4E4342"/>
          <w:spacing w:val="0"/>
          <w:sz w:val="21"/>
          <w:szCs w:val="21"/>
        </w:rPr>
      </w:pPr>
      <w:r>
        <w:rPr>
          <w:rFonts w:hint="eastAsia" w:ascii="仿宋_GB2312" w:hAnsi="瀹嬩綋" w:eastAsia="仿宋_GB2312" w:cs="仿宋_GB2312"/>
          <w:i w:val="0"/>
          <w:caps w:val="0"/>
          <w:color w:val="4E4342"/>
          <w:spacing w:val="0"/>
          <w:kern w:val="0"/>
          <w:sz w:val="32"/>
          <w:szCs w:val="32"/>
          <w:shd w:val="clear" w:fill="FFFFFF"/>
          <w:lang w:val="en-US" w:eastAsia="zh-CN" w:bidi="ar"/>
        </w:rPr>
        <w:t>12.一般公共服务（类）政府办公厅（室）及相关机构事务（款）信访事务（项）:反映各级政府用于接待群众来信来访方面的支出。</w:t>
      </w:r>
    </w:p>
    <w:p>
      <w:pPr>
        <w:keepNext w:val="0"/>
        <w:keepLines w:val="0"/>
        <w:widowControl/>
        <w:suppressLineNumbers w:val="0"/>
        <w:shd w:val="clear" w:fill="FFFFFF"/>
        <w:spacing w:before="0" w:beforeAutospacing="0" w:after="0" w:afterAutospacing="0"/>
        <w:ind w:left="0" w:right="0" w:firstLine="640"/>
        <w:jc w:val="both"/>
        <w:rPr>
          <w:rFonts w:hint="default" w:ascii="瀹嬩綋" w:hAnsi="瀹嬩綋" w:eastAsia="瀹嬩綋" w:cs="瀹嬩綋"/>
          <w:i w:val="0"/>
          <w:caps w:val="0"/>
          <w:color w:val="4E4342"/>
          <w:spacing w:val="0"/>
          <w:sz w:val="21"/>
          <w:szCs w:val="21"/>
        </w:rPr>
      </w:pPr>
      <w:r>
        <w:rPr>
          <w:rFonts w:hint="eastAsia" w:ascii="仿宋_GB2312" w:hAnsi="瀹嬩綋" w:eastAsia="仿宋_GB2312" w:cs="仿宋_GB2312"/>
          <w:i w:val="0"/>
          <w:caps w:val="0"/>
          <w:color w:val="4E4342"/>
          <w:spacing w:val="0"/>
          <w:kern w:val="0"/>
          <w:sz w:val="32"/>
          <w:szCs w:val="32"/>
          <w:shd w:val="clear" w:fill="FFFFFF"/>
          <w:lang w:val="en-US" w:eastAsia="zh-CN" w:bidi="ar"/>
        </w:rPr>
        <w:t>13. 一般公共服务（类）财政事务（款）行政运行（项）:</w:t>
      </w:r>
    </w:p>
    <w:p>
      <w:pPr>
        <w:keepNext w:val="0"/>
        <w:keepLines w:val="0"/>
        <w:widowControl/>
        <w:suppressLineNumbers w:val="0"/>
        <w:shd w:val="clear" w:fill="FFFFFF"/>
        <w:spacing w:before="0" w:beforeAutospacing="0" w:after="0" w:afterAutospacing="0"/>
        <w:ind w:left="0" w:right="0" w:firstLine="0"/>
        <w:jc w:val="both"/>
        <w:rPr>
          <w:rFonts w:hint="default" w:ascii="瀹嬩綋" w:hAnsi="瀹嬩綋" w:eastAsia="瀹嬩綋" w:cs="瀹嬩綋"/>
          <w:i w:val="0"/>
          <w:caps w:val="0"/>
          <w:color w:val="4E4342"/>
          <w:spacing w:val="0"/>
          <w:sz w:val="21"/>
          <w:szCs w:val="21"/>
        </w:rPr>
      </w:pPr>
      <w:r>
        <w:rPr>
          <w:rFonts w:hint="eastAsia" w:ascii="仿宋_GB2312" w:hAnsi="瀹嬩綋" w:eastAsia="仿宋_GB2312" w:cs="仿宋_GB2312"/>
          <w:i w:val="0"/>
          <w:caps w:val="0"/>
          <w:color w:val="4E4342"/>
          <w:spacing w:val="0"/>
          <w:kern w:val="0"/>
          <w:sz w:val="32"/>
          <w:szCs w:val="32"/>
          <w:shd w:val="clear" w:fill="FFFFFF"/>
          <w:lang w:val="en-US" w:eastAsia="zh-CN" w:bidi="ar"/>
        </w:rPr>
        <w:t>反映行政单位（包括实行公务员管理的事业单位）的基本支出。</w:t>
      </w:r>
    </w:p>
    <w:p>
      <w:pPr>
        <w:keepNext w:val="0"/>
        <w:keepLines w:val="0"/>
        <w:widowControl/>
        <w:suppressLineNumbers w:val="0"/>
        <w:shd w:val="clear" w:fill="FFFFFF"/>
        <w:spacing w:before="0" w:beforeAutospacing="0" w:after="0" w:afterAutospacing="0"/>
        <w:ind w:left="0" w:right="0" w:firstLine="640"/>
        <w:jc w:val="both"/>
        <w:rPr>
          <w:rFonts w:hint="default" w:ascii="瀹嬩綋" w:hAnsi="瀹嬩綋" w:eastAsia="瀹嬩綋" w:cs="瀹嬩綋"/>
          <w:i w:val="0"/>
          <w:caps w:val="0"/>
          <w:color w:val="4E4342"/>
          <w:spacing w:val="0"/>
          <w:sz w:val="21"/>
          <w:szCs w:val="21"/>
        </w:rPr>
      </w:pPr>
      <w:r>
        <w:rPr>
          <w:rFonts w:hint="eastAsia" w:ascii="仿宋_GB2312" w:hAnsi="瀹嬩綋" w:eastAsia="仿宋_GB2312" w:cs="仿宋_GB2312"/>
          <w:i w:val="0"/>
          <w:caps w:val="0"/>
          <w:color w:val="4E4342"/>
          <w:spacing w:val="0"/>
          <w:kern w:val="0"/>
          <w:sz w:val="32"/>
          <w:szCs w:val="32"/>
          <w:shd w:val="clear" w:fill="FFFFFF"/>
          <w:lang w:val="en-US" w:eastAsia="zh-CN" w:bidi="ar"/>
        </w:rPr>
        <w:t>14. 一般公共服务（类）人力资源事务（款）其他人力资源事务支出（项）:反映除上述项目以外其他人力资源事务方面的支出。</w:t>
      </w:r>
    </w:p>
    <w:p>
      <w:pPr>
        <w:keepNext w:val="0"/>
        <w:keepLines w:val="0"/>
        <w:widowControl/>
        <w:suppressLineNumbers w:val="0"/>
        <w:shd w:val="clear" w:fill="FFFFFF"/>
        <w:spacing w:before="0" w:beforeAutospacing="0" w:after="0" w:afterAutospacing="0"/>
        <w:ind w:left="0" w:right="0" w:firstLine="640"/>
        <w:jc w:val="both"/>
        <w:rPr>
          <w:rFonts w:hint="default" w:ascii="瀹嬩綋" w:hAnsi="瀹嬩綋" w:eastAsia="瀹嬩綋" w:cs="瀹嬩綋"/>
          <w:i w:val="0"/>
          <w:caps w:val="0"/>
          <w:color w:val="4E4342"/>
          <w:spacing w:val="0"/>
          <w:sz w:val="21"/>
          <w:szCs w:val="21"/>
        </w:rPr>
      </w:pPr>
      <w:r>
        <w:rPr>
          <w:rFonts w:hint="eastAsia" w:ascii="仿宋_GB2312" w:hAnsi="瀹嬩綋" w:eastAsia="仿宋_GB2312" w:cs="仿宋_GB2312"/>
          <w:i w:val="0"/>
          <w:caps w:val="0"/>
          <w:color w:val="4E4342"/>
          <w:spacing w:val="0"/>
          <w:kern w:val="0"/>
          <w:sz w:val="32"/>
          <w:szCs w:val="32"/>
          <w:shd w:val="clear" w:fill="FFFFFF"/>
          <w:lang w:val="en-US" w:eastAsia="zh-CN" w:bidi="ar"/>
        </w:rPr>
        <w:t>15. 一般公共服务（类）纪检监察事务（款）行政运行（项）:反映行政单位（包括实行公务员管理的事业单位）的基本支出。</w:t>
      </w:r>
    </w:p>
    <w:p>
      <w:pPr>
        <w:keepNext w:val="0"/>
        <w:keepLines w:val="0"/>
        <w:widowControl/>
        <w:suppressLineNumbers w:val="0"/>
        <w:shd w:val="clear" w:fill="FFFFFF"/>
        <w:spacing w:before="0" w:beforeAutospacing="0" w:after="0" w:afterAutospacing="0"/>
        <w:ind w:left="0" w:right="0" w:firstLine="640"/>
        <w:jc w:val="both"/>
        <w:rPr>
          <w:rFonts w:hint="default" w:ascii="瀹嬩綋" w:hAnsi="瀹嬩綋" w:eastAsia="瀹嬩綋" w:cs="瀹嬩綋"/>
          <w:i w:val="0"/>
          <w:caps w:val="0"/>
          <w:color w:val="4E4342"/>
          <w:spacing w:val="0"/>
          <w:sz w:val="21"/>
          <w:szCs w:val="21"/>
        </w:rPr>
      </w:pPr>
      <w:r>
        <w:rPr>
          <w:rFonts w:hint="eastAsia" w:ascii="仿宋_GB2312" w:hAnsi="瀹嬩綋" w:eastAsia="仿宋_GB2312" w:cs="仿宋_GB2312"/>
          <w:i w:val="0"/>
          <w:caps w:val="0"/>
          <w:color w:val="4E4342"/>
          <w:spacing w:val="0"/>
          <w:kern w:val="0"/>
          <w:sz w:val="32"/>
          <w:szCs w:val="32"/>
          <w:shd w:val="clear" w:fill="FFFFFF"/>
          <w:lang w:val="en-US" w:eastAsia="zh-CN" w:bidi="ar"/>
        </w:rPr>
        <w:t>16. 一般公共服务（类）党委办公厅（室）及相关机构事务（款）行政运行（项）:反映行政单位（包括实行公务员管理的事业单位）的基本支出。</w:t>
      </w:r>
    </w:p>
    <w:p>
      <w:pPr>
        <w:keepNext w:val="0"/>
        <w:keepLines w:val="0"/>
        <w:widowControl/>
        <w:suppressLineNumbers w:val="0"/>
        <w:shd w:val="clear" w:fill="FFFFFF"/>
        <w:spacing w:before="0" w:beforeAutospacing="0" w:after="0" w:afterAutospacing="0"/>
        <w:ind w:left="0" w:right="0" w:firstLine="640"/>
        <w:jc w:val="both"/>
        <w:rPr>
          <w:rFonts w:hint="default" w:ascii="瀹嬩綋" w:hAnsi="瀹嬩綋" w:eastAsia="瀹嬩綋" w:cs="瀹嬩綋"/>
          <w:i w:val="0"/>
          <w:caps w:val="0"/>
          <w:color w:val="4E4342"/>
          <w:spacing w:val="0"/>
          <w:sz w:val="21"/>
          <w:szCs w:val="21"/>
        </w:rPr>
      </w:pPr>
      <w:r>
        <w:rPr>
          <w:rFonts w:hint="eastAsia" w:ascii="仿宋_GB2312" w:hAnsi="瀹嬩綋" w:eastAsia="仿宋_GB2312" w:cs="仿宋_GB2312"/>
          <w:i w:val="0"/>
          <w:caps w:val="0"/>
          <w:color w:val="4E4342"/>
          <w:spacing w:val="0"/>
          <w:kern w:val="0"/>
          <w:sz w:val="32"/>
          <w:szCs w:val="32"/>
          <w:shd w:val="clear" w:fill="FFFFFF"/>
          <w:lang w:val="en-US" w:eastAsia="zh-CN" w:bidi="ar"/>
        </w:rPr>
        <w:t>17. 教育支出（类）普通教育（款）学前教育（项）: 反映各部门举办的学前教育支出。</w:t>
      </w:r>
    </w:p>
    <w:p>
      <w:pPr>
        <w:keepNext w:val="0"/>
        <w:keepLines w:val="0"/>
        <w:widowControl/>
        <w:suppressLineNumbers w:val="0"/>
        <w:shd w:val="clear" w:fill="FFFFFF"/>
        <w:spacing w:before="0" w:beforeAutospacing="0" w:after="0" w:afterAutospacing="0"/>
        <w:ind w:left="0" w:right="0" w:firstLine="640"/>
        <w:jc w:val="both"/>
        <w:rPr>
          <w:rFonts w:hint="default" w:ascii="瀹嬩綋" w:hAnsi="瀹嬩綋" w:eastAsia="瀹嬩綋" w:cs="瀹嬩綋"/>
          <w:i w:val="0"/>
          <w:caps w:val="0"/>
          <w:color w:val="4E4342"/>
          <w:spacing w:val="0"/>
          <w:sz w:val="21"/>
          <w:szCs w:val="21"/>
        </w:rPr>
      </w:pPr>
      <w:r>
        <w:rPr>
          <w:rFonts w:hint="eastAsia" w:ascii="仿宋_GB2312" w:hAnsi="瀹嬩綋" w:eastAsia="仿宋_GB2312" w:cs="仿宋_GB2312"/>
          <w:i w:val="0"/>
          <w:caps w:val="0"/>
          <w:color w:val="4E4342"/>
          <w:spacing w:val="0"/>
          <w:kern w:val="0"/>
          <w:sz w:val="32"/>
          <w:szCs w:val="32"/>
          <w:shd w:val="clear" w:fill="FFFFFF"/>
          <w:lang w:val="en-US" w:eastAsia="zh-CN" w:bidi="ar"/>
        </w:rPr>
        <w:t>18. 教育支出（类）普通教育（款）小学教育（项）：反映各部门举办的小学教育支出。</w:t>
      </w:r>
    </w:p>
    <w:p>
      <w:pPr>
        <w:keepNext w:val="0"/>
        <w:keepLines w:val="0"/>
        <w:widowControl/>
        <w:suppressLineNumbers w:val="0"/>
        <w:shd w:val="clear" w:fill="FFFFFF"/>
        <w:spacing w:before="0" w:beforeAutospacing="0" w:after="0" w:afterAutospacing="0"/>
        <w:ind w:left="0" w:right="0" w:firstLine="640"/>
        <w:jc w:val="both"/>
        <w:rPr>
          <w:rFonts w:hint="default" w:ascii="瀹嬩綋" w:hAnsi="瀹嬩綋" w:eastAsia="瀹嬩綋" w:cs="瀹嬩綋"/>
          <w:i w:val="0"/>
          <w:caps w:val="0"/>
          <w:color w:val="4E4342"/>
          <w:spacing w:val="0"/>
          <w:sz w:val="21"/>
          <w:szCs w:val="21"/>
        </w:rPr>
      </w:pPr>
      <w:r>
        <w:rPr>
          <w:rFonts w:hint="eastAsia" w:ascii="仿宋_GB2312" w:hAnsi="瀹嬩綋" w:eastAsia="仿宋_GB2312" w:cs="仿宋_GB2312"/>
          <w:i w:val="0"/>
          <w:caps w:val="0"/>
          <w:color w:val="4E4342"/>
          <w:spacing w:val="0"/>
          <w:kern w:val="0"/>
          <w:sz w:val="32"/>
          <w:szCs w:val="32"/>
          <w:shd w:val="clear" w:fill="FFFFFF"/>
          <w:lang w:val="en-US" w:eastAsia="zh-CN" w:bidi="ar"/>
        </w:rPr>
        <w:t>19. 教育支出（类）普通教育（款）初中教育（项）：反映各部门举办的初中教育支出。</w:t>
      </w:r>
    </w:p>
    <w:p>
      <w:pPr>
        <w:keepNext w:val="0"/>
        <w:keepLines w:val="0"/>
        <w:widowControl/>
        <w:suppressLineNumbers w:val="0"/>
        <w:shd w:val="clear" w:fill="FFFFFF"/>
        <w:spacing w:before="0" w:beforeAutospacing="0" w:after="0" w:afterAutospacing="0"/>
        <w:ind w:left="0" w:right="0" w:firstLine="640"/>
        <w:jc w:val="both"/>
        <w:rPr>
          <w:rFonts w:hint="default" w:ascii="瀹嬩綋" w:hAnsi="瀹嬩綋" w:eastAsia="瀹嬩綋" w:cs="瀹嬩綋"/>
          <w:i w:val="0"/>
          <w:caps w:val="0"/>
          <w:color w:val="4E4342"/>
          <w:spacing w:val="0"/>
          <w:sz w:val="21"/>
          <w:szCs w:val="21"/>
        </w:rPr>
      </w:pPr>
      <w:r>
        <w:rPr>
          <w:rFonts w:hint="eastAsia" w:ascii="仿宋_GB2312" w:hAnsi="瀹嬩綋" w:eastAsia="仿宋_GB2312" w:cs="仿宋_GB2312"/>
          <w:i w:val="0"/>
          <w:caps w:val="0"/>
          <w:color w:val="4E4342"/>
          <w:spacing w:val="0"/>
          <w:kern w:val="0"/>
          <w:sz w:val="32"/>
          <w:szCs w:val="32"/>
          <w:shd w:val="clear" w:fill="FFFFFF"/>
          <w:lang w:val="en-US" w:eastAsia="zh-CN" w:bidi="ar"/>
        </w:rPr>
        <w:t>20. 教育支出（类）普通教育（款）高中教育（项）：反映各部门举办的高中教育支出。</w:t>
      </w:r>
    </w:p>
    <w:p>
      <w:pPr>
        <w:keepNext w:val="0"/>
        <w:keepLines w:val="0"/>
        <w:widowControl/>
        <w:suppressLineNumbers w:val="0"/>
        <w:shd w:val="clear" w:fill="FFFFFF"/>
        <w:spacing w:before="0" w:beforeAutospacing="0" w:after="0" w:afterAutospacing="0"/>
        <w:ind w:left="0" w:right="0" w:firstLine="640"/>
        <w:jc w:val="both"/>
        <w:rPr>
          <w:rFonts w:hint="default" w:ascii="瀹嬩綋" w:hAnsi="瀹嬩綋" w:eastAsia="瀹嬩綋" w:cs="瀹嬩綋"/>
          <w:i w:val="0"/>
          <w:caps w:val="0"/>
          <w:color w:val="4E4342"/>
          <w:spacing w:val="0"/>
          <w:sz w:val="21"/>
          <w:szCs w:val="21"/>
        </w:rPr>
      </w:pPr>
      <w:r>
        <w:rPr>
          <w:rFonts w:hint="eastAsia" w:ascii="仿宋_GB2312" w:hAnsi="瀹嬩綋" w:eastAsia="仿宋_GB2312" w:cs="仿宋_GB2312"/>
          <w:i w:val="0"/>
          <w:caps w:val="0"/>
          <w:color w:val="4E4342"/>
          <w:spacing w:val="0"/>
          <w:kern w:val="0"/>
          <w:sz w:val="32"/>
          <w:szCs w:val="32"/>
          <w:shd w:val="clear" w:fill="FFFFFF"/>
          <w:lang w:val="en-US" w:eastAsia="zh-CN" w:bidi="ar"/>
        </w:rPr>
        <w:t>21. 教育支出（类）普通教育（款）其他普通教育支出（项）：反映除上述项目以外其他用于普通教育方面的支出。</w:t>
      </w:r>
    </w:p>
    <w:p>
      <w:pPr>
        <w:keepNext w:val="0"/>
        <w:keepLines w:val="0"/>
        <w:widowControl/>
        <w:suppressLineNumbers w:val="0"/>
        <w:shd w:val="clear" w:fill="FFFFFF"/>
        <w:spacing w:before="0" w:beforeAutospacing="0" w:after="0" w:afterAutospacing="0"/>
        <w:ind w:left="0" w:right="0" w:firstLine="640"/>
        <w:jc w:val="both"/>
        <w:rPr>
          <w:rFonts w:hint="default" w:ascii="瀹嬩綋" w:hAnsi="瀹嬩綋" w:eastAsia="瀹嬩綋" w:cs="瀹嬩綋"/>
          <w:i w:val="0"/>
          <w:caps w:val="0"/>
          <w:color w:val="4E4342"/>
          <w:spacing w:val="0"/>
          <w:sz w:val="21"/>
          <w:szCs w:val="21"/>
        </w:rPr>
      </w:pPr>
      <w:r>
        <w:rPr>
          <w:rFonts w:hint="eastAsia" w:ascii="仿宋_GB2312" w:hAnsi="瀹嬩綋" w:eastAsia="仿宋_GB2312" w:cs="仿宋_GB2312"/>
          <w:i w:val="0"/>
          <w:caps w:val="0"/>
          <w:color w:val="4E4342"/>
          <w:spacing w:val="0"/>
          <w:kern w:val="0"/>
          <w:sz w:val="32"/>
          <w:szCs w:val="32"/>
          <w:shd w:val="clear" w:fill="FFFFFF"/>
          <w:lang w:val="en-US" w:eastAsia="zh-CN" w:bidi="ar"/>
        </w:rPr>
        <w:t>22. 教育支出（类）其他教育支出（款）其他教育支出（项）：反映除上述项目以外其他用于教育方面的支出。</w:t>
      </w:r>
    </w:p>
    <w:p>
      <w:pPr>
        <w:keepNext w:val="0"/>
        <w:keepLines w:val="0"/>
        <w:widowControl/>
        <w:suppressLineNumbers w:val="0"/>
        <w:shd w:val="clear" w:fill="FFFFFF"/>
        <w:spacing w:before="0" w:beforeAutospacing="0" w:after="0" w:afterAutospacing="0"/>
        <w:ind w:left="0" w:right="0" w:firstLine="640"/>
        <w:jc w:val="both"/>
        <w:rPr>
          <w:rFonts w:hint="default" w:ascii="瀹嬩綋" w:hAnsi="瀹嬩綋" w:eastAsia="瀹嬩綋" w:cs="瀹嬩綋"/>
          <w:i w:val="0"/>
          <w:caps w:val="0"/>
          <w:color w:val="4E4342"/>
          <w:spacing w:val="0"/>
          <w:sz w:val="21"/>
          <w:szCs w:val="21"/>
        </w:rPr>
      </w:pPr>
      <w:r>
        <w:rPr>
          <w:rFonts w:hint="eastAsia" w:ascii="仿宋_GB2312" w:hAnsi="瀹嬩綋" w:eastAsia="仿宋_GB2312" w:cs="仿宋_GB2312"/>
          <w:i w:val="0"/>
          <w:caps w:val="0"/>
          <w:color w:val="4E4342"/>
          <w:spacing w:val="0"/>
          <w:kern w:val="0"/>
          <w:sz w:val="32"/>
          <w:szCs w:val="32"/>
          <w:shd w:val="clear" w:fill="FFFFFF"/>
          <w:lang w:val="en-US" w:eastAsia="zh-CN" w:bidi="ar"/>
        </w:rPr>
        <w:t>23. 文化体育与传媒支出（类）文化（款）群众文化（项）：反映群众文化方面的支出，包括基层文化馆（站）、群众艺术馆支出等。</w:t>
      </w:r>
    </w:p>
    <w:p>
      <w:pPr>
        <w:keepNext w:val="0"/>
        <w:keepLines w:val="0"/>
        <w:widowControl/>
        <w:suppressLineNumbers w:val="0"/>
        <w:shd w:val="clear" w:fill="FFFFFF"/>
        <w:spacing w:before="0" w:beforeAutospacing="0" w:after="0" w:afterAutospacing="0"/>
        <w:ind w:left="0" w:right="0" w:firstLine="640"/>
        <w:jc w:val="both"/>
        <w:rPr>
          <w:rFonts w:hint="default" w:ascii="瀹嬩綋" w:hAnsi="瀹嬩綋" w:eastAsia="瀹嬩綋" w:cs="瀹嬩綋"/>
          <w:i w:val="0"/>
          <w:caps w:val="0"/>
          <w:color w:val="4E4342"/>
          <w:spacing w:val="0"/>
          <w:sz w:val="21"/>
          <w:szCs w:val="21"/>
        </w:rPr>
      </w:pPr>
      <w:r>
        <w:rPr>
          <w:rFonts w:hint="eastAsia" w:ascii="仿宋_GB2312" w:hAnsi="瀹嬩綋" w:eastAsia="仿宋_GB2312" w:cs="仿宋_GB2312"/>
          <w:i w:val="0"/>
          <w:caps w:val="0"/>
          <w:color w:val="4E4342"/>
          <w:spacing w:val="0"/>
          <w:kern w:val="0"/>
          <w:sz w:val="32"/>
          <w:szCs w:val="32"/>
          <w:shd w:val="clear" w:fill="FFFFFF"/>
          <w:lang w:val="en-US" w:eastAsia="zh-CN" w:bidi="ar"/>
        </w:rPr>
        <w:t>24. 文化体育与传媒支出（类）文化（款）其他文化支出（项）：反映除上述项目以外其他用于文化方面的支出。</w:t>
      </w:r>
    </w:p>
    <w:p>
      <w:pPr>
        <w:keepNext w:val="0"/>
        <w:keepLines w:val="0"/>
        <w:widowControl/>
        <w:suppressLineNumbers w:val="0"/>
        <w:shd w:val="clear" w:fill="FFFFFF"/>
        <w:spacing w:before="0" w:beforeAutospacing="0" w:after="0" w:afterAutospacing="0"/>
        <w:ind w:left="0" w:right="0" w:firstLine="640"/>
        <w:jc w:val="both"/>
        <w:rPr>
          <w:rFonts w:hint="default" w:ascii="瀹嬩綋" w:hAnsi="瀹嬩綋" w:eastAsia="瀹嬩綋" w:cs="瀹嬩綋"/>
          <w:i w:val="0"/>
          <w:caps w:val="0"/>
          <w:color w:val="4E4342"/>
          <w:spacing w:val="0"/>
          <w:sz w:val="21"/>
          <w:szCs w:val="21"/>
        </w:rPr>
      </w:pPr>
      <w:r>
        <w:rPr>
          <w:rFonts w:hint="eastAsia" w:ascii="仿宋_GB2312" w:hAnsi="瀹嬩綋" w:eastAsia="仿宋_GB2312" w:cs="仿宋_GB2312"/>
          <w:i w:val="0"/>
          <w:caps w:val="0"/>
          <w:color w:val="4E4342"/>
          <w:spacing w:val="0"/>
          <w:kern w:val="0"/>
          <w:sz w:val="32"/>
          <w:szCs w:val="32"/>
          <w:shd w:val="clear" w:fill="FFFFFF"/>
          <w:lang w:val="en-US" w:eastAsia="zh-CN" w:bidi="ar"/>
        </w:rPr>
        <w:t>25. 社会保障和就业支出（类）人力资源和社会保障管理事务（款）社会保险经办机构（项）：反映社会保险经办机构开展业务工作的支出。</w:t>
      </w:r>
    </w:p>
    <w:p>
      <w:pPr>
        <w:keepNext w:val="0"/>
        <w:keepLines w:val="0"/>
        <w:widowControl/>
        <w:suppressLineNumbers w:val="0"/>
        <w:shd w:val="clear" w:fill="FFFFFF"/>
        <w:spacing w:before="0" w:beforeAutospacing="0" w:after="0" w:afterAutospacing="0"/>
        <w:ind w:left="0" w:right="0" w:firstLine="640"/>
        <w:jc w:val="both"/>
        <w:rPr>
          <w:rFonts w:hint="default" w:ascii="瀹嬩綋" w:hAnsi="瀹嬩綋" w:eastAsia="瀹嬩綋" w:cs="瀹嬩綋"/>
          <w:i w:val="0"/>
          <w:caps w:val="0"/>
          <w:color w:val="4E4342"/>
          <w:spacing w:val="0"/>
          <w:sz w:val="21"/>
          <w:szCs w:val="21"/>
        </w:rPr>
      </w:pPr>
      <w:r>
        <w:rPr>
          <w:rFonts w:hint="eastAsia" w:ascii="仿宋_GB2312" w:hAnsi="瀹嬩綋" w:eastAsia="仿宋_GB2312" w:cs="仿宋_GB2312"/>
          <w:i w:val="0"/>
          <w:caps w:val="0"/>
          <w:color w:val="4E4342"/>
          <w:spacing w:val="0"/>
          <w:kern w:val="0"/>
          <w:sz w:val="32"/>
          <w:szCs w:val="32"/>
          <w:shd w:val="clear" w:fill="FFFFFF"/>
          <w:lang w:val="en-US" w:eastAsia="zh-CN" w:bidi="ar"/>
        </w:rPr>
        <w:t>26. 社会保障和就业支出（类）行政事业单位离退休（款）</w:t>
      </w:r>
    </w:p>
    <w:p>
      <w:pPr>
        <w:keepNext w:val="0"/>
        <w:keepLines w:val="0"/>
        <w:widowControl/>
        <w:suppressLineNumbers w:val="0"/>
        <w:shd w:val="clear" w:fill="FFFFFF"/>
        <w:spacing w:before="0" w:beforeAutospacing="0" w:after="0" w:afterAutospacing="0"/>
        <w:ind w:left="0" w:right="0" w:firstLine="0"/>
        <w:jc w:val="both"/>
        <w:rPr>
          <w:rFonts w:hint="default" w:ascii="瀹嬩綋" w:hAnsi="瀹嬩綋" w:eastAsia="瀹嬩綋" w:cs="瀹嬩綋"/>
          <w:i w:val="0"/>
          <w:caps w:val="0"/>
          <w:color w:val="4E4342"/>
          <w:spacing w:val="0"/>
          <w:sz w:val="21"/>
          <w:szCs w:val="21"/>
        </w:rPr>
      </w:pPr>
      <w:r>
        <w:rPr>
          <w:rFonts w:hint="eastAsia" w:ascii="仿宋_GB2312" w:hAnsi="瀹嬩綋" w:eastAsia="仿宋_GB2312" w:cs="仿宋_GB2312"/>
          <w:i w:val="0"/>
          <w:caps w:val="0"/>
          <w:color w:val="4E4342"/>
          <w:spacing w:val="0"/>
          <w:kern w:val="0"/>
          <w:sz w:val="32"/>
          <w:szCs w:val="32"/>
          <w:shd w:val="clear" w:fill="FFFFFF"/>
          <w:lang w:val="en-US" w:eastAsia="zh-CN" w:bidi="ar"/>
        </w:rPr>
        <w:t>机关事业单位基本养老保险缴费支出（项）：反映机关事业单位实施养老保险制度由单位缴纳的基本养老保险费支出。</w:t>
      </w:r>
    </w:p>
    <w:p>
      <w:pPr>
        <w:keepNext w:val="0"/>
        <w:keepLines w:val="0"/>
        <w:widowControl/>
        <w:suppressLineNumbers w:val="0"/>
        <w:shd w:val="clear" w:fill="FFFFFF"/>
        <w:spacing w:before="0" w:beforeAutospacing="0" w:after="0" w:afterAutospacing="0"/>
        <w:ind w:left="0" w:right="0" w:firstLine="640"/>
        <w:jc w:val="both"/>
        <w:rPr>
          <w:rFonts w:hint="default" w:ascii="瀹嬩綋" w:hAnsi="瀹嬩綋" w:eastAsia="瀹嬩綋" w:cs="瀹嬩綋"/>
          <w:i w:val="0"/>
          <w:caps w:val="0"/>
          <w:color w:val="4E4342"/>
          <w:spacing w:val="0"/>
          <w:sz w:val="21"/>
          <w:szCs w:val="21"/>
        </w:rPr>
      </w:pPr>
      <w:r>
        <w:rPr>
          <w:rFonts w:hint="eastAsia" w:ascii="仿宋_GB2312" w:hAnsi="瀹嬩綋" w:eastAsia="仿宋_GB2312" w:cs="仿宋_GB2312"/>
          <w:i w:val="0"/>
          <w:caps w:val="0"/>
          <w:color w:val="4E4342"/>
          <w:spacing w:val="0"/>
          <w:kern w:val="0"/>
          <w:sz w:val="32"/>
          <w:szCs w:val="32"/>
          <w:shd w:val="clear" w:fill="FFFFFF"/>
          <w:lang w:val="en-US" w:eastAsia="zh-CN" w:bidi="ar"/>
        </w:rPr>
        <w:t>27. 医疗卫生与计划生育支出（类）医疗卫生与计划生育管理事务（款）行政运行（项）：反映行政单位（包括实行公务员管理的事业单位）的基本支出。</w:t>
      </w:r>
    </w:p>
    <w:p>
      <w:pPr>
        <w:keepNext w:val="0"/>
        <w:keepLines w:val="0"/>
        <w:widowControl/>
        <w:suppressLineNumbers w:val="0"/>
        <w:shd w:val="clear" w:fill="FFFFFF"/>
        <w:spacing w:before="0" w:beforeAutospacing="0" w:after="0" w:afterAutospacing="0"/>
        <w:ind w:left="0" w:right="0" w:firstLine="640"/>
        <w:jc w:val="both"/>
        <w:rPr>
          <w:rFonts w:hint="default" w:ascii="瀹嬩綋" w:hAnsi="瀹嬩綋" w:eastAsia="瀹嬩綋" w:cs="瀹嬩綋"/>
          <w:i w:val="0"/>
          <w:caps w:val="0"/>
          <w:color w:val="4E4342"/>
          <w:spacing w:val="0"/>
          <w:sz w:val="21"/>
          <w:szCs w:val="21"/>
        </w:rPr>
      </w:pPr>
      <w:r>
        <w:rPr>
          <w:rFonts w:hint="eastAsia" w:ascii="仿宋_GB2312" w:hAnsi="瀹嬩綋" w:eastAsia="仿宋_GB2312" w:cs="仿宋_GB2312"/>
          <w:i w:val="0"/>
          <w:caps w:val="0"/>
          <w:color w:val="4E4342"/>
          <w:spacing w:val="0"/>
          <w:kern w:val="0"/>
          <w:sz w:val="32"/>
          <w:szCs w:val="32"/>
          <w:shd w:val="clear" w:fill="FFFFFF"/>
          <w:lang w:val="en-US" w:eastAsia="zh-CN" w:bidi="ar"/>
        </w:rPr>
        <w:t>28. 医疗卫生与计划生育支出（类）基层医疗卫生机构（款）乡镇卫生院（项）：反映用于乡镇卫生院的支出。</w:t>
      </w:r>
    </w:p>
    <w:p>
      <w:pPr>
        <w:keepNext w:val="0"/>
        <w:keepLines w:val="0"/>
        <w:widowControl/>
        <w:suppressLineNumbers w:val="0"/>
        <w:shd w:val="clear" w:fill="FFFFFF"/>
        <w:spacing w:before="0" w:beforeAutospacing="0" w:after="0" w:afterAutospacing="0"/>
        <w:ind w:left="0" w:right="0" w:firstLine="640"/>
        <w:jc w:val="both"/>
        <w:rPr>
          <w:rFonts w:hint="eastAsia" w:ascii="仿宋_GB2312" w:hAnsi="瀹嬩綋" w:eastAsia="仿宋_GB2312" w:cs="仿宋_GB2312"/>
          <w:i w:val="0"/>
          <w:caps w:val="0"/>
          <w:color w:val="4E4342"/>
          <w:spacing w:val="0"/>
          <w:kern w:val="0"/>
          <w:sz w:val="32"/>
          <w:szCs w:val="32"/>
          <w:shd w:val="clear" w:fill="FFFFFF"/>
          <w:lang w:val="en-US" w:eastAsia="zh-CN" w:bidi="ar"/>
        </w:rPr>
      </w:pPr>
      <w:r>
        <w:rPr>
          <w:rFonts w:hint="eastAsia" w:ascii="仿宋_GB2312" w:hAnsi="瀹嬩綋" w:eastAsia="仿宋_GB2312" w:cs="仿宋_GB2312"/>
          <w:i w:val="0"/>
          <w:caps w:val="0"/>
          <w:color w:val="4E4342"/>
          <w:spacing w:val="0"/>
          <w:kern w:val="0"/>
          <w:sz w:val="32"/>
          <w:szCs w:val="32"/>
          <w:shd w:val="clear" w:fill="FFFFFF"/>
          <w:lang w:val="en-US" w:eastAsia="zh-CN" w:bidi="ar"/>
        </w:rPr>
        <w:t>29. 医疗卫生与计划生育支出（类）基层医疗卫生机构（款）其他基层医疗卫生机构支出（项）：反映除上述项目以外其他用于基层医疗卫生机构的支出。</w:t>
      </w:r>
    </w:p>
    <w:p>
      <w:pPr>
        <w:keepNext w:val="0"/>
        <w:keepLines w:val="0"/>
        <w:widowControl/>
        <w:suppressLineNumbers w:val="0"/>
        <w:shd w:val="clear" w:fill="FFFFFF"/>
        <w:spacing w:before="0" w:beforeAutospacing="0" w:after="0" w:afterAutospacing="0"/>
        <w:ind w:left="0" w:right="0" w:firstLine="640"/>
        <w:jc w:val="both"/>
        <w:rPr>
          <w:rFonts w:hint="default" w:ascii="瀹嬩綋" w:hAnsi="瀹嬩綋" w:eastAsia="瀹嬩綋" w:cs="瀹嬩綋"/>
          <w:i w:val="0"/>
          <w:caps w:val="0"/>
          <w:color w:val="4E4342"/>
          <w:spacing w:val="0"/>
          <w:sz w:val="21"/>
          <w:szCs w:val="21"/>
        </w:rPr>
      </w:pPr>
      <w:r>
        <w:rPr>
          <w:rFonts w:hint="eastAsia" w:ascii="仿宋_GB2312" w:hAnsi="瀹嬩綋" w:eastAsia="仿宋_GB2312" w:cs="仿宋_GB2312"/>
          <w:i w:val="0"/>
          <w:caps w:val="0"/>
          <w:color w:val="4E4342"/>
          <w:spacing w:val="0"/>
          <w:kern w:val="0"/>
          <w:sz w:val="32"/>
          <w:szCs w:val="32"/>
          <w:shd w:val="clear" w:fill="FFFFFF"/>
          <w:lang w:val="en-US" w:eastAsia="zh-CN" w:bidi="ar"/>
        </w:rPr>
        <w:t>30. 医疗卫生与计划生育支出（类）公共卫生（款）</w:t>
      </w:r>
    </w:p>
    <w:p>
      <w:pPr>
        <w:keepNext w:val="0"/>
        <w:keepLines w:val="0"/>
        <w:widowControl/>
        <w:suppressLineNumbers w:val="0"/>
        <w:shd w:val="clear" w:fill="FFFFFF"/>
        <w:spacing w:before="0" w:beforeAutospacing="0" w:after="0" w:afterAutospacing="0"/>
        <w:ind w:left="0" w:right="0" w:firstLine="0"/>
        <w:jc w:val="both"/>
        <w:rPr>
          <w:rFonts w:hint="eastAsia" w:ascii="仿宋_GB2312" w:hAnsi="瀹嬩綋" w:eastAsia="仿宋_GB2312" w:cs="仿宋_GB2312"/>
          <w:i w:val="0"/>
          <w:caps w:val="0"/>
          <w:color w:val="4E4342"/>
          <w:spacing w:val="0"/>
          <w:kern w:val="0"/>
          <w:sz w:val="32"/>
          <w:szCs w:val="32"/>
          <w:shd w:val="clear" w:fill="FFFFFF"/>
          <w:lang w:val="en-US" w:eastAsia="zh-CN" w:bidi="ar"/>
        </w:rPr>
      </w:pPr>
      <w:r>
        <w:rPr>
          <w:rFonts w:hint="eastAsia" w:ascii="仿宋_GB2312" w:hAnsi="瀹嬩綋" w:eastAsia="仿宋_GB2312" w:cs="仿宋_GB2312"/>
          <w:i w:val="0"/>
          <w:caps w:val="0"/>
          <w:color w:val="4E4342"/>
          <w:spacing w:val="0"/>
          <w:kern w:val="0"/>
          <w:sz w:val="32"/>
          <w:szCs w:val="32"/>
          <w:shd w:val="clear" w:fill="FFFFFF"/>
          <w:lang w:val="en-US" w:eastAsia="zh-CN" w:bidi="ar"/>
        </w:rPr>
        <w:t>基本公共卫生服务（项）：反映基本公共卫生服务支出。</w:t>
      </w:r>
    </w:p>
    <w:p>
      <w:pPr>
        <w:keepNext w:val="0"/>
        <w:keepLines w:val="0"/>
        <w:widowControl/>
        <w:suppressLineNumbers w:val="0"/>
        <w:shd w:val="clear" w:fill="FFFFFF"/>
        <w:spacing w:before="0" w:beforeAutospacing="0" w:after="0" w:afterAutospacing="0"/>
        <w:ind w:left="0" w:right="0" w:firstLine="640" w:firstLineChars="200"/>
        <w:jc w:val="both"/>
        <w:rPr>
          <w:rFonts w:hint="default" w:ascii="瀹嬩綋" w:hAnsi="瀹嬩綋" w:eastAsia="瀹嬩綋" w:cs="瀹嬩綋"/>
          <w:i w:val="0"/>
          <w:caps w:val="0"/>
          <w:color w:val="4E4342"/>
          <w:spacing w:val="0"/>
          <w:sz w:val="21"/>
          <w:szCs w:val="21"/>
        </w:rPr>
      </w:pPr>
      <w:r>
        <w:rPr>
          <w:rFonts w:hint="eastAsia" w:ascii="仿宋_GB2312" w:hAnsi="瀹嬩綋" w:eastAsia="仿宋_GB2312" w:cs="仿宋_GB2312"/>
          <w:i w:val="0"/>
          <w:caps w:val="0"/>
          <w:color w:val="4E4342"/>
          <w:spacing w:val="0"/>
          <w:kern w:val="0"/>
          <w:sz w:val="32"/>
          <w:szCs w:val="32"/>
          <w:shd w:val="clear" w:fill="FFFFFF"/>
          <w:lang w:val="en-US" w:eastAsia="zh-CN" w:bidi="ar"/>
        </w:rPr>
        <w:t>31.医疗卫生与计划生育支出（类）计划生育事务（款）</w:t>
      </w:r>
    </w:p>
    <w:p>
      <w:pPr>
        <w:keepNext w:val="0"/>
        <w:keepLines w:val="0"/>
        <w:widowControl/>
        <w:suppressLineNumbers w:val="0"/>
        <w:shd w:val="clear" w:fill="FFFFFF"/>
        <w:spacing w:before="0" w:beforeAutospacing="0" w:after="0" w:afterAutospacing="0"/>
        <w:ind w:left="0" w:right="0" w:firstLine="0"/>
        <w:jc w:val="both"/>
        <w:rPr>
          <w:rFonts w:hint="eastAsia" w:ascii="仿宋_GB2312" w:hAnsi="瀹嬩綋" w:eastAsia="仿宋_GB2312" w:cs="仿宋_GB2312"/>
          <w:i w:val="0"/>
          <w:caps w:val="0"/>
          <w:color w:val="4E4342"/>
          <w:spacing w:val="0"/>
          <w:kern w:val="0"/>
          <w:sz w:val="32"/>
          <w:szCs w:val="32"/>
          <w:shd w:val="clear" w:fill="FFFFFF"/>
          <w:lang w:val="en-US" w:eastAsia="zh-CN" w:bidi="ar"/>
        </w:rPr>
      </w:pPr>
      <w:r>
        <w:rPr>
          <w:rFonts w:hint="eastAsia" w:ascii="仿宋_GB2312" w:hAnsi="瀹嬩綋" w:eastAsia="仿宋_GB2312" w:cs="仿宋_GB2312"/>
          <w:i w:val="0"/>
          <w:caps w:val="0"/>
          <w:color w:val="4E4342"/>
          <w:spacing w:val="0"/>
          <w:kern w:val="0"/>
          <w:sz w:val="32"/>
          <w:szCs w:val="32"/>
          <w:shd w:val="clear" w:fill="FFFFFF"/>
          <w:lang w:val="en-US" w:eastAsia="zh-CN" w:bidi="ar"/>
        </w:rPr>
        <w:t>计划生育服务（项）：反映计划生育服务支出。</w:t>
      </w:r>
    </w:p>
    <w:p>
      <w:pPr>
        <w:keepNext w:val="0"/>
        <w:keepLines w:val="0"/>
        <w:widowControl/>
        <w:suppressLineNumbers w:val="0"/>
        <w:shd w:val="clear" w:fill="FFFFFF"/>
        <w:spacing w:before="0" w:beforeAutospacing="0" w:after="0" w:afterAutospacing="0"/>
        <w:ind w:left="0" w:right="0" w:firstLine="640" w:firstLineChars="200"/>
        <w:jc w:val="both"/>
        <w:rPr>
          <w:rFonts w:hint="default" w:ascii="瀹嬩綋" w:hAnsi="瀹嬩綋" w:eastAsia="瀹嬩綋" w:cs="瀹嬩綋"/>
          <w:i w:val="0"/>
          <w:caps w:val="0"/>
          <w:color w:val="4E4342"/>
          <w:spacing w:val="0"/>
          <w:sz w:val="21"/>
          <w:szCs w:val="21"/>
        </w:rPr>
      </w:pPr>
      <w:r>
        <w:rPr>
          <w:rFonts w:hint="eastAsia" w:ascii="仿宋_GB2312" w:hAnsi="瀹嬩綋" w:eastAsia="仿宋_GB2312" w:cs="仿宋_GB2312"/>
          <w:i w:val="0"/>
          <w:caps w:val="0"/>
          <w:color w:val="4E4342"/>
          <w:spacing w:val="0"/>
          <w:kern w:val="0"/>
          <w:sz w:val="32"/>
          <w:szCs w:val="32"/>
          <w:shd w:val="clear" w:fill="FFFFFF"/>
          <w:lang w:val="en-US" w:eastAsia="zh-CN" w:bidi="ar"/>
        </w:rPr>
        <w:t>32.医疗卫生与计划生育支出（类）财政对基本医疗保险基金的补助（款）财政对城乡居民基本医疗保险基金的补助（项）：反映财政对已将新型农村合作医疗基金和城镇居民基本医疗保险基金整合为城乡居民基本医疗保险基金的补助支出。</w:t>
      </w:r>
    </w:p>
    <w:p>
      <w:pPr>
        <w:keepNext w:val="0"/>
        <w:keepLines w:val="0"/>
        <w:widowControl/>
        <w:suppressLineNumbers w:val="0"/>
        <w:shd w:val="clear" w:fill="FFFFFF"/>
        <w:spacing w:before="0" w:beforeAutospacing="0" w:after="0" w:afterAutospacing="0"/>
        <w:ind w:left="0" w:right="0" w:firstLine="640"/>
        <w:jc w:val="both"/>
        <w:rPr>
          <w:rFonts w:hint="default" w:ascii="瀹嬩綋" w:hAnsi="瀹嬩綋" w:eastAsia="瀹嬩綋" w:cs="瀹嬩綋"/>
          <w:i w:val="0"/>
          <w:caps w:val="0"/>
          <w:color w:val="4E4342"/>
          <w:spacing w:val="0"/>
          <w:sz w:val="21"/>
          <w:szCs w:val="21"/>
        </w:rPr>
      </w:pPr>
      <w:r>
        <w:rPr>
          <w:rFonts w:hint="eastAsia" w:ascii="仿宋_GB2312" w:hAnsi="瀹嬩綋" w:eastAsia="仿宋_GB2312" w:cs="仿宋_GB2312"/>
          <w:i w:val="0"/>
          <w:caps w:val="0"/>
          <w:color w:val="4E4342"/>
          <w:spacing w:val="0"/>
          <w:kern w:val="0"/>
          <w:sz w:val="32"/>
          <w:szCs w:val="32"/>
          <w:shd w:val="clear" w:fill="FFFFFF"/>
          <w:lang w:val="en-US" w:eastAsia="zh-CN" w:bidi="ar"/>
        </w:rPr>
        <w:t>33.城乡社区支出（类）城乡社区规划与管理（款）城乡社区规划与管理（项）: 指反映城乡社区、名胜风景区、防灾减灾、历史名城规划制定与管理等方面的支出。</w:t>
      </w:r>
    </w:p>
    <w:p>
      <w:pPr>
        <w:keepNext w:val="0"/>
        <w:keepLines w:val="0"/>
        <w:widowControl/>
        <w:suppressLineNumbers w:val="0"/>
        <w:shd w:val="clear" w:fill="FFFFFF"/>
        <w:spacing w:before="0" w:beforeAutospacing="0" w:after="0" w:afterAutospacing="0"/>
        <w:ind w:left="0" w:right="0" w:firstLine="640"/>
        <w:jc w:val="both"/>
        <w:rPr>
          <w:rFonts w:hint="default" w:ascii="瀹嬩綋" w:hAnsi="瀹嬩綋" w:eastAsia="瀹嬩綋" w:cs="瀹嬩綋"/>
          <w:i w:val="0"/>
          <w:caps w:val="0"/>
          <w:color w:val="4E4342"/>
          <w:spacing w:val="0"/>
          <w:sz w:val="21"/>
          <w:szCs w:val="21"/>
        </w:rPr>
      </w:pPr>
      <w:r>
        <w:rPr>
          <w:rFonts w:hint="eastAsia" w:ascii="仿宋_GB2312" w:hAnsi="瀹嬩綋" w:eastAsia="仿宋_GB2312" w:cs="仿宋_GB2312"/>
          <w:i w:val="0"/>
          <w:caps w:val="0"/>
          <w:color w:val="4E4342"/>
          <w:spacing w:val="0"/>
          <w:kern w:val="0"/>
          <w:sz w:val="32"/>
          <w:szCs w:val="32"/>
          <w:shd w:val="clear" w:fill="FFFFFF"/>
          <w:lang w:val="en-US" w:eastAsia="zh-CN" w:bidi="ar"/>
        </w:rPr>
        <w:t>34.城乡社区支出（类）城乡社区公共设施（款） 其他城乡社区公共设施支出（项）：反映除上述项目以外其他用于城乡社区公共设施的支出。</w:t>
      </w:r>
    </w:p>
    <w:p>
      <w:pPr>
        <w:keepNext w:val="0"/>
        <w:keepLines w:val="0"/>
        <w:widowControl/>
        <w:suppressLineNumbers w:val="0"/>
        <w:shd w:val="clear" w:fill="FFFFFF"/>
        <w:spacing w:before="0" w:beforeAutospacing="0" w:after="0" w:afterAutospacing="0"/>
        <w:ind w:left="0" w:right="0" w:firstLine="640"/>
        <w:jc w:val="both"/>
        <w:rPr>
          <w:rFonts w:hint="default" w:ascii="瀹嬩綋" w:hAnsi="瀹嬩綋" w:eastAsia="瀹嬩綋" w:cs="瀹嬩綋"/>
          <w:i w:val="0"/>
          <w:caps w:val="0"/>
          <w:color w:val="4E4342"/>
          <w:spacing w:val="0"/>
          <w:sz w:val="21"/>
          <w:szCs w:val="21"/>
        </w:rPr>
      </w:pPr>
      <w:r>
        <w:rPr>
          <w:rFonts w:hint="eastAsia" w:ascii="仿宋_GB2312" w:hAnsi="瀹嬩綋" w:eastAsia="仿宋_GB2312" w:cs="仿宋_GB2312"/>
          <w:i w:val="0"/>
          <w:caps w:val="0"/>
          <w:color w:val="4E4342"/>
          <w:spacing w:val="0"/>
          <w:kern w:val="0"/>
          <w:sz w:val="32"/>
          <w:szCs w:val="32"/>
          <w:shd w:val="clear" w:fill="FFFFFF"/>
          <w:lang w:val="en-US" w:eastAsia="zh-CN" w:bidi="ar"/>
        </w:rPr>
        <w:t>35. 农林水支出（类）农业（款） 事业运行（项）：反映用于农业事业单位基本支出，事业单位设施、系统运行与资产维护等方面的支出。</w:t>
      </w:r>
    </w:p>
    <w:p>
      <w:pPr>
        <w:keepNext w:val="0"/>
        <w:keepLines w:val="0"/>
        <w:widowControl/>
        <w:suppressLineNumbers w:val="0"/>
        <w:shd w:val="clear" w:fill="FFFFFF"/>
        <w:spacing w:before="0" w:beforeAutospacing="0" w:after="0" w:afterAutospacing="0"/>
        <w:ind w:left="0" w:right="0" w:firstLine="640"/>
        <w:jc w:val="both"/>
        <w:rPr>
          <w:rFonts w:hint="default" w:ascii="瀹嬩綋" w:hAnsi="瀹嬩綋" w:eastAsia="瀹嬩綋" w:cs="瀹嬩綋"/>
          <w:i w:val="0"/>
          <w:caps w:val="0"/>
          <w:color w:val="4E4342"/>
          <w:spacing w:val="0"/>
          <w:sz w:val="21"/>
          <w:szCs w:val="21"/>
        </w:rPr>
      </w:pPr>
      <w:r>
        <w:rPr>
          <w:rFonts w:hint="eastAsia" w:ascii="仿宋_GB2312" w:hAnsi="瀹嬩綋" w:eastAsia="仿宋_GB2312" w:cs="仿宋_GB2312"/>
          <w:i w:val="0"/>
          <w:caps w:val="0"/>
          <w:color w:val="4E4342"/>
          <w:spacing w:val="0"/>
          <w:kern w:val="0"/>
          <w:sz w:val="32"/>
          <w:szCs w:val="32"/>
          <w:shd w:val="clear" w:fill="FFFFFF"/>
          <w:lang w:val="en-US" w:eastAsia="zh-CN" w:bidi="ar"/>
        </w:rPr>
        <w:t>36. 农林水支出（类）农业（款）农业生产支持补贴（项）：反映对种粮农民直接补贴，对农业生产资料补贴、技术物化补贴，推广先进适用农机农艺技术等方面的支出。</w:t>
      </w:r>
    </w:p>
    <w:p>
      <w:pPr>
        <w:keepNext w:val="0"/>
        <w:keepLines w:val="0"/>
        <w:widowControl/>
        <w:suppressLineNumbers w:val="0"/>
        <w:shd w:val="clear" w:fill="FFFFFF"/>
        <w:spacing w:before="0" w:beforeAutospacing="0" w:after="0" w:afterAutospacing="0"/>
        <w:ind w:left="0" w:right="0" w:firstLine="640"/>
        <w:jc w:val="both"/>
        <w:rPr>
          <w:rFonts w:hint="default" w:ascii="瀹嬩綋" w:hAnsi="瀹嬩綋" w:eastAsia="瀹嬩綋" w:cs="瀹嬩綋"/>
          <w:i w:val="0"/>
          <w:caps w:val="0"/>
          <w:color w:val="4E4342"/>
          <w:spacing w:val="0"/>
          <w:sz w:val="21"/>
          <w:szCs w:val="21"/>
        </w:rPr>
      </w:pPr>
      <w:r>
        <w:rPr>
          <w:rFonts w:hint="eastAsia" w:ascii="仿宋_GB2312" w:hAnsi="瀹嬩綋" w:eastAsia="仿宋_GB2312" w:cs="仿宋_GB2312"/>
          <w:i w:val="0"/>
          <w:caps w:val="0"/>
          <w:color w:val="4E4342"/>
          <w:spacing w:val="0"/>
          <w:kern w:val="0"/>
          <w:sz w:val="32"/>
          <w:szCs w:val="32"/>
          <w:shd w:val="clear" w:fill="FFFFFF"/>
          <w:lang w:val="en-US" w:eastAsia="zh-CN" w:bidi="ar"/>
        </w:rPr>
        <w:t>37. 农林水支出（类）农业（款）农村道路建设（项）：反映用于农村公路、乡村道路建设方面的支出。</w:t>
      </w:r>
    </w:p>
    <w:p>
      <w:pPr>
        <w:keepNext w:val="0"/>
        <w:keepLines w:val="0"/>
        <w:widowControl/>
        <w:suppressLineNumbers w:val="0"/>
        <w:shd w:val="clear" w:fill="FFFFFF"/>
        <w:spacing w:before="0" w:beforeAutospacing="0" w:after="0" w:afterAutospacing="0"/>
        <w:ind w:left="0" w:right="0" w:firstLine="640"/>
        <w:jc w:val="both"/>
        <w:rPr>
          <w:rFonts w:hint="default" w:ascii="瀹嬩綋" w:hAnsi="瀹嬩綋" w:eastAsia="瀹嬩綋" w:cs="瀹嬩綋"/>
          <w:i w:val="0"/>
          <w:caps w:val="0"/>
          <w:color w:val="4E4342"/>
          <w:spacing w:val="0"/>
          <w:sz w:val="21"/>
          <w:szCs w:val="21"/>
        </w:rPr>
      </w:pPr>
      <w:r>
        <w:rPr>
          <w:rFonts w:hint="eastAsia" w:ascii="仿宋_GB2312" w:hAnsi="瀹嬩綋" w:eastAsia="仿宋_GB2312" w:cs="仿宋_GB2312"/>
          <w:i w:val="0"/>
          <w:caps w:val="0"/>
          <w:color w:val="4E4342"/>
          <w:spacing w:val="0"/>
          <w:kern w:val="0"/>
          <w:sz w:val="32"/>
          <w:szCs w:val="32"/>
          <w:shd w:val="clear" w:fill="FFFFFF"/>
          <w:lang w:val="en-US" w:eastAsia="zh-CN" w:bidi="ar"/>
        </w:rPr>
        <w:t>38. 农林水支出（类）林业（款）林业事业机构（项）：用于林业事业单位的基本支出。</w:t>
      </w:r>
    </w:p>
    <w:p>
      <w:pPr>
        <w:keepNext w:val="0"/>
        <w:keepLines w:val="0"/>
        <w:widowControl/>
        <w:suppressLineNumbers w:val="0"/>
        <w:shd w:val="clear" w:fill="FFFFFF"/>
        <w:spacing w:before="0" w:beforeAutospacing="0" w:after="0" w:afterAutospacing="0"/>
        <w:ind w:left="0" w:right="0" w:firstLine="640"/>
        <w:jc w:val="both"/>
        <w:rPr>
          <w:rFonts w:hint="default" w:ascii="瀹嬩綋" w:hAnsi="瀹嬩綋" w:eastAsia="瀹嬩綋" w:cs="瀹嬩綋"/>
          <w:i w:val="0"/>
          <w:caps w:val="0"/>
          <w:color w:val="4E4342"/>
          <w:spacing w:val="0"/>
          <w:sz w:val="21"/>
          <w:szCs w:val="21"/>
        </w:rPr>
      </w:pPr>
      <w:r>
        <w:rPr>
          <w:rFonts w:hint="eastAsia" w:ascii="仿宋_GB2312" w:hAnsi="瀹嬩綋" w:eastAsia="仿宋_GB2312" w:cs="仿宋_GB2312"/>
          <w:i w:val="0"/>
          <w:caps w:val="0"/>
          <w:color w:val="4E4342"/>
          <w:spacing w:val="0"/>
          <w:kern w:val="0"/>
          <w:sz w:val="32"/>
          <w:szCs w:val="32"/>
          <w:shd w:val="clear" w:fill="FFFFFF"/>
          <w:lang w:val="en-US" w:eastAsia="zh-CN" w:bidi="ar"/>
        </w:rPr>
        <w:t>39. 农林水支出（类）林业（款）森林生态效益补偿（项）：反映有森林生态效益补偿基金安排用于公益林营造、抚育、管理和保护等方面的支出。</w:t>
      </w:r>
    </w:p>
    <w:p>
      <w:pPr>
        <w:keepNext w:val="0"/>
        <w:keepLines w:val="0"/>
        <w:widowControl/>
        <w:suppressLineNumbers w:val="0"/>
        <w:shd w:val="clear" w:fill="FFFFFF"/>
        <w:spacing w:before="0" w:beforeAutospacing="0" w:after="0" w:afterAutospacing="0"/>
        <w:ind w:left="0" w:right="0" w:firstLine="640"/>
        <w:jc w:val="both"/>
        <w:rPr>
          <w:rFonts w:hint="default" w:ascii="瀹嬩綋" w:hAnsi="瀹嬩綋" w:eastAsia="瀹嬩綋" w:cs="瀹嬩綋"/>
          <w:i w:val="0"/>
          <w:caps w:val="0"/>
          <w:color w:val="4E4342"/>
          <w:spacing w:val="0"/>
          <w:sz w:val="21"/>
          <w:szCs w:val="21"/>
        </w:rPr>
      </w:pPr>
      <w:r>
        <w:rPr>
          <w:rFonts w:hint="eastAsia" w:ascii="仿宋_GB2312" w:hAnsi="瀹嬩綋" w:eastAsia="仿宋_GB2312" w:cs="仿宋_GB2312"/>
          <w:i w:val="0"/>
          <w:caps w:val="0"/>
          <w:color w:val="4E4342"/>
          <w:spacing w:val="0"/>
          <w:kern w:val="0"/>
          <w:sz w:val="32"/>
          <w:szCs w:val="32"/>
          <w:shd w:val="clear" w:fill="FFFFFF"/>
          <w:lang w:val="en-US" w:eastAsia="zh-CN" w:bidi="ar"/>
        </w:rPr>
        <w:t>40. 农林水支出（类）水利（款）水利技术推广（项）：反映水利系统纳入预算管理的技术推广事业单位的支出。</w:t>
      </w:r>
    </w:p>
    <w:p>
      <w:pPr>
        <w:keepNext w:val="0"/>
        <w:keepLines w:val="0"/>
        <w:widowControl/>
        <w:suppressLineNumbers w:val="0"/>
        <w:shd w:val="clear" w:fill="FFFFFF"/>
        <w:spacing w:before="0" w:beforeAutospacing="0" w:after="0" w:afterAutospacing="0"/>
        <w:ind w:left="0" w:right="0" w:firstLine="640"/>
        <w:jc w:val="both"/>
        <w:rPr>
          <w:rFonts w:hint="default" w:ascii="瀹嬩綋" w:hAnsi="瀹嬩綋" w:eastAsia="瀹嬩綋" w:cs="瀹嬩綋"/>
          <w:i w:val="0"/>
          <w:caps w:val="0"/>
          <w:color w:val="4E4342"/>
          <w:spacing w:val="0"/>
          <w:sz w:val="21"/>
          <w:szCs w:val="21"/>
        </w:rPr>
      </w:pPr>
      <w:r>
        <w:rPr>
          <w:rFonts w:hint="eastAsia" w:ascii="仿宋_GB2312" w:hAnsi="瀹嬩綋" w:eastAsia="仿宋_GB2312" w:cs="仿宋_GB2312"/>
          <w:i w:val="0"/>
          <w:caps w:val="0"/>
          <w:color w:val="4E4342"/>
          <w:spacing w:val="0"/>
          <w:kern w:val="0"/>
          <w:sz w:val="32"/>
          <w:szCs w:val="32"/>
          <w:shd w:val="clear" w:fill="FFFFFF"/>
          <w:lang w:val="en-US" w:eastAsia="zh-CN" w:bidi="ar"/>
        </w:rPr>
        <w:t>41. 农林水支出（类）扶贫（款）农村基础设施建设（项）：反映用于农村公路、道路建设方面等基础设施建设的支出。</w:t>
      </w:r>
    </w:p>
    <w:p>
      <w:pPr>
        <w:keepNext w:val="0"/>
        <w:keepLines w:val="0"/>
        <w:widowControl/>
        <w:suppressLineNumbers w:val="0"/>
        <w:shd w:val="clear" w:fill="FFFFFF"/>
        <w:spacing w:before="0" w:beforeAutospacing="0" w:after="0" w:afterAutospacing="0"/>
        <w:ind w:left="0" w:right="0" w:firstLine="640"/>
        <w:jc w:val="both"/>
        <w:rPr>
          <w:rFonts w:hint="default" w:ascii="瀹嬩綋" w:hAnsi="瀹嬩綋" w:eastAsia="瀹嬩綋" w:cs="瀹嬩綋"/>
          <w:i w:val="0"/>
          <w:caps w:val="0"/>
          <w:color w:val="4E4342"/>
          <w:spacing w:val="0"/>
          <w:sz w:val="21"/>
          <w:szCs w:val="21"/>
        </w:rPr>
      </w:pPr>
      <w:r>
        <w:rPr>
          <w:rFonts w:hint="eastAsia" w:ascii="仿宋_GB2312" w:hAnsi="瀹嬩綋" w:eastAsia="仿宋_GB2312" w:cs="仿宋_GB2312"/>
          <w:i w:val="0"/>
          <w:caps w:val="0"/>
          <w:color w:val="4E4342"/>
          <w:spacing w:val="0"/>
          <w:kern w:val="0"/>
          <w:sz w:val="32"/>
          <w:szCs w:val="32"/>
          <w:shd w:val="clear" w:fill="FFFFFF"/>
          <w:lang w:val="en-US" w:eastAsia="zh-CN" w:bidi="ar"/>
        </w:rPr>
        <w:t>42. 农林水支出（类）扶贫（款）生产发展（项）：反映用于农村贫困地区发展种植业、养殖业、畜牧业、农副产品加工、林果地建设等生产发展项目以及相关技术推广等方面的项目支出。</w:t>
      </w:r>
    </w:p>
    <w:p>
      <w:pPr>
        <w:keepNext w:val="0"/>
        <w:keepLines w:val="0"/>
        <w:widowControl/>
        <w:suppressLineNumbers w:val="0"/>
        <w:shd w:val="clear" w:fill="FFFFFF"/>
        <w:spacing w:before="0" w:beforeAutospacing="0" w:after="0" w:afterAutospacing="0"/>
        <w:ind w:left="0" w:right="0" w:firstLine="640"/>
        <w:jc w:val="both"/>
        <w:rPr>
          <w:rFonts w:hint="default" w:ascii="瀹嬩綋" w:hAnsi="瀹嬩綋" w:eastAsia="瀹嬩綋" w:cs="瀹嬩綋"/>
          <w:i w:val="0"/>
          <w:caps w:val="0"/>
          <w:color w:val="4E4342"/>
          <w:spacing w:val="0"/>
          <w:sz w:val="21"/>
          <w:szCs w:val="21"/>
        </w:rPr>
      </w:pPr>
      <w:r>
        <w:rPr>
          <w:rFonts w:hint="eastAsia" w:ascii="仿宋_GB2312" w:hAnsi="瀹嬩綋" w:eastAsia="仿宋_GB2312" w:cs="仿宋_GB2312"/>
          <w:i w:val="0"/>
          <w:caps w:val="0"/>
          <w:color w:val="4E4342"/>
          <w:spacing w:val="0"/>
          <w:kern w:val="0"/>
          <w:sz w:val="32"/>
          <w:szCs w:val="32"/>
          <w:shd w:val="clear" w:fill="FFFFFF"/>
          <w:lang w:val="en-US" w:eastAsia="zh-CN" w:bidi="ar"/>
        </w:rPr>
        <w:t>43. 农林水支出（类）扶贫（款）其他扶贫支出（项）：反映除上述项目以外其他用于其他扶贫支出。</w:t>
      </w:r>
    </w:p>
    <w:p>
      <w:pPr>
        <w:keepNext w:val="0"/>
        <w:keepLines w:val="0"/>
        <w:widowControl/>
        <w:suppressLineNumbers w:val="0"/>
        <w:shd w:val="clear" w:fill="FFFFFF"/>
        <w:spacing w:before="0" w:beforeAutospacing="0" w:after="0" w:afterAutospacing="0"/>
        <w:ind w:left="0" w:right="0" w:firstLine="640"/>
        <w:jc w:val="both"/>
        <w:rPr>
          <w:rFonts w:hint="default" w:ascii="瀹嬩綋" w:hAnsi="瀹嬩綋" w:eastAsia="瀹嬩綋" w:cs="瀹嬩綋"/>
          <w:i w:val="0"/>
          <w:caps w:val="0"/>
          <w:color w:val="4E4342"/>
          <w:spacing w:val="0"/>
          <w:sz w:val="21"/>
          <w:szCs w:val="21"/>
        </w:rPr>
      </w:pPr>
      <w:r>
        <w:rPr>
          <w:rFonts w:hint="eastAsia" w:ascii="仿宋_GB2312" w:hAnsi="瀹嬩綋" w:eastAsia="仿宋_GB2312" w:cs="仿宋_GB2312"/>
          <w:i w:val="0"/>
          <w:caps w:val="0"/>
          <w:color w:val="4E4342"/>
          <w:spacing w:val="0"/>
          <w:kern w:val="0"/>
          <w:sz w:val="32"/>
          <w:szCs w:val="32"/>
          <w:shd w:val="clear" w:fill="FFFFFF"/>
          <w:lang w:val="en-US" w:eastAsia="zh-CN" w:bidi="ar"/>
        </w:rPr>
        <w:t>44. 农林水支出（类）农村综合改革（款）对村民委员会和村支部的补助（项）：反映各级财政对村民委员会和村党支部的补助支出。</w:t>
      </w:r>
    </w:p>
    <w:p>
      <w:pPr>
        <w:keepNext w:val="0"/>
        <w:keepLines w:val="0"/>
        <w:widowControl/>
        <w:suppressLineNumbers w:val="0"/>
        <w:shd w:val="clear" w:fill="FFFFFF"/>
        <w:spacing w:before="0" w:beforeAutospacing="0" w:after="0" w:afterAutospacing="0"/>
        <w:ind w:left="0" w:right="0" w:firstLine="640"/>
        <w:jc w:val="both"/>
        <w:rPr>
          <w:rFonts w:hint="default" w:ascii="瀹嬩綋" w:hAnsi="瀹嬩綋" w:eastAsia="瀹嬩綋" w:cs="瀹嬩綋"/>
          <w:i w:val="0"/>
          <w:caps w:val="0"/>
          <w:color w:val="4E4342"/>
          <w:spacing w:val="0"/>
          <w:sz w:val="21"/>
          <w:szCs w:val="21"/>
        </w:rPr>
      </w:pPr>
      <w:r>
        <w:rPr>
          <w:rFonts w:hint="eastAsia" w:ascii="仿宋_GB2312" w:hAnsi="瀹嬩綋" w:eastAsia="仿宋_GB2312" w:cs="仿宋_GB2312"/>
          <w:i w:val="0"/>
          <w:caps w:val="0"/>
          <w:color w:val="4E4342"/>
          <w:spacing w:val="0"/>
          <w:kern w:val="0"/>
          <w:sz w:val="32"/>
          <w:szCs w:val="32"/>
          <w:shd w:val="clear" w:fill="FFFFFF"/>
          <w:lang w:val="en-US" w:eastAsia="zh-CN" w:bidi="ar"/>
        </w:rPr>
        <w:t>45. 农林水支出（类）农村综合改革（款）对村集体经济组织的补助（项）：反映农村税费改革后对村集体经济组织的补助支出。</w:t>
      </w:r>
    </w:p>
    <w:p>
      <w:pPr>
        <w:keepNext w:val="0"/>
        <w:keepLines w:val="0"/>
        <w:widowControl/>
        <w:suppressLineNumbers w:val="0"/>
        <w:shd w:val="clear" w:fill="FFFFFF"/>
        <w:spacing w:before="0" w:beforeAutospacing="0" w:after="0" w:afterAutospacing="0"/>
        <w:ind w:left="0" w:right="0" w:firstLine="640"/>
        <w:jc w:val="both"/>
        <w:rPr>
          <w:rFonts w:hint="default" w:ascii="瀹嬩綋" w:hAnsi="瀹嬩綋" w:eastAsia="瀹嬩綋" w:cs="瀹嬩綋"/>
          <w:i w:val="0"/>
          <w:caps w:val="0"/>
          <w:color w:val="4E4342"/>
          <w:spacing w:val="0"/>
          <w:sz w:val="21"/>
          <w:szCs w:val="21"/>
        </w:rPr>
      </w:pPr>
      <w:r>
        <w:rPr>
          <w:rFonts w:hint="eastAsia" w:ascii="仿宋_GB2312" w:hAnsi="瀹嬩綋" w:eastAsia="仿宋_GB2312" w:cs="仿宋_GB2312"/>
          <w:i w:val="0"/>
          <w:caps w:val="0"/>
          <w:color w:val="4E4342"/>
          <w:spacing w:val="0"/>
          <w:kern w:val="0"/>
          <w:sz w:val="32"/>
          <w:szCs w:val="32"/>
          <w:shd w:val="clear" w:fill="FFFFFF"/>
          <w:lang w:val="en-US" w:eastAsia="zh-CN" w:bidi="ar"/>
        </w:rPr>
        <w:t>46. 农林水支出（类）其他农林水支出（款）其他农林水支出（项）：反映除化解债务支出以外其他用于农林水方面的支出。</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瀹嬩綋" w:hAnsi="瀹嬩綋" w:eastAsia="瀹嬩綋" w:cs="瀹嬩綋"/>
          <w:i w:val="0"/>
          <w:caps w:val="0"/>
          <w:color w:val="4E4342"/>
          <w:spacing w:val="0"/>
          <w:sz w:val="21"/>
          <w:szCs w:val="21"/>
        </w:rPr>
      </w:pPr>
      <w:r>
        <w:rPr>
          <w:rFonts w:hint="eastAsia" w:ascii="仿宋_GB2312" w:hAnsi="瀹嬩綋" w:eastAsia="仿宋_GB2312" w:cs="仿宋_GB2312"/>
          <w:i w:val="0"/>
          <w:caps w:val="0"/>
          <w:color w:val="4E4342"/>
          <w:spacing w:val="0"/>
          <w:kern w:val="0"/>
          <w:sz w:val="32"/>
          <w:szCs w:val="32"/>
          <w:shd w:val="clear" w:fill="FFFFFF"/>
          <w:lang w:val="en-US" w:eastAsia="zh-CN" w:bidi="ar"/>
        </w:rPr>
        <w:t>47. 交通运输支出（类）公路水路运输（款）公路运输管理（项）：反映公路运输管理支出和公路路政管理支出。</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仿宋_GB2312" w:hAnsi="瀹嬩綋" w:eastAsia="仿宋_GB2312" w:cs="仿宋_GB2312"/>
          <w:i w:val="0"/>
          <w:caps w:val="0"/>
          <w:color w:val="4E4342"/>
          <w:spacing w:val="0"/>
          <w:kern w:val="0"/>
          <w:sz w:val="32"/>
          <w:szCs w:val="32"/>
          <w:shd w:val="clear" w:fill="FFFFFF"/>
          <w:lang w:val="en-US" w:eastAsia="zh-CN" w:bidi="ar"/>
        </w:rPr>
      </w:pPr>
      <w:r>
        <w:rPr>
          <w:rFonts w:hint="eastAsia" w:ascii="仿宋_GB2312" w:hAnsi="瀹嬩綋" w:eastAsia="仿宋_GB2312" w:cs="仿宋_GB2312"/>
          <w:i w:val="0"/>
          <w:caps w:val="0"/>
          <w:color w:val="4E4342"/>
          <w:spacing w:val="0"/>
          <w:kern w:val="0"/>
          <w:sz w:val="32"/>
          <w:szCs w:val="32"/>
          <w:shd w:val="clear" w:fill="FFFFFF"/>
          <w:lang w:val="en-US" w:eastAsia="zh-CN" w:bidi="ar"/>
        </w:rPr>
        <w:t>48住房保障支出（类）住房改革支出（款）住房公积金（项）：反映用于本单位职工住房公积金缴存等支出。</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瀹嬩綋" w:hAnsi="瀹嬩綋" w:eastAsia="瀹嬩綋" w:cs="瀹嬩綋"/>
          <w:i w:val="0"/>
          <w:caps w:val="0"/>
          <w:color w:val="4E4342"/>
          <w:spacing w:val="0"/>
          <w:sz w:val="21"/>
          <w:szCs w:val="21"/>
        </w:rPr>
      </w:pPr>
      <w:r>
        <w:rPr>
          <w:rFonts w:hint="eastAsia" w:ascii="仿宋_GB2312" w:hAnsi="瀹嬩綋" w:eastAsia="仿宋_GB2312" w:cs="仿宋_GB2312"/>
          <w:i w:val="0"/>
          <w:caps w:val="0"/>
          <w:color w:val="4E4342"/>
          <w:spacing w:val="0"/>
          <w:kern w:val="0"/>
          <w:sz w:val="32"/>
          <w:szCs w:val="32"/>
          <w:shd w:val="clear" w:fill="FFFFFF"/>
          <w:lang w:val="en-US" w:eastAsia="zh-CN" w:bidi="ar"/>
        </w:rPr>
        <w:t>49. 基本支出：指为保障机构正常运转、完成日常工作任务而发生的人员支出和公用支出。</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瀹嬩綋" w:hAnsi="瀹嬩綋" w:eastAsia="瀹嬩綋" w:cs="瀹嬩綋"/>
          <w:i w:val="0"/>
          <w:caps w:val="0"/>
          <w:color w:val="4E4342"/>
          <w:spacing w:val="0"/>
          <w:sz w:val="21"/>
          <w:szCs w:val="21"/>
        </w:rPr>
      </w:pPr>
      <w:r>
        <w:rPr>
          <w:rFonts w:hint="eastAsia" w:ascii="仿宋_GB2312" w:hAnsi="瀹嬩綋" w:eastAsia="仿宋_GB2312" w:cs="仿宋_GB2312"/>
          <w:i w:val="0"/>
          <w:caps w:val="0"/>
          <w:color w:val="4E4342"/>
          <w:spacing w:val="0"/>
          <w:kern w:val="0"/>
          <w:sz w:val="32"/>
          <w:szCs w:val="32"/>
          <w:shd w:val="clear" w:fill="FFFFFF"/>
          <w:lang w:val="en-US" w:eastAsia="zh-CN" w:bidi="ar"/>
        </w:rPr>
        <w:t>50. 项目支出：指在基本支出之外为完成特定行政任务和事业发展目标所发生的支出。</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瀹嬩綋" w:hAnsi="瀹嬩綋" w:eastAsia="瀹嬩綋" w:cs="瀹嬩綋"/>
          <w:i w:val="0"/>
          <w:caps w:val="0"/>
          <w:color w:val="4E4342"/>
          <w:spacing w:val="0"/>
          <w:sz w:val="21"/>
          <w:szCs w:val="21"/>
        </w:rPr>
      </w:pPr>
      <w:r>
        <w:rPr>
          <w:rFonts w:hint="eastAsia" w:ascii="仿宋_GB2312" w:hAnsi="瀹嬩綋" w:eastAsia="仿宋_GB2312" w:cs="仿宋_GB2312"/>
          <w:i w:val="0"/>
          <w:caps w:val="0"/>
          <w:color w:val="4E4342"/>
          <w:spacing w:val="0"/>
          <w:kern w:val="0"/>
          <w:sz w:val="32"/>
          <w:szCs w:val="32"/>
          <w:shd w:val="clear" w:fill="FFFFFF"/>
          <w:lang w:val="en-US" w:eastAsia="zh-CN" w:bidi="ar"/>
        </w:rPr>
        <w:t>51. 经营支出：指事业单位在专业业务活动及其辅助活动之外开展非独立核算经营活动发生的支出。</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瀹嬩綋" w:hAnsi="瀹嬩綋" w:eastAsia="瀹嬩綋" w:cs="瀹嬩綋"/>
          <w:i w:val="0"/>
          <w:caps w:val="0"/>
          <w:color w:val="4E4342"/>
          <w:spacing w:val="-20"/>
          <w:sz w:val="21"/>
          <w:szCs w:val="21"/>
        </w:rPr>
      </w:pPr>
      <w:r>
        <w:rPr>
          <w:rFonts w:hint="eastAsia" w:ascii="仿宋_GB2312" w:hAnsi="瀹嬩綋" w:eastAsia="仿宋_GB2312" w:cs="仿宋_GB2312"/>
          <w:i w:val="0"/>
          <w:caps w:val="0"/>
          <w:color w:val="4E4342"/>
          <w:spacing w:val="-20"/>
          <w:kern w:val="0"/>
          <w:sz w:val="32"/>
          <w:szCs w:val="32"/>
          <w:shd w:val="clear" w:fill="FFFFFF"/>
          <w:lang w:val="en-US" w:eastAsia="zh-CN" w:bidi="ar"/>
        </w:rPr>
        <w:t>52. “三公”经费：纳入区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2"/>
        <w:spacing w:line="560" w:lineRule="exact"/>
        <w:ind w:firstLine="640" w:firstLineChars="200"/>
        <w:rPr>
          <w:rFonts w:ascii="仿宋_GB2312" w:eastAsia="仿宋_GB2312" w:cs="黑体"/>
          <w:sz w:val="32"/>
          <w:szCs w:val="32"/>
        </w:rPr>
      </w:pPr>
      <w:r>
        <w:rPr>
          <w:rFonts w:hint="eastAsia" w:ascii="仿宋_GB2312" w:hAnsi="瀹嬩綋" w:eastAsia="仿宋_GB2312" w:cs="仿宋_GB2312"/>
          <w:i w:val="0"/>
          <w:caps w:val="0"/>
          <w:color w:val="4E4342"/>
          <w:spacing w:val="0"/>
          <w:kern w:val="0"/>
          <w:sz w:val="32"/>
          <w:szCs w:val="32"/>
          <w:shd w:val="clear" w:fill="FFFFFF"/>
          <w:lang w:val="en-US" w:eastAsia="zh-CN" w:bidi="ar"/>
        </w:rPr>
        <w:t>53. 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61" w:name="_Toc15377226"/>
      <w:r>
        <w:rPr>
          <w:rFonts w:ascii="宋体"/>
          <w:b/>
          <w:color w:val="000000"/>
          <w:sz w:val="44"/>
          <w:szCs w:val="44"/>
        </w:rPr>
        <w:br w:type="page"/>
      </w:r>
      <w:bookmarkStart w:id="62"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62"/>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eastAsia="zh-CN"/>
        </w:rPr>
        <w:t>铁佛镇</w:t>
      </w:r>
      <w:r>
        <w:rPr>
          <w:rFonts w:hint="eastAsia" w:ascii="方正小标宋简体" w:hAnsi="宋体" w:eastAsia="方正小标宋简体"/>
          <w:color w:val="000000"/>
          <w:kern w:val="0"/>
          <w:sz w:val="40"/>
          <w:szCs w:val="44"/>
          <w:lang w:val="zh-CN"/>
        </w:rPr>
        <w:t>部门</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spacing w:line="600" w:lineRule="exact"/>
        <w:jc w:val="center"/>
        <w:rPr>
          <w:rFonts w:hint="eastAsia" w:ascii="方正小标宋简体" w:hAnsi="宋体" w:eastAsia="方正小标宋简体"/>
          <w:color w:val="000000"/>
          <w:kern w:val="0"/>
          <w:sz w:val="40"/>
          <w:szCs w:val="44"/>
          <w:lang w:val="zh-CN"/>
        </w:rPr>
      </w:pP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_GB2312" w:cs="宋体"/>
          <w:color w:val="000000"/>
          <w:kern w:val="0"/>
          <w:sz w:val="32"/>
          <w:szCs w:val="32"/>
          <w:shd w:val="clear" w:color="auto" w:fill="FFFFFF"/>
          <w:lang w:val="zh-CN"/>
        </w:rPr>
      </w:pPr>
      <w:r>
        <w:rPr>
          <w:rFonts w:hint="eastAsia" w:ascii="仿宋" w:hAnsi="仿宋" w:eastAsia="仿宋" w:cs="楷体"/>
          <w:bCs/>
          <w:sz w:val="32"/>
          <w:szCs w:val="32"/>
        </w:rPr>
        <w:t>全镇所辖</w:t>
      </w:r>
      <w:r>
        <w:rPr>
          <w:rFonts w:hint="eastAsia" w:ascii="仿宋" w:hAnsi="仿宋" w:eastAsia="仿宋" w:cs="楷体"/>
          <w:bCs/>
          <w:sz w:val="32"/>
          <w:szCs w:val="32"/>
          <w:lang w:val="en-US" w:eastAsia="zh-CN"/>
        </w:rPr>
        <w:t>22</w:t>
      </w:r>
      <w:r>
        <w:rPr>
          <w:rFonts w:hint="eastAsia" w:ascii="仿宋" w:hAnsi="仿宋" w:eastAsia="仿宋" w:cs="楷体"/>
          <w:bCs/>
          <w:sz w:val="32"/>
          <w:szCs w:val="32"/>
        </w:rPr>
        <w:t>个村民委员会、</w:t>
      </w:r>
      <w:r>
        <w:rPr>
          <w:rFonts w:hint="eastAsia" w:ascii="仿宋" w:hAnsi="仿宋" w:eastAsia="仿宋" w:cs="楷体"/>
          <w:bCs/>
          <w:sz w:val="32"/>
          <w:szCs w:val="32"/>
          <w:lang w:val="en-US" w:eastAsia="zh-CN"/>
        </w:rPr>
        <w:t>1</w:t>
      </w:r>
      <w:r>
        <w:rPr>
          <w:rFonts w:hint="eastAsia" w:ascii="仿宋" w:hAnsi="仿宋" w:eastAsia="仿宋" w:cs="楷体"/>
          <w:bCs/>
          <w:sz w:val="32"/>
          <w:szCs w:val="32"/>
        </w:rPr>
        <w:t>个社区居委会，</w:t>
      </w:r>
      <w:r>
        <w:rPr>
          <w:rFonts w:hint="eastAsia" w:ascii="仿宋" w:hAnsi="仿宋" w:eastAsia="仿宋" w:cs="楷体"/>
          <w:bCs/>
          <w:sz w:val="32"/>
          <w:szCs w:val="32"/>
          <w:lang w:val="en-US" w:eastAsia="zh-CN"/>
        </w:rPr>
        <w:t>4</w:t>
      </w:r>
      <w:r>
        <w:rPr>
          <w:rFonts w:hint="eastAsia" w:ascii="仿宋" w:hAnsi="仿宋" w:eastAsia="仿宋" w:cs="楷体"/>
          <w:bCs/>
          <w:sz w:val="32"/>
          <w:szCs w:val="32"/>
        </w:rPr>
        <w:t>所</w:t>
      </w:r>
      <w:r>
        <w:rPr>
          <w:rFonts w:hint="eastAsia" w:ascii="仿宋" w:hAnsi="仿宋" w:eastAsia="仿宋" w:cs="楷体"/>
          <w:bCs/>
          <w:sz w:val="32"/>
          <w:szCs w:val="32"/>
          <w:lang w:eastAsia="zh-CN"/>
        </w:rPr>
        <w:t>学校</w:t>
      </w:r>
      <w:r>
        <w:rPr>
          <w:rFonts w:hint="eastAsia" w:ascii="仿宋" w:hAnsi="仿宋" w:eastAsia="仿宋" w:cs="楷体"/>
          <w:bCs/>
          <w:sz w:val="32"/>
          <w:szCs w:val="32"/>
        </w:rPr>
        <w:t>、</w:t>
      </w:r>
      <w:r>
        <w:rPr>
          <w:rFonts w:hint="eastAsia" w:ascii="仿宋" w:hAnsi="仿宋" w:eastAsia="仿宋" w:cs="楷体"/>
          <w:bCs/>
          <w:sz w:val="32"/>
          <w:szCs w:val="32"/>
          <w:lang w:val="en-US" w:eastAsia="zh-CN"/>
        </w:rPr>
        <w:t>1</w:t>
      </w:r>
      <w:r>
        <w:rPr>
          <w:rFonts w:hint="eastAsia" w:ascii="仿宋" w:hAnsi="仿宋" w:eastAsia="仿宋" w:cs="楷体"/>
          <w:bCs/>
          <w:sz w:val="32"/>
          <w:szCs w:val="32"/>
          <w:lang w:eastAsia="zh-CN"/>
        </w:rPr>
        <w:t>个</w:t>
      </w:r>
      <w:r>
        <w:rPr>
          <w:rFonts w:hint="eastAsia" w:ascii="仿宋" w:hAnsi="仿宋" w:eastAsia="仿宋" w:cs="楷体"/>
          <w:bCs/>
          <w:sz w:val="32"/>
          <w:szCs w:val="32"/>
        </w:rPr>
        <w:t>乡镇卫生院。</w:t>
      </w:r>
    </w:p>
    <w:p>
      <w:pPr>
        <w:keepNext w:val="0"/>
        <w:keepLines w:val="0"/>
        <w:pageBreakBefore w:val="0"/>
        <w:widowControl/>
        <w:numPr>
          <w:ilvl w:val="0"/>
          <w:numId w:val="7"/>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机构职能。</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 w:hAnsi="仿宋" w:eastAsia="仿宋" w:cs="楷体"/>
          <w:sz w:val="32"/>
          <w:szCs w:val="32"/>
        </w:rPr>
      </w:pPr>
      <w:r>
        <w:rPr>
          <w:rFonts w:hint="eastAsia" w:ascii="仿宋" w:hAnsi="仿宋" w:eastAsia="仿宋" w:cs="楷体"/>
          <w:sz w:val="32"/>
          <w:szCs w:val="32"/>
        </w:rPr>
        <w:t>1、执行上级国家行政机关的决定、命令和国家制定的法令、法规，接受同级党委的领导，执行本级人民代表大会的各项决议，并报告执行决议、决定和命令的情况。 </w:t>
      </w:r>
      <w:r>
        <w:rPr>
          <w:rFonts w:hint="eastAsia" w:ascii="仿宋" w:hAnsi="仿宋" w:eastAsia="仿宋" w:cs="楷体"/>
          <w:sz w:val="32"/>
          <w:szCs w:val="32"/>
        </w:rPr>
        <w:br w:type="textWrapping"/>
      </w:r>
      <w:r>
        <w:rPr>
          <w:rFonts w:hint="eastAsia" w:ascii="仿宋" w:hAnsi="仿宋" w:eastAsia="仿宋" w:cs="楷体"/>
          <w:sz w:val="32"/>
          <w:szCs w:val="32"/>
        </w:rPr>
        <w:t xml:space="preserve">    2、制定并落实本行政区域的经济计划和措施，促进产业结构调整及其他经济保持平衡协调发展，抓好招商引资，</w:t>
      </w:r>
      <w:r>
        <w:fldChar w:fldCharType="begin"/>
      </w:r>
      <w:r>
        <w:instrText xml:space="preserve"> HYPERLINK "http://www.so.com/s?q=%E4%BA%BA%E6%89%8D&amp;ie=utf-8&amp;src=internal_wenda_recommend_textn" \t "https://wenda.so.com/q/_blank" </w:instrText>
      </w:r>
      <w:r>
        <w:fldChar w:fldCharType="separate"/>
      </w:r>
      <w:r>
        <w:rPr>
          <w:rFonts w:hint="eastAsia" w:ascii="仿宋" w:hAnsi="仿宋" w:eastAsia="仿宋" w:cs="楷体"/>
          <w:sz w:val="32"/>
          <w:szCs w:val="32"/>
        </w:rPr>
        <w:t>人才</w:t>
      </w:r>
      <w:r>
        <w:rPr>
          <w:rFonts w:hint="eastAsia" w:ascii="仿宋" w:hAnsi="仿宋" w:eastAsia="仿宋" w:cs="楷体"/>
          <w:sz w:val="32"/>
          <w:szCs w:val="32"/>
        </w:rPr>
        <w:fldChar w:fldCharType="end"/>
      </w:r>
      <w:r>
        <w:fldChar w:fldCharType="begin"/>
      </w:r>
      <w:r>
        <w:instrText xml:space="preserve"> HYPERLINK "http://www.so.com/s?q=%E5%BC%95%E8%BF%9B%E9%A1%B9%E7%9B%AE&amp;ie=utf-8&amp;src=internal_wenda_recommend_textn" \t "https://wenda.so.com/q/_blank" </w:instrText>
      </w:r>
      <w:r>
        <w:fldChar w:fldCharType="separate"/>
      </w:r>
      <w:r>
        <w:rPr>
          <w:rFonts w:hint="eastAsia" w:ascii="仿宋" w:hAnsi="仿宋" w:eastAsia="仿宋" w:cs="楷体"/>
          <w:sz w:val="32"/>
          <w:szCs w:val="32"/>
        </w:rPr>
        <w:t>引进项目</w:t>
      </w:r>
      <w:r>
        <w:rPr>
          <w:rFonts w:hint="eastAsia" w:ascii="仿宋" w:hAnsi="仿宋" w:eastAsia="仿宋" w:cs="楷体"/>
          <w:sz w:val="32"/>
          <w:szCs w:val="32"/>
        </w:rPr>
        <w:fldChar w:fldCharType="end"/>
      </w:r>
      <w:r>
        <w:rPr>
          <w:rFonts w:hint="eastAsia" w:ascii="仿宋" w:hAnsi="仿宋" w:eastAsia="仿宋" w:cs="楷体"/>
          <w:sz w:val="32"/>
          <w:szCs w:val="32"/>
        </w:rPr>
        <w:t>开发，不断培育</w:t>
      </w:r>
      <w:r>
        <w:fldChar w:fldCharType="begin"/>
      </w:r>
      <w:r>
        <w:instrText xml:space="preserve"> HYPERLINK "http://www.so.com/s?q=%E5%B8%82%E5%9C%BA%E4%BD%93%E7%B3%BB&amp;ie=utf-8&amp;src=internal_wenda_recommend_textn" \t "https://wenda.so.com/q/_blank" </w:instrText>
      </w:r>
      <w:r>
        <w:fldChar w:fldCharType="separate"/>
      </w:r>
      <w:r>
        <w:rPr>
          <w:rFonts w:hint="eastAsia" w:ascii="仿宋" w:hAnsi="仿宋" w:eastAsia="仿宋" w:cs="楷体"/>
          <w:sz w:val="32"/>
          <w:szCs w:val="32"/>
        </w:rPr>
        <w:t>市场体系</w:t>
      </w:r>
      <w:r>
        <w:rPr>
          <w:rFonts w:hint="eastAsia" w:ascii="仿宋" w:hAnsi="仿宋" w:eastAsia="仿宋" w:cs="楷体"/>
          <w:sz w:val="32"/>
          <w:szCs w:val="32"/>
        </w:rPr>
        <w:fldChar w:fldCharType="end"/>
      </w:r>
      <w:r>
        <w:rPr>
          <w:rFonts w:hint="eastAsia" w:ascii="仿宋" w:hAnsi="仿宋" w:eastAsia="仿宋" w:cs="楷体"/>
          <w:sz w:val="32"/>
          <w:szCs w:val="32"/>
        </w:rPr>
        <w:t>，组织经济运行，促进经济发展，全面提高人民群众的生活水平和生活质量。</w:t>
      </w:r>
    </w:p>
    <w:p>
      <w:pPr>
        <w:keepNext w:val="0"/>
        <w:keepLines w:val="0"/>
        <w:pageBreakBefore w:val="0"/>
        <w:kinsoku/>
        <w:wordWrap/>
        <w:overflowPunct/>
        <w:topLinePunct w:val="0"/>
        <w:autoSpaceDE/>
        <w:autoSpaceDN/>
        <w:bidi w:val="0"/>
        <w:spacing w:line="520" w:lineRule="exact"/>
        <w:textAlignment w:val="auto"/>
        <w:rPr>
          <w:rFonts w:ascii="仿宋" w:hAnsi="仿宋" w:eastAsia="仿宋" w:cs="楷体"/>
          <w:sz w:val="32"/>
          <w:szCs w:val="32"/>
        </w:rPr>
      </w:pPr>
      <w:r>
        <w:rPr>
          <w:rFonts w:hint="eastAsia" w:ascii="仿宋" w:hAnsi="仿宋" w:eastAsia="仿宋" w:cs="楷体"/>
          <w:sz w:val="32"/>
          <w:szCs w:val="32"/>
        </w:rPr>
        <w:t>　  3、制定并组织实施村镇建设</w:t>
      </w:r>
      <w:r>
        <w:fldChar w:fldCharType="begin"/>
      </w:r>
      <w:r>
        <w:instrText xml:space="preserve"> HYPERLINK "http://www.so.com/s?q=%E8%A7%84%E5%88%92&amp;ie=utf-8&amp;src=internal_wenda_recommend_textn" \t "https://wenda.so.com/q/_blank" </w:instrText>
      </w:r>
      <w:r>
        <w:fldChar w:fldCharType="separate"/>
      </w:r>
      <w:r>
        <w:rPr>
          <w:rFonts w:hint="eastAsia" w:ascii="仿宋" w:hAnsi="仿宋" w:eastAsia="仿宋" w:cs="楷体"/>
          <w:sz w:val="32"/>
          <w:szCs w:val="32"/>
        </w:rPr>
        <w:t>规划</w:t>
      </w:r>
      <w:r>
        <w:rPr>
          <w:rFonts w:hint="eastAsia" w:ascii="仿宋" w:hAnsi="仿宋" w:eastAsia="仿宋" w:cs="楷体"/>
          <w:sz w:val="32"/>
          <w:szCs w:val="32"/>
        </w:rPr>
        <w:fldChar w:fldCharType="end"/>
      </w:r>
      <w:r>
        <w:rPr>
          <w:rFonts w:hint="eastAsia" w:ascii="仿宋" w:hAnsi="仿宋" w:eastAsia="仿宋" w:cs="楷体"/>
          <w:sz w:val="32"/>
          <w:szCs w:val="32"/>
        </w:rPr>
        <w:t>，部署重点工程建设，地方道路建设及</w:t>
      </w:r>
      <w:r>
        <w:fldChar w:fldCharType="begin"/>
      </w:r>
      <w:r>
        <w:instrText xml:space="preserve"> HYPERLINK "http://www.so.com/s?q=%E5%85%AC%E5%85%B1%E8%AE%BE%E6%96%BD&amp;ie=utf-8&amp;src=internal_wenda_recommend_textn" \t "https://wenda.so.com/q/_blank" </w:instrText>
      </w:r>
      <w:r>
        <w:fldChar w:fldCharType="separate"/>
      </w:r>
      <w:r>
        <w:rPr>
          <w:rFonts w:hint="eastAsia" w:ascii="仿宋" w:hAnsi="仿宋" w:eastAsia="仿宋" w:cs="楷体"/>
          <w:sz w:val="32"/>
          <w:szCs w:val="32"/>
        </w:rPr>
        <w:t>公共设施</w:t>
      </w:r>
      <w:r>
        <w:rPr>
          <w:rFonts w:hint="eastAsia" w:ascii="仿宋" w:hAnsi="仿宋" w:eastAsia="仿宋" w:cs="楷体"/>
          <w:sz w:val="32"/>
          <w:szCs w:val="32"/>
        </w:rPr>
        <w:fldChar w:fldCharType="end"/>
      </w:r>
      <w:r>
        <w:rPr>
          <w:rFonts w:hint="eastAsia" w:ascii="仿宋" w:hAnsi="仿宋" w:eastAsia="仿宋" w:cs="楷体"/>
          <w:sz w:val="32"/>
          <w:szCs w:val="32"/>
        </w:rPr>
        <w:t>，</w:t>
      </w:r>
      <w:r>
        <w:fldChar w:fldCharType="begin"/>
      </w:r>
      <w:r>
        <w:instrText xml:space="preserve"> HYPERLINK "http://www.so.com/s?q=%E6%B0%B4%E5%88%A9%E8%AE%BE%E6%96%BD&amp;ie=utf-8&amp;src=internal_wenda_recommend_textn" \t "https://wenda.so.com/q/_blank" </w:instrText>
      </w:r>
      <w:r>
        <w:fldChar w:fldCharType="separate"/>
      </w:r>
      <w:r>
        <w:rPr>
          <w:rFonts w:hint="eastAsia" w:ascii="仿宋" w:hAnsi="仿宋" w:eastAsia="仿宋" w:cs="楷体"/>
          <w:sz w:val="32"/>
          <w:szCs w:val="32"/>
        </w:rPr>
        <w:t>水利设施</w:t>
      </w:r>
      <w:r>
        <w:rPr>
          <w:rFonts w:hint="eastAsia" w:ascii="仿宋" w:hAnsi="仿宋" w:eastAsia="仿宋" w:cs="楷体"/>
          <w:sz w:val="32"/>
          <w:szCs w:val="32"/>
        </w:rPr>
        <w:fldChar w:fldCharType="end"/>
      </w:r>
      <w:r>
        <w:rPr>
          <w:rFonts w:hint="eastAsia" w:ascii="仿宋" w:hAnsi="仿宋" w:eastAsia="仿宋" w:cs="楷体"/>
          <w:sz w:val="32"/>
          <w:szCs w:val="32"/>
        </w:rPr>
        <w:t>的管理，负责</w:t>
      </w:r>
      <w:r>
        <w:fldChar w:fldCharType="begin"/>
      </w:r>
      <w:r>
        <w:instrText xml:space="preserve"> HYPERLINK "http://www.so.com/s?q=%E5%9C%9F%E5%9C%B0&amp;ie=utf-8&amp;src=internal_wenda_recommend_textn" \t "https://wenda.so.com/q/_blank" </w:instrText>
      </w:r>
      <w:r>
        <w:fldChar w:fldCharType="separate"/>
      </w:r>
      <w:r>
        <w:rPr>
          <w:rFonts w:hint="eastAsia" w:ascii="仿宋" w:hAnsi="仿宋" w:eastAsia="仿宋" w:cs="楷体"/>
          <w:sz w:val="32"/>
          <w:szCs w:val="32"/>
        </w:rPr>
        <w:t>土地</w:t>
      </w:r>
      <w:r>
        <w:rPr>
          <w:rFonts w:hint="eastAsia" w:ascii="仿宋" w:hAnsi="仿宋" w:eastAsia="仿宋" w:cs="楷体"/>
          <w:sz w:val="32"/>
          <w:szCs w:val="32"/>
        </w:rPr>
        <w:fldChar w:fldCharType="end"/>
      </w:r>
      <w:r>
        <w:rPr>
          <w:rFonts w:hint="eastAsia" w:ascii="仿宋" w:hAnsi="仿宋" w:eastAsia="仿宋" w:cs="楷体"/>
          <w:sz w:val="32"/>
          <w:szCs w:val="32"/>
        </w:rPr>
        <w:t>、林木、水等自然资源和</w:t>
      </w:r>
      <w:r>
        <w:fldChar w:fldCharType="begin"/>
      </w:r>
      <w:r>
        <w:instrText xml:space="preserve"> HYPERLINK "http://www.so.com/s?q=%E7%94%9F%E6%80%81%E7%8E%AF%E5%A2%83&amp;ie=utf-8&amp;src=internal_wenda_recommend_textn" \t "https://wenda.so.com/q/_blank" </w:instrText>
      </w:r>
      <w:r>
        <w:fldChar w:fldCharType="separate"/>
      </w:r>
      <w:r>
        <w:rPr>
          <w:rFonts w:hint="eastAsia" w:ascii="仿宋" w:hAnsi="仿宋" w:eastAsia="仿宋" w:cs="楷体"/>
          <w:sz w:val="32"/>
          <w:szCs w:val="32"/>
        </w:rPr>
        <w:t>生态环境</w:t>
      </w:r>
      <w:r>
        <w:rPr>
          <w:rFonts w:hint="eastAsia" w:ascii="仿宋" w:hAnsi="仿宋" w:eastAsia="仿宋" w:cs="楷体"/>
          <w:sz w:val="32"/>
          <w:szCs w:val="32"/>
        </w:rPr>
        <w:fldChar w:fldCharType="end"/>
      </w:r>
      <w:r>
        <w:rPr>
          <w:rFonts w:hint="eastAsia" w:ascii="仿宋" w:hAnsi="仿宋" w:eastAsia="仿宋" w:cs="楷体"/>
          <w:sz w:val="32"/>
          <w:szCs w:val="32"/>
        </w:rPr>
        <w:t>的保护，做好护林防火工作。 </w:t>
      </w:r>
      <w:r>
        <w:rPr>
          <w:rFonts w:hint="eastAsia" w:ascii="仿宋" w:hAnsi="仿宋" w:eastAsia="仿宋" w:cs="楷体"/>
          <w:sz w:val="32"/>
          <w:szCs w:val="32"/>
        </w:rPr>
        <w:br w:type="textWrapping"/>
      </w:r>
      <w:r>
        <w:rPr>
          <w:rFonts w:hint="eastAsia" w:ascii="仿宋" w:hAnsi="仿宋" w:eastAsia="仿宋" w:cs="楷体"/>
          <w:sz w:val="32"/>
          <w:szCs w:val="32"/>
        </w:rPr>
        <w:t xml:space="preserve">    4、承担国有资产、集体资产管理、监督及增值保值责任;保护公民私人所有合法财产，保障集体经济组织应有的自主权;监督企业和各种经济联合体、个体户认真执行国家的法律、法令和政策，履行经济合同。 </w:t>
      </w:r>
    </w:p>
    <w:p>
      <w:pPr>
        <w:keepNext w:val="0"/>
        <w:keepLines w:val="0"/>
        <w:pageBreakBefore w:val="0"/>
        <w:kinsoku/>
        <w:wordWrap/>
        <w:overflowPunct/>
        <w:topLinePunct w:val="0"/>
        <w:autoSpaceDE/>
        <w:autoSpaceDN/>
        <w:bidi w:val="0"/>
        <w:spacing w:line="520" w:lineRule="exact"/>
        <w:textAlignment w:val="auto"/>
        <w:rPr>
          <w:rFonts w:ascii="仿宋" w:hAnsi="仿宋" w:eastAsia="仿宋" w:cs="楷体"/>
          <w:sz w:val="32"/>
          <w:szCs w:val="32"/>
        </w:rPr>
      </w:pPr>
      <w:r>
        <w:rPr>
          <w:rFonts w:hint="eastAsia" w:ascii="仿宋" w:hAnsi="仿宋" w:eastAsia="仿宋" w:cs="楷体"/>
          <w:sz w:val="32"/>
          <w:szCs w:val="32"/>
        </w:rPr>
        <w:t xml:space="preserve">    5、开展社会主义民主和法制的宣传教育，保障公民的权利;制定社会治安综合治理工作规划并组织实施;加强社区管理工作，依法管理外来流动人口，处理人民来信来访，调解民间纠纷，打击违法犯罪，维护社会稳定。 </w:t>
      </w:r>
      <w:r>
        <w:rPr>
          <w:rFonts w:hint="eastAsia" w:ascii="仿宋" w:hAnsi="仿宋" w:eastAsia="仿宋" w:cs="楷体"/>
          <w:sz w:val="32"/>
          <w:szCs w:val="32"/>
        </w:rPr>
        <w:br w:type="textWrapping"/>
      </w:r>
      <w:r>
        <w:rPr>
          <w:rFonts w:hint="eastAsia" w:ascii="仿宋" w:hAnsi="仿宋" w:eastAsia="仿宋" w:cs="楷体"/>
          <w:sz w:val="32"/>
          <w:szCs w:val="32"/>
        </w:rPr>
        <w:t xml:space="preserve">    6、制定社会各项事业发展计划，发展教育、卫生、科技、民政、广播电视、文化、体育事业;组织实施义务教育和其他各类教育;加强计划生育工作;推进社会保障、社会福利事业和养老保险工作;做好劳动管理、科普、老龄及宗教、侨务等工作。 </w:t>
      </w:r>
      <w:r>
        <w:rPr>
          <w:rFonts w:hint="eastAsia" w:ascii="仿宋" w:hAnsi="仿宋" w:eastAsia="仿宋" w:cs="楷体"/>
          <w:sz w:val="32"/>
          <w:szCs w:val="32"/>
        </w:rPr>
        <w:br w:type="textWrapping"/>
      </w:r>
      <w:r>
        <w:rPr>
          <w:rFonts w:hint="eastAsia" w:ascii="仿宋" w:hAnsi="仿宋" w:eastAsia="仿宋" w:cs="楷体"/>
          <w:sz w:val="32"/>
          <w:szCs w:val="32"/>
        </w:rPr>
        <w:t xml:space="preserve">    7、加强镇级财政的监督和管理，按计划组织、管理镇财政收入和支出，执行国家有关财经纪律和政策，保证国家财政收入的完成;做好统计工作。 </w:t>
      </w:r>
      <w:r>
        <w:rPr>
          <w:rFonts w:hint="eastAsia" w:ascii="仿宋" w:hAnsi="仿宋" w:eastAsia="仿宋" w:cs="楷体"/>
          <w:sz w:val="32"/>
          <w:szCs w:val="32"/>
        </w:rPr>
        <w:br w:type="textWrapping"/>
      </w:r>
      <w:r>
        <w:rPr>
          <w:rFonts w:hint="eastAsia" w:ascii="仿宋" w:hAnsi="仿宋" w:eastAsia="仿宋" w:cs="楷体"/>
          <w:sz w:val="32"/>
          <w:szCs w:val="32"/>
        </w:rPr>
        <w:t xml:space="preserve">    8、指导、支持、帮助村(居)民委员会的组织制度建设和业务建设，促进村(居)民委员会民主自治。 </w:t>
      </w:r>
      <w:r>
        <w:rPr>
          <w:rFonts w:hint="eastAsia" w:ascii="仿宋" w:hAnsi="仿宋" w:eastAsia="仿宋" w:cs="楷体"/>
          <w:sz w:val="32"/>
          <w:szCs w:val="32"/>
        </w:rPr>
        <w:br w:type="textWrapping"/>
      </w:r>
      <w:r>
        <w:rPr>
          <w:rFonts w:hint="eastAsia" w:ascii="仿宋" w:hAnsi="仿宋" w:eastAsia="仿宋" w:cs="楷体"/>
          <w:sz w:val="32"/>
          <w:szCs w:val="32"/>
        </w:rPr>
        <w:t xml:space="preserve">    9、协助和支持设置在本行政区域内不隶属于镇的国家机关和企事业单位工作，监督其遵守和执行国家的法律、法规和政策。</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_GB2312" w:cs="宋体"/>
          <w:color w:val="000000"/>
          <w:kern w:val="0"/>
          <w:sz w:val="32"/>
          <w:szCs w:val="32"/>
          <w:shd w:val="clear" w:color="auto" w:fill="FFFFFF"/>
          <w:lang w:val="zh-CN"/>
        </w:rPr>
      </w:pPr>
      <w:r>
        <w:rPr>
          <w:rFonts w:hint="eastAsia" w:ascii="仿宋" w:hAnsi="仿宋" w:eastAsia="仿宋" w:cs="楷体"/>
          <w:sz w:val="32"/>
          <w:szCs w:val="32"/>
        </w:rPr>
        <w:t>10、完成县委、县政府交办的其他工作。</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 w:cs="宋体"/>
          <w:color w:val="000000"/>
          <w:kern w:val="0"/>
          <w:sz w:val="32"/>
          <w:szCs w:val="32"/>
          <w:shd w:val="clear" w:color="auto" w:fill="FFFFFF"/>
          <w:lang w:val="zh-CN" w:eastAsia="zh-CN"/>
        </w:rPr>
      </w:pPr>
      <w:r>
        <w:rPr>
          <w:rFonts w:hint="eastAsia" w:ascii="仿宋" w:hAnsi="仿宋" w:eastAsia="仿宋" w:cs="楷体"/>
          <w:bCs/>
          <w:sz w:val="32"/>
          <w:szCs w:val="32"/>
        </w:rPr>
        <w:t>单位</w:t>
      </w:r>
      <w:r>
        <w:rPr>
          <w:rFonts w:hint="eastAsia" w:ascii="仿宋" w:hAnsi="仿宋" w:eastAsia="仿宋" w:cs="楷体"/>
          <w:bCs/>
          <w:sz w:val="32"/>
          <w:szCs w:val="32"/>
          <w:lang w:eastAsia="zh-CN"/>
        </w:rPr>
        <w:t>年末实有人数</w:t>
      </w:r>
      <w:r>
        <w:rPr>
          <w:rFonts w:hint="eastAsia" w:ascii="仿宋" w:hAnsi="仿宋" w:eastAsia="仿宋" w:cs="楷体"/>
          <w:bCs/>
          <w:sz w:val="32"/>
          <w:szCs w:val="32"/>
          <w:lang w:val="en-US" w:eastAsia="zh-CN"/>
        </w:rPr>
        <w:t>591</w:t>
      </w:r>
      <w:r>
        <w:rPr>
          <w:rFonts w:hint="eastAsia" w:ascii="仿宋" w:hAnsi="仿宋" w:eastAsia="仿宋" w:cs="楷体"/>
          <w:bCs/>
          <w:sz w:val="32"/>
          <w:szCs w:val="32"/>
        </w:rPr>
        <w:t>人</w:t>
      </w:r>
      <w:r>
        <w:rPr>
          <w:rFonts w:hint="eastAsia" w:ascii="仿宋" w:hAnsi="仿宋" w:eastAsia="仿宋" w:cs="楷体"/>
          <w:bCs/>
          <w:sz w:val="32"/>
          <w:szCs w:val="32"/>
          <w:lang w:eastAsia="zh-CN"/>
        </w:rPr>
        <w:t>，其中：</w:t>
      </w:r>
      <w:r>
        <w:rPr>
          <w:rFonts w:hint="eastAsia" w:ascii="仿宋" w:hAnsi="仿宋" w:eastAsia="仿宋" w:cs="楷体"/>
          <w:bCs/>
          <w:sz w:val="32"/>
          <w:szCs w:val="32"/>
        </w:rPr>
        <w:t>行政编制</w:t>
      </w:r>
      <w:r>
        <w:rPr>
          <w:rFonts w:hint="eastAsia" w:ascii="仿宋" w:hAnsi="仿宋" w:eastAsia="仿宋" w:cs="楷体"/>
          <w:bCs/>
          <w:sz w:val="32"/>
          <w:szCs w:val="32"/>
          <w:lang w:val="en-US" w:eastAsia="zh-CN"/>
        </w:rPr>
        <w:t>37</w:t>
      </w:r>
      <w:r>
        <w:rPr>
          <w:rFonts w:hint="eastAsia" w:ascii="仿宋" w:hAnsi="仿宋" w:eastAsia="仿宋" w:cs="楷体"/>
          <w:bCs/>
          <w:sz w:val="32"/>
          <w:szCs w:val="32"/>
        </w:rPr>
        <w:t>人，事业编制</w:t>
      </w:r>
      <w:r>
        <w:rPr>
          <w:rFonts w:hint="eastAsia" w:ascii="仿宋" w:hAnsi="仿宋" w:eastAsia="仿宋" w:cs="楷体"/>
          <w:bCs/>
          <w:sz w:val="32"/>
          <w:szCs w:val="32"/>
          <w:lang w:val="en-US" w:eastAsia="zh-CN"/>
        </w:rPr>
        <w:t>554</w:t>
      </w:r>
      <w:r>
        <w:rPr>
          <w:rFonts w:hint="eastAsia" w:ascii="仿宋" w:hAnsi="仿宋" w:eastAsia="仿宋" w:cs="楷体"/>
          <w:bCs/>
          <w:sz w:val="32"/>
          <w:szCs w:val="32"/>
        </w:rPr>
        <w:t>（其中：小学教育</w:t>
      </w:r>
      <w:r>
        <w:rPr>
          <w:rFonts w:hint="eastAsia" w:ascii="仿宋" w:hAnsi="仿宋" w:eastAsia="仿宋" w:cs="楷体"/>
          <w:bCs/>
          <w:sz w:val="32"/>
          <w:szCs w:val="32"/>
          <w:lang w:val="en-US" w:eastAsia="zh-CN"/>
        </w:rPr>
        <w:t>203</w:t>
      </w:r>
      <w:r>
        <w:rPr>
          <w:rFonts w:hint="eastAsia" w:ascii="仿宋" w:hAnsi="仿宋" w:eastAsia="仿宋" w:cs="楷体"/>
          <w:bCs/>
          <w:sz w:val="32"/>
          <w:szCs w:val="32"/>
        </w:rPr>
        <w:t>人，</w:t>
      </w:r>
      <w:r>
        <w:rPr>
          <w:rFonts w:hint="eastAsia" w:ascii="仿宋" w:hAnsi="仿宋" w:eastAsia="仿宋" w:cs="楷体"/>
          <w:bCs/>
          <w:sz w:val="32"/>
          <w:szCs w:val="32"/>
          <w:lang w:eastAsia="zh-CN"/>
        </w:rPr>
        <w:t>中</w:t>
      </w:r>
      <w:r>
        <w:rPr>
          <w:rFonts w:hint="eastAsia" w:ascii="仿宋" w:hAnsi="仿宋" w:eastAsia="仿宋" w:cs="楷体"/>
          <w:bCs/>
          <w:sz w:val="32"/>
          <w:szCs w:val="32"/>
        </w:rPr>
        <w:t>学教育</w:t>
      </w:r>
      <w:r>
        <w:rPr>
          <w:rFonts w:hint="eastAsia" w:ascii="仿宋" w:hAnsi="仿宋" w:eastAsia="仿宋" w:cs="楷体"/>
          <w:bCs/>
          <w:sz w:val="32"/>
          <w:szCs w:val="32"/>
          <w:lang w:val="en-US" w:eastAsia="zh-CN"/>
        </w:rPr>
        <w:t>235</w:t>
      </w:r>
      <w:r>
        <w:rPr>
          <w:rFonts w:hint="eastAsia" w:ascii="仿宋" w:hAnsi="仿宋" w:eastAsia="仿宋" w:cs="楷体"/>
          <w:bCs/>
          <w:sz w:val="32"/>
          <w:szCs w:val="32"/>
        </w:rPr>
        <w:t>人</w:t>
      </w:r>
      <w:r>
        <w:rPr>
          <w:rFonts w:hint="eastAsia" w:ascii="仿宋" w:hAnsi="仿宋" w:eastAsia="仿宋" w:cs="楷体"/>
          <w:bCs/>
          <w:sz w:val="32"/>
          <w:szCs w:val="32"/>
          <w:lang w:eastAsia="zh-CN"/>
        </w:rPr>
        <w:t>，</w:t>
      </w:r>
      <w:r>
        <w:rPr>
          <w:rFonts w:hint="eastAsia" w:ascii="仿宋" w:hAnsi="仿宋" w:eastAsia="仿宋" w:cs="楷体"/>
          <w:bCs/>
          <w:sz w:val="32"/>
          <w:szCs w:val="32"/>
        </w:rPr>
        <w:t>乡镇卫生院</w:t>
      </w:r>
      <w:r>
        <w:rPr>
          <w:rFonts w:hint="eastAsia" w:ascii="仿宋" w:hAnsi="仿宋" w:eastAsia="仿宋" w:cs="楷体"/>
          <w:bCs/>
          <w:sz w:val="32"/>
          <w:szCs w:val="32"/>
          <w:lang w:val="en-US" w:eastAsia="zh-CN"/>
        </w:rPr>
        <w:t>65</w:t>
      </w:r>
      <w:r>
        <w:rPr>
          <w:rFonts w:hint="eastAsia" w:ascii="仿宋" w:hAnsi="仿宋" w:eastAsia="仿宋" w:cs="楷体"/>
          <w:bCs/>
          <w:sz w:val="32"/>
          <w:szCs w:val="32"/>
        </w:rPr>
        <w:t>人</w:t>
      </w:r>
      <w:r>
        <w:rPr>
          <w:rFonts w:hint="eastAsia" w:ascii="仿宋" w:hAnsi="仿宋" w:eastAsia="仿宋" w:cs="楷体"/>
          <w:bCs/>
          <w:sz w:val="32"/>
          <w:szCs w:val="32"/>
          <w:lang w:eastAsia="zh-CN"/>
        </w:rPr>
        <w:t>，铁佛镇政府</w:t>
      </w:r>
      <w:r>
        <w:rPr>
          <w:rFonts w:hint="eastAsia" w:ascii="仿宋" w:hAnsi="仿宋" w:eastAsia="仿宋" w:cs="楷体"/>
          <w:bCs/>
          <w:sz w:val="32"/>
          <w:szCs w:val="32"/>
          <w:lang w:val="en-US" w:eastAsia="zh-CN"/>
        </w:rPr>
        <w:t>51人</w:t>
      </w:r>
      <w:r>
        <w:rPr>
          <w:rFonts w:hint="eastAsia" w:ascii="仿宋" w:hAnsi="仿宋" w:eastAsia="仿宋" w:cs="楷体"/>
          <w:bCs/>
          <w:sz w:val="32"/>
          <w:szCs w:val="32"/>
        </w:rPr>
        <w:t>）</w:t>
      </w:r>
      <w:r>
        <w:rPr>
          <w:rFonts w:hint="eastAsia" w:ascii="仿宋" w:hAnsi="仿宋" w:eastAsia="仿宋" w:cs="楷体"/>
          <w:bCs/>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ascii="黑体" w:hAnsi="宋体" w:eastAsia="黑体" w:cs="宋体"/>
          <w:color w:val="000000"/>
          <w:kern w:val="0"/>
          <w:sz w:val="32"/>
          <w:szCs w:val="32"/>
          <w:highlight w:val="none"/>
          <w:shd w:val="clear" w:color="auto" w:fill="FFFFFF"/>
        </w:rPr>
      </w:pPr>
      <w:r>
        <w:rPr>
          <w:rFonts w:hint="eastAsia" w:ascii="黑体" w:hAnsi="宋体" w:eastAsia="黑体" w:cs="宋体"/>
          <w:color w:val="000000"/>
          <w:kern w:val="0"/>
          <w:sz w:val="32"/>
          <w:szCs w:val="32"/>
          <w:highlight w:val="none"/>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宋体"/>
          <w:color w:val="000000"/>
          <w:kern w:val="0"/>
          <w:sz w:val="32"/>
          <w:szCs w:val="32"/>
          <w:shd w:val="clear" w:color="auto" w:fill="FFFFFF"/>
          <w:lang w:val="zh-CN"/>
        </w:rPr>
      </w:pP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19</w:t>
      </w:r>
      <w:r>
        <w:rPr>
          <w:rFonts w:hint="eastAsia" w:ascii="仿宋" w:hAnsi="仿宋" w:eastAsia="仿宋"/>
          <w:color w:val="000000"/>
          <w:sz w:val="32"/>
          <w:szCs w:val="32"/>
        </w:rPr>
        <w:t>年度收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11511.27</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p>
    <w:p>
      <w:pPr>
        <w:keepNext w:val="0"/>
        <w:keepLines w:val="0"/>
        <w:pageBreakBefore w:val="0"/>
        <w:widowControl/>
        <w:numPr>
          <w:ilvl w:val="0"/>
          <w:numId w:val="7"/>
        </w:numPr>
        <w:kinsoku/>
        <w:wordWrap/>
        <w:overflowPunct/>
        <w:topLinePunct w:val="0"/>
        <w:autoSpaceDE/>
        <w:autoSpaceDN/>
        <w:bidi w:val="0"/>
        <w:adjustRightInd w:val="0"/>
        <w:snapToGrid w:val="0"/>
        <w:spacing w:line="520" w:lineRule="exact"/>
        <w:ind w:left="0" w:leftChars="0" w:firstLine="640" w:firstLineChars="200"/>
        <w:contextualSpacing/>
        <w:jc w:val="left"/>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宋体"/>
          <w:color w:val="000000"/>
          <w:kern w:val="0"/>
          <w:sz w:val="32"/>
          <w:szCs w:val="32"/>
          <w:shd w:val="clear" w:color="auto" w:fill="FFFFFF"/>
          <w:lang w:val="zh-CN"/>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w:t>
      </w:r>
      <w:r>
        <w:rPr>
          <w:rFonts w:hint="eastAsia" w:ascii="仿宋" w:hAnsi="仿宋" w:eastAsia="仿宋"/>
          <w:color w:val="000000"/>
          <w:sz w:val="32"/>
          <w:szCs w:val="32"/>
          <w:lang w:eastAsia="zh-CN"/>
        </w:rPr>
        <w:t>支出总计</w:t>
      </w:r>
      <w:r>
        <w:rPr>
          <w:rFonts w:hint="eastAsia" w:ascii="仿宋" w:hAnsi="仿宋" w:eastAsia="仿宋"/>
          <w:color w:val="000000"/>
          <w:sz w:val="32"/>
          <w:szCs w:val="32"/>
          <w:lang w:val="en-US" w:eastAsia="zh-CN"/>
        </w:rPr>
        <w:t>11598.77</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年末结转和结余</w:t>
      </w:r>
      <w:r>
        <w:rPr>
          <w:rFonts w:hint="eastAsia" w:ascii="仿宋" w:hAnsi="仿宋" w:eastAsia="仿宋"/>
          <w:color w:val="000000"/>
          <w:sz w:val="32"/>
          <w:szCs w:val="32"/>
          <w:lang w:val="en-US" w:eastAsia="zh-CN"/>
        </w:rPr>
        <w:t>75.58</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包括部门绩效目标制定、目标实现、预算编制准确、支出控制、预算动态调整、执行进度、预算完成情况和违规记录等情况。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 w:cs="宋体"/>
          <w:color w:val="000000"/>
          <w:kern w:val="0"/>
          <w:sz w:val="32"/>
          <w:szCs w:val="32"/>
          <w:shd w:val="clear" w:color="auto" w:fill="FFFFFF"/>
          <w:lang w:val="zh-CN" w:eastAsia="zh-CN"/>
        </w:rPr>
      </w:pPr>
      <w:r>
        <w:rPr>
          <w:rFonts w:hint="eastAsia" w:ascii="仿宋" w:hAnsi="仿宋" w:eastAsia="仿宋" w:cs="仿宋_GB2312"/>
          <w:sz w:val="32"/>
          <w:szCs w:val="32"/>
        </w:rPr>
        <w:t>1、严控</w:t>
      </w:r>
      <w:r>
        <w:rPr>
          <w:rFonts w:hint="eastAsia" w:ascii="仿宋" w:hAnsi="仿宋" w:eastAsia="仿宋" w:cs="仿宋_GB2312"/>
          <w:sz w:val="32"/>
          <w:szCs w:val="32"/>
          <w:lang w:eastAsia="zh-CN"/>
        </w:rPr>
        <w:t>铁佛</w:t>
      </w:r>
      <w:r>
        <w:rPr>
          <w:rFonts w:hint="eastAsia" w:ascii="仿宋" w:hAnsi="仿宋" w:eastAsia="仿宋" w:cs="仿宋_GB2312"/>
          <w:sz w:val="32"/>
          <w:szCs w:val="32"/>
        </w:rPr>
        <w:t>镇各项行政事业经费科学合理收支，实现预算资金高效运用。2、保障</w:t>
      </w:r>
      <w:r>
        <w:rPr>
          <w:rFonts w:hint="eastAsia" w:ascii="仿宋" w:hAnsi="仿宋" w:eastAsia="仿宋" w:cs="仿宋_GB2312"/>
          <w:sz w:val="32"/>
          <w:szCs w:val="32"/>
          <w:lang w:eastAsia="zh-CN"/>
        </w:rPr>
        <w:t>铁佛</w:t>
      </w:r>
      <w:r>
        <w:rPr>
          <w:rFonts w:hint="eastAsia" w:ascii="仿宋" w:hAnsi="仿宋" w:eastAsia="仿宋" w:cs="仿宋_GB2312"/>
          <w:sz w:val="32"/>
          <w:szCs w:val="32"/>
        </w:rPr>
        <w:t>镇机关政府、社会事业正常运行，实现</w:t>
      </w:r>
      <w:r>
        <w:rPr>
          <w:rFonts w:hint="eastAsia" w:ascii="仿宋" w:hAnsi="仿宋" w:eastAsia="仿宋" w:cs="仿宋_GB2312"/>
          <w:sz w:val="32"/>
          <w:szCs w:val="32"/>
          <w:lang w:eastAsia="zh-CN"/>
        </w:rPr>
        <w:t>铁佛</w:t>
      </w:r>
      <w:r>
        <w:rPr>
          <w:rFonts w:hint="eastAsia" w:ascii="仿宋" w:hAnsi="仿宋" w:eastAsia="仿宋" w:cs="仿宋_GB2312"/>
          <w:sz w:val="32"/>
          <w:szCs w:val="32"/>
        </w:rPr>
        <w:t>镇社会和谐稳定。3、提升</w:t>
      </w:r>
      <w:r>
        <w:rPr>
          <w:rFonts w:hint="eastAsia" w:ascii="仿宋" w:hAnsi="仿宋" w:eastAsia="仿宋" w:cs="仿宋_GB2312"/>
          <w:sz w:val="32"/>
          <w:szCs w:val="32"/>
          <w:lang w:eastAsia="zh-CN"/>
        </w:rPr>
        <w:t>铁佛</w:t>
      </w:r>
      <w:r>
        <w:rPr>
          <w:rFonts w:hint="eastAsia" w:ascii="仿宋" w:hAnsi="仿宋" w:eastAsia="仿宋" w:cs="仿宋_GB2312"/>
          <w:sz w:val="32"/>
          <w:szCs w:val="32"/>
        </w:rPr>
        <w:t>镇财政工作服务水平，提高</w:t>
      </w:r>
      <w:r>
        <w:rPr>
          <w:rFonts w:hint="eastAsia" w:ascii="仿宋" w:hAnsi="仿宋" w:eastAsia="仿宋" w:cs="仿宋_GB2312"/>
          <w:sz w:val="32"/>
          <w:szCs w:val="32"/>
          <w:lang w:eastAsia="zh-CN"/>
        </w:rPr>
        <w:t>铁佛</w:t>
      </w:r>
      <w:r>
        <w:rPr>
          <w:rFonts w:hint="eastAsia" w:ascii="仿宋" w:hAnsi="仿宋" w:eastAsia="仿宋" w:cs="仿宋_GB2312"/>
          <w:sz w:val="32"/>
          <w:szCs w:val="32"/>
        </w:rPr>
        <w:t>镇财政工作社会满意度。4、按照政府采购程序管理相关规定，完善</w:t>
      </w:r>
      <w:r>
        <w:rPr>
          <w:rFonts w:hint="eastAsia" w:ascii="仿宋" w:hAnsi="仿宋" w:eastAsia="仿宋" w:cs="仿宋_GB2312"/>
          <w:sz w:val="32"/>
          <w:szCs w:val="32"/>
          <w:lang w:eastAsia="zh-CN"/>
        </w:rPr>
        <w:t>铁佛</w:t>
      </w:r>
      <w:r>
        <w:rPr>
          <w:rFonts w:hint="eastAsia" w:ascii="仿宋" w:hAnsi="仿宋" w:eastAsia="仿宋" w:cs="仿宋_GB2312"/>
          <w:sz w:val="32"/>
          <w:szCs w:val="32"/>
        </w:rPr>
        <w:t>镇政府采购流程。5、保障村民委员会和村党支部经费，实现</w:t>
      </w:r>
      <w:r>
        <w:rPr>
          <w:rFonts w:hint="eastAsia" w:ascii="仿宋" w:hAnsi="仿宋" w:eastAsia="仿宋" w:cs="仿宋_GB2312"/>
          <w:sz w:val="32"/>
          <w:szCs w:val="32"/>
          <w:lang w:eastAsia="zh-CN"/>
        </w:rPr>
        <w:t>铁佛</w:t>
      </w:r>
      <w:r>
        <w:rPr>
          <w:rFonts w:hint="eastAsia" w:ascii="仿宋" w:hAnsi="仿宋" w:eastAsia="仿宋" w:cs="仿宋_GB2312"/>
          <w:sz w:val="32"/>
          <w:szCs w:val="32"/>
        </w:rPr>
        <w:t>镇基层组织公共服务运行。截止201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年12月31日，</w:t>
      </w:r>
      <w:r>
        <w:rPr>
          <w:rFonts w:hint="eastAsia" w:ascii="仿宋" w:hAnsi="仿宋" w:eastAsia="仿宋"/>
          <w:color w:val="000000"/>
          <w:sz w:val="32"/>
          <w:szCs w:val="32"/>
        </w:rPr>
        <w:t>年末结转和结余</w:t>
      </w:r>
      <w:r>
        <w:rPr>
          <w:rFonts w:hint="eastAsia" w:ascii="仿宋" w:hAnsi="仿宋" w:eastAsia="仿宋"/>
          <w:color w:val="000000"/>
          <w:sz w:val="32"/>
          <w:szCs w:val="32"/>
          <w:lang w:val="en-US" w:eastAsia="zh-CN"/>
        </w:rPr>
        <w:t>75.58</w:t>
      </w:r>
      <w:r>
        <w:rPr>
          <w:rFonts w:hint="eastAsia" w:ascii="仿宋" w:hAnsi="仿宋" w:eastAsia="仿宋"/>
          <w:color w:val="000000"/>
          <w:sz w:val="32"/>
          <w:szCs w:val="32"/>
          <w:lang w:eastAsia="zh-CN"/>
        </w:rPr>
        <w:t>万元，</w:t>
      </w:r>
      <w:r>
        <w:rPr>
          <w:rFonts w:hint="eastAsia" w:ascii="仿宋" w:hAnsi="仿宋" w:eastAsia="仿宋" w:cs="仿宋_GB2312"/>
          <w:sz w:val="32"/>
          <w:szCs w:val="32"/>
        </w:rPr>
        <w:t>目标完成</w:t>
      </w:r>
      <w:r>
        <w:rPr>
          <w:rFonts w:hint="eastAsia" w:ascii="仿宋" w:hAnsi="仿宋" w:eastAsia="仿宋" w:cs="仿宋_GB2312"/>
          <w:sz w:val="32"/>
          <w:szCs w:val="32"/>
          <w:lang w:val="en-US" w:eastAsia="zh-CN"/>
        </w:rPr>
        <w:t>99.35</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预算执行进度与预算目标进度</w:t>
      </w:r>
      <w:r>
        <w:rPr>
          <w:rFonts w:hint="eastAsia" w:ascii="仿宋" w:hAnsi="仿宋" w:eastAsia="仿宋" w:cs="仿宋_GB2312"/>
          <w:sz w:val="32"/>
          <w:szCs w:val="32"/>
          <w:lang w:eastAsia="zh-CN"/>
        </w:rPr>
        <w:t>基本</w:t>
      </w:r>
      <w:r>
        <w:rPr>
          <w:rFonts w:hint="eastAsia" w:ascii="仿宋" w:hAnsi="仿宋" w:eastAsia="仿宋" w:cs="仿宋_GB2312"/>
          <w:sz w:val="32"/>
          <w:szCs w:val="32"/>
        </w:rPr>
        <w:t>一致，</w:t>
      </w:r>
      <w:r>
        <w:rPr>
          <w:rFonts w:hint="eastAsia" w:ascii="仿宋" w:hAnsi="仿宋" w:eastAsia="仿宋" w:cs="仿宋_GB2312"/>
          <w:sz w:val="32"/>
          <w:szCs w:val="32"/>
          <w:lang w:eastAsia="zh-CN"/>
        </w:rPr>
        <w:t>总体</w:t>
      </w:r>
      <w:r>
        <w:rPr>
          <w:rFonts w:hint="eastAsia" w:ascii="仿宋" w:hAnsi="仿宋" w:eastAsia="仿宋" w:cs="仿宋_GB2312"/>
          <w:sz w:val="32"/>
          <w:szCs w:val="32"/>
        </w:rPr>
        <w:t>上按时按值完成预算目标。</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（一）评价结论。</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通过对</w:t>
      </w:r>
      <w:r>
        <w:rPr>
          <w:rFonts w:hint="eastAsia" w:ascii="仿宋" w:hAnsi="仿宋" w:eastAsia="仿宋" w:cs="仿宋_GB2312"/>
          <w:sz w:val="32"/>
          <w:szCs w:val="32"/>
          <w:lang w:eastAsia="zh-CN"/>
        </w:rPr>
        <w:t>铁佛</w:t>
      </w:r>
      <w:r>
        <w:rPr>
          <w:rFonts w:hint="eastAsia" w:ascii="仿宋" w:hAnsi="仿宋" w:eastAsia="仿宋" w:cs="仿宋_GB2312"/>
          <w:sz w:val="32"/>
          <w:szCs w:val="32"/>
        </w:rPr>
        <w:t>镇整体支出绩效评价，截止201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年12月31日，基本完成年初预设目标，预算执行进度与预算目标进度</w:t>
      </w:r>
      <w:r>
        <w:rPr>
          <w:rFonts w:hint="eastAsia" w:ascii="仿宋" w:hAnsi="仿宋" w:eastAsia="仿宋" w:cs="仿宋_GB2312"/>
          <w:sz w:val="32"/>
          <w:szCs w:val="32"/>
          <w:lang w:eastAsia="zh-CN"/>
        </w:rPr>
        <w:t>基本</w:t>
      </w:r>
      <w:r>
        <w:rPr>
          <w:rFonts w:hint="eastAsia" w:ascii="仿宋" w:hAnsi="仿宋" w:eastAsia="仿宋" w:cs="仿宋_GB2312"/>
          <w:sz w:val="32"/>
          <w:szCs w:val="32"/>
        </w:rPr>
        <w:t>一致，</w:t>
      </w:r>
      <w:r>
        <w:rPr>
          <w:rFonts w:hint="eastAsia" w:ascii="仿宋" w:hAnsi="仿宋" w:eastAsia="仿宋" w:cs="仿宋_GB2312"/>
          <w:sz w:val="32"/>
          <w:szCs w:val="32"/>
          <w:lang w:eastAsia="zh-CN"/>
        </w:rPr>
        <w:t>总体</w:t>
      </w:r>
      <w:r>
        <w:rPr>
          <w:rFonts w:hint="eastAsia" w:ascii="仿宋" w:hAnsi="仿宋" w:eastAsia="仿宋" w:cs="仿宋_GB2312"/>
          <w:sz w:val="32"/>
          <w:szCs w:val="32"/>
        </w:rPr>
        <w:t>上按时按质完成预算目标。</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eastAsia="zh-CN"/>
        </w:rPr>
        <w:t>二</w:t>
      </w:r>
      <w:r>
        <w:rPr>
          <w:rFonts w:hint="eastAsia" w:ascii="仿宋" w:hAnsi="仿宋" w:eastAsia="仿宋" w:cs="仿宋_GB2312"/>
          <w:sz w:val="32"/>
          <w:szCs w:val="32"/>
        </w:rPr>
        <w:t>）存在问题。</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1.项目绩效目标与指标不完整。绩效指标较少，不能完全衡量条件建设经费项目的完成情况，绩效指标未涵盖所有工作事项，绩效标准表述不够准确，整体逻辑关系不够清晰。</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2.资金投入较小。项目建设是一项长期建设任务，投入资金有限。在一个时间范围内，完成一个整体的建设项目非常困难。    </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3.资金监控机制有待进一步加强。在执行过程中，未对项目资金使用及项目完成情况进行有效的监督，导致执行滞后的问题。</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（三）改进建议。</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1.进一步加大资金投入力度。建议进一步加大项目资金的投入力度，按照要求尽早完成项目建设。</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2.进一步完善项目绩效目标及绩效指标。加强各执行部门的沟通，建立事权、财权、责任匹配制度，在绩效目标的设定方面，绩效目标有待准确化，使项目目标更简洁，更加明晰。项目绩效指标需结合项目明细具体设置，尽可能全面、客观的反映项目产出及效果。</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3.提高项目资金使用率。实时监控预算完成情况，对项目资金执行情况及项目进度进行通报，对执行进度滞后的情况，要求加快执行，确保项目能按计划执行。同时明确监管层次，对项目的时间节点控制，进一步提高内部控制意识，明确责任主体。</w:t>
      </w:r>
    </w:p>
    <w:p>
      <w:pPr>
        <w:rPr>
          <w:rFonts w:hint="eastAsia" w:ascii="黑体" w:hAnsi="黑体" w:eastAsia="黑体" w:cs="黑体"/>
          <w:sz w:val="32"/>
          <w:szCs w:val="32"/>
        </w:rPr>
      </w:pPr>
      <w:r>
        <w:rPr>
          <w:rFonts w:hint="eastAsia" w:ascii="黑体" w:hAnsi="黑体" w:eastAsia="黑体" w:cs="黑体"/>
          <w:sz w:val="32"/>
          <w:szCs w:val="32"/>
        </w:rPr>
        <w:br w:type="page"/>
      </w: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w:t>
      </w:r>
      <w:r>
        <w:rPr>
          <w:rFonts w:hint="eastAsia" w:ascii="黑体" w:hAnsi="黑体" w:eastAsia="黑体" w:cs="方正小标宋简体"/>
          <w:sz w:val="44"/>
          <w:szCs w:val="44"/>
          <w:lang w:val="en-US" w:eastAsia="zh-CN"/>
        </w:rPr>
        <w:t>9</w:t>
      </w:r>
      <w:r>
        <w:rPr>
          <w:rFonts w:hint="eastAsia" w:ascii="黑体" w:hAnsi="黑体" w:eastAsia="黑体" w:cs="方正小标宋简体"/>
          <w:sz w:val="44"/>
          <w:szCs w:val="44"/>
        </w:rPr>
        <w:t>年</w:t>
      </w:r>
      <w:r>
        <w:rPr>
          <w:rFonts w:hint="eastAsia" w:ascii="黑体" w:hAnsi="黑体" w:eastAsia="黑体" w:cs="方正小标宋简体"/>
          <w:sz w:val="44"/>
          <w:szCs w:val="44"/>
          <w:lang w:val="en-US" w:eastAsia="zh-CN"/>
        </w:rPr>
        <w:t>雨露计划</w:t>
      </w:r>
      <w:r>
        <w:rPr>
          <w:rFonts w:hint="eastAsia" w:ascii="黑体" w:hAnsi="黑体" w:eastAsia="黑体" w:cs="方正小标宋简体"/>
          <w:sz w:val="44"/>
          <w:szCs w:val="44"/>
          <w:lang w:eastAsia="zh-CN"/>
        </w:rPr>
        <w:t>项</w:t>
      </w:r>
      <w:r>
        <w:rPr>
          <w:rFonts w:hint="eastAsia" w:ascii="黑体" w:hAnsi="黑体" w:eastAsia="黑体" w:cs="方正小标宋简体"/>
          <w:sz w:val="44"/>
          <w:szCs w:val="44"/>
        </w:rPr>
        <w:t>目支出绩效评价报告</w:t>
      </w:r>
    </w:p>
    <w:p>
      <w:pPr>
        <w:spacing w:line="580" w:lineRule="exact"/>
        <w:ind w:firstLine="640" w:firstLineChars="200"/>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cs="仿宋_GB2312"/>
          <w:sz w:val="30"/>
          <w:szCs w:val="30"/>
        </w:rPr>
      </w:pPr>
      <w:r>
        <w:rPr>
          <w:rFonts w:hint="eastAsia" w:ascii="仿宋" w:hAnsi="仿宋" w:eastAsia="仿宋" w:cs="仿宋_GB2312"/>
          <w:sz w:val="30"/>
          <w:szCs w:val="30"/>
        </w:rPr>
        <w:t>一</w:t>
      </w:r>
      <w:r>
        <w:rPr>
          <w:rFonts w:ascii="仿宋" w:hAnsi="仿宋" w:eastAsia="仿宋" w:cs="仿宋_GB2312"/>
          <w:sz w:val="30"/>
          <w:szCs w:val="30"/>
        </w:rPr>
        <w:t>、评价工作开展及项目情况</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cs="仿宋_GB2312"/>
          <w:sz w:val="30"/>
          <w:szCs w:val="30"/>
        </w:rPr>
      </w:pPr>
      <w:r>
        <w:rPr>
          <w:rFonts w:hint="eastAsia" w:ascii="仿宋" w:hAnsi="仿宋" w:eastAsia="仿宋" w:cs="仿宋_GB2312"/>
          <w:sz w:val="30"/>
          <w:szCs w:val="30"/>
        </w:rPr>
        <w:t>项目年度预算绩效目标、绩效指标设定情况。财政投入专项资金34.65万元用于职业教育补助，职业教育补助由县、镇、贫困学生三级联动实现应补尽补，雨露计划职业教育补助人数257人。</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cs="仿宋_GB2312"/>
          <w:sz w:val="30"/>
          <w:szCs w:val="30"/>
        </w:rPr>
      </w:pPr>
      <w:r>
        <w:rPr>
          <w:rFonts w:hint="eastAsia" w:ascii="仿宋" w:hAnsi="仿宋" w:eastAsia="仿宋" w:cs="仿宋_GB2312"/>
          <w:sz w:val="30"/>
          <w:szCs w:val="30"/>
        </w:rPr>
        <w:t>二</w:t>
      </w:r>
      <w:r>
        <w:rPr>
          <w:rFonts w:ascii="仿宋" w:hAnsi="仿宋" w:eastAsia="仿宋" w:cs="仿宋_GB2312"/>
          <w:sz w:val="30"/>
          <w:szCs w:val="30"/>
        </w:rPr>
        <w:t>、评价结论及绩效分析</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cs="仿宋_GB2312"/>
          <w:sz w:val="30"/>
          <w:szCs w:val="30"/>
        </w:rPr>
      </w:pPr>
      <w:r>
        <w:rPr>
          <w:rFonts w:ascii="仿宋" w:hAnsi="仿宋" w:eastAsia="仿宋" w:cs="仿宋_GB2312"/>
          <w:sz w:val="30"/>
          <w:szCs w:val="30"/>
        </w:rPr>
        <w:t>（一）评价结论</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cs="仿宋_GB2312"/>
          <w:sz w:val="30"/>
          <w:szCs w:val="30"/>
        </w:rPr>
      </w:pPr>
      <w:r>
        <w:rPr>
          <w:rFonts w:ascii="仿宋" w:hAnsi="仿宋" w:eastAsia="仿宋" w:cs="仿宋_GB2312"/>
          <w:sz w:val="30"/>
          <w:szCs w:val="30"/>
        </w:rPr>
        <w:t>项目绩效评价总体</w:t>
      </w:r>
      <w:r>
        <w:rPr>
          <w:rFonts w:hint="eastAsia" w:ascii="仿宋" w:hAnsi="仿宋" w:eastAsia="仿宋" w:cs="仿宋_GB2312"/>
          <w:sz w:val="30"/>
          <w:szCs w:val="30"/>
        </w:rPr>
        <w:t>得分</w:t>
      </w:r>
      <w:r>
        <w:rPr>
          <w:rFonts w:hint="eastAsia" w:ascii="仿宋" w:hAnsi="仿宋" w:eastAsia="仿宋" w:cs="仿宋_GB2312"/>
          <w:sz w:val="30"/>
          <w:szCs w:val="30"/>
          <w:lang w:val="en-US" w:eastAsia="zh-CN"/>
        </w:rPr>
        <w:t>99</w:t>
      </w:r>
      <w:r>
        <w:rPr>
          <w:rFonts w:hint="eastAsia" w:ascii="仿宋" w:hAnsi="仿宋" w:eastAsia="仿宋" w:cs="仿宋_GB2312"/>
          <w:sz w:val="30"/>
          <w:szCs w:val="30"/>
        </w:rPr>
        <w:t>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cs="仿宋_GB2312"/>
          <w:sz w:val="30"/>
          <w:szCs w:val="30"/>
        </w:rPr>
      </w:pPr>
      <w:r>
        <w:rPr>
          <w:rFonts w:ascii="仿宋" w:hAnsi="仿宋" w:eastAsia="仿宋" w:cs="仿宋_GB2312"/>
          <w:sz w:val="30"/>
          <w:szCs w:val="30"/>
        </w:rPr>
        <w:t>（二）绩效分析</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cs="仿宋_GB2312"/>
          <w:sz w:val="30"/>
          <w:szCs w:val="30"/>
        </w:rPr>
      </w:pPr>
      <w:r>
        <w:rPr>
          <w:rFonts w:ascii="仿宋" w:hAnsi="仿宋" w:eastAsia="仿宋" w:cs="仿宋_GB2312"/>
          <w:sz w:val="30"/>
          <w:szCs w:val="30"/>
        </w:rPr>
        <w:t>1、项目决策</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_GB2312"/>
          <w:sz w:val="30"/>
          <w:szCs w:val="30"/>
        </w:rPr>
      </w:pPr>
      <w:r>
        <w:rPr>
          <w:rFonts w:hint="eastAsia" w:ascii="仿宋" w:hAnsi="仿宋" w:eastAsia="仿宋" w:cs="仿宋_GB2312"/>
          <w:sz w:val="30"/>
          <w:szCs w:val="30"/>
          <w:lang w:eastAsia="zh-CN"/>
        </w:rPr>
        <w:t>雨露计划</w:t>
      </w:r>
      <w:r>
        <w:rPr>
          <w:rFonts w:hint="eastAsia" w:ascii="仿宋" w:hAnsi="仿宋" w:eastAsia="仿宋" w:cs="仿宋_GB2312"/>
          <w:sz w:val="30"/>
          <w:szCs w:val="30"/>
        </w:rPr>
        <w:t>项目支出按照相关</w:t>
      </w:r>
      <w:r>
        <w:rPr>
          <w:rFonts w:ascii="仿宋" w:hAnsi="仿宋" w:eastAsia="仿宋" w:cs="仿宋_GB2312"/>
          <w:sz w:val="30"/>
          <w:szCs w:val="30"/>
        </w:rPr>
        <w:t>政策依据</w:t>
      </w:r>
      <w:r>
        <w:rPr>
          <w:rFonts w:hint="eastAsia" w:ascii="仿宋" w:hAnsi="仿宋" w:eastAsia="仿宋" w:cs="仿宋_GB2312"/>
          <w:sz w:val="30"/>
          <w:szCs w:val="30"/>
        </w:rPr>
        <w:t>实施</w:t>
      </w:r>
      <w:r>
        <w:rPr>
          <w:rFonts w:ascii="仿宋" w:hAnsi="仿宋" w:eastAsia="仿宋" w:cs="仿宋_GB2312"/>
          <w:sz w:val="30"/>
          <w:szCs w:val="30"/>
        </w:rPr>
        <w:t>，</w:t>
      </w:r>
      <w:r>
        <w:rPr>
          <w:rFonts w:hint="eastAsia" w:ascii="仿宋" w:hAnsi="仿宋" w:eastAsia="仿宋" w:cs="仿宋_GB2312"/>
          <w:sz w:val="30"/>
          <w:szCs w:val="30"/>
        </w:rPr>
        <w:t>项目决策严格按照相关流程，充分发挥项目资金效益。促进了</w:t>
      </w:r>
      <w:r>
        <w:rPr>
          <w:rFonts w:hint="eastAsia" w:ascii="仿宋" w:hAnsi="仿宋" w:eastAsia="仿宋" w:cs="仿宋_GB2312"/>
          <w:sz w:val="30"/>
          <w:szCs w:val="30"/>
          <w:lang w:eastAsia="zh-CN"/>
        </w:rPr>
        <w:t>铁佛</w:t>
      </w:r>
      <w:r>
        <w:rPr>
          <w:rFonts w:hint="eastAsia" w:ascii="仿宋" w:hAnsi="仿宋" w:eastAsia="仿宋" w:cs="仿宋_GB2312"/>
          <w:sz w:val="30"/>
          <w:szCs w:val="30"/>
        </w:rPr>
        <w:t>镇教育</w:t>
      </w:r>
      <w:r>
        <w:rPr>
          <w:rFonts w:hint="eastAsia" w:ascii="仿宋" w:hAnsi="仿宋" w:eastAsia="仿宋" w:cs="仿宋_GB2312"/>
          <w:sz w:val="30"/>
          <w:szCs w:val="30"/>
          <w:lang w:eastAsia="zh-CN"/>
        </w:rPr>
        <w:t>工作</w:t>
      </w:r>
      <w:r>
        <w:rPr>
          <w:rFonts w:hint="eastAsia" w:ascii="仿宋" w:hAnsi="仿宋" w:eastAsia="仿宋" w:cs="仿宋_GB2312"/>
          <w:sz w:val="30"/>
          <w:szCs w:val="30"/>
        </w:rPr>
        <w:t>，有利推动</w:t>
      </w:r>
      <w:r>
        <w:rPr>
          <w:rFonts w:hint="eastAsia" w:ascii="仿宋" w:hAnsi="仿宋" w:eastAsia="仿宋" w:cs="仿宋_GB2312"/>
          <w:sz w:val="30"/>
          <w:szCs w:val="30"/>
          <w:lang w:eastAsia="zh-CN"/>
        </w:rPr>
        <w:t>铁佛</w:t>
      </w:r>
      <w:r>
        <w:rPr>
          <w:rFonts w:hint="eastAsia" w:ascii="仿宋" w:hAnsi="仿宋" w:eastAsia="仿宋" w:cs="仿宋_GB2312"/>
          <w:sz w:val="30"/>
          <w:szCs w:val="30"/>
        </w:rPr>
        <w:t>镇脱贫攻坚。</w:t>
      </w:r>
      <w:r>
        <w:rPr>
          <w:rFonts w:ascii="仿宋" w:hAnsi="仿宋" w:eastAsia="仿宋" w:cs="仿宋_GB2312"/>
          <w:sz w:val="30"/>
          <w:szCs w:val="30"/>
        </w:rPr>
        <w:t>绩效目标设置的</w:t>
      </w:r>
      <w:r>
        <w:rPr>
          <w:rFonts w:hint="eastAsia" w:ascii="仿宋" w:hAnsi="仿宋" w:eastAsia="仿宋" w:cs="仿宋_GB2312"/>
          <w:sz w:val="30"/>
          <w:szCs w:val="30"/>
        </w:rPr>
        <w:t>科学合理，同时也结合</w:t>
      </w:r>
      <w:r>
        <w:rPr>
          <w:rFonts w:hint="eastAsia" w:ascii="仿宋" w:hAnsi="仿宋" w:eastAsia="仿宋" w:cs="仿宋_GB2312"/>
          <w:sz w:val="30"/>
          <w:szCs w:val="30"/>
          <w:lang w:eastAsia="zh-CN"/>
        </w:rPr>
        <w:t>铁佛</w:t>
      </w:r>
      <w:r>
        <w:rPr>
          <w:rFonts w:hint="eastAsia" w:ascii="仿宋" w:hAnsi="仿宋" w:eastAsia="仿宋" w:cs="仿宋_GB2312"/>
          <w:sz w:val="30"/>
          <w:szCs w:val="30"/>
        </w:rPr>
        <w:t>实际情况。</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cs="仿宋_GB2312"/>
          <w:sz w:val="30"/>
          <w:szCs w:val="30"/>
        </w:rPr>
      </w:pPr>
      <w:r>
        <w:rPr>
          <w:rFonts w:hint="eastAsia" w:ascii="仿宋" w:hAnsi="仿宋" w:eastAsia="仿宋" w:cs="仿宋_GB2312"/>
          <w:sz w:val="30"/>
          <w:szCs w:val="30"/>
          <w:lang w:val="en-US" w:eastAsia="zh-CN"/>
        </w:rPr>
        <w:t>2、</w:t>
      </w:r>
      <w:r>
        <w:rPr>
          <w:rFonts w:ascii="仿宋" w:hAnsi="仿宋" w:eastAsia="仿宋" w:cs="仿宋_GB2312"/>
          <w:sz w:val="30"/>
          <w:szCs w:val="30"/>
        </w:rPr>
        <w:t>项目管理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_GB2312"/>
          <w:sz w:val="30"/>
          <w:szCs w:val="30"/>
        </w:rPr>
      </w:pPr>
      <w:r>
        <w:rPr>
          <w:rFonts w:hint="eastAsia" w:ascii="仿宋" w:hAnsi="仿宋" w:eastAsia="仿宋" w:cs="仿宋_GB2312"/>
          <w:sz w:val="30"/>
          <w:szCs w:val="30"/>
          <w:lang w:eastAsia="zh-CN"/>
        </w:rPr>
        <w:t>雨露计划</w:t>
      </w:r>
      <w:r>
        <w:rPr>
          <w:rFonts w:hint="eastAsia" w:ascii="仿宋" w:hAnsi="仿宋" w:eastAsia="仿宋" w:cs="仿宋_GB2312"/>
          <w:sz w:val="30"/>
          <w:szCs w:val="30"/>
        </w:rPr>
        <w:t>项目支出决算</w:t>
      </w:r>
      <w:r>
        <w:rPr>
          <w:rFonts w:ascii="仿宋" w:hAnsi="仿宋" w:eastAsia="仿宋" w:cs="仿宋_GB2312"/>
          <w:sz w:val="30"/>
          <w:szCs w:val="30"/>
        </w:rPr>
        <w:t>资金</w:t>
      </w:r>
      <w:r>
        <w:rPr>
          <w:rFonts w:hint="eastAsia" w:ascii="仿宋" w:hAnsi="仿宋" w:eastAsia="仿宋" w:cs="仿宋_GB2312"/>
          <w:sz w:val="30"/>
          <w:szCs w:val="30"/>
        </w:rPr>
        <w:t>34.65万元。资金</w:t>
      </w:r>
      <w:r>
        <w:rPr>
          <w:rFonts w:ascii="仿宋" w:hAnsi="仿宋" w:eastAsia="仿宋" w:cs="仿宋_GB2312"/>
          <w:sz w:val="30"/>
          <w:szCs w:val="30"/>
        </w:rPr>
        <w:t>分配分配管理科学合理，</w:t>
      </w:r>
      <w:r>
        <w:rPr>
          <w:rFonts w:hint="eastAsia" w:ascii="仿宋" w:hAnsi="仿宋" w:eastAsia="仿宋" w:cs="仿宋_GB2312"/>
          <w:sz w:val="30"/>
          <w:szCs w:val="30"/>
        </w:rPr>
        <w:t>按照相关政策文件执行，资</w:t>
      </w:r>
      <w:r>
        <w:rPr>
          <w:rFonts w:ascii="仿宋" w:hAnsi="仿宋" w:eastAsia="仿宋" w:cs="仿宋_GB2312"/>
          <w:sz w:val="30"/>
          <w:szCs w:val="30"/>
        </w:rPr>
        <w:t>金使用</w:t>
      </w:r>
      <w:r>
        <w:rPr>
          <w:rFonts w:hint="eastAsia" w:ascii="仿宋" w:hAnsi="仿宋" w:eastAsia="仿宋" w:cs="仿宋_GB2312"/>
          <w:sz w:val="30"/>
          <w:szCs w:val="30"/>
        </w:rPr>
        <w:t>、</w:t>
      </w:r>
      <w:r>
        <w:rPr>
          <w:rFonts w:ascii="仿宋" w:hAnsi="仿宋" w:eastAsia="仿宋" w:cs="仿宋_GB2312"/>
          <w:sz w:val="30"/>
          <w:szCs w:val="30"/>
        </w:rPr>
        <w:t>资金管理的科学规范</w:t>
      </w:r>
      <w:r>
        <w:rPr>
          <w:rFonts w:hint="eastAsia" w:ascii="仿宋" w:hAnsi="仿宋" w:eastAsia="仿宋" w:cs="仿宋_GB2312"/>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cs="仿宋_GB2312"/>
          <w:sz w:val="30"/>
          <w:szCs w:val="30"/>
        </w:rPr>
      </w:pPr>
      <w:r>
        <w:rPr>
          <w:rFonts w:ascii="仿宋" w:hAnsi="仿宋" w:eastAsia="仿宋" w:cs="仿宋_GB2312"/>
          <w:sz w:val="30"/>
          <w:szCs w:val="30"/>
        </w:rPr>
        <w:t>3、项目绩效</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cs="仿宋_GB2312"/>
          <w:sz w:val="30"/>
          <w:szCs w:val="30"/>
        </w:rPr>
      </w:pPr>
      <w:r>
        <w:rPr>
          <w:rFonts w:ascii="仿宋" w:hAnsi="仿宋" w:eastAsia="仿宋" w:cs="仿宋_GB2312"/>
          <w:sz w:val="30"/>
          <w:szCs w:val="30"/>
        </w:rPr>
        <w:t>项目目标完成情况数量、质量</w:t>
      </w:r>
      <w:r>
        <w:rPr>
          <w:rFonts w:hint="eastAsia" w:ascii="仿宋" w:hAnsi="仿宋" w:eastAsia="仿宋" w:cs="仿宋_GB2312"/>
          <w:sz w:val="30"/>
          <w:szCs w:val="30"/>
        </w:rPr>
        <w:t>指标完成</w:t>
      </w:r>
      <w:r>
        <w:rPr>
          <w:rFonts w:hint="eastAsia" w:ascii="仿宋" w:hAnsi="仿宋" w:eastAsia="仿宋" w:cs="仿宋_GB2312"/>
          <w:sz w:val="30"/>
          <w:szCs w:val="30"/>
          <w:lang w:eastAsia="zh-CN"/>
        </w:rPr>
        <w:t>良好</w:t>
      </w:r>
      <w:r>
        <w:rPr>
          <w:rFonts w:hint="eastAsia" w:ascii="仿宋" w:hAnsi="仿宋" w:eastAsia="仿宋" w:cs="仿宋_GB2312"/>
          <w:sz w:val="30"/>
          <w:szCs w:val="30"/>
        </w:rPr>
        <w:t>，项目</w:t>
      </w:r>
      <w:r>
        <w:rPr>
          <w:rFonts w:ascii="仿宋" w:hAnsi="仿宋" w:eastAsia="仿宋" w:cs="仿宋_GB2312"/>
          <w:sz w:val="30"/>
          <w:szCs w:val="30"/>
        </w:rPr>
        <w:t>时效、成本</w:t>
      </w:r>
      <w:r>
        <w:rPr>
          <w:rFonts w:hint="eastAsia" w:ascii="仿宋" w:hAnsi="仿宋" w:eastAsia="仿宋" w:cs="仿宋_GB2312"/>
          <w:sz w:val="30"/>
          <w:szCs w:val="30"/>
        </w:rPr>
        <w:t>指标基本完成，</w:t>
      </w:r>
      <w:r>
        <w:rPr>
          <w:rFonts w:ascii="仿宋" w:hAnsi="仿宋" w:eastAsia="仿宋" w:cs="仿宋_GB2312"/>
          <w:sz w:val="30"/>
          <w:szCs w:val="30"/>
        </w:rPr>
        <w:t>项目效益情况经济效益、项目社会效益、生态效益、可持续效益、公平性、资金使用效率、受益群体满意度等</w:t>
      </w:r>
      <w:r>
        <w:rPr>
          <w:rFonts w:hint="eastAsia" w:ascii="仿宋" w:hAnsi="仿宋" w:eastAsia="仿宋" w:cs="仿宋_GB2312"/>
          <w:sz w:val="30"/>
          <w:szCs w:val="30"/>
        </w:rPr>
        <w:t>达到预设定目标</w:t>
      </w:r>
      <w:r>
        <w:rPr>
          <w:rFonts w:ascii="仿宋" w:hAnsi="仿宋" w:eastAsia="仿宋" w:cs="仿宋_GB2312"/>
          <w:sz w:val="30"/>
          <w:szCs w:val="30"/>
        </w:rPr>
        <w:t>。</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textAlignment w:val="auto"/>
        <w:rPr>
          <w:rFonts w:ascii="仿宋" w:hAnsi="仿宋" w:eastAsia="仿宋" w:cs="仿宋_GB2312"/>
          <w:sz w:val="30"/>
          <w:szCs w:val="30"/>
        </w:rPr>
      </w:pPr>
      <w:r>
        <w:rPr>
          <w:rFonts w:ascii="仿宋" w:hAnsi="仿宋" w:eastAsia="仿宋" w:cs="仿宋_GB2312"/>
          <w:sz w:val="30"/>
          <w:szCs w:val="30"/>
        </w:rPr>
        <w:t>存在主要问题</w:t>
      </w:r>
      <w:r>
        <w:rPr>
          <w:rFonts w:hint="eastAsia" w:ascii="仿宋" w:hAnsi="仿宋" w:eastAsia="仿宋" w:cs="仿宋_GB2312"/>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_GB2312"/>
          <w:sz w:val="30"/>
          <w:szCs w:val="30"/>
          <w:lang w:eastAsia="zh-CN"/>
        </w:rPr>
      </w:pPr>
      <w:r>
        <w:rPr>
          <w:rFonts w:hint="eastAsia" w:ascii="仿宋" w:hAnsi="仿宋" w:eastAsia="仿宋" w:cs="仿宋_GB2312"/>
          <w:sz w:val="30"/>
          <w:szCs w:val="30"/>
        </w:rPr>
        <w:t>资金拨付不及时问题</w:t>
      </w:r>
      <w:r>
        <w:rPr>
          <w:rFonts w:hint="eastAsia" w:ascii="仿宋" w:hAnsi="仿宋" w:eastAsia="仿宋" w:cs="仿宋_GB2312"/>
          <w:sz w:val="30"/>
          <w:szCs w:val="30"/>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textAlignment w:val="auto"/>
        <w:rPr>
          <w:rFonts w:ascii="仿宋" w:hAnsi="仿宋" w:eastAsia="仿宋" w:cs="仿宋_GB2312"/>
          <w:sz w:val="30"/>
          <w:szCs w:val="30"/>
        </w:rPr>
      </w:pPr>
      <w:r>
        <w:rPr>
          <w:rFonts w:ascii="仿宋" w:hAnsi="仿宋" w:eastAsia="仿宋" w:cs="仿宋_GB2312"/>
          <w:sz w:val="30"/>
          <w:szCs w:val="30"/>
        </w:rPr>
        <w:t>相关措施建议</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cs="仿宋_GB2312"/>
          <w:sz w:val="30"/>
          <w:szCs w:val="30"/>
        </w:rPr>
      </w:pPr>
      <w:r>
        <w:rPr>
          <w:rFonts w:hint="eastAsia" w:ascii="仿宋" w:hAnsi="仿宋" w:eastAsia="仿宋" w:cs="仿宋_GB2312"/>
          <w:sz w:val="30"/>
          <w:szCs w:val="30"/>
        </w:rPr>
        <w:t>提高项目资金使用率。项目实施做好前期相关工作准备，按照相关要求进行前期立项工作，确保有相应的资金来源，严格按照资金拨付流程支付项目资金，确保资金专款专用，发挥最大效益。</w:t>
      </w:r>
    </w:p>
    <w:p>
      <w:pPr>
        <w:spacing w:line="580" w:lineRule="exact"/>
        <w:ind w:firstLine="640" w:firstLineChars="200"/>
        <w:rPr>
          <w:rFonts w:ascii="仿宋_GB2312" w:hAnsi="仿宋_GB2312" w:eastAsia="仿宋_GB2312" w:cs="仿宋_GB2312"/>
          <w:sz w:val="32"/>
          <w:szCs w:val="32"/>
        </w:rPr>
      </w:pPr>
    </w:p>
    <w:p>
      <w:pPr>
        <w:rPr>
          <w:rStyle w:val="24"/>
          <w:rFonts w:ascii="黑体" w:hAnsi="黑体" w:eastAsia="黑体"/>
          <w:b w:val="0"/>
        </w:rPr>
      </w:pPr>
      <w:r>
        <w:rPr>
          <w:rStyle w:val="24"/>
          <w:rFonts w:ascii="黑体" w:hAnsi="黑体" w:eastAsia="黑体"/>
          <w:b w:val="0"/>
        </w:rPr>
        <w:br w:type="page"/>
      </w:r>
    </w:p>
    <w:p>
      <w:pPr>
        <w:spacing w:line="580" w:lineRule="exact"/>
        <w:jc w:val="center"/>
        <w:rPr>
          <w:rFonts w:ascii="黑体" w:hAnsi="黑体" w:eastAsia="黑体" w:cs="方正小标宋简体"/>
          <w:sz w:val="40"/>
          <w:szCs w:val="40"/>
        </w:rPr>
      </w:pPr>
      <w:r>
        <w:rPr>
          <w:rFonts w:hint="eastAsia" w:ascii="黑体" w:hAnsi="黑体" w:eastAsia="黑体" w:cs="方正小标宋简体"/>
          <w:sz w:val="40"/>
          <w:szCs w:val="40"/>
        </w:rPr>
        <w:t>201</w:t>
      </w:r>
      <w:r>
        <w:rPr>
          <w:rFonts w:hint="eastAsia" w:ascii="黑体" w:hAnsi="黑体" w:eastAsia="黑体" w:cs="方正小标宋简体"/>
          <w:sz w:val="40"/>
          <w:szCs w:val="40"/>
          <w:lang w:val="en-US" w:eastAsia="zh-CN"/>
        </w:rPr>
        <w:t>9</w:t>
      </w:r>
      <w:r>
        <w:rPr>
          <w:rFonts w:hint="eastAsia" w:ascii="黑体" w:hAnsi="黑体" w:eastAsia="黑体" w:cs="方正小标宋简体"/>
          <w:sz w:val="40"/>
          <w:szCs w:val="40"/>
        </w:rPr>
        <w:t>年</w:t>
      </w:r>
      <w:r>
        <w:rPr>
          <w:rFonts w:hint="eastAsia" w:ascii="黑体" w:hAnsi="黑体" w:eastAsia="黑体" w:cs="方正小标宋简体"/>
          <w:sz w:val="40"/>
          <w:szCs w:val="40"/>
          <w:lang w:val="en-US" w:eastAsia="zh-CN"/>
        </w:rPr>
        <w:t>耕地地力保护</w:t>
      </w:r>
      <w:r>
        <w:rPr>
          <w:rFonts w:hint="eastAsia" w:ascii="黑体" w:hAnsi="黑体" w:eastAsia="黑体" w:cs="方正小标宋简体"/>
          <w:sz w:val="40"/>
          <w:szCs w:val="40"/>
          <w:lang w:eastAsia="zh-CN"/>
        </w:rPr>
        <w:t>项</w:t>
      </w:r>
      <w:r>
        <w:rPr>
          <w:rFonts w:hint="eastAsia" w:ascii="黑体" w:hAnsi="黑体" w:eastAsia="黑体" w:cs="方正小标宋简体"/>
          <w:sz w:val="40"/>
          <w:szCs w:val="40"/>
        </w:rPr>
        <w:t>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项目年度预算绩效目标、绩效指标设定情况。财政投入专项资金432.111202万元用于</w:t>
      </w:r>
      <w:r>
        <w:rPr>
          <w:rFonts w:hint="eastAsia" w:ascii="仿宋_GB2312" w:hAnsi="仿宋_GB2312" w:eastAsia="仿宋_GB2312" w:cs="仿宋_GB2312"/>
          <w:sz w:val="32"/>
          <w:szCs w:val="32"/>
          <w:lang w:val="en-US" w:eastAsia="zh-CN"/>
        </w:rPr>
        <w:t>耕地地力保护，</w:t>
      </w:r>
      <w:r>
        <w:rPr>
          <w:rFonts w:hint="eastAsia" w:ascii="仿宋_GB2312" w:hAnsi="仿宋_GB2312" w:eastAsia="仿宋_GB2312" w:cs="仿宋_GB2312"/>
          <w:sz w:val="32"/>
          <w:szCs w:val="32"/>
        </w:rPr>
        <w:t>该项目直接补贴农村家庭</w:t>
      </w:r>
      <w:r>
        <w:rPr>
          <w:rFonts w:hint="eastAsia" w:ascii="仿宋_GB2312" w:hAnsi="仿宋_GB2312" w:eastAsia="仿宋_GB2312" w:cs="仿宋_GB2312"/>
          <w:sz w:val="32"/>
          <w:szCs w:val="32"/>
          <w:lang w:val="en-US" w:eastAsia="zh-CN"/>
        </w:rPr>
        <w:t>9363</w:t>
      </w:r>
      <w:r>
        <w:rPr>
          <w:rFonts w:hint="eastAsia" w:ascii="仿宋_GB2312" w:hAnsi="仿宋_GB2312" w:eastAsia="仿宋_GB2312" w:cs="仿宋_GB2312"/>
          <w:sz w:val="32"/>
          <w:szCs w:val="32"/>
        </w:rPr>
        <w:t>户。</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w:t>
      </w:r>
      <w:r>
        <w:rPr>
          <w:rFonts w:hint="eastAsia" w:ascii="仿宋" w:hAnsi="仿宋" w:eastAsia="仿宋" w:cs="仿宋_GB2312"/>
          <w:sz w:val="32"/>
          <w:szCs w:val="32"/>
        </w:rPr>
        <w:t>得分</w:t>
      </w:r>
      <w:r>
        <w:rPr>
          <w:rFonts w:hint="eastAsia" w:ascii="仿宋" w:hAnsi="仿宋" w:eastAsia="仿宋" w:cs="仿宋_GB2312"/>
          <w:sz w:val="32"/>
          <w:szCs w:val="32"/>
          <w:lang w:val="en-US" w:eastAsia="zh-CN"/>
        </w:rPr>
        <w:t>99.5</w:t>
      </w:r>
      <w:r>
        <w:rPr>
          <w:rFonts w:hint="eastAsia" w:ascii="仿宋" w:hAnsi="仿宋" w:eastAsia="仿宋" w:cs="仿宋_GB2312"/>
          <w:sz w:val="32"/>
          <w:szCs w:val="32"/>
        </w:rPr>
        <w:t>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eastAsia="zh-CN"/>
        </w:rPr>
        <w:t>该</w:t>
      </w:r>
      <w:r>
        <w:rPr>
          <w:rFonts w:hint="eastAsia" w:ascii="仿宋" w:hAnsi="仿宋" w:eastAsia="仿宋" w:cs="仿宋_GB2312"/>
          <w:sz w:val="32"/>
          <w:szCs w:val="32"/>
        </w:rPr>
        <w:t>项目支出按照相关</w:t>
      </w:r>
      <w:r>
        <w:rPr>
          <w:rFonts w:ascii="仿宋" w:hAnsi="仿宋" w:eastAsia="仿宋" w:cs="仿宋_GB2312"/>
          <w:sz w:val="32"/>
          <w:szCs w:val="32"/>
        </w:rPr>
        <w:t>政策依据</w:t>
      </w:r>
      <w:r>
        <w:rPr>
          <w:rFonts w:hint="eastAsia" w:ascii="仿宋" w:hAnsi="仿宋" w:eastAsia="仿宋" w:cs="仿宋_GB2312"/>
          <w:sz w:val="32"/>
          <w:szCs w:val="32"/>
        </w:rPr>
        <w:t>实施</w:t>
      </w:r>
      <w:r>
        <w:rPr>
          <w:rFonts w:ascii="仿宋" w:hAnsi="仿宋" w:eastAsia="仿宋" w:cs="仿宋_GB2312"/>
          <w:sz w:val="32"/>
          <w:szCs w:val="32"/>
        </w:rPr>
        <w:t>，</w:t>
      </w:r>
      <w:r>
        <w:rPr>
          <w:rFonts w:hint="eastAsia" w:ascii="仿宋" w:hAnsi="仿宋" w:eastAsia="仿宋" w:cs="仿宋_GB2312"/>
          <w:sz w:val="32"/>
          <w:szCs w:val="32"/>
        </w:rPr>
        <w:t>项目决策严格按照相关流程，充分发挥项目资金效益。增加了广大百姓种粮收入，提高了种粮大户积极性，确保了我镇粮食稳定生产。</w:t>
      </w:r>
      <w:r>
        <w:rPr>
          <w:rFonts w:ascii="仿宋" w:hAnsi="仿宋" w:eastAsia="仿宋" w:cs="仿宋_GB2312"/>
          <w:sz w:val="32"/>
          <w:szCs w:val="32"/>
        </w:rPr>
        <w:t>绩效目标设置的</w:t>
      </w:r>
      <w:r>
        <w:rPr>
          <w:rFonts w:hint="eastAsia" w:ascii="仿宋" w:hAnsi="仿宋" w:eastAsia="仿宋" w:cs="仿宋_GB2312"/>
          <w:sz w:val="32"/>
          <w:szCs w:val="32"/>
        </w:rPr>
        <w:t>科学合理，同时也结合</w:t>
      </w:r>
      <w:r>
        <w:rPr>
          <w:rFonts w:hint="eastAsia" w:ascii="仿宋" w:hAnsi="仿宋" w:eastAsia="仿宋" w:cs="仿宋_GB2312"/>
          <w:sz w:val="32"/>
          <w:szCs w:val="32"/>
          <w:lang w:eastAsia="zh-CN"/>
        </w:rPr>
        <w:t>铁佛</w:t>
      </w:r>
      <w:r>
        <w:rPr>
          <w:rFonts w:hint="eastAsia" w:ascii="仿宋" w:hAnsi="仿宋" w:eastAsia="仿宋" w:cs="仿宋_GB2312"/>
          <w:sz w:val="32"/>
          <w:szCs w:val="32"/>
        </w:rPr>
        <w:t>实际情况。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2、</w:t>
      </w:r>
      <w:r>
        <w:rPr>
          <w:rFonts w:ascii="仿宋" w:hAnsi="仿宋" w:eastAsia="仿宋" w:cs="仿宋_GB2312"/>
          <w:sz w:val="32"/>
          <w:szCs w:val="32"/>
        </w:rPr>
        <w:t>项目管理</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耕地地力保护</w:t>
      </w:r>
      <w:r>
        <w:rPr>
          <w:rFonts w:hint="eastAsia" w:ascii="仿宋" w:hAnsi="仿宋" w:eastAsia="仿宋" w:cs="仿宋_GB2312"/>
          <w:sz w:val="32"/>
          <w:szCs w:val="32"/>
        </w:rPr>
        <w:t>项目支出决算资金</w:t>
      </w:r>
      <w:r>
        <w:rPr>
          <w:rFonts w:hint="eastAsia" w:ascii="仿宋" w:hAnsi="仿宋" w:eastAsia="仿宋" w:cs="仿宋_GB2312"/>
          <w:sz w:val="32"/>
          <w:szCs w:val="32"/>
        </w:rPr>
        <w:t>432.111202万元。资金分配分配管理科学合理，</w:t>
      </w:r>
      <w:r>
        <w:rPr>
          <w:rFonts w:hint="eastAsia" w:ascii="仿宋" w:hAnsi="仿宋" w:eastAsia="仿宋" w:cs="仿宋_GB2312"/>
          <w:sz w:val="32"/>
          <w:szCs w:val="32"/>
        </w:rPr>
        <w:t>按照相关政策文件执行，资</w:t>
      </w:r>
      <w:r>
        <w:rPr>
          <w:rFonts w:ascii="仿宋" w:hAnsi="仿宋" w:eastAsia="仿宋" w:cs="仿宋_GB2312"/>
          <w:sz w:val="32"/>
          <w:szCs w:val="32"/>
        </w:rPr>
        <w:t>金使用</w:t>
      </w:r>
      <w:r>
        <w:rPr>
          <w:rFonts w:hint="eastAsia" w:ascii="仿宋" w:hAnsi="仿宋" w:eastAsia="仿宋" w:cs="仿宋_GB2312"/>
          <w:sz w:val="32"/>
          <w:szCs w:val="32"/>
        </w:rPr>
        <w:t>、</w:t>
      </w:r>
      <w:r>
        <w:rPr>
          <w:rFonts w:ascii="仿宋" w:hAnsi="仿宋" w:eastAsia="仿宋" w:cs="仿宋_GB2312"/>
          <w:sz w:val="32"/>
          <w:szCs w:val="32"/>
        </w:rPr>
        <w:t>资金管理的科学规范</w:t>
      </w:r>
      <w:r>
        <w:rPr>
          <w:rFonts w:hint="eastAsia"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项目目标完成情况数量、质量</w:t>
      </w:r>
      <w:r>
        <w:rPr>
          <w:rFonts w:hint="eastAsia" w:ascii="仿宋" w:hAnsi="仿宋" w:eastAsia="仿宋" w:cs="仿宋_GB2312"/>
          <w:sz w:val="32"/>
          <w:szCs w:val="32"/>
        </w:rPr>
        <w:t>指标完成</w:t>
      </w:r>
      <w:r>
        <w:rPr>
          <w:rFonts w:hint="eastAsia" w:ascii="仿宋" w:hAnsi="仿宋" w:eastAsia="仿宋" w:cs="仿宋_GB2312"/>
          <w:sz w:val="32"/>
          <w:szCs w:val="32"/>
          <w:lang w:eastAsia="zh-CN"/>
        </w:rPr>
        <w:t>良好</w:t>
      </w:r>
      <w:r>
        <w:rPr>
          <w:rFonts w:hint="eastAsia" w:ascii="仿宋" w:hAnsi="仿宋" w:eastAsia="仿宋" w:cs="仿宋_GB2312"/>
          <w:sz w:val="32"/>
          <w:szCs w:val="32"/>
        </w:rPr>
        <w:t>，项目</w:t>
      </w:r>
      <w:r>
        <w:rPr>
          <w:rFonts w:ascii="仿宋" w:hAnsi="仿宋" w:eastAsia="仿宋" w:cs="仿宋_GB2312"/>
          <w:sz w:val="32"/>
          <w:szCs w:val="32"/>
        </w:rPr>
        <w:t>时效、成本</w:t>
      </w:r>
      <w:r>
        <w:rPr>
          <w:rFonts w:hint="eastAsia" w:ascii="仿宋" w:hAnsi="仿宋" w:eastAsia="仿宋" w:cs="仿宋_GB2312"/>
          <w:sz w:val="32"/>
          <w:szCs w:val="32"/>
        </w:rPr>
        <w:t>指标基本完成，</w:t>
      </w:r>
      <w:r>
        <w:rPr>
          <w:rFonts w:ascii="仿宋" w:hAnsi="仿宋" w:eastAsia="仿宋" w:cs="仿宋_GB2312"/>
          <w:sz w:val="32"/>
          <w:szCs w:val="32"/>
        </w:rPr>
        <w:t>项目效益情况经济效益、项目社会效益、生态效益、可持续效益、公平性、资金使用效率、受益群体满意度等</w:t>
      </w:r>
      <w:r>
        <w:rPr>
          <w:rFonts w:hint="eastAsia" w:ascii="仿宋" w:hAnsi="仿宋" w:eastAsia="仿宋" w:cs="仿宋_GB2312"/>
          <w:sz w:val="32"/>
          <w:szCs w:val="32"/>
        </w:rPr>
        <w:t>达到预设定目标</w:t>
      </w:r>
      <w:r>
        <w:rPr>
          <w:rFonts w:ascii="仿宋" w:hAnsi="仿宋" w:eastAsia="仿宋" w:cs="仿宋_GB2312"/>
          <w:sz w:val="32"/>
          <w:szCs w:val="32"/>
        </w:rPr>
        <w:t>。</w:t>
      </w:r>
    </w:p>
    <w:p>
      <w:pPr>
        <w:numPr>
          <w:ilvl w:val="0"/>
          <w:numId w:val="2"/>
        </w:numPr>
        <w:spacing w:line="580" w:lineRule="exact"/>
        <w:rPr>
          <w:rFonts w:ascii="仿宋" w:hAnsi="仿宋" w:eastAsia="仿宋" w:cs="仿宋_GB2312"/>
          <w:sz w:val="32"/>
          <w:szCs w:val="32"/>
        </w:rPr>
      </w:pPr>
      <w:r>
        <w:rPr>
          <w:rFonts w:ascii="仿宋" w:hAnsi="仿宋" w:eastAsia="仿宋" w:cs="仿宋_GB2312"/>
          <w:sz w:val="32"/>
          <w:szCs w:val="32"/>
        </w:rPr>
        <w:t>存在主要问题</w:t>
      </w:r>
      <w:r>
        <w:rPr>
          <w:rFonts w:hint="eastAsia" w:ascii="仿宋" w:hAnsi="仿宋" w:eastAsia="仿宋" w:cs="仿宋_GB2312"/>
          <w:sz w:val="32"/>
          <w:szCs w:val="32"/>
          <w:lang w:eastAsia="zh-CN"/>
        </w:rPr>
        <w:t>。</w:t>
      </w:r>
    </w:p>
    <w:p>
      <w:pPr>
        <w:numPr>
          <w:ilvl w:val="0"/>
          <w:numId w:val="0"/>
        </w:num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资金拨付不及时问题</w:t>
      </w:r>
      <w:r>
        <w:rPr>
          <w:rFonts w:hint="eastAsia" w:ascii="仿宋" w:hAnsi="仿宋" w:eastAsia="仿宋" w:cs="仿宋_GB2312"/>
          <w:sz w:val="32"/>
          <w:szCs w:val="32"/>
          <w:lang w:eastAsia="zh-CN"/>
        </w:rPr>
        <w:t>。</w:t>
      </w:r>
    </w:p>
    <w:p>
      <w:pPr>
        <w:numPr>
          <w:ilvl w:val="0"/>
          <w:numId w:val="2"/>
        </w:numPr>
        <w:spacing w:line="580" w:lineRule="exact"/>
        <w:rPr>
          <w:rFonts w:ascii="仿宋" w:hAnsi="仿宋" w:eastAsia="仿宋" w:cs="仿宋_GB2312"/>
          <w:sz w:val="32"/>
          <w:szCs w:val="32"/>
        </w:rPr>
      </w:pPr>
      <w:r>
        <w:rPr>
          <w:rFonts w:ascii="仿宋" w:hAnsi="仿宋" w:eastAsia="仿宋" w:cs="仿宋_GB2312"/>
          <w:sz w:val="32"/>
          <w:szCs w:val="32"/>
        </w:rPr>
        <w:t>相关措施建议</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提高项目资金使用率。项目实施做好前期相关工作准备，按照相关要求进行前期立项工作，确保有相应的资金来源，严格按照资金拨付流程支付项目资金，确保资金专款专用，发挥最大效益。</w:t>
      </w:r>
    </w:p>
    <w:p>
      <w:pPr>
        <w:rPr>
          <w:rFonts w:hint="eastAsia" w:ascii="黑体" w:hAnsi="黑体" w:eastAsia="黑体" w:cs="方正小标宋简体"/>
          <w:sz w:val="36"/>
          <w:szCs w:val="36"/>
        </w:rPr>
      </w:pPr>
      <w:r>
        <w:rPr>
          <w:rFonts w:hint="eastAsia" w:ascii="黑体" w:hAnsi="黑体" w:eastAsia="黑体" w:cs="方正小标宋简体"/>
          <w:sz w:val="36"/>
          <w:szCs w:val="36"/>
        </w:rPr>
        <w:br w:type="page"/>
      </w:r>
    </w:p>
    <w:p>
      <w:pPr>
        <w:spacing w:line="580" w:lineRule="exact"/>
        <w:ind w:firstLine="720" w:firstLineChars="200"/>
        <w:jc w:val="center"/>
        <w:rPr>
          <w:rFonts w:ascii="黑体" w:hAnsi="黑体" w:eastAsia="黑体" w:cs="方正小标宋简体"/>
          <w:sz w:val="36"/>
          <w:szCs w:val="36"/>
        </w:rPr>
      </w:pPr>
      <w:r>
        <w:rPr>
          <w:rFonts w:hint="eastAsia" w:ascii="黑体" w:hAnsi="黑体" w:eastAsia="黑体" w:cs="方正小标宋简体"/>
          <w:sz w:val="36"/>
          <w:szCs w:val="36"/>
          <w:lang w:val="en-US" w:eastAsia="zh-CN"/>
        </w:rPr>
        <w:t>完善退耕还林</w:t>
      </w:r>
      <w:r>
        <w:rPr>
          <w:rFonts w:hint="eastAsia" w:ascii="黑体" w:hAnsi="黑体" w:eastAsia="黑体" w:cs="方正小标宋简体"/>
          <w:sz w:val="36"/>
          <w:szCs w:val="36"/>
          <w:lang w:eastAsia="zh-CN"/>
        </w:rPr>
        <w:t>项</w:t>
      </w:r>
      <w:r>
        <w:rPr>
          <w:rFonts w:hint="eastAsia" w:ascii="黑体" w:hAnsi="黑体" w:eastAsia="黑体" w:cs="方正小标宋简体"/>
          <w:sz w:val="36"/>
          <w:szCs w:val="36"/>
        </w:rPr>
        <w:t>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项目年度预算绩效目标、绩效指标设定情况。财政投入专项资金</w:t>
      </w:r>
      <w:r>
        <w:rPr>
          <w:rFonts w:hint="eastAsia" w:ascii="仿宋" w:hAnsi="仿宋" w:eastAsia="仿宋" w:cs="仿宋_GB2312"/>
          <w:sz w:val="32"/>
          <w:szCs w:val="32"/>
          <w:lang w:val="en-US" w:eastAsia="zh-CN"/>
        </w:rPr>
        <w:t>1.25</w:t>
      </w:r>
      <w:r>
        <w:rPr>
          <w:rFonts w:hint="eastAsia" w:ascii="仿宋" w:hAnsi="仿宋" w:eastAsia="仿宋" w:cs="仿宋_GB2312"/>
          <w:sz w:val="32"/>
          <w:szCs w:val="32"/>
        </w:rPr>
        <w:t>万元用于</w:t>
      </w:r>
      <w:r>
        <w:rPr>
          <w:rFonts w:hint="eastAsia" w:ascii="仿宋_GB2312" w:hAnsi="仿宋_GB2312" w:eastAsia="仿宋_GB2312" w:cs="仿宋_GB2312"/>
          <w:sz w:val="32"/>
          <w:szCs w:val="32"/>
          <w:lang w:val="en-US" w:eastAsia="zh-CN"/>
        </w:rPr>
        <w:t>完善退耕还林政策补助，</w:t>
      </w:r>
      <w:r>
        <w:rPr>
          <w:rFonts w:hint="eastAsia" w:ascii="仿宋_GB2312" w:hAnsi="仿宋_GB2312" w:eastAsia="仿宋_GB2312" w:cs="仿宋_GB2312"/>
          <w:sz w:val="32"/>
          <w:szCs w:val="32"/>
        </w:rPr>
        <w:t>该项目直接补贴农村家庭</w:t>
      </w:r>
      <w:r>
        <w:rPr>
          <w:rFonts w:hint="eastAsia" w:ascii="仿宋_GB2312" w:hAnsi="仿宋_GB2312" w:eastAsia="仿宋_GB2312" w:cs="仿宋_GB2312"/>
          <w:sz w:val="32"/>
          <w:szCs w:val="32"/>
          <w:lang w:val="en-US" w:eastAsia="zh-CN"/>
        </w:rPr>
        <w:t>29户</w:t>
      </w:r>
      <w:r>
        <w:rPr>
          <w:rFonts w:hint="eastAsia" w:ascii="仿宋_GB2312" w:hAnsi="仿宋_GB2312" w:eastAsia="仿宋_GB2312" w:cs="仿宋_GB2312"/>
          <w:sz w:val="32"/>
          <w:szCs w:val="32"/>
        </w:rPr>
        <w:t>。</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w:t>
      </w:r>
      <w:r>
        <w:rPr>
          <w:rFonts w:hint="eastAsia" w:ascii="仿宋" w:hAnsi="仿宋" w:eastAsia="仿宋" w:cs="仿宋_GB2312"/>
          <w:sz w:val="32"/>
          <w:szCs w:val="32"/>
        </w:rPr>
        <w:t>得分</w:t>
      </w:r>
      <w:r>
        <w:rPr>
          <w:rFonts w:hint="eastAsia" w:ascii="仿宋" w:hAnsi="仿宋" w:eastAsia="仿宋" w:cs="仿宋_GB2312"/>
          <w:sz w:val="32"/>
          <w:szCs w:val="32"/>
          <w:lang w:val="en-US" w:eastAsia="zh-CN"/>
        </w:rPr>
        <w:t>99</w:t>
      </w:r>
      <w:r>
        <w:rPr>
          <w:rFonts w:hint="eastAsia" w:ascii="仿宋" w:hAnsi="仿宋" w:eastAsia="仿宋" w:cs="仿宋_GB2312"/>
          <w:sz w:val="32"/>
          <w:szCs w:val="32"/>
        </w:rPr>
        <w:t>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eastAsia="zh-CN"/>
        </w:rPr>
        <w:t>该</w:t>
      </w:r>
      <w:r>
        <w:rPr>
          <w:rFonts w:hint="eastAsia" w:ascii="仿宋" w:hAnsi="仿宋" w:eastAsia="仿宋" w:cs="仿宋_GB2312"/>
          <w:sz w:val="32"/>
          <w:szCs w:val="32"/>
        </w:rPr>
        <w:t>项目支出按照相关</w:t>
      </w:r>
      <w:r>
        <w:rPr>
          <w:rFonts w:ascii="仿宋" w:hAnsi="仿宋" w:eastAsia="仿宋" w:cs="仿宋_GB2312"/>
          <w:sz w:val="32"/>
          <w:szCs w:val="32"/>
        </w:rPr>
        <w:t>政策依据</w:t>
      </w:r>
      <w:r>
        <w:rPr>
          <w:rFonts w:hint="eastAsia" w:ascii="仿宋" w:hAnsi="仿宋" w:eastAsia="仿宋" w:cs="仿宋_GB2312"/>
          <w:sz w:val="32"/>
          <w:szCs w:val="32"/>
        </w:rPr>
        <w:t>实施</w:t>
      </w:r>
      <w:r>
        <w:rPr>
          <w:rFonts w:ascii="仿宋" w:hAnsi="仿宋" w:eastAsia="仿宋" w:cs="仿宋_GB2312"/>
          <w:sz w:val="32"/>
          <w:szCs w:val="32"/>
        </w:rPr>
        <w:t>，</w:t>
      </w:r>
      <w:r>
        <w:rPr>
          <w:rFonts w:hint="eastAsia" w:ascii="仿宋" w:hAnsi="仿宋" w:eastAsia="仿宋" w:cs="仿宋_GB2312"/>
          <w:sz w:val="32"/>
          <w:szCs w:val="32"/>
        </w:rPr>
        <w:t>项目决策严格按照相关流程，充分发挥项目资金效益</w:t>
      </w:r>
      <w:r>
        <w:rPr>
          <w:rFonts w:hint="eastAsia" w:ascii="仿宋" w:hAnsi="仿宋" w:eastAsia="仿宋" w:cs="仿宋_GB2312"/>
          <w:sz w:val="32"/>
          <w:szCs w:val="32"/>
          <w:lang w:eastAsia="zh-CN"/>
        </w:rPr>
        <w:t>，</w:t>
      </w:r>
      <w:r>
        <w:rPr>
          <w:rFonts w:ascii="仿宋" w:hAnsi="仿宋" w:eastAsia="仿宋" w:cs="仿宋_GB2312"/>
          <w:sz w:val="32"/>
          <w:szCs w:val="32"/>
        </w:rPr>
        <w:t>绩效目标设置的</w:t>
      </w:r>
      <w:r>
        <w:rPr>
          <w:rFonts w:hint="eastAsia" w:ascii="仿宋" w:hAnsi="仿宋" w:eastAsia="仿宋" w:cs="仿宋_GB2312"/>
          <w:sz w:val="32"/>
          <w:szCs w:val="32"/>
        </w:rPr>
        <w:t>科学合理，同时也结合</w:t>
      </w:r>
      <w:r>
        <w:rPr>
          <w:rFonts w:hint="eastAsia" w:ascii="仿宋" w:hAnsi="仿宋" w:eastAsia="仿宋" w:cs="仿宋_GB2312"/>
          <w:sz w:val="32"/>
          <w:szCs w:val="32"/>
          <w:lang w:eastAsia="zh-CN"/>
        </w:rPr>
        <w:t>铁佛</w:t>
      </w:r>
      <w:r>
        <w:rPr>
          <w:rFonts w:hint="eastAsia" w:ascii="仿宋" w:hAnsi="仿宋" w:eastAsia="仿宋" w:cs="仿宋_GB2312"/>
          <w:sz w:val="32"/>
          <w:szCs w:val="32"/>
        </w:rPr>
        <w:t>实际情况。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2、</w:t>
      </w:r>
      <w:r>
        <w:rPr>
          <w:rFonts w:ascii="仿宋" w:hAnsi="仿宋" w:eastAsia="仿宋" w:cs="仿宋_GB2312"/>
          <w:sz w:val="32"/>
          <w:szCs w:val="32"/>
        </w:rPr>
        <w:t>项目管理</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eastAsia="zh-CN"/>
        </w:rPr>
        <w:t>完善退耕还林</w:t>
      </w:r>
      <w:r>
        <w:rPr>
          <w:rFonts w:hint="eastAsia" w:ascii="仿宋" w:hAnsi="仿宋" w:eastAsia="仿宋" w:cs="仿宋_GB2312"/>
          <w:sz w:val="32"/>
          <w:szCs w:val="32"/>
        </w:rPr>
        <w:t>项目支出决算</w:t>
      </w:r>
      <w:r>
        <w:rPr>
          <w:rFonts w:ascii="仿宋" w:hAnsi="仿宋" w:eastAsia="仿宋" w:cs="仿宋_GB2312"/>
          <w:sz w:val="32"/>
          <w:szCs w:val="32"/>
        </w:rPr>
        <w:t>资金</w:t>
      </w:r>
      <w:r>
        <w:rPr>
          <w:rFonts w:hint="eastAsia" w:ascii="仿宋" w:hAnsi="仿宋" w:eastAsia="仿宋" w:cs="仿宋_GB2312"/>
          <w:sz w:val="32"/>
          <w:szCs w:val="32"/>
        </w:rPr>
        <w:t>432.111202万元。资金</w:t>
      </w:r>
      <w:r>
        <w:rPr>
          <w:rFonts w:ascii="仿宋" w:hAnsi="仿宋" w:eastAsia="仿宋" w:cs="仿宋_GB2312"/>
          <w:sz w:val="32"/>
          <w:szCs w:val="32"/>
        </w:rPr>
        <w:t>分配分配管理科学合理，</w:t>
      </w:r>
      <w:r>
        <w:rPr>
          <w:rFonts w:hint="eastAsia" w:ascii="仿宋" w:hAnsi="仿宋" w:eastAsia="仿宋" w:cs="仿宋_GB2312"/>
          <w:sz w:val="32"/>
          <w:szCs w:val="32"/>
        </w:rPr>
        <w:t>按照相关政策文件执行，资</w:t>
      </w:r>
      <w:r>
        <w:rPr>
          <w:rFonts w:ascii="仿宋" w:hAnsi="仿宋" w:eastAsia="仿宋" w:cs="仿宋_GB2312"/>
          <w:sz w:val="32"/>
          <w:szCs w:val="32"/>
        </w:rPr>
        <w:t>金使用</w:t>
      </w:r>
      <w:r>
        <w:rPr>
          <w:rFonts w:hint="eastAsia" w:ascii="仿宋" w:hAnsi="仿宋" w:eastAsia="仿宋" w:cs="仿宋_GB2312"/>
          <w:sz w:val="32"/>
          <w:szCs w:val="32"/>
        </w:rPr>
        <w:t>、</w:t>
      </w:r>
      <w:r>
        <w:rPr>
          <w:rFonts w:ascii="仿宋" w:hAnsi="仿宋" w:eastAsia="仿宋" w:cs="仿宋_GB2312"/>
          <w:sz w:val="32"/>
          <w:szCs w:val="32"/>
        </w:rPr>
        <w:t>资金管理的科学规范</w:t>
      </w:r>
      <w:r>
        <w:rPr>
          <w:rFonts w:hint="eastAsia"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项目目标完成情况数量、质量</w:t>
      </w:r>
      <w:r>
        <w:rPr>
          <w:rFonts w:hint="eastAsia" w:ascii="仿宋" w:hAnsi="仿宋" w:eastAsia="仿宋" w:cs="仿宋_GB2312"/>
          <w:sz w:val="32"/>
          <w:szCs w:val="32"/>
        </w:rPr>
        <w:t>指标完成</w:t>
      </w:r>
      <w:r>
        <w:rPr>
          <w:rFonts w:hint="eastAsia" w:ascii="仿宋" w:hAnsi="仿宋" w:eastAsia="仿宋" w:cs="仿宋_GB2312"/>
          <w:sz w:val="32"/>
          <w:szCs w:val="32"/>
          <w:lang w:eastAsia="zh-CN"/>
        </w:rPr>
        <w:t>良好</w:t>
      </w:r>
      <w:r>
        <w:rPr>
          <w:rFonts w:hint="eastAsia" w:ascii="仿宋" w:hAnsi="仿宋" w:eastAsia="仿宋" w:cs="仿宋_GB2312"/>
          <w:sz w:val="32"/>
          <w:szCs w:val="32"/>
        </w:rPr>
        <w:t>，项目</w:t>
      </w:r>
      <w:r>
        <w:rPr>
          <w:rFonts w:ascii="仿宋" w:hAnsi="仿宋" w:eastAsia="仿宋" w:cs="仿宋_GB2312"/>
          <w:sz w:val="32"/>
          <w:szCs w:val="32"/>
        </w:rPr>
        <w:t>时效、成本</w:t>
      </w:r>
      <w:r>
        <w:rPr>
          <w:rFonts w:hint="eastAsia" w:ascii="仿宋" w:hAnsi="仿宋" w:eastAsia="仿宋" w:cs="仿宋_GB2312"/>
          <w:sz w:val="32"/>
          <w:szCs w:val="32"/>
        </w:rPr>
        <w:t>指标基本完成，</w:t>
      </w:r>
      <w:r>
        <w:rPr>
          <w:rFonts w:ascii="仿宋" w:hAnsi="仿宋" w:eastAsia="仿宋" w:cs="仿宋_GB2312"/>
          <w:sz w:val="32"/>
          <w:szCs w:val="32"/>
        </w:rPr>
        <w:t>项目效益情况经济效益、项目社会效益、生态效益、可持续效益、公平性、资金使用效率、受益群体满意度等</w:t>
      </w:r>
      <w:r>
        <w:rPr>
          <w:rFonts w:hint="eastAsia" w:ascii="仿宋" w:hAnsi="仿宋" w:eastAsia="仿宋" w:cs="仿宋_GB2312"/>
          <w:sz w:val="32"/>
          <w:szCs w:val="32"/>
        </w:rPr>
        <w:t>达到预设定目标</w:t>
      </w:r>
      <w:r>
        <w:rPr>
          <w:rFonts w:ascii="仿宋" w:hAnsi="仿宋" w:eastAsia="仿宋" w:cs="仿宋_GB2312"/>
          <w:sz w:val="32"/>
          <w:szCs w:val="32"/>
        </w:rPr>
        <w:t>。</w:t>
      </w:r>
    </w:p>
    <w:p>
      <w:pPr>
        <w:numPr>
          <w:ilvl w:val="0"/>
          <w:numId w:val="2"/>
        </w:numPr>
        <w:spacing w:line="580" w:lineRule="exact"/>
        <w:rPr>
          <w:rFonts w:ascii="仿宋" w:hAnsi="仿宋" w:eastAsia="仿宋" w:cs="仿宋_GB2312"/>
          <w:sz w:val="32"/>
          <w:szCs w:val="32"/>
        </w:rPr>
      </w:pPr>
      <w:r>
        <w:rPr>
          <w:rFonts w:ascii="仿宋" w:hAnsi="仿宋" w:eastAsia="仿宋" w:cs="仿宋_GB2312"/>
          <w:sz w:val="32"/>
          <w:szCs w:val="32"/>
        </w:rPr>
        <w:t>存在主要问题</w:t>
      </w:r>
      <w:r>
        <w:rPr>
          <w:rFonts w:hint="eastAsia" w:ascii="仿宋" w:hAnsi="仿宋" w:eastAsia="仿宋" w:cs="仿宋_GB2312"/>
          <w:sz w:val="32"/>
          <w:szCs w:val="32"/>
          <w:lang w:eastAsia="zh-CN"/>
        </w:rPr>
        <w:t>。</w:t>
      </w:r>
    </w:p>
    <w:p>
      <w:pPr>
        <w:numPr>
          <w:ilvl w:val="0"/>
          <w:numId w:val="0"/>
        </w:num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资金拨付不及时问题</w:t>
      </w:r>
      <w:r>
        <w:rPr>
          <w:rFonts w:hint="eastAsia" w:ascii="仿宋" w:hAnsi="仿宋" w:eastAsia="仿宋" w:cs="仿宋_GB2312"/>
          <w:sz w:val="32"/>
          <w:szCs w:val="32"/>
          <w:lang w:eastAsia="zh-CN"/>
        </w:rPr>
        <w:t>。</w:t>
      </w:r>
    </w:p>
    <w:p>
      <w:pPr>
        <w:numPr>
          <w:ilvl w:val="0"/>
          <w:numId w:val="2"/>
        </w:numPr>
        <w:spacing w:line="580" w:lineRule="exact"/>
        <w:rPr>
          <w:rFonts w:ascii="仿宋" w:hAnsi="仿宋" w:eastAsia="仿宋" w:cs="仿宋_GB2312"/>
          <w:sz w:val="32"/>
          <w:szCs w:val="32"/>
        </w:rPr>
      </w:pPr>
      <w:r>
        <w:rPr>
          <w:rFonts w:ascii="仿宋" w:hAnsi="仿宋" w:eastAsia="仿宋" w:cs="仿宋_GB2312"/>
          <w:sz w:val="32"/>
          <w:szCs w:val="32"/>
        </w:rPr>
        <w:t>相关措施建议</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提高项目资金使用率。项目实施做好前期相关工作准备，按照相关要求进行前期立项工作，确保有相应的资金来源，严格按照资金拨付流程支付项目资金，确保资金专款专用，发挥最大效益。</w:t>
      </w:r>
    </w:p>
    <w:p>
      <w:pPr>
        <w:rPr>
          <w:rFonts w:hint="eastAsia" w:ascii="仿宋" w:hAnsi="仿宋" w:eastAsia="仿宋" w:cs="仿宋_GB2312"/>
          <w:sz w:val="32"/>
          <w:szCs w:val="32"/>
        </w:rPr>
      </w:pPr>
      <w:r>
        <w:rPr>
          <w:rFonts w:hint="eastAsia" w:ascii="仿宋" w:hAnsi="仿宋" w:eastAsia="仿宋" w:cs="仿宋_GB2312"/>
          <w:sz w:val="32"/>
          <w:szCs w:val="32"/>
        </w:rPr>
        <w:br w:type="page"/>
      </w:r>
    </w:p>
    <w:p>
      <w:pPr>
        <w:spacing w:line="580" w:lineRule="exact"/>
        <w:ind w:firstLine="720" w:firstLineChars="200"/>
        <w:jc w:val="center"/>
        <w:rPr>
          <w:rFonts w:ascii="黑体" w:hAnsi="黑体" w:eastAsia="黑体" w:cs="方正小标宋简体"/>
          <w:sz w:val="36"/>
          <w:szCs w:val="36"/>
        </w:rPr>
      </w:pPr>
      <w:r>
        <w:rPr>
          <w:rFonts w:hint="eastAsia" w:ascii="黑体" w:hAnsi="黑体" w:eastAsia="黑体" w:cs="方正小标宋简体"/>
          <w:sz w:val="36"/>
          <w:szCs w:val="36"/>
          <w:lang w:val="en-US" w:eastAsia="zh-CN"/>
        </w:rPr>
        <w:t>森林生态效益补偿</w:t>
      </w:r>
      <w:r>
        <w:rPr>
          <w:rFonts w:hint="eastAsia" w:ascii="黑体" w:hAnsi="黑体" w:eastAsia="黑体" w:cs="方正小标宋简体"/>
          <w:sz w:val="36"/>
          <w:szCs w:val="36"/>
          <w:lang w:eastAsia="zh-CN"/>
        </w:rPr>
        <w:t>项</w:t>
      </w:r>
      <w:r>
        <w:rPr>
          <w:rFonts w:hint="eastAsia" w:ascii="黑体" w:hAnsi="黑体" w:eastAsia="黑体" w:cs="方正小标宋简体"/>
          <w:sz w:val="36"/>
          <w:szCs w:val="36"/>
        </w:rPr>
        <w:t>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项目年度预算绩效目标、绩效指标设定情况。财政投入专项资金</w:t>
      </w:r>
      <w:r>
        <w:rPr>
          <w:rFonts w:hint="eastAsia" w:ascii="仿宋" w:hAnsi="仿宋" w:eastAsia="仿宋" w:cs="仿宋_GB2312"/>
          <w:sz w:val="32"/>
          <w:szCs w:val="32"/>
          <w:lang w:val="en-US" w:eastAsia="zh-CN"/>
        </w:rPr>
        <w:t>21.947115万元</w:t>
      </w:r>
      <w:r>
        <w:rPr>
          <w:rFonts w:hint="eastAsia" w:ascii="仿宋" w:hAnsi="仿宋" w:eastAsia="仿宋" w:cs="仿宋_GB2312"/>
          <w:sz w:val="32"/>
          <w:szCs w:val="32"/>
        </w:rPr>
        <w:t>用于</w:t>
      </w:r>
      <w:r>
        <w:rPr>
          <w:rFonts w:hint="eastAsia" w:ascii="仿宋" w:hAnsi="仿宋" w:eastAsia="仿宋" w:cs="仿宋_GB2312"/>
          <w:sz w:val="32"/>
          <w:szCs w:val="32"/>
          <w:lang w:val="en-US" w:eastAsia="zh-CN"/>
        </w:rPr>
        <w:t>森林生态效益补偿政策补助</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该项目直接补贴农村家庭</w:t>
      </w:r>
      <w:r>
        <w:rPr>
          <w:rFonts w:hint="eastAsia" w:ascii="仿宋_GB2312" w:hAnsi="仿宋_GB2312" w:eastAsia="仿宋_GB2312" w:cs="仿宋_GB2312"/>
          <w:sz w:val="32"/>
          <w:szCs w:val="32"/>
          <w:lang w:val="en-US" w:eastAsia="zh-CN"/>
        </w:rPr>
        <w:t>4707户</w:t>
      </w:r>
      <w:r>
        <w:rPr>
          <w:rFonts w:hint="eastAsia" w:ascii="仿宋_GB2312" w:hAnsi="仿宋_GB2312" w:eastAsia="仿宋_GB2312" w:cs="仿宋_GB2312"/>
          <w:sz w:val="32"/>
          <w:szCs w:val="32"/>
        </w:rPr>
        <w:t>。</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w:t>
      </w:r>
      <w:r>
        <w:rPr>
          <w:rFonts w:hint="eastAsia" w:ascii="仿宋" w:hAnsi="仿宋" w:eastAsia="仿宋" w:cs="仿宋_GB2312"/>
          <w:sz w:val="32"/>
          <w:szCs w:val="32"/>
        </w:rPr>
        <w:t>得分</w:t>
      </w:r>
      <w:r>
        <w:rPr>
          <w:rFonts w:hint="eastAsia" w:ascii="仿宋" w:hAnsi="仿宋" w:eastAsia="仿宋" w:cs="仿宋_GB2312"/>
          <w:sz w:val="32"/>
          <w:szCs w:val="32"/>
          <w:lang w:val="en-US" w:eastAsia="zh-CN"/>
        </w:rPr>
        <w:t>100</w:t>
      </w:r>
      <w:r>
        <w:rPr>
          <w:rFonts w:hint="eastAsia" w:ascii="仿宋" w:hAnsi="仿宋" w:eastAsia="仿宋" w:cs="仿宋_GB2312"/>
          <w:sz w:val="32"/>
          <w:szCs w:val="32"/>
        </w:rPr>
        <w:t>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eastAsia="zh-CN"/>
        </w:rPr>
        <w:t>该</w:t>
      </w:r>
      <w:r>
        <w:rPr>
          <w:rFonts w:hint="eastAsia" w:ascii="仿宋" w:hAnsi="仿宋" w:eastAsia="仿宋" w:cs="仿宋_GB2312"/>
          <w:sz w:val="32"/>
          <w:szCs w:val="32"/>
        </w:rPr>
        <w:t>项目支出按照相关</w:t>
      </w:r>
      <w:r>
        <w:rPr>
          <w:rFonts w:ascii="仿宋" w:hAnsi="仿宋" w:eastAsia="仿宋" w:cs="仿宋_GB2312"/>
          <w:sz w:val="32"/>
          <w:szCs w:val="32"/>
        </w:rPr>
        <w:t>政策依据</w:t>
      </w:r>
      <w:r>
        <w:rPr>
          <w:rFonts w:hint="eastAsia" w:ascii="仿宋" w:hAnsi="仿宋" w:eastAsia="仿宋" w:cs="仿宋_GB2312"/>
          <w:sz w:val="32"/>
          <w:szCs w:val="32"/>
        </w:rPr>
        <w:t>实施</w:t>
      </w:r>
      <w:r>
        <w:rPr>
          <w:rFonts w:ascii="仿宋" w:hAnsi="仿宋" w:eastAsia="仿宋" w:cs="仿宋_GB2312"/>
          <w:sz w:val="32"/>
          <w:szCs w:val="32"/>
        </w:rPr>
        <w:t>，</w:t>
      </w:r>
      <w:r>
        <w:rPr>
          <w:rFonts w:hint="eastAsia" w:ascii="仿宋" w:hAnsi="仿宋" w:eastAsia="仿宋" w:cs="仿宋_GB2312"/>
          <w:sz w:val="32"/>
          <w:szCs w:val="32"/>
        </w:rPr>
        <w:t>项目决策严格按照相关流程，充分发挥项目资金效益</w:t>
      </w:r>
      <w:r>
        <w:rPr>
          <w:rFonts w:hint="eastAsia" w:ascii="仿宋" w:hAnsi="仿宋" w:eastAsia="仿宋" w:cs="仿宋_GB2312"/>
          <w:sz w:val="32"/>
          <w:szCs w:val="32"/>
          <w:lang w:eastAsia="zh-CN"/>
        </w:rPr>
        <w:t>，</w:t>
      </w:r>
      <w:r>
        <w:rPr>
          <w:rFonts w:ascii="仿宋" w:hAnsi="仿宋" w:eastAsia="仿宋" w:cs="仿宋_GB2312"/>
          <w:sz w:val="32"/>
          <w:szCs w:val="32"/>
        </w:rPr>
        <w:t>绩效目标设置的</w:t>
      </w:r>
      <w:r>
        <w:rPr>
          <w:rFonts w:hint="eastAsia" w:ascii="仿宋" w:hAnsi="仿宋" w:eastAsia="仿宋" w:cs="仿宋_GB2312"/>
          <w:sz w:val="32"/>
          <w:szCs w:val="32"/>
        </w:rPr>
        <w:t>科学合理，同时也结合</w:t>
      </w:r>
      <w:r>
        <w:rPr>
          <w:rFonts w:hint="eastAsia" w:ascii="仿宋" w:hAnsi="仿宋" w:eastAsia="仿宋" w:cs="仿宋_GB2312"/>
          <w:sz w:val="32"/>
          <w:szCs w:val="32"/>
          <w:lang w:eastAsia="zh-CN"/>
        </w:rPr>
        <w:t>铁佛</w:t>
      </w:r>
      <w:r>
        <w:rPr>
          <w:rFonts w:hint="eastAsia" w:ascii="仿宋" w:hAnsi="仿宋" w:eastAsia="仿宋" w:cs="仿宋_GB2312"/>
          <w:sz w:val="32"/>
          <w:szCs w:val="32"/>
        </w:rPr>
        <w:t>实际情况。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2、</w:t>
      </w:r>
      <w:r>
        <w:rPr>
          <w:rFonts w:ascii="仿宋" w:hAnsi="仿宋" w:eastAsia="仿宋" w:cs="仿宋_GB2312"/>
          <w:sz w:val="32"/>
          <w:szCs w:val="32"/>
        </w:rPr>
        <w:t>项目管理</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eastAsia="zh-CN"/>
        </w:rPr>
        <w:t>森林生态效益补偿</w:t>
      </w:r>
      <w:r>
        <w:rPr>
          <w:rFonts w:hint="eastAsia" w:ascii="仿宋" w:hAnsi="仿宋" w:eastAsia="仿宋" w:cs="仿宋_GB2312"/>
          <w:sz w:val="32"/>
          <w:szCs w:val="32"/>
        </w:rPr>
        <w:t>项目支出决算</w:t>
      </w:r>
      <w:r>
        <w:rPr>
          <w:rFonts w:ascii="仿宋" w:hAnsi="仿宋" w:eastAsia="仿宋" w:cs="仿宋_GB2312"/>
          <w:sz w:val="32"/>
          <w:szCs w:val="32"/>
        </w:rPr>
        <w:t>资金</w:t>
      </w:r>
      <w:r>
        <w:rPr>
          <w:rFonts w:hint="eastAsia" w:ascii="仿宋" w:hAnsi="仿宋" w:eastAsia="仿宋" w:cs="仿宋_GB2312"/>
          <w:sz w:val="32"/>
          <w:szCs w:val="32"/>
          <w:lang w:val="en-US" w:eastAsia="zh-CN"/>
        </w:rPr>
        <w:t>21.947115万元</w:t>
      </w:r>
      <w:r>
        <w:rPr>
          <w:rFonts w:hint="eastAsia" w:ascii="仿宋" w:hAnsi="仿宋" w:eastAsia="仿宋" w:cs="仿宋_GB2312"/>
          <w:sz w:val="32"/>
          <w:szCs w:val="32"/>
        </w:rPr>
        <w:t>。资金</w:t>
      </w:r>
      <w:r>
        <w:rPr>
          <w:rFonts w:ascii="仿宋" w:hAnsi="仿宋" w:eastAsia="仿宋" w:cs="仿宋_GB2312"/>
          <w:sz w:val="32"/>
          <w:szCs w:val="32"/>
        </w:rPr>
        <w:t>分配分配管理科学合理，</w:t>
      </w:r>
      <w:r>
        <w:rPr>
          <w:rFonts w:hint="eastAsia" w:ascii="仿宋" w:hAnsi="仿宋" w:eastAsia="仿宋" w:cs="仿宋_GB2312"/>
          <w:sz w:val="32"/>
          <w:szCs w:val="32"/>
        </w:rPr>
        <w:t>按照相关政策文件执行，资</w:t>
      </w:r>
      <w:r>
        <w:rPr>
          <w:rFonts w:ascii="仿宋" w:hAnsi="仿宋" w:eastAsia="仿宋" w:cs="仿宋_GB2312"/>
          <w:sz w:val="32"/>
          <w:szCs w:val="32"/>
        </w:rPr>
        <w:t>金使用</w:t>
      </w:r>
      <w:r>
        <w:rPr>
          <w:rFonts w:hint="eastAsia" w:ascii="仿宋" w:hAnsi="仿宋" w:eastAsia="仿宋" w:cs="仿宋_GB2312"/>
          <w:sz w:val="32"/>
          <w:szCs w:val="32"/>
        </w:rPr>
        <w:t>、</w:t>
      </w:r>
      <w:r>
        <w:rPr>
          <w:rFonts w:ascii="仿宋" w:hAnsi="仿宋" w:eastAsia="仿宋" w:cs="仿宋_GB2312"/>
          <w:sz w:val="32"/>
          <w:szCs w:val="32"/>
        </w:rPr>
        <w:t>资金管理的科学规范</w:t>
      </w:r>
      <w:r>
        <w:rPr>
          <w:rFonts w:hint="eastAsia"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项目目标完成情况数量、质量</w:t>
      </w:r>
      <w:r>
        <w:rPr>
          <w:rFonts w:hint="eastAsia" w:ascii="仿宋" w:hAnsi="仿宋" w:eastAsia="仿宋" w:cs="仿宋_GB2312"/>
          <w:sz w:val="32"/>
          <w:szCs w:val="32"/>
        </w:rPr>
        <w:t>指标完成</w:t>
      </w:r>
      <w:r>
        <w:rPr>
          <w:rFonts w:hint="eastAsia" w:ascii="仿宋" w:hAnsi="仿宋" w:eastAsia="仿宋" w:cs="仿宋_GB2312"/>
          <w:sz w:val="32"/>
          <w:szCs w:val="32"/>
          <w:lang w:eastAsia="zh-CN"/>
        </w:rPr>
        <w:t>良好</w:t>
      </w:r>
      <w:r>
        <w:rPr>
          <w:rFonts w:hint="eastAsia" w:ascii="仿宋" w:hAnsi="仿宋" w:eastAsia="仿宋" w:cs="仿宋_GB2312"/>
          <w:sz w:val="32"/>
          <w:szCs w:val="32"/>
        </w:rPr>
        <w:t>，项目</w:t>
      </w:r>
      <w:r>
        <w:rPr>
          <w:rFonts w:ascii="仿宋" w:hAnsi="仿宋" w:eastAsia="仿宋" w:cs="仿宋_GB2312"/>
          <w:sz w:val="32"/>
          <w:szCs w:val="32"/>
        </w:rPr>
        <w:t>时效、成本</w:t>
      </w:r>
      <w:r>
        <w:rPr>
          <w:rFonts w:hint="eastAsia" w:ascii="仿宋" w:hAnsi="仿宋" w:eastAsia="仿宋" w:cs="仿宋_GB2312"/>
          <w:sz w:val="32"/>
          <w:szCs w:val="32"/>
        </w:rPr>
        <w:t>指标基本完成，</w:t>
      </w:r>
      <w:r>
        <w:rPr>
          <w:rFonts w:ascii="仿宋" w:hAnsi="仿宋" w:eastAsia="仿宋" w:cs="仿宋_GB2312"/>
          <w:sz w:val="32"/>
          <w:szCs w:val="32"/>
        </w:rPr>
        <w:t>项目效益情况经济效益、项目社会效益、生态效益、可持续效益、公平性、资金使用效率、受益群体满意度等</w:t>
      </w:r>
      <w:r>
        <w:rPr>
          <w:rFonts w:hint="eastAsia" w:ascii="仿宋" w:hAnsi="仿宋" w:eastAsia="仿宋" w:cs="仿宋_GB2312"/>
          <w:sz w:val="32"/>
          <w:szCs w:val="32"/>
        </w:rPr>
        <w:t>达到预设定目标</w:t>
      </w:r>
      <w:r>
        <w:rPr>
          <w:rFonts w:ascii="仿宋" w:hAnsi="仿宋" w:eastAsia="仿宋" w:cs="仿宋_GB2312"/>
          <w:sz w:val="32"/>
          <w:szCs w:val="32"/>
        </w:rPr>
        <w:t>。</w:t>
      </w:r>
    </w:p>
    <w:p>
      <w:pPr>
        <w:numPr>
          <w:ilvl w:val="0"/>
          <w:numId w:val="2"/>
        </w:numPr>
        <w:spacing w:line="580" w:lineRule="exact"/>
        <w:rPr>
          <w:rFonts w:ascii="仿宋" w:hAnsi="仿宋" w:eastAsia="仿宋" w:cs="仿宋_GB2312"/>
          <w:sz w:val="32"/>
          <w:szCs w:val="32"/>
        </w:rPr>
      </w:pPr>
      <w:r>
        <w:rPr>
          <w:rFonts w:ascii="仿宋" w:hAnsi="仿宋" w:eastAsia="仿宋" w:cs="仿宋_GB2312"/>
          <w:sz w:val="32"/>
          <w:szCs w:val="32"/>
        </w:rPr>
        <w:t>存在主要问题</w:t>
      </w:r>
      <w:r>
        <w:rPr>
          <w:rFonts w:hint="eastAsia" w:ascii="仿宋" w:hAnsi="仿宋" w:eastAsia="仿宋" w:cs="仿宋_GB2312"/>
          <w:sz w:val="32"/>
          <w:szCs w:val="32"/>
          <w:lang w:eastAsia="zh-CN"/>
        </w:rPr>
        <w:t>。</w:t>
      </w:r>
    </w:p>
    <w:p>
      <w:pPr>
        <w:numPr>
          <w:ilvl w:val="0"/>
          <w:numId w:val="0"/>
        </w:num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资金拨付</w:t>
      </w:r>
      <w:r>
        <w:rPr>
          <w:rFonts w:hint="eastAsia" w:ascii="仿宋" w:hAnsi="仿宋" w:eastAsia="仿宋" w:cs="仿宋_GB2312"/>
          <w:sz w:val="32"/>
          <w:szCs w:val="32"/>
          <w:lang w:eastAsia="zh-CN"/>
        </w:rPr>
        <w:t>进度，有待进一步提高。</w:t>
      </w:r>
    </w:p>
    <w:p>
      <w:pPr>
        <w:numPr>
          <w:ilvl w:val="0"/>
          <w:numId w:val="2"/>
        </w:numPr>
        <w:spacing w:line="580" w:lineRule="exact"/>
        <w:rPr>
          <w:rFonts w:ascii="仿宋" w:hAnsi="仿宋" w:eastAsia="仿宋" w:cs="仿宋_GB2312"/>
          <w:sz w:val="32"/>
          <w:szCs w:val="32"/>
        </w:rPr>
      </w:pPr>
      <w:r>
        <w:rPr>
          <w:rFonts w:ascii="仿宋" w:hAnsi="仿宋" w:eastAsia="仿宋" w:cs="仿宋_GB2312"/>
          <w:sz w:val="32"/>
          <w:szCs w:val="32"/>
        </w:rPr>
        <w:t>相关措施建议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提高项目资金使用率。项目实施做好前期相关工作准备，按照相关要求进行前期立项工作，确保有相应的资金来源，严格按照资金拨付流程支付项目资金，确保资金专款专用，发挥最大效益。</w:t>
      </w:r>
    </w:p>
    <w:p>
      <w:pPr>
        <w:spacing w:line="580" w:lineRule="exact"/>
        <w:ind w:firstLine="640" w:firstLineChars="200"/>
        <w:rPr>
          <w:rFonts w:hint="eastAsia" w:ascii="仿宋" w:hAnsi="仿宋" w:eastAsia="仿宋" w:cs="仿宋_GB2312"/>
          <w:sz w:val="32"/>
          <w:szCs w:val="32"/>
        </w:rPr>
      </w:pPr>
    </w:p>
    <w:p>
      <w:pPr>
        <w:spacing w:line="580" w:lineRule="exact"/>
        <w:ind w:firstLine="640" w:firstLineChars="200"/>
        <w:rPr>
          <w:rFonts w:hint="eastAsia" w:ascii="仿宋" w:hAnsi="仿宋" w:eastAsia="仿宋" w:cs="仿宋_GB2312"/>
          <w:sz w:val="32"/>
          <w:szCs w:val="32"/>
        </w:rPr>
      </w:pPr>
    </w:p>
    <w:p>
      <w:pPr>
        <w:rPr>
          <w:rStyle w:val="24"/>
          <w:rFonts w:ascii="黑体" w:hAnsi="黑体" w:eastAsia="黑体"/>
          <w:b w:val="0"/>
        </w:rPr>
      </w:pPr>
      <w:r>
        <w:rPr>
          <w:rStyle w:val="24"/>
          <w:rFonts w:ascii="黑体" w:hAnsi="黑体" w:eastAsia="黑体"/>
          <w:b w:val="0"/>
        </w:rPr>
        <w:br w:type="page"/>
      </w:r>
    </w:p>
    <w:p>
      <w:pPr>
        <w:spacing w:line="580" w:lineRule="exact"/>
        <w:ind w:firstLine="720" w:firstLineChars="200"/>
        <w:jc w:val="center"/>
        <w:rPr>
          <w:rFonts w:hint="eastAsia" w:ascii="黑体" w:hAnsi="黑体" w:eastAsia="黑体" w:cs="方正小标宋简体"/>
          <w:sz w:val="36"/>
          <w:szCs w:val="36"/>
        </w:rPr>
      </w:pPr>
      <w:r>
        <w:rPr>
          <w:rFonts w:hint="eastAsia" w:ascii="黑体" w:hAnsi="黑体" w:eastAsia="黑体" w:cs="方正小标宋简体"/>
          <w:sz w:val="36"/>
          <w:szCs w:val="36"/>
          <w:lang w:val="en-US" w:eastAsia="zh-CN"/>
        </w:rPr>
        <w:t>产业扶持“增量奖补”资金</w:t>
      </w:r>
      <w:bookmarkStart w:id="77" w:name="_GoBack"/>
      <w:bookmarkEnd w:id="77"/>
      <w:r>
        <w:rPr>
          <w:rFonts w:hint="eastAsia" w:ascii="黑体" w:hAnsi="黑体" w:eastAsia="黑体" w:cs="方正小标宋简体"/>
          <w:sz w:val="36"/>
          <w:szCs w:val="36"/>
          <w:lang w:eastAsia="zh-CN"/>
        </w:rPr>
        <w:t>项</w:t>
      </w:r>
      <w:r>
        <w:rPr>
          <w:rFonts w:hint="eastAsia" w:ascii="黑体" w:hAnsi="黑体" w:eastAsia="黑体" w:cs="方正小标宋简体"/>
          <w:sz w:val="36"/>
          <w:szCs w:val="36"/>
        </w:rPr>
        <w:t>目支出绩效评价</w:t>
      </w:r>
    </w:p>
    <w:p>
      <w:pPr>
        <w:spacing w:line="580" w:lineRule="exact"/>
        <w:ind w:firstLine="720" w:firstLineChars="200"/>
        <w:jc w:val="center"/>
        <w:rPr>
          <w:rFonts w:ascii="黑体" w:hAnsi="黑体" w:eastAsia="黑体" w:cs="方正小标宋简体"/>
          <w:sz w:val="36"/>
          <w:szCs w:val="36"/>
        </w:rPr>
      </w:pPr>
      <w:r>
        <w:rPr>
          <w:rFonts w:hint="eastAsia" w:ascii="黑体" w:hAnsi="黑体" w:eastAsia="黑体" w:cs="方正小标宋简体"/>
          <w:sz w:val="36"/>
          <w:szCs w:val="36"/>
        </w:rPr>
        <w:t>报</w:t>
      </w:r>
      <w:r>
        <w:rPr>
          <w:rFonts w:hint="eastAsia" w:ascii="黑体" w:hAnsi="黑体" w:eastAsia="黑体" w:cs="方正小标宋简体"/>
          <w:sz w:val="36"/>
          <w:szCs w:val="36"/>
          <w:lang w:val="en-US" w:eastAsia="zh-CN"/>
        </w:rPr>
        <w:t xml:space="preserve">  </w:t>
      </w:r>
      <w:r>
        <w:rPr>
          <w:rFonts w:hint="eastAsia" w:ascii="黑体" w:hAnsi="黑体" w:eastAsia="黑体" w:cs="方正小标宋简体"/>
          <w:sz w:val="36"/>
          <w:szCs w:val="36"/>
        </w:rPr>
        <w:t>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项目年度预算绩效目标、绩效指标设定情况。财政投入专项资金</w:t>
      </w:r>
      <w:r>
        <w:rPr>
          <w:rFonts w:hint="eastAsia" w:ascii="仿宋" w:hAnsi="仿宋" w:eastAsia="仿宋" w:cs="仿宋_GB2312"/>
          <w:sz w:val="32"/>
          <w:szCs w:val="32"/>
          <w:lang w:val="en-US" w:eastAsia="zh-CN"/>
        </w:rPr>
        <w:t>285.3万元</w:t>
      </w:r>
      <w:r>
        <w:rPr>
          <w:rFonts w:hint="eastAsia" w:ascii="仿宋" w:hAnsi="仿宋" w:eastAsia="仿宋" w:cs="仿宋_GB2312"/>
          <w:sz w:val="32"/>
          <w:szCs w:val="32"/>
        </w:rPr>
        <w:t>用于</w:t>
      </w:r>
      <w:r>
        <w:rPr>
          <w:rFonts w:hint="eastAsia" w:ascii="仿宋" w:hAnsi="仿宋" w:eastAsia="仿宋" w:cs="仿宋_GB2312"/>
          <w:sz w:val="32"/>
          <w:szCs w:val="32"/>
          <w:lang w:val="en-US" w:eastAsia="zh-CN"/>
        </w:rPr>
        <w:t>森林生态效益补偿政策补助</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该项目直接补贴农村家庭</w:t>
      </w:r>
      <w:r>
        <w:rPr>
          <w:rFonts w:hint="eastAsia" w:ascii="仿宋_GB2312" w:hAnsi="仿宋_GB2312" w:eastAsia="仿宋_GB2312" w:cs="仿宋_GB2312"/>
          <w:sz w:val="32"/>
          <w:szCs w:val="32"/>
          <w:lang w:val="en-US" w:eastAsia="zh-CN"/>
        </w:rPr>
        <w:t>1685户</w:t>
      </w:r>
      <w:r>
        <w:rPr>
          <w:rFonts w:hint="eastAsia" w:ascii="仿宋_GB2312" w:hAnsi="仿宋_GB2312" w:eastAsia="仿宋_GB2312" w:cs="仿宋_GB2312"/>
          <w:sz w:val="32"/>
          <w:szCs w:val="32"/>
        </w:rPr>
        <w:t>。</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w:t>
      </w:r>
      <w:r>
        <w:rPr>
          <w:rFonts w:hint="eastAsia" w:ascii="仿宋" w:hAnsi="仿宋" w:eastAsia="仿宋" w:cs="仿宋_GB2312"/>
          <w:sz w:val="32"/>
          <w:szCs w:val="32"/>
        </w:rPr>
        <w:t>得分</w:t>
      </w:r>
      <w:r>
        <w:rPr>
          <w:rFonts w:hint="eastAsia" w:ascii="仿宋" w:hAnsi="仿宋" w:eastAsia="仿宋" w:cs="仿宋_GB2312"/>
          <w:sz w:val="32"/>
          <w:szCs w:val="32"/>
          <w:lang w:val="en-US" w:eastAsia="zh-CN"/>
        </w:rPr>
        <w:t>99</w:t>
      </w:r>
      <w:r>
        <w:rPr>
          <w:rFonts w:hint="eastAsia" w:ascii="仿宋" w:hAnsi="仿宋" w:eastAsia="仿宋" w:cs="仿宋_GB2312"/>
          <w:sz w:val="32"/>
          <w:szCs w:val="32"/>
        </w:rPr>
        <w:t>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eastAsia="zh-CN"/>
        </w:rPr>
        <w:t>该</w:t>
      </w:r>
      <w:r>
        <w:rPr>
          <w:rFonts w:hint="eastAsia" w:ascii="仿宋" w:hAnsi="仿宋" w:eastAsia="仿宋" w:cs="仿宋_GB2312"/>
          <w:sz w:val="32"/>
          <w:szCs w:val="32"/>
        </w:rPr>
        <w:t>项目支出按照相关</w:t>
      </w:r>
      <w:r>
        <w:rPr>
          <w:rFonts w:ascii="仿宋" w:hAnsi="仿宋" w:eastAsia="仿宋" w:cs="仿宋_GB2312"/>
          <w:sz w:val="32"/>
          <w:szCs w:val="32"/>
        </w:rPr>
        <w:t>政策依据</w:t>
      </w:r>
      <w:r>
        <w:rPr>
          <w:rFonts w:hint="eastAsia" w:ascii="仿宋" w:hAnsi="仿宋" w:eastAsia="仿宋" w:cs="仿宋_GB2312"/>
          <w:sz w:val="32"/>
          <w:szCs w:val="32"/>
        </w:rPr>
        <w:t>实施</w:t>
      </w:r>
      <w:r>
        <w:rPr>
          <w:rFonts w:ascii="仿宋" w:hAnsi="仿宋" w:eastAsia="仿宋" w:cs="仿宋_GB2312"/>
          <w:sz w:val="32"/>
          <w:szCs w:val="32"/>
        </w:rPr>
        <w:t>，</w:t>
      </w:r>
      <w:r>
        <w:rPr>
          <w:rFonts w:hint="eastAsia" w:ascii="仿宋" w:hAnsi="仿宋" w:eastAsia="仿宋" w:cs="仿宋_GB2312"/>
          <w:sz w:val="32"/>
          <w:szCs w:val="32"/>
        </w:rPr>
        <w:t>项目决策严格按照相关流程，充分发挥项目资金效益</w:t>
      </w:r>
      <w:r>
        <w:rPr>
          <w:rFonts w:hint="eastAsia" w:ascii="仿宋" w:hAnsi="仿宋" w:eastAsia="仿宋" w:cs="仿宋_GB2312"/>
          <w:sz w:val="32"/>
          <w:szCs w:val="32"/>
          <w:lang w:eastAsia="zh-CN"/>
        </w:rPr>
        <w:t>，</w:t>
      </w:r>
      <w:r>
        <w:rPr>
          <w:rFonts w:ascii="仿宋" w:hAnsi="仿宋" w:eastAsia="仿宋" w:cs="仿宋_GB2312"/>
          <w:sz w:val="32"/>
          <w:szCs w:val="32"/>
        </w:rPr>
        <w:t>绩效目标设置的</w:t>
      </w:r>
      <w:r>
        <w:rPr>
          <w:rFonts w:hint="eastAsia" w:ascii="仿宋" w:hAnsi="仿宋" w:eastAsia="仿宋" w:cs="仿宋_GB2312"/>
          <w:sz w:val="32"/>
          <w:szCs w:val="32"/>
        </w:rPr>
        <w:t>科学合理，同时也结合</w:t>
      </w:r>
      <w:r>
        <w:rPr>
          <w:rFonts w:hint="eastAsia" w:ascii="仿宋" w:hAnsi="仿宋" w:eastAsia="仿宋" w:cs="仿宋_GB2312"/>
          <w:sz w:val="32"/>
          <w:szCs w:val="32"/>
          <w:lang w:eastAsia="zh-CN"/>
        </w:rPr>
        <w:t>铁佛</w:t>
      </w:r>
      <w:r>
        <w:rPr>
          <w:rFonts w:hint="eastAsia" w:ascii="仿宋" w:hAnsi="仿宋" w:eastAsia="仿宋" w:cs="仿宋_GB2312"/>
          <w:sz w:val="32"/>
          <w:szCs w:val="32"/>
        </w:rPr>
        <w:t>实际情况。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2、</w:t>
      </w:r>
      <w:r>
        <w:rPr>
          <w:rFonts w:ascii="仿宋" w:hAnsi="仿宋" w:eastAsia="仿宋" w:cs="仿宋_GB2312"/>
          <w:sz w:val="32"/>
          <w:szCs w:val="32"/>
        </w:rPr>
        <w:t>项目管理</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eastAsia="zh-CN"/>
        </w:rPr>
        <w:t>产业扶持“增量奖补”资金</w:t>
      </w:r>
      <w:r>
        <w:rPr>
          <w:rFonts w:hint="eastAsia" w:ascii="仿宋" w:hAnsi="仿宋" w:eastAsia="仿宋" w:cs="仿宋_GB2312"/>
          <w:sz w:val="32"/>
          <w:szCs w:val="32"/>
        </w:rPr>
        <w:t>项目支出决算</w:t>
      </w:r>
      <w:r>
        <w:rPr>
          <w:rFonts w:ascii="仿宋" w:hAnsi="仿宋" w:eastAsia="仿宋" w:cs="仿宋_GB2312"/>
          <w:sz w:val="32"/>
          <w:szCs w:val="32"/>
        </w:rPr>
        <w:t>资金</w:t>
      </w:r>
      <w:r>
        <w:rPr>
          <w:rFonts w:hint="eastAsia" w:ascii="仿宋" w:hAnsi="仿宋" w:eastAsia="仿宋" w:cs="仿宋_GB2312"/>
          <w:sz w:val="32"/>
          <w:szCs w:val="32"/>
          <w:lang w:val="en-US" w:eastAsia="zh-CN"/>
        </w:rPr>
        <w:t>285.3万元</w:t>
      </w:r>
      <w:r>
        <w:rPr>
          <w:rFonts w:hint="eastAsia" w:ascii="仿宋" w:hAnsi="仿宋" w:eastAsia="仿宋" w:cs="仿宋_GB2312"/>
          <w:sz w:val="32"/>
          <w:szCs w:val="32"/>
        </w:rPr>
        <w:t>。资金</w:t>
      </w:r>
      <w:r>
        <w:rPr>
          <w:rFonts w:ascii="仿宋" w:hAnsi="仿宋" w:eastAsia="仿宋" w:cs="仿宋_GB2312"/>
          <w:sz w:val="32"/>
          <w:szCs w:val="32"/>
        </w:rPr>
        <w:t>分配分配管理科学合理，</w:t>
      </w:r>
      <w:r>
        <w:rPr>
          <w:rFonts w:hint="eastAsia" w:ascii="仿宋" w:hAnsi="仿宋" w:eastAsia="仿宋" w:cs="仿宋_GB2312"/>
          <w:sz w:val="32"/>
          <w:szCs w:val="32"/>
        </w:rPr>
        <w:t>按照相关政策文件执行，资</w:t>
      </w:r>
      <w:r>
        <w:rPr>
          <w:rFonts w:ascii="仿宋" w:hAnsi="仿宋" w:eastAsia="仿宋" w:cs="仿宋_GB2312"/>
          <w:sz w:val="32"/>
          <w:szCs w:val="32"/>
        </w:rPr>
        <w:t>金使用</w:t>
      </w:r>
      <w:r>
        <w:rPr>
          <w:rFonts w:hint="eastAsia" w:ascii="仿宋" w:hAnsi="仿宋" w:eastAsia="仿宋" w:cs="仿宋_GB2312"/>
          <w:sz w:val="32"/>
          <w:szCs w:val="32"/>
        </w:rPr>
        <w:t>、</w:t>
      </w:r>
      <w:r>
        <w:rPr>
          <w:rFonts w:ascii="仿宋" w:hAnsi="仿宋" w:eastAsia="仿宋" w:cs="仿宋_GB2312"/>
          <w:sz w:val="32"/>
          <w:szCs w:val="32"/>
        </w:rPr>
        <w:t>资金管理的科学规范</w:t>
      </w:r>
      <w:r>
        <w:rPr>
          <w:rFonts w:hint="eastAsia"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项目目标完成情况数量、质量</w:t>
      </w:r>
      <w:r>
        <w:rPr>
          <w:rFonts w:hint="eastAsia" w:ascii="仿宋" w:hAnsi="仿宋" w:eastAsia="仿宋" w:cs="仿宋_GB2312"/>
          <w:sz w:val="32"/>
          <w:szCs w:val="32"/>
        </w:rPr>
        <w:t>指标完成</w:t>
      </w:r>
      <w:r>
        <w:rPr>
          <w:rFonts w:hint="eastAsia" w:ascii="仿宋" w:hAnsi="仿宋" w:eastAsia="仿宋" w:cs="仿宋_GB2312"/>
          <w:sz w:val="32"/>
          <w:szCs w:val="32"/>
          <w:lang w:eastAsia="zh-CN"/>
        </w:rPr>
        <w:t>良好</w:t>
      </w:r>
      <w:r>
        <w:rPr>
          <w:rFonts w:hint="eastAsia" w:ascii="仿宋" w:hAnsi="仿宋" w:eastAsia="仿宋" w:cs="仿宋_GB2312"/>
          <w:sz w:val="32"/>
          <w:szCs w:val="32"/>
        </w:rPr>
        <w:t>，项目</w:t>
      </w:r>
      <w:r>
        <w:rPr>
          <w:rFonts w:ascii="仿宋" w:hAnsi="仿宋" w:eastAsia="仿宋" w:cs="仿宋_GB2312"/>
          <w:sz w:val="32"/>
          <w:szCs w:val="32"/>
        </w:rPr>
        <w:t>时效、成本</w:t>
      </w:r>
      <w:r>
        <w:rPr>
          <w:rFonts w:hint="eastAsia" w:ascii="仿宋" w:hAnsi="仿宋" w:eastAsia="仿宋" w:cs="仿宋_GB2312"/>
          <w:sz w:val="32"/>
          <w:szCs w:val="32"/>
        </w:rPr>
        <w:t>指标基本完成，</w:t>
      </w:r>
      <w:r>
        <w:rPr>
          <w:rFonts w:ascii="仿宋" w:hAnsi="仿宋" w:eastAsia="仿宋" w:cs="仿宋_GB2312"/>
          <w:sz w:val="32"/>
          <w:szCs w:val="32"/>
        </w:rPr>
        <w:t>项目效益情况经济效益、项目社会效益、生态效益、可持续效益、公平性、资金使用效率、受益群体满意度等</w:t>
      </w:r>
      <w:r>
        <w:rPr>
          <w:rFonts w:hint="eastAsia" w:ascii="仿宋" w:hAnsi="仿宋" w:eastAsia="仿宋" w:cs="仿宋_GB2312"/>
          <w:sz w:val="32"/>
          <w:szCs w:val="32"/>
        </w:rPr>
        <w:t>达到预设定目标</w:t>
      </w:r>
      <w:r>
        <w:rPr>
          <w:rFonts w:ascii="仿宋" w:hAnsi="仿宋" w:eastAsia="仿宋" w:cs="仿宋_GB2312"/>
          <w:sz w:val="32"/>
          <w:szCs w:val="32"/>
        </w:rPr>
        <w:t>。</w:t>
      </w:r>
    </w:p>
    <w:p>
      <w:pPr>
        <w:numPr>
          <w:ilvl w:val="0"/>
          <w:numId w:val="2"/>
        </w:numPr>
        <w:spacing w:line="580" w:lineRule="exact"/>
        <w:rPr>
          <w:rFonts w:ascii="仿宋" w:hAnsi="仿宋" w:eastAsia="仿宋" w:cs="仿宋_GB2312"/>
          <w:sz w:val="32"/>
          <w:szCs w:val="32"/>
        </w:rPr>
      </w:pPr>
      <w:r>
        <w:rPr>
          <w:rFonts w:ascii="仿宋" w:hAnsi="仿宋" w:eastAsia="仿宋" w:cs="仿宋_GB2312"/>
          <w:sz w:val="32"/>
          <w:szCs w:val="32"/>
        </w:rPr>
        <w:t>存在主要问题</w:t>
      </w:r>
      <w:r>
        <w:rPr>
          <w:rFonts w:hint="eastAsia" w:ascii="仿宋" w:hAnsi="仿宋" w:eastAsia="仿宋" w:cs="仿宋_GB2312"/>
          <w:sz w:val="32"/>
          <w:szCs w:val="32"/>
          <w:lang w:eastAsia="zh-CN"/>
        </w:rPr>
        <w:t>。</w:t>
      </w:r>
    </w:p>
    <w:p>
      <w:pPr>
        <w:numPr>
          <w:ilvl w:val="0"/>
          <w:numId w:val="0"/>
        </w:num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资金拨付</w:t>
      </w:r>
      <w:r>
        <w:rPr>
          <w:rFonts w:hint="eastAsia" w:ascii="仿宋" w:hAnsi="仿宋" w:eastAsia="仿宋" w:cs="仿宋_GB2312"/>
          <w:sz w:val="32"/>
          <w:szCs w:val="32"/>
          <w:lang w:eastAsia="zh-CN"/>
        </w:rPr>
        <w:t>进度，有待进一步提高。</w:t>
      </w:r>
    </w:p>
    <w:p>
      <w:pPr>
        <w:numPr>
          <w:ilvl w:val="0"/>
          <w:numId w:val="2"/>
        </w:numPr>
        <w:spacing w:line="580" w:lineRule="exact"/>
        <w:rPr>
          <w:rFonts w:ascii="仿宋" w:hAnsi="仿宋" w:eastAsia="仿宋" w:cs="仿宋_GB2312"/>
          <w:sz w:val="32"/>
          <w:szCs w:val="32"/>
        </w:rPr>
      </w:pPr>
      <w:r>
        <w:rPr>
          <w:rFonts w:ascii="仿宋" w:hAnsi="仿宋" w:eastAsia="仿宋" w:cs="仿宋_GB2312"/>
          <w:sz w:val="32"/>
          <w:szCs w:val="32"/>
        </w:rPr>
        <w:t>相关措施建议</w:t>
      </w:r>
    </w:p>
    <w:p>
      <w:pPr>
        <w:spacing w:line="600" w:lineRule="exact"/>
        <w:ind w:firstLine="640" w:firstLineChars="200"/>
        <w:jc w:val="left"/>
        <w:outlineLvl w:val="0"/>
        <w:rPr>
          <w:rStyle w:val="24"/>
          <w:rFonts w:ascii="黑体" w:hAnsi="黑体" w:eastAsia="黑体"/>
          <w:b w:val="0"/>
        </w:rPr>
      </w:pPr>
      <w:r>
        <w:rPr>
          <w:rFonts w:hint="eastAsia" w:ascii="仿宋" w:hAnsi="仿宋" w:eastAsia="仿宋" w:cs="仿宋_GB2312"/>
          <w:sz w:val="32"/>
          <w:szCs w:val="32"/>
        </w:rPr>
        <w:t>提高项目资金使用率。项目实施做好前期相关工作准备，按照相关要求进行前期立项工作，确保有相应的资金来源，严格按照资金拨付流程支付项目资金，确保资金专款专用，发挥最大效益。</w:t>
      </w:r>
    </w:p>
    <w:p>
      <w:pPr>
        <w:rPr>
          <w:rStyle w:val="24"/>
          <w:rFonts w:ascii="黑体" w:hAnsi="黑体" w:eastAsia="黑体"/>
          <w:b w:val="0"/>
        </w:rPr>
      </w:pPr>
      <w:r>
        <w:rPr>
          <w:rStyle w:val="24"/>
          <w:rFonts w:ascii="黑体" w:hAnsi="黑体" w:eastAsia="黑体"/>
          <w:b w:val="0"/>
        </w:rPr>
        <w:br w:type="page"/>
      </w:r>
    </w:p>
    <w:p>
      <w:pPr>
        <w:spacing w:line="600" w:lineRule="exact"/>
        <w:jc w:val="center"/>
        <w:outlineLvl w:val="0"/>
        <w:rPr>
          <w:rStyle w:val="24"/>
          <w:rFonts w:ascii="黑体" w:hAnsi="黑体" w:eastAsia="黑体"/>
          <w:b w:val="0"/>
        </w:rPr>
      </w:pPr>
    </w:p>
    <w:p>
      <w:pPr>
        <w:spacing w:line="600" w:lineRule="exact"/>
        <w:jc w:val="center"/>
        <w:outlineLvl w:val="0"/>
        <w:rPr>
          <w:rStyle w:val="24"/>
          <w:rFonts w:ascii="黑体" w:hAnsi="黑体" w:eastAsia="黑体"/>
          <w:b w:val="0"/>
        </w:rPr>
      </w:pPr>
      <w:bookmarkStart w:id="63"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61"/>
      <w:bookmarkEnd w:id="63"/>
    </w:p>
    <w:p>
      <w:pPr>
        <w:pStyle w:val="3"/>
        <w:rPr>
          <w:rFonts w:ascii="仿宋" w:hAnsi="仿宋" w:eastAsia="仿宋"/>
          <w:color w:val="000000"/>
        </w:rPr>
      </w:pPr>
      <w:bookmarkStart w:id="64"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4"/>
    </w:p>
    <w:p>
      <w:pPr>
        <w:pStyle w:val="3"/>
        <w:rPr>
          <w:rFonts w:ascii="仿宋" w:hAnsi="仿宋" w:eastAsia="仿宋"/>
          <w:color w:val="000000"/>
        </w:rPr>
      </w:pPr>
      <w:bookmarkStart w:id="65"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65"/>
    </w:p>
    <w:p>
      <w:pPr>
        <w:pStyle w:val="3"/>
        <w:rPr>
          <w:rFonts w:ascii="仿宋" w:hAnsi="仿宋" w:eastAsia="仿宋"/>
          <w:color w:val="000000"/>
        </w:rPr>
      </w:pPr>
      <w:bookmarkStart w:id="66"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66"/>
    </w:p>
    <w:p>
      <w:pPr>
        <w:pStyle w:val="3"/>
        <w:rPr>
          <w:rFonts w:ascii="仿宋" w:hAnsi="仿宋" w:eastAsia="仿宋"/>
          <w:b w:val="0"/>
          <w:color w:val="000000"/>
        </w:rPr>
      </w:pPr>
      <w:bookmarkStart w:id="67"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7"/>
    </w:p>
    <w:p>
      <w:pPr>
        <w:pStyle w:val="3"/>
        <w:rPr>
          <w:rStyle w:val="25"/>
          <w:rFonts w:ascii="仿宋" w:hAnsi="仿宋" w:eastAsia="仿宋"/>
          <w:b w:val="0"/>
          <w:bCs w:val="0"/>
        </w:rPr>
      </w:pPr>
      <w:bookmarkStart w:id="68"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8"/>
      <w:bookmarkStart w:id="69" w:name="_Toc15396624"/>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9"/>
    </w:p>
    <w:p>
      <w:pPr>
        <w:pStyle w:val="3"/>
        <w:rPr>
          <w:rFonts w:ascii="仿宋" w:hAnsi="仿宋" w:eastAsia="仿宋"/>
          <w:color w:val="000000"/>
        </w:rPr>
      </w:pPr>
      <w:bookmarkStart w:id="70"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70"/>
    </w:p>
    <w:p>
      <w:pPr>
        <w:pStyle w:val="3"/>
        <w:rPr>
          <w:rFonts w:ascii="仿宋" w:hAnsi="仿宋" w:eastAsia="仿宋"/>
          <w:color w:val="000000"/>
        </w:rPr>
      </w:pPr>
      <w:bookmarkStart w:id="71"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1"/>
    </w:p>
    <w:p>
      <w:pPr>
        <w:pStyle w:val="3"/>
        <w:rPr>
          <w:rFonts w:ascii="仿宋" w:hAnsi="仿宋" w:eastAsia="仿宋"/>
          <w:color w:val="000000"/>
        </w:rPr>
      </w:pPr>
      <w:bookmarkStart w:id="72"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2"/>
    </w:p>
    <w:p>
      <w:pPr>
        <w:pStyle w:val="3"/>
        <w:rPr>
          <w:rFonts w:ascii="仿宋" w:hAnsi="仿宋" w:eastAsia="仿宋"/>
          <w:color w:val="000000"/>
        </w:rPr>
      </w:pPr>
      <w:bookmarkStart w:id="73"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3"/>
    </w:p>
    <w:p>
      <w:pPr>
        <w:pStyle w:val="3"/>
        <w:rPr>
          <w:rFonts w:ascii="仿宋" w:hAnsi="仿宋" w:eastAsia="仿宋"/>
          <w:color w:val="000000"/>
        </w:rPr>
      </w:pPr>
      <w:bookmarkStart w:id="74"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4"/>
    </w:p>
    <w:p>
      <w:pPr>
        <w:pStyle w:val="3"/>
        <w:rPr>
          <w:rFonts w:ascii="仿宋" w:hAnsi="仿宋" w:eastAsia="仿宋"/>
          <w:color w:val="000000"/>
        </w:rPr>
      </w:pPr>
      <w:bookmarkStart w:id="75"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5"/>
    </w:p>
    <w:p>
      <w:pPr>
        <w:pStyle w:val="3"/>
        <w:rPr>
          <w:rFonts w:ascii="仿宋" w:hAnsi="仿宋" w:eastAsia="仿宋"/>
          <w:color w:val="000000" w:themeColor="text1"/>
        </w:rPr>
      </w:pPr>
      <w:bookmarkStart w:id="76"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6"/>
    </w:p>
    <w:sectPr>
      <w:footerReference r:id="rId6" w:type="first"/>
      <w:footerReference r:id="rId5"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49" o:spid="_x0000_s2049"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1994781956"/>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txbxContent>
          </v:textbox>
        </v:shape>
      </w:pic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50" o:spid="_x0000_s2050"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0BFAE4"/>
    <w:multiLevelType w:val="singleLevel"/>
    <w:tmpl w:val="910BFAE4"/>
    <w:lvl w:ilvl="0" w:tentative="0">
      <w:start w:val="1"/>
      <w:numFmt w:val="decimal"/>
      <w:lvlText w:val="%1."/>
      <w:lvlJc w:val="left"/>
      <w:pPr>
        <w:tabs>
          <w:tab w:val="left" w:pos="312"/>
        </w:tabs>
      </w:pPr>
    </w:lvl>
  </w:abstractNum>
  <w:abstractNum w:abstractNumId="1">
    <w:nsid w:val="BD793907"/>
    <w:multiLevelType w:val="singleLevel"/>
    <w:tmpl w:val="BD793907"/>
    <w:lvl w:ilvl="0" w:tentative="0">
      <w:start w:val="3"/>
      <w:numFmt w:val="decimal"/>
      <w:suff w:val="nothing"/>
      <w:lvlText w:val="（%1）"/>
      <w:lvlJc w:val="left"/>
    </w:lvl>
  </w:abstractNum>
  <w:abstractNum w:abstractNumId="2">
    <w:nsid w:val="C903BAB0"/>
    <w:multiLevelType w:val="singleLevel"/>
    <w:tmpl w:val="C903BAB0"/>
    <w:lvl w:ilvl="0" w:tentative="0">
      <w:start w:val="2"/>
      <w:numFmt w:val="chineseCounting"/>
      <w:suff w:val="nothing"/>
      <w:lvlText w:val="（%1）"/>
      <w:lvlJc w:val="left"/>
      <w:rPr>
        <w:rFonts w:hint="eastAsia"/>
      </w:rPr>
    </w:lvl>
  </w:abstractNum>
  <w:abstractNum w:abstractNumId="3">
    <w:nsid w:val="CF652CEC"/>
    <w:multiLevelType w:val="singleLevel"/>
    <w:tmpl w:val="CF652CEC"/>
    <w:lvl w:ilvl="0" w:tentative="0">
      <w:start w:val="9"/>
      <w:numFmt w:val="chineseCounting"/>
      <w:suff w:val="nothing"/>
      <w:lvlText w:val="%1、"/>
      <w:lvlJc w:val="left"/>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6"/>
  </w:num>
  <w:num w:numId="2">
    <w:abstractNumId w:val="5"/>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2AFC"/>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929DC"/>
    <w:rsid w:val="00FA23E8"/>
    <w:rsid w:val="00FD3CC1"/>
    <w:rsid w:val="00FF1E02"/>
    <w:rsid w:val="00FF30B4"/>
    <w:rsid w:val="062F5C7D"/>
    <w:rsid w:val="064A217A"/>
    <w:rsid w:val="0B6162C3"/>
    <w:rsid w:val="0BAF3039"/>
    <w:rsid w:val="0F176C24"/>
    <w:rsid w:val="10C055FF"/>
    <w:rsid w:val="16BB723D"/>
    <w:rsid w:val="184613C8"/>
    <w:rsid w:val="199E3830"/>
    <w:rsid w:val="1BAD6693"/>
    <w:rsid w:val="1C920664"/>
    <w:rsid w:val="1DFE3CB6"/>
    <w:rsid w:val="21E12AB3"/>
    <w:rsid w:val="240371BF"/>
    <w:rsid w:val="260274BA"/>
    <w:rsid w:val="29FD04D3"/>
    <w:rsid w:val="2B92162B"/>
    <w:rsid w:val="2CBC3915"/>
    <w:rsid w:val="2FFC6387"/>
    <w:rsid w:val="302A086B"/>
    <w:rsid w:val="319F7F4E"/>
    <w:rsid w:val="32DB4823"/>
    <w:rsid w:val="33605B42"/>
    <w:rsid w:val="405578A8"/>
    <w:rsid w:val="423B296E"/>
    <w:rsid w:val="42CA4EFB"/>
    <w:rsid w:val="45782E68"/>
    <w:rsid w:val="485A272E"/>
    <w:rsid w:val="4ECE2238"/>
    <w:rsid w:val="51B83111"/>
    <w:rsid w:val="522D3DFD"/>
    <w:rsid w:val="58DC2FF5"/>
    <w:rsid w:val="5B001E99"/>
    <w:rsid w:val="5D7774AC"/>
    <w:rsid w:val="5DC179E4"/>
    <w:rsid w:val="65BB3D8E"/>
    <w:rsid w:val="66CA0578"/>
    <w:rsid w:val="688B1157"/>
    <w:rsid w:val="6A5E6590"/>
    <w:rsid w:val="6A9B04DC"/>
    <w:rsid w:val="6BED51C2"/>
    <w:rsid w:val="6E2259E9"/>
    <w:rsid w:val="722C0507"/>
    <w:rsid w:val="72734D90"/>
    <w:rsid w:val="72802200"/>
    <w:rsid w:val="736D7BFE"/>
    <w:rsid w:val="7CE91040"/>
    <w:rsid w:val="7E7A17D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link w:val="39"/>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font01"/>
    <w:basedOn w:val="13"/>
    <w:uiPriority w:val="0"/>
    <w:rPr>
      <w:rFonts w:hint="eastAsia" w:ascii="宋体" w:hAnsi="宋体" w:eastAsia="宋体" w:cs="宋体"/>
      <w:color w:val="000000"/>
      <w:sz w:val="32"/>
      <w:szCs w:val="32"/>
      <w:u w:val="none"/>
    </w:rPr>
  </w:style>
  <w:style w:type="character" w:customStyle="1" w:styleId="31">
    <w:name w:val="font51"/>
    <w:basedOn w:val="13"/>
    <w:uiPriority w:val="0"/>
    <w:rPr>
      <w:rFonts w:hint="eastAsia" w:ascii="宋体" w:hAnsi="宋体" w:eastAsia="宋体" w:cs="宋体"/>
      <w:color w:val="000000"/>
      <w:sz w:val="20"/>
      <w:szCs w:val="20"/>
      <w:u w:val="none"/>
    </w:rPr>
  </w:style>
  <w:style w:type="character" w:customStyle="1" w:styleId="32">
    <w:name w:val="font81"/>
    <w:basedOn w:val="13"/>
    <w:uiPriority w:val="0"/>
    <w:rPr>
      <w:rFonts w:hint="eastAsia" w:ascii="宋体" w:hAnsi="宋体" w:eastAsia="宋体" w:cs="宋体"/>
      <w:color w:val="000000"/>
      <w:sz w:val="18"/>
      <w:szCs w:val="18"/>
      <w:u w:val="none"/>
    </w:rPr>
  </w:style>
  <w:style w:type="character" w:customStyle="1" w:styleId="33">
    <w:name w:val="font31"/>
    <w:basedOn w:val="13"/>
    <w:uiPriority w:val="0"/>
    <w:rPr>
      <w:rFonts w:hint="eastAsia" w:ascii="宋体" w:hAnsi="宋体" w:eastAsia="宋体" w:cs="宋体"/>
      <w:color w:val="000000"/>
      <w:sz w:val="12"/>
      <w:szCs w:val="12"/>
      <w:u w:val="none"/>
    </w:rPr>
  </w:style>
  <w:style w:type="character" w:customStyle="1" w:styleId="34">
    <w:name w:val="font91"/>
    <w:basedOn w:val="13"/>
    <w:uiPriority w:val="0"/>
    <w:rPr>
      <w:rFonts w:hint="eastAsia" w:ascii="宋体" w:hAnsi="宋体" w:eastAsia="宋体" w:cs="宋体"/>
      <w:color w:val="000000"/>
      <w:sz w:val="32"/>
      <w:szCs w:val="32"/>
      <w:u w:val="none"/>
    </w:rPr>
  </w:style>
  <w:style w:type="character" w:customStyle="1" w:styleId="35">
    <w:name w:val="font11"/>
    <w:basedOn w:val="13"/>
    <w:uiPriority w:val="0"/>
    <w:rPr>
      <w:rFonts w:hint="eastAsia" w:ascii="宋体" w:hAnsi="宋体" w:eastAsia="宋体" w:cs="宋体"/>
      <w:color w:val="000000"/>
      <w:sz w:val="20"/>
      <w:szCs w:val="20"/>
      <w:u w:val="none"/>
    </w:rPr>
  </w:style>
  <w:style w:type="character" w:customStyle="1" w:styleId="36">
    <w:name w:val="font21"/>
    <w:basedOn w:val="13"/>
    <w:uiPriority w:val="0"/>
    <w:rPr>
      <w:rFonts w:hint="eastAsia" w:ascii="宋体" w:hAnsi="宋体" w:eastAsia="宋体" w:cs="宋体"/>
      <w:color w:val="000000"/>
      <w:sz w:val="12"/>
      <w:szCs w:val="12"/>
      <w:u w:val="none"/>
    </w:rPr>
  </w:style>
  <w:style w:type="character" w:customStyle="1" w:styleId="37">
    <w:name w:val="font101"/>
    <w:basedOn w:val="13"/>
    <w:uiPriority w:val="0"/>
    <w:rPr>
      <w:rFonts w:hint="eastAsia" w:ascii="宋体" w:hAnsi="宋体" w:eastAsia="宋体" w:cs="宋体"/>
      <w:color w:val="000000"/>
      <w:sz w:val="12"/>
      <w:szCs w:val="12"/>
      <w:u w:val="none"/>
    </w:rPr>
  </w:style>
  <w:style w:type="character" w:customStyle="1" w:styleId="38">
    <w:name w:val="font41"/>
    <w:basedOn w:val="13"/>
    <w:uiPriority w:val="0"/>
    <w:rPr>
      <w:rFonts w:hint="eastAsia" w:ascii="宋体" w:hAnsi="宋体" w:eastAsia="宋体" w:cs="宋体"/>
      <w:color w:val="000000"/>
      <w:sz w:val="12"/>
      <w:szCs w:val="12"/>
      <w:u w:val="none"/>
    </w:rPr>
  </w:style>
  <w:style w:type="character" w:customStyle="1" w:styleId="39">
    <w:name w:val="目录 2 Char"/>
    <w:link w:val="11"/>
    <w:uiPriority w:val="39"/>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7" Type="http://schemas.microsoft.com/office/2011/relationships/chartColorStyle" Target="colors1.xml"/><Relationship Id="rId6" Type="http://schemas.microsoft.com/office/2011/relationships/chartStyle" Target="style1.xml"/><Relationship Id="rId5" Type="http://schemas.openxmlformats.org/officeDocument/2006/relationships/image" Target="../media/image3.png"/><Relationship Id="rId4" Type="http://schemas.openxmlformats.org/officeDocument/2006/relationships/image" Target="../media/image2.png"/><Relationship Id="rId3" Type="http://schemas.openxmlformats.org/officeDocument/2006/relationships/image" Target="../media/image1.png"/><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7" Type="http://schemas.microsoft.com/office/2011/relationships/chartColorStyle" Target="colors6.xml"/><Relationship Id="rId6" Type="http://schemas.microsoft.com/office/2011/relationships/chartStyle" Target="style6.xml"/><Relationship Id="rId5" Type="http://schemas.openxmlformats.org/officeDocument/2006/relationships/image" Target="../media/image3.png"/><Relationship Id="rId4" Type="http://schemas.openxmlformats.org/officeDocument/2006/relationships/image" Target="../media/image2.png"/><Relationship Id="rId3" Type="http://schemas.openxmlformats.org/officeDocument/2006/relationships/image" Target="../media/image1.png"/><Relationship Id="rId2" Type="http://schemas.openxmlformats.org/officeDocument/2006/relationships/themeOverride" Target="../theme/themeOverride5.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4" Type="http://schemas.microsoft.com/office/2011/relationships/chartColorStyle" Target="colors7.xml"/><Relationship Id="rId3" Type="http://schemas.microsoft.com/office/2011/relationships/chartStyle" Target="style7.xml"/><Relationship Id="rId2" Type="http://schemas.openxmlformats.org/officeDocument/2006/relationships/themeOverride" Target="../theme/themeOverride6.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923055555555556"/>
          <c:y val="0.262731481481481"/>
          <c:w val="0.875055555555555"/>
          <c:h val="0.632037037037037"/>
        </c:manualLayout>
      </c:layout>
      <c:barChart>
        <c:barDir val="col"/>
        <c:grouping val="clustered"/>
        <c:varyColors val="0"/>
        <c:ser>
          <c:idx val="0"/>
          <c:order val="0"/>
          <c:tx>
            <c:strRef>
              <c:f>Sheet1!$B$1</c:f>
              <c:strCache>
                <c:ptCount val="1"/>
                <c:pt idx="0">
                  <c:v>2018年度</c:v>
                </c:pt>
              </c:strCache>
            </c:strRef>
          </c:tx>
          <c:spPr>
            <a:blipFill rotWithShape="1">
              <a:blip xmlns:r="http://schemas.openxmlformats.org/officeDocument/2006/relationships" r:embed="rId3"/>
              <a:stretch>
                <a:fillRect/>
              </a:stretch>
            </a:blipFill>
            <a:ln>
              <a:noFill/>
            </a:ln>
            <a:effectLst>
              <a:outerShdw blurRad="76200" dir="18900000" sy="23000" kx="-1200000" algn="bl" rotWithShape="0">
                <a:schemeClr val="bg1">
                  <a:lumMod val="50000"/>
                  <a:alpha val="2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收入总计（万元）</c:v>
                </c:pt>
                <c:pt idx="1">
                  <c:v>支出总计（万元）</c:v>
                </c:pt>
                <c:pt idx="2">
                  <c:v>年末结转和结余（万元）</c:v>
                </c:pt>
              </c:strCache>
            </c:strRef>
          </c:cat>
          <c:val>
            <c:numRef>
              <c:f>Sheet1!$B$2:$B$4</c:f>
              <c:numCache>
                <c:formatCode>General</c:formatCode>
                <c:ptCount val="3"/>
                <c:pt idx="0">
                  <c:v>12836.87</c:v>
                </c:pt>
                <c:pt idx="1">
                  <c:v>12673.79</c:v>
                </c:pt>
                <c:pt idx="2">
                  <c:v>163.08</c:v>
                </c:pt>
              </c:numCache>
            </c:numRef>
          </c:val>
        </c:ser>
        <c:ser>
          <c:idx val="1"/>
          <c:order val="1"/>
          <c:tx>
            <c:strRef>
              <c:f>Sheet1!$C$1</c:f>
              <c:strCache>
                <c:ptCount val="1"/>
                <c:pt idx="0">
                  <c:v>2019年度</c:v>
                </c:pt>
              </c:strCache>
            </c:strRef>
          </c:tx>
          <c:spPr>
            <a:blipFill rotWithShape="1">
              <a:blip xmlns:r="http://schemas.openxmlformats.org/officeDocument/2006/relationships" r:embed="rId4"/>
              <a:stretch>
                <a:fillRect/>
              </a:stretch>
            </a:blipFill>
            <a:ln>
              <a:noFill/>
            </a:ln>
            <a:effectLst>
              <a:outerShdw blurRad="76200" dir="18900000" sy="23000" kx="-1200000" algn="bl" rotWithShape="0">
                <a:schemeClr val="bg1">
                  <a:lumMod val="50000"/>
                  <a:alpha val="2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收入总计（万元）</c:v>
                </c:pt>
                <c:pt idx="1">
                  <c:v>支出总计（万元）</c:v>
                </c:pt>
                <c:pt idx="2">
                  <c:v>年末结转和结余（万元）</c:v>
                </c:pt>
              </c:strCache>
            </c:strRef>
          </c:cat>
          <c:val>
            <c:numRef>
              <c:f>Sheet1!$C$2:$C$4</c:f>
              <c:numCache>
                <c:formatCode>General</c:formatCode>
                <c:ptCount val="3"/>
                <c:pt idx="0">
                  <c:v>11511.27</c:v>
                </c:pt>
                <c:pt idx="1">
                  <c:v>11598.77</c:v>
                </c:pt>
                <c:pt idx="2">
                  <c:v>75.58</c:v>
                </c:pt>
              </c:numCache>
            </c:numRef>
          </c:val>
        </c:ser>
        <c:dLbls>
          <c:showLegendKey val="0"/>
          <c:showVal val="1"/>
          <c:showCatName val="0"/>
          <c:showSerName val="0"/>
          <c:showPercent val="0"/>
          <c:showBubbleSize val="0"/>
        </c:dLbls>
        <c:gapWidth val="112"/>
        <c:overlap val="-19"/>
        <c:axId val="517453001"/>
        <c:axId val="444140228"/>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blipFill rotWithShape="1">
                    <a:blip xmlns:r="http://schemas.openxmlformats.org/officeDocument/2006/relationships" r:embed="rId5"/>
                    <a:stretch>
                      <a:fillRect/>
                    </a:stretch>
                  </a:blipFill>
                  <a:ln>
                    <a:noFill/>
                  </a:ln>
                  <a:effectLst>
                    <a:outerShdw blurRad="76200" dir="18900000" sy="23000" kx="-1200000" algn="bl" rotWithShape="0">
                      <a:schemeClr val="bg1">
                        <a:lumMod val="50000"/>
                        <a:alpha val="2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Sheet1!$A$2:$A$4</c15:sqref>
                        </c15:formulaRef>
                      </c:ext>
                    </c:extLst>
                    <c:strCache>
                      <c:ptCount val="3"/>
                      <c:pt idx="0">
                        <c:v>收入总计（万元）</c:v>
                      </c:pt>
                      <c:pt idx="1">
                        <c:v>支出总计（万元）</c:v>
                      </c:pt>
                      <c:pt idx="2">
                        <c:v>年末结转和结余（万元）</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517453001"/>
        <c:scaling>
          <c:orientation val="minMax"/>
        </c:scaling>
        <c:delete val="0"/>
        <c:axPos val="b"/>
        <c:majorGridlines>
          <c:spPr>
            <a:ln w="3175" cap="flat" cmpd="sng" algn="ctr">
              <a:solidFill>
                <a:schemeClr val="bg1">
                  <a:lumMod val="95000"/>
                </a:schemeClr>
              </a:solidFill>
              <a:round/>
            </a:ln>
            <a:effectLst/>
          </c:spPr>
        </c:majorGridlines>
        <c:numFmt formatCode="General" sourceLinked="0"/>
        <c:majorTickMark val="none"/>
        <c:minorTickMark val="none"/>
        <c:tickLblPos val="nextTo"/>
        <c:spPr>
          <a:noFill/>
          <a:ln w="9525" cap="flat" cmpd="sng" algn="ctr">
            <a:no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444140228"/>
        <c:crosses val="autoZero"/>
        <c:auto val="1"/>
        <c:lblAlgn val="ctr"/>
        <c:lblOffset val="100"/>
        <c:noMultiLvlLbl val="0"/>
      </c:catAx>
      <c:valAx>
        <c:axId val="444140228"/>
        <c:scaling>
          <c:orientation val="minMax"/>
        </c:scaling>
        <c:delete val="0"/>
        <c:axPos val="l"/>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517453001"/>
        <c:crosses val="autoZero"/>
        <c:crossBetween val="between"/>
      </c:valAx>
      <c:spPr>
        <a:noFill/>
        <a:ln w="3175">
          <a:solidFill>
            <a:schemeClr val="bg1">
              <a:lumMod val="95000"/>
            </a:schemeClr>
          </a:solidFill>
        </a:ln>
        <a:effectLst/>
      </c:spPr>
    </c:plotArea>
    <c:legend>
      <c:legendPos val="t"/>
      <c:legendEntry>
        <c:idx val="0"/>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1"/>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ayout>
        <c:manualLayout>
          <c:xMode val="edge"/>
          <c:yMode val="edge"/>
          <c:x val="0.3926875"/>
          <c:y val="0.115166666666667"/>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4977789391168"/>
          <c:y val="0.183020948180816"/>
          <c:w val="0.4327776326104"/>
          <c:h val="0.730425578831312"/>
        </c:manualLayout>
      </c:layout>
      <c:pieChart>
        <c:varyColors val="1"/>
        <c:ser>
          <c:idx val="0"/>
          <c:order val="0"/>
          <c:tx>
            <c:strRef>
              <c:f>Sheet1!$B$1</c:f>
              <c:strCache>
                <c:ptCount val="1"/>
                <c:pt idx="0">
                  <c:v>金额</c:v>
                </c:pt>
              </c:strCache>
            </c:strRef>
          </c:tx>
          <c:spPr/>
          <c:explosion val="2"/>
          <c:dPt>
            <c:idx val="0"/>
            <c:bubble3D val="0"/>
            <c:spPr>
              <a:solidFill>
                <a:srgbClr val="59AFB7"/>
              </a:solidFill>
              <a:ln w="19050">
                <a:solidFill>
                  <a:srgbClr val="C0E5ED"/>
                </a:solidFill>
              </a:ln>
              <a:effectLst/>
            </c:spPr>
          </c:dPt>
          <c:dPt>
            <c:idx val="1"/>
            <c:bubble3D val="0"/>
            <c:spPr>
              <a:solidFill>
                <a:srgbClr val="EFA480"/>
              </a:solidFill>
              <a:ln w="19050">
                <a:solidFill>
                  <a:schemeClr val="accent2">
                    <a:lumMod val="40000"/>
                    <a:lumOff val="60000"/>
                  </a:schemeClr>
                </a:solidFill>
              </a:ln>
              <a:effectLst/>
            </c:spPr>
          </c:dPt>
          <c:dPt>
            <c:idx val="2"/>
            <c:bubble3D val="0"/>
            <c:spPr>
              <a:solidFill>
                <a:srgbClr val="96D39D"/>
              </a:solidFill>
              <a:ln w="19050">
                <a:solidFill>
                  <a:schemeClr val="accent6">
                    <a:lumMod val="20000"/>
                    <a:lumOff val="80000"/>
                  </a:schemeClr>
                </a:solidFill>
              </a:ln>
              <a:effectLst/>
            </c:spPr>
          </c:dPt>
          <c:dPt>
            <c:idx val="3"/>
            <c:bubble3D val="0"/>
            <c:spPr>
              <a:solidFill>
                <a:schemeClr val="accent4"/>
              </a:solidFill>
              <a:ln w="19050">
                <a:solidFill>
                  <a:schemeClr val="lt1"/>
                </a:solidFill>
              </a:ln>
              <a:effectLst/>
            </c:spPr>
          </c:dPt>
          <c:dLbls>
            <c:dLbl>
              <c:idx val="0"/>
              <c:layout/>
              <c:tx>
                <c:rich>
                  <a:bodyPr rot="0" spcFirstLastPara="0" vertOverflow="ellipsis" vert="horz" wrap="square" lIns="38100" tIns="19050" rIns="38100" bIns="19050" anchor="ctr" anchorCtr="1" forceAA="0"/>
                  <a:lstStyle/>
                  <a:p>
                    <a:pPr defTabSz="914400">
                      <a:defRPr lang="zh-CN" sz="1200" b="0" i="0" u="none" strike="noStrike" kern="1200" baseline="0">
                        <a:solidFill>
                          <a:schemeClr val="tx1">
                            <a:lumMod val="65000"/>
                            <a:lumOff val="35000"/>
                          </a:schemeClr>
                        </a:solidFill>
                        <a:latin typeface="微软雅黑 Light" panose="020B0502040204020203" charset="-122"/>
                        <a:ea typeface="微软雅黑 Light" panose="020B0502040204020203" charset="-122"/>
                        <a:cs typeface="微软雅黑 Light" panose="020B0502040204020203" charset="-122"/>
                        <a:sym typeface="微软雅黑 Light" panose="020B0502040204020203" charset="-122"/>
                      </a:defRPr>
                    </a:pPr>
                    <a:r>
                      <a:t>9</a:t>
                    </a:r>
                    <a:r>
                      <a:rPr lang="en-US" altLang="zh-CN"/>
                      <a:t>0.78</a:t>
                    </a:r>
                    <a:r>
                      <a:t>%</a:t>
                    </a:r>
                  </a:p>
                </c:rich>
              </c:tx>
              <c:dLblPos val="bestFit"/>
              <c:showLegendKey val="0"/>
              <c:showVal val="0"/>
              <c:showCatName val="0"/>
              <c:showSerName val="0"/>
              <c:showPercent val="1"/>
              <c:showBubbleSize val="0"/>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forceAA="0"/>
              <a:lstStyle/>
              <a:p>
                <a:pPr>
                  <a:defRPr lang="zh-CN" sz="1200" b="0" i="0" u="none" strike="noStrike" kern="1200" baseline="0">
                    <a:solidFill>
                      <a:schemeClr val="tx1">
                        <a:lumMod val="65000"/>
                        <a:lumOff val="35000"/>
                      </a:schemeClr>
                    </a:solidFill>
                    <a:latin typeface="微软雅黑 Light" panose="020B0502040204020203" charset="-122"/>
                    <a:ea typeface="微软雅黑 Light" panose="020B0502040204020203" charset="-122"/>
                    <a:cs typeface="微软雅黑 Light" panose="020B0502040204020203" charset="-122"/>
                    <a:sym typeface="微软雅黑 Light" panose="020B0502040204020203" charset="-122"/>
                  </a:defRPr>
                </a:pPr>
              </a:p>
            </c:txPr>
            <c:dLblPos val="bestFit"/>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一般公共预算财政拨款收入</c:v>
                </c:pt>
                <c:pt idx="1">
                  <c:v>政府性基金预算财政拨款收入</c:v>
                </c:pt>
                <c:pt idx="2">
                  <c:v>事业收入</c:v>
                </c:pt>
                <c:pt idx="3">
                  <c:v>其他收入</c:v>
                </c:pt>
              </c:strCache>
            </c:strRef>
          </c:cat>
          <c:val>
            <c:numRef>
              <c:f>Sheet1!$B$2:$B$5</c:f>
              <c:numCache>
                <c:formatCode>General</c:formatCode>
                <c:ptCount val="4"/>
                <c:pt idx="0">
                  <c:v>10450.44</c:v>
                </c:pt>
                <c:pt idx="1">
                  <c:v>35</c:v>
                </c:pt>
                <c:pt idx="2">
                  <c:v>913.84</c:v>
                </c:pt>
                <c:pt idx="3">
                  <c:v>112</c:v>
                </c:pt>
              </c:numCache>
            </c:numRef>
          </c:val>
        </c:ser>
        <c:ser>
          <c:idx val="1"/>
          <c:order val="1"/>
          <c:tx>
            <c:strRef>
              <c:f>Sheet1!#REF!</c:f>
              <c:strCache>
                <c:ptCount val="1"/>
                <c:pt idx="0">
                  <c:v/>
                </c:pt>
              </c:strCache>
            </c:strRef>
          </c:tx>
          <c:spPr/>
          <c:explosion val="0"/>
          <c:dPt>
            <c:idx val="0"/>
            <c:bubble3D val="0"/>
            <c:spPr>
              <a:solidFill>
                <a:schemeClr val="accent1"/>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Light" panose="020B0502040204020203" charset="-122"/>
                    <a:ea typeface="微软雅黑 Light" panose="020B0502040204020203" charset="-122"/>
                    <a:cs typeface="微软雅黑 Light" panose="020B0502040204020203" charset="-122"/>
                    <a:sym typeface="微软雅黑 Light" panose="020B0502040204020203" charset="-122"/>
                  </a:defRPr>
                </a:pPr>
              </a:p>
            </c:txPr>
            <c:dLblPos val="bestFi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一般公共预算财政拨款收入</c:v>
                </c:pt>
                <c:pt idx="1">
                  <c:v>政府性基金预算财政拨款收入</c:v>
                </c:pt>
                <c:pt idx="2">
                  <c:v>事业收入</c:v>
                </c:pt>
                <c:pt idx="3">
                  <c:v>其他收入</c:v>
                </c:pt>
              </c:strCache>
            </c:strRef>
          </c:cat>
          <c:val>
            <c:numRef>
              <c:f>Sheet1!#REF!</c:f>
              <c:numCache>
                <c:formatCode>General</c:formatCode>
                <c:ptCount val="1"/>
                <c:pt idx="0">
                  <c:v>1</c:v>
                </c:pt>
              </c:numCache>
            </c:numRef>
          </c:val>
        </c:ser>
        <c:ser>
          <c:idx val="2"/>
          <c:order val="2"/>
          <c:tx>
            <c:strRef>
              <c:f>Sheet1!#REF!</c:f>
              <c:strCache>
                <c:ptCount val="1"/>
                <c:pt idx="0">
                  <c:v/>
                </c:pt>
              </c:strCache>
            </c:strRef>
          </c:tx>
          <c:spPr/>
          <c:explosion val="0"/>
          <c:dPt>
            <c:idx val="0"/>
            <c:bubble3D val="0"/>
            <c:spPr>
              <a:solidFill>
                <a:schemeClr val="accent1"/>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Light" panose="020B0502040204020203" charset="-122"/>
                    <a:ea typeface="微软雅黑 Light" panose="020B0502040204020203" charset="-122"/>
                    <a:cs typeface="微软雅黑 Light" panose="020B0502040204020203" charset="-122"/>
                    <a:sym typeface="微软雅黑 Light" panose="020B0502040204020203" charset="-122"/>
                  </a:defRPr>
                </a:pPr>
              </a:p>
            </c:txPr>
            <c:dLblPos val="bestFi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一般公共预算财政拨款收入</c:v>
                </c:pt>
                <c:pt idx="1">
                  <c:v>政府性基金预算财政拨款收入</c:v>
                </c:pt>
                <c:pt idx="2">
                  <c:v>事业收入</c:v>
                </c:pt>
                <c:pt idx="3">
                  <c:v>其他收入</c:v>
                </c:pt>
              </c:strCache>
            </c:strRef>
          </c:cat>
          <c:val>
            <c:numRef>
              <c:f>Sheet1!#REF!</c:f>
              <c:numCache>
                <c:formatCode>General</c:formatCode>
                <c:ptCount val="1"/>
                <c:pt idx="0">
                  <c:v>1</c:v>
                </c:pt>
              </c:numCache>
            </c:numRef>
          </c:val>
        </c:ser>
        <c:dLbls>
          <c:showLegendKey val="0"/>
          <c:showVal val="1"/>
          <c:showCatName val="0"/>
          <c:showSerName val="0"/>
          <c:showPercent val="0"/>
          <c:showBubbleSize val="0"/>
          <c:showLeaderLines val="1"/>
        </c:dLbls>
        <c:firstSliceAng val="346"/>
      </c:pieChart>
      <c:spPr>
        <a:noFill/>
        <a:ln>
          <a:noFill/>
        </a:ln>
        <a:effectLst/>
      </c:spPr>
    </c:plotArea>
    <c:legend>
      <c:legendPos val="l"/>
      <c:legendEntry>
        <c:idx val="0"/>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Light" panose="020B0502040204020203" charset="-122"/>
                <a:ea typeface="微软雅黑 Light" panose="020B0502040204020203" charset="-122"/>
                <a:cs typeface="微软雅黑 Light" panose="020B0502040204020203" charset="-122"/>
                <a:sym typeface="微软雅黑 Light" panose="020B0502040204020203" charset="-122"/>
              </a:defRPr>
            </a:pPr>
          </a:p>
        </c:txPr>
      </c:legendEntry>
      <c:legendEntry>
        <c:idx val="1"/>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Light" panose="020B0502040204020203" charset="-122"/>
                <a:ea typeface="微软雅黑 Light" panose="020B0502040204020203" charset="-122"/>
                <a:cs typeface="微软雅黑 Light" panose="020B0502040204020203" charset="-122"/>
                <a:sym typeface="微软雅黑 Light" panose="020B0502040204020203" charset="-122"/>
              </a:defRPr>
            </a:pPr>
          </a:p>
        </c:txPr>
      </c:legendEntry>
      <c:legendEntry>
        <c:idx val="2"/>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Light" panose="020B0502040204020203" charset="-122"/>
                <a:ea typeface="微软雅黑 Light" panose="020B0502040204020203" charset="-122"/>
                <a:cs typeface="微软雅黑 Light" panose="020B0502040204020203" charset="-122"/>
                <a:sym typeface="微软雅黑 Light" panose="020B0502040204020203" charset="-122"/>
              </a:defRPr>
            </a:pPr>
          </a:p>
        </c:txPr>
      </c:legendEntry>
      <c:layout>
        <c:manualLayout>
          <c:xMode val="edge"/>
          <c:yMode val="edge"/>
          <c:x val="0.00375"/>
          <c:y val="0.757333333333333"/>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Light" panose="020B0502040204020203" charset="-122"/>
              <a:ea typeface="微软雅黑 Light" panose="020B0502040204020203" charset="-122"/>
              <a:cs typeface="微软雅黑 Light" panose="020B0502040204020203" charset="-122"/>
              <a:sym typeface="微软雅黑 Light" panose="020B0502040204020203"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latin typeface="微软雅黑 Light" panose="020B0502040204020203" charset="-122"/>
          <a:ea typeface="微软雅黑 Light" panose="020B0502040204020203" charset="-122"/>
          <a:cs typeface="微软雅黑 Light" panose="020B0502040204020203" charset="-122"/>
          <a:sym typeface="微软雅黑 Light" panose="020B0502040204020203"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4977789391168"/>
          <c:y val="0.183020948180816"/>
          <c:w val="0.4327776326104"/>
          <c:h val="0.730425578831312"/>
        </c:manualLayout>
      </c:layout>
      <c:pieChart>
        <c:varyColors val="1"/>
        <c:ser>
          <c:idx val="0"/>
          <c:order val="0"/>
          <c:tx>
            <c:strRef>
              <c:f>Sheet1!$B$1</c:f>
              <c:strCache>
                <c:ptCount val="1"/>
                <c:pt idx="0">
                  <c:v>支出金额（万元）</c:v>
                </c:pt>
              </c:strCache>
            </c:strRef>
          </c:tx>
          <c:spPr/>
          <c:explosion val="2"/>
          <c:dPt>
            <c:idx val="0"/>
            <c:bubble3D val="0"/>
            <c:spPr>
              <a:solidFill>
                <a:srgbClr val="59AFB7"/>
              </a:solidFill>
              <a:ln w="19050">
                <a:solidFill>
                  <a:srgbClr val="C0E5ED"/>
                </a:solidFill>
              </a:ln>
              <a:effectLst/>
            </c:spPr>
          </c:dPt>
          <c:dPt>
            <c:idx val="1"/>
            <c:bubble3D val="0"/>
            <c:spPr>
              <a:solidFill>
                <a:srgbClr val="EFA480"/>
              </a:solidFill>
              <a:ln w="19050">
                <a:solidFill>
                  <a:schemeClr val="accent2">
                    <a:lumMod val="40000"/>
                    <a:lumOff val="60000"/>
                  </a:schemeClr>
                </a:solidFill>
              </a:ln>
              <a:effectLst/>
            </c:spPr>
          </c:dPt>
          <c:dLbls>
            <c:numFmt formatCode="0.00%" sourceLinked="0"/>
            <c:spPr>
              <a:noFill/>
              <a:ln>
                <a:noFill/>
              </a:ln>
              <a:effectLst/>
            </c:spPr>
            <c:txPr>
              <a:bodyPr rot="0" spcFirstLastPara="0" vertOverflow="ellipsis" vert="horz" wrap="square" lIns="38100" tIns="19050" rIns="38100" bIns="19050" anchor="ctr" anchorCtr="1" forceAA="0"/>
              <a:lstStyle/>
              <a:p>
                <a:pPr>
                  <a:defRPr lang="zh-CN" sz="1200" b="0" i="0" u="none" strike="noStrike" kern="1200" baseline="0">
                    <a:solidFill>
                      <a:schemeClr val="tx1">
                        <a:lumMod val="65000"/>
                        <a:lumOff val="35000"/>
                      </a:schemeClr>
                    </a:solidFill>
                    <a:latin typeface="微软雅黑 Light" panose="020B0502040204020203" charset="-122"/>
                    <a:ea typeface="微软雅黑 Light" panose="020B0502040204020203" charset="-122"/>
                    <a:cs typeface="微软雅黑 Light" panose="020B0502040204020203" charset="-122"/>
                    <a:sym typeface="微软雅黑 Light" panose="020B0502040204020203" charset="-122"/>
                  </a:defRPr>
                </a:pPr>
              </a:p>
            </c:txPr>
            <c:dLblPos val="bestFit"/>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7775.57</c:v>
                </c:pt>
                <c:pt idx="1">
                  <c:v>3823.2</c:v>
                </c:pt>
              </c:numCache>
            </c:numRef>
          </c:val>
        </c:ser>
        <c:ser>
          <c:idx val="1"/>
          <c:order val="1"/>
          <c:tx>
            <c:strRef>
              <c:f>Sheet1!#REF!</c:f>
              <c:strCache>
                <c:ptCount val="1"/>
                <c:pt idx="0">
                  <c:v/>
                </c:pt>
              </c:strCache>
            </c:strRef>
          </c:tx>
          <c:spPr/>
          <c:explosion val="0"/>
          <c:dPt>
            <c:idx val="0"/>
            <c:bubble3D val="0"/>
            <c:spPr>
              <a:solidFill>
                <a:schemeClr val="accent1"/>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Light" panose="020B0502040204020203" charset="-122"/>
                    <a:ea typeface="微软雅黑 Light" panose="020B0502040204020203" charset="-122"/>
                    <a:cs typeface="微软雅黑 Light" panose="020B0502040204020203" charset="-122"/>
                    <a:sym typeface="微软雅黑 Light" panose="020B0502040204020203" charset="-122"/>
                  </a:defRPr>
                </a:pPr>
              </a:p>
            </c:txPr>
            <c:dLblPos val="bestFi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c:explosion val="0"/>
          <c:dPt>
            <c:idx val="0"/>
            <c:bubble3D val="0"/>
            <c:spPr>
              <a:solidFill>
                <a:schemeClr val="accent1"/>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Light" panose="020B0502040204020203" charset="-122"/>
                    <a:ea typeface="微软雅黑 Light" panose="020B0502040204020203" charset="-122"/>
                    <a:cs typeface="微软雅黑 Light" panose="020B0502040204020203" charset="-122"/>
                    <a:sym typeface="微软雅黑 Light" panose="020B0502040204020203" charset="-122"/>
                  </a:defRPr>
                </a:pPr>
              </a:p>
            </c:txPr>
            <c:dLblPos val="bestFi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showLeaderLines val="0"/>
        </c:dLbls>
        <c:firstSliceAng val="346"/>
      </c:pieChart>
      <c:spPr>
        <a:noFill/>
        <a:ln>
          <a:noFill/>
        </a:ln>
        <a:effectLst/>
      </c:spPr>
    </c:plotArea>
    <c:legend>
      <c:legendPos val="l"/>
      <c:legendEntry>
        <c:idx val="0"/>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Light" panose="020B0502040204020203" charset="-122"/>
                <a:ea typeface="微软雅黑 Light" panose="020B0502040204020203" charset="-122"/>
                <a:cs typeface="微软雅黑 Light" panose="020B0502040204020203" charset="-122"/>
                <a:sym typeface="微软雅黑 Light" panose="020B0502040204020203" charset="-122"/>
              </a:defRPr>
            </a:pPr>
          </a:p>
        </c:txPr>
      </c:legendEntry>
      <c:legendEntry>
        <c:idx val="1"/>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Light" panose="020B0502040204020203" charset="-122"/>
                <a:ea typeface="微软雅黑 Light" panose="020B0502040204020203" charset="-122"/>
                <a:cs typeface="微软雅黑 Light" panose="020B0502040204020203" charset="-122"/>
                <a:sym typeface="微软雅黑 Light" panose="020B0502040204020203" charset="-122"/>
              </a:defRPr>
            </a:pPr>
          </a:p>
        </c:txPr>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Light" panose="020B0502040204020203" charset="-122"/>
              <a:ea typeface="微软雅黑 Light" panose="020B0502040204020203" charset="-122"/>
              <a:cs typeface="微软雅黑 Light" panose="020B0502040204020203" charset="-122"/>
              <a:sym typeface="微软雅黑 Light" panose="020B0502040204020203"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latin typeface="微软雅黑 Light" panose="020B0502040204020203" charset="-122"/>
          <a:ea typeface="微软雅黑 Light" panose="020B0502040204020203" charset="-122"/>
          <a:cs typeface="微软雅黑 Light" panose="020B0502040204020203" charset="-122"/>
          <a:sym typeface="微软雅黑 Light" panose="020B0502040204020203"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689002759164"/>
          <c:y val="0.224608501118568"/>
          <c:w val="0.86239075022993"/>
          <c:h val="0.456778523489933"/>
        </c:manualLayout>
      </c:layout>
      <c:barChart>
        <c:barDir val="col"/>
        <c:grouping val="clustered"/>
        <c:varyColors val="0"/>
        <c:ser>
          <c:idx val="0"/>
          <c:order val="0"/>
          <c:tx>
            <c:strRef>
              <c:f>Sheet1!$B$1</c:f>
              <c:strCache>
                <c:ptCount val="1"/>
                <c:pt idx="0">
                  <c:v>2018年度</c:v>
                </c:pt>
              </c:strCache>
            </c:strRef>
          </c:tx>
          <c:spPr>
            <a:solidFill>
              <a:srgbClr val="03A1AE"/>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财政拨款收入（万元）</c:v>
                </c:pt>
                <c:pt idx="1">
                  <c:v>财政拨款支出（万元）</c:v>
                </c:pt>
              </c:strCache>
            </c:strRef>
          </c:cat>
          <c:val>
            <c:numRef>
              <c:f>Sheet1!$B$2:$B$3</c:f>
              <c:numCache>
                <c:formatCode>General</c:formatCode>
                <c:ptCount val="2"/>
                <c:pt idx="0">
                  <c:v>11833.59</c:v>
                </c:pt>
                <c:pt idx="1" c:formatCode="0.00_ ">
                  <c:v>11670.5</c:v>
                </c:pt>
              </c:numCache>
            </c:numRef>
          </c:val>
        </c:ser>
        <c:ser>
          <c:idx val="1"/>
          <c:order val="1"/>
          <c:tx>
            <c:strRef>
              <c:f>Sheet1!$C$1</c:f>
              <c:strCache>
                <c:ptCount val="1"/>
                <c:pt idx="0">
                  <c:v>2019年度</c:v>
                </c:pt>
              </c:strCache>
            </c:strRef>
          </c:tx>
          <c:spPr>
            <a:solidFill>
              <a:srgbClr val="F79646">
                <a:lumMod val="60000"/>
                <a:lumOff val="40000"/>
              </a:srgb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财政拨款收入（万元）</c:v>
                </c:pt>
                <c:pt idx="1">
                  <c:v>财政拨款支出（万元）</c:v>
                </c:pt>
              </c:strCache>
            </c:strRef>
          </c:cat>
          <c:val>
            <c:numRef>
              <c:f>Sheet1!$C$2:$C$3</c:f>
              <c:numCache>
                <c:formatCode>General</c:formatCode>
                <c:ptCount val="2"/>
                <c:pt idx="0">
                  <c:v>10450.44</c:v>
                </c:pt>
                <c:pt idx="1" c:formatCode="0.00_ ">
                  <c:v>10537.94</c:v>
                </c:pt>
              </c:numCache>
            </c:numRef>
          </c:val>
        </c:ser>
        <c:dLbls>
          <c:showLegendKey val="0"/>
          <c:showVal val="1"/>
          <c:showCatName val="0"/>
          <c:showSerName val="0"/>
          <c:showPercent val="0"/>
          <c:showBubbleSize val="0"/>
        </c:dLbls>
        <c:gapWidth val="51"/>
        <c:overlap val="-6"/>
        <c:axId val="946062286"/>
        <c:axId val="73799905"/>
      </c:barChart>
      <c:catAx>
        <c:axId val="94606228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73799905"/>
        <c:crosses val="autoZero"/>
        <c:auto val="1"/>
        <c:lblAlgn val="ctr"/>
        <c:lblOffset val="100"/>
        <c:noMultiLvlLbl val="0"/>
      </c:catAx>
      <c:valAx>
        <c:axId val="73799905"/>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6062286"/>
        <c:crosses val="autoZero"/>
        <c:crossBetween val="between"/>
      </c:valAx>
      <c:spPr>
        <a:solidFill>
          <a:schemeClr val="bg1">
            <a:lumMod val="95000"/>
          </a:schemeClr>
        </a:solidFill>
        <a:ln>
          <a:noFill/>
        </a:ln>
        <a:effectLst/>
      </c:spPr>
    </c:plotArea>
    <c:legend>
      <c:legendPos val="t"/>
      <c:legendEntry>
        <c:idx val="0"/>
        <c:txPr>
          <a:bodyPr rot="0" spcFirstLastPara="0" vertOverflow="ellipsis" vert="horz" wrap="square" anchor="ctr" anchorCtr="1" forceAA="0"/>
          <a:lstStyle/>
          <a:p>
            <a:pPr>
              <a:defRPr lang="zh-CN" sz="8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1"/>
        <c:txPr>
          <a:bodyPr rot="0" spcFirstLastPara="0" vertOverflow="ellipsis" vert="horz" wrap="square" anchor="ctr" anchorCtr="1" forceAA="0"/>
          <a:lstStyle/>
          <a:p>
            <a:pPr>
              <a:defRPr lang="zh-CN" sz="8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ayout>
        <c:manualLayout>
          <c:xMode val="edge"/>
          <c:yMode val="edge"/>
          <c:x val="0.0955968637322551"/>
          <c:y val="0.775199031084295"/>
          <c:w val="0.320205330274744"/>
          <c:h val="0.0714540942894101"/>
        </c:manualLayout>
      </c:layout>
      <c:overlay val="0"/>
      <c:spPr>
        <a:noFill/>
        <a:ln>
          <a:noFill/>
        </a:ln>
        <a:effectLst/>
      </c:spPr>
      <c:txPr>
        <a:bodyPr rot="0" spcFirstLastPara="0" vertOverflow="ellipsis" vert="horz" wrap="square" anchor="ctr" anchorCtr="1" forceAA="0"/>
        <a:lstStyle/>
        <a:p>
          <a:pPr>
            <a:defRPr lang="zh-CN" sz="8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923055555555556"/>
          <c:y val="0.262731481481481"/>
          <c:w val="0.875055555555555"/>
          <c:h val="0.632037037037037"/>
        </c:manualLayout>
      </c:layout>
      <c:barChart>
        <c:barDir val="col"/>
        <c:grouping val="clustered"/>
        <c:varyColors val="0"/>
        <c:ser>
          <c:idx val="0"/>
          <c:order val="0"/>
          <c:tx>
            <c:strRef>
              <c:f>Sheet1!$B$1</c:f>
              <c:strCache>
                <c:ptCount val="1"/>
                <c:pt idx="0">
                  <c:v>2018年一般公共预算财政拨款支出</c:v>
                </c:pt>
              </c:strCache>
            </c:strRef>
          </c:tx>
          <c:spPr>
            <a:blipFill rotWithShape="1">
              <a:blip xmlns:r="http://schemas.openxmlformats.org/officeDocument/2006/relationships" r:embed="rId3"/>
              <a:stretch>
                <a:fillRect/>
              </a:stretch>
            </a:blipFill>
            <a:ln>
              <a:noFill/>
            </a:ln>
            <a:effectLst>
              <a:outerShdw blurRad="76200" dir="18900000" sy="23000" kx="-1200000" algn="bl" rotWithShape="0">
                <a:schemeClr val="bg1">
                  <a:lumMod val="50000"/>
                  <a:alpha val="2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一般公共预算财政拨款支出决算变动情况（万元）</c:v>
                </c:pt>
              </c:strCache>
            </c:strRef>
          </c:cat>
          <c:val>
            <c:numRef>
              <c:f>Sheet1!$B$2</c:f>
              <c:numCache>
                <c:formatCode>General</c:formatCode>
                <c:ptCount val="1"/>
                <c:pt idx="0">
                  <c:v>11541.13</c:v>
                </c:pt>
              </c:numCache>
            </c:numRef>
          </c:val>
        </c:ser>
        <c:ser>
          <c:idx val="1"/>
          <c:order val="1"/>
          <c:tx>
            <c:strRef>
              <c:f>Sheet1!$C$1</c:f>
              <c:strCache>
                <c:ptCount val="1"/>
                <c:pt idx="0">
                  <c:v>2019年一般公共预算财政拨款支出</c:v>
                </c:pt>
              </c:strCache>
            </c:strRef>
          </c:tx>
          <c:spPr>
            <a:blipFill rotWithShape="1">
              <a:blip xmlns:r="http://schemas.openxmlformats.org/officeDocument/2006/relationships" r:embed="rId4"/>
              <a:stretch>
                <a:fillRect/>
              </a:stretch>
            </a:blipFill>
            <a:ln>
              <a:noFill/>
            </a:ln>
            <a:effectLst>
              <a:outerShdw blurRad="76200" dir="18900000" sy="23000" kx="-1200000" algn="bl" rotWithShape="0">
                <a:schemeClr val="bg1">
                  <a:lumMod val="50000"/>
                  <a:alpha val="2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一般公共预算财政拨款支出决算变动情况（万元）</c:v>
                </c:pt>
              </c:strCache>
            </c:strRef>
          </c:cat>
          <c:val>
            <c:numRef>
              <c:f>Sheet1!$C$2</c:f>
              <c:numCache>
                <c:formatCode>General</c:formatCode>
                <c:ptCount val="1"/>
                <c:pt idx="0">
                  <c:v>10450.44</c:v>
                </c:pt>
              </c:numCache>
            </c:numRef>
          </c:val>
        </c:ser>
        <c:ser>
          <c:idx val="2"/>
          <c:order val="2"/>
          <c:tx>
            <c:strRef>
              <c:f>Sheet1!$D$1</c:f>
              <c:strCache>
                <c:ptCount val="1"/>
                <c:pt idx="0">
                  <c:v/>
                </c:pt>
              </c:strCache>
            </c:strRef>
          </c:tx>
          <c:spPr>
            <a:blipFill rotWithShape="1">
              <a:blip xmlns:r="http://schemas.openxmlformats.org/officeDocument/2006/relationships" r:embed="rId5"/>
              <a:stretch>
                <a:fillRect/>
              </a:stretch>
            </a:blipFill>
            <a:ln>
              <a:noFill/>
            </a:ln>
            <a:effectLst>
              <a:outerShdw blurRad="76200" dir="18900000" sy="23000" kx="-1200000" algn="bl" rotWithShape="0">
                <a:schemeClr val="bg1">
                  <a:lumMod val="50000"/>
                  <a:alpha val="2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一般公共预算财政拨款支出决算变动情况（万元）</c:v>
                </c:pt>
              </c:strCache>
            </c:strRef>
          </c:cat>
          <c:val>
            <c:numRef>
              <c:f>Sheet1!$D$2</c:f>
              <c:numCache>
                <c:formatCode>General</c:formatCode>
                <c:ptCount val="1"/>
              </c:numCache>
            </c:numRef>
          </c:val>
        </c:ser>
        <c:dLbls>
          <c:showLegendKey val="0"/>
          <c:showVal val="1"/>
          <c:showCatName val="0"/>
          <c:showSerName val="0"/>
          <c:showPercent val="0"/>
          <c:showBubbleSize val="0"/>
        </c:dLbls>
        <c:gapWidth val="112"/>
        <c:overlap val="-19"/>
        <c:axId val="673745659"/>
        <c:axId val="911605833"/>
      </c:barChart>
      <c:catAx>
        <c:axId val="673745659"/>
        <c:scaling>
          <c:orientation val="minMax"/>
        </c:scaling>
        <c:delete val="0"/>
        <c:axPos val="b"/>
        <c:majorGridlines>
          <c:spPr>
            <a:ln w="3175" cap="flat" cmpd="sng" algn="ctr">
              <a:solidFill>
                <a:schemeClr val="bg1">
                  <a:lumMod val="95000"/>
                </a:schemeClr>
              </a:solidFill>
              <a:round/>
            </a:ln>
            <a:effectLst/>
          </c:spPr>
        </c:majorGridlines>
        <c:numFmt formatCode="General" sourceLinked="0"/>
        <c:majorTickMark val="none"/>
        <c:minorTickMark val="none"/>
        <c:tickLblPos val="nextTo"/>
        <c:spPr>
          <a:noFill/>
          <a:ln w="9525" cap="flat" cmpd="sng" algn="ctr">
            <a:no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911605833"/>
        <c:crosses val="autoZero"/>
        <c:auto val="1"/>
        <c:lblAlgn val="ctr"/>
        <c:lblOffset val="100"/>
        <c:noMultiLvlLbl val="0"/>
      </c:catAx>
      <c:valAx>
        <c:axId val="911605833"/>
        <c:scaling>
          <c:orientation val="minMax"/>
        </c:scaling>
        <c:delete val="0"/>
        <c:axPos val="l"/>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673745659"/>
        <c:crosses val="autoZero"/>
        <c:crossBetween val="between"/>
      </c:valAx>
      <c:spPr>
        <a:noFill/>
        <a:ln w="3175">
          <a:solidFill>
            <a:schemeClr val="bg1">
              <a:lumMod val="95000"/>
            </a:schemeClr>
          </a:solidFill>
        </a:ln>
        <a:effectLst/>
      </c:spPr>
    </c:plotArea>
    <c:legend>
      <c:legendPos val="t"/>
      <c:legendEntry>
        <c:idx val="0"/>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1"/>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2"/>
        <c:delete val="1"/>
      </c:legendEntry>
      <c:layout>
        <c:manualLayout>
          <c:xMode val="edge"/>
          <c:yMode val="edge"/>
          <c:x val="0.1393125"/>
          <c:y val="0.0906754085898898"/>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57550404814925"/>
          <c:y val="0.172386095599468"/>
          <c:w val="0.547238372093023"/>
          <c:h val="0.753"/>
        </c:manualLayout>
      </c:layout>
      <c:pieChart>
        <c:varyColors val="1"/>
        <c:ser>
          <c:idx val="0"/>
          <c:order val="0"/>
          <c:tx>
            <c:strRef>
              <c:f>Sheet1!$B$1</c:f>
              <c:strCache>
                <c:ptCount val="1"/>
                <c:pt idx="0">
                  <c:v>系列 1</c:v>
                </c:pt>
              </c:strCache>
            </c:strRef>
          </c:tx>
          <c:spPr/>
          <c:explosion val="2"/>
          <c:dPt>
            <c:idx val="0"/>
            <c:bubble3D val="0"/>
            <c:spPr>
              <a:solidFill>
                <a:schemeClr val="accent6"/>
              </a:solidFill>
              <a:ln w="19050">
                <a:solidFill>
                  <a:schemeClr val="lt1"/>
                </a:solidFill>
              </a:ln>
              <a:effectLst/>
            </c:spPr>
          </c:dPt>
          <c:dPt>
            <c:idx val="1"/>
            <c:bubble3D val="0"/>
            <c:explosion val="4"/>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Pt>
            <c:idx val="3"/>
            <c:bubble3D val="0"/>
            <c:spPr>
              <a:solidFill>
                <a:schemeClr val="accent6">
                  <a:lumMod val="60000"/>
                </a:schemeClr>
              </a:solidFill>
              <a:ln w="19050">
                <a:solidFill>
                  <a:schemeClr val="lt1"/>
                </a:solidFill>
              </a:ln>
              <a:effectLst/>
            </c:spPr>
          </c:dPt>
          <c:dPt>
            <c:idx val="4"/>
            <c:bubble3D val="0"/>
            <c:spPr>
              <a:solidFill>
                <a:schemeClr val="accent5">
                  <a:lumMod val="60000"/>
                </a:schemeClr>
              </a:solidFill>
              <a:ln w="19050">
                <a:solidFill>
                  <a:schemeClr val="lt1"/>
                </a:solidFill>
              </a:ln>
              <a:effectLst/>
            </c:spPr>
          </c:dPt>
          <c:dPt>
            <c:idx val="5"/>
            <c:bubble3D val="0"/>
            <c:spPr>
              <a:solidFill>
                <a:schemeClr val="accent4">
                  <a:lumMod val="60000"/>
                </a:schemeClr>
              </a:solidFill>
              <a:ln w="19050">
                <a:solidFill>
                  <a:schemeClr val="lt1"/>
                </a:solidFill>
              </a:ln>
              <a:effectLst/>
            </c:spPr>
          </c:dPt>
          <c:dPt>
            <c:idx val="6"/>
            <c:bubble3D val="0"/>
            <c:spPr>
              <a:solidFill>
                <a:schemeClr val="accent6">
                  <a:lumMod val="80000"/>
                  <a:lumOff val="20000"/>
                </a:schemeClr>
              </a:solidFill>
              <a:ln w="19050">
                <a:solidFill>
                  <a:schemeClr val="lt1"/>
                </a:solidFill>
              </a:ln>
              <a:effectLst/>
            </c:spPr>
          </c:dPt>
          <c:dPt>
            <c:idx val="7"/>
            <c:bubble3D val="0"/>
            <c:spPr>
              <a:solidFill>
                <a:schemeClr val="accent5">
                  <a:lumMod val="80000"/>
                  <a:lumOff val="20000"/>
                </a:schemeClr>
              </a:solidFill>
              <a:ln w="19050">
                <a:solidFill>
                  <a:schemeClr val="lt1"/>
                </a:solidFill>
              </a:ln>
              <a:effectLst/>
            </c:spPr>
          </c:dPt>
          <c:dPt>
            <c:idx val="8"/>
            <c:bubble3D val="0"/>
            <c:spPr>
              <a:solidFill>
                <a:schemeClr val="accent4">
                  <a:lumMod val="80000"/>
                  <a:lumOff val="20000"/>
                </a:schemeClr>
              </a:solidFill>
              <a:ln w="19050">
                <a:solidFill>
                  <a:schemeClr val="lt1"/>
                </a:solidFill>
              </a:ln>
              <a:effectLst/>
            </c:spPr>
          </c:dPt>
          <c:dPt>
            <c:idx val="9"/>
            <c:bubble3D val="0"/>
            <c:spPr>
              <a:solidFill>
                <a:schemeClr val="accent6">
                  <a:lumMod val="80000"/>
                </a:schemeClr>
              </a:solidFill>
              <a:ln w="19050">
                <a:solidFill>
                  <a:schemeClr val="lt1"/>
                </a:solidFill>
              </a:ln>
              <a:effectLst/>
            </c:spPr>
          </c:dPt>
          <c:dLbls>
            <c:dLbl>
              <c:idx val="0"/>
              <c:layout>
                <c:manualLayout>
                  <c:x val="0.157683003760232"/>
                  <c:y val="-0.0337229477182321"/>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numFmt formatCode="0.00%" sourceLinked="0"/>
              <c:spPr>
                <a:noFill/>
                <a:ln>
                  <a:noFill/>
                </a:ln>
                <a:effectLst/>
              </c:spPr>
              <c:txPr>
                <a:bodyPr rot="0" spcFirstLastPara="0" vertOverflow="ellipsis" vert="horz" wrap="square" lIns="38100" tIns="19050" rIns="38100" bIns="19050" anchor="t" anchorCtr="1"/>
                <a:lstStyle/>
                <a:p>
                  <a:pPr>
                    <a:defRPr lang="zh-CN" sz="900" b="0" i="0" u="none" strike="noStrike" kern="1200" baseline="0">
                      <a:solidFill>
                        <a:schemeClr val="tx1"/>
                      </a:solidFill>
                      <a:latin typeface="+mn-lt"/>
                      <a:ea typeface="+mn-ea"/>
                      <a:cs typeface="+mn-cs"/>
                    </a:defRPr>
                  </a:pPr>
                </a:p>
              </c:txPr>
              <c:dLblPos val="bestFit"/>
              <c:showLegendKey val="1"/>
              <c:showVal val="0"/>
              <c:showCatName val="1"/>
              <c:showSerName val="0"/>
              <c:showPercent val="1"/>
              <c:showBubbleSize val="0"/>
              <c:separator>
</c:separator>
              <c:extLst>
                <c:ext xmlns:c15="http://schemas.microsoft.com/office/drawing/2012/chart" uri="{CE6537A1-D6FC-4f65-9D91-7224C49458BB}"/>
              </c:extLst>
            </c:dLbl>
            <c:dLbl>
              <c:idx val="2"/>
              <c:layout>
                <c:manualLayout>
                  <c:x val="0.0719128954725506"/>
                  <c:y val="-0.0179795214368302"/>
                </c:manualLayout>
              </c:layout>
              <c:tx>
                <c:rich>
                  <a:bodyPr rot="0" spcFirstLastPara="0" vertOverflow="ellipsis" vert="horz" wrap="square" lIns="38100" tIns="19050" rIns="38100" bIns="19050" anchor="b" anchorCtr="1"/>
                  <a:lstStyle/>
                  <a:p>
                    <a:pPr defTabSz="914400">
                      <a:defRPr lang="zh-CN" sz="900" b="0" i="0" u="none" strike="noStrike" kern="1200" baseline="0">
                        <a:solidFill>
                          <a:schemeClr val="tx1"/>
                        </a:solidFill>
                        <a:latin typeface="+mn-lt"/>
                        <a:ea typeface="+mn-ea"/>
                        <a:cs typeface="+mn-cs"/>
                      </a:defRPr>
                    </a:pPr>
                    <a:r>
                      <a:rPr sz="800"/>
                      <a:t>文化体育与传媒支出0.22%</a:t>
                    </a:r>
                    <a:endParaRPr sz="800"/>
                  </a:p>
                </c:rich>
              </c:tx>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2387846879456"/>
                      <c:h val="0.0889350151684496"/>
                    </c:manualLayout>
                  </c15:layout>
                </c:ext>
              </c:extLst>
            </c:dLbl>
            <c:dLbl>
              <c:idx val="3"/>
              <c:layout>
                <c:manualLayout>
                  <c:x val="-0.0232535066492186"/>
                  <c:y val="-0.0109855206413038"/>
                </c:manualLayout>
              </c:layout>
              <c:tx>
                <c:rich>
                  <a:bodyPr rot="0" spcFirstLastPara="0" vertOverflow="ellipsis" vert="horz" wrap="square" lIns="38100" tIns="19050" rIns="38100" bIns="19050" anchor="b" anchorCtr="1"/>
                  <a:lstStyle/>
                  <a:p>
                    <a:pPr defTabSz="914400">
                      <a:defRPr lang="zh-CN" sz="900" b="0" i="0" u="none" strike="noStrike" kern="1200" baseline="0">
                        <a:solidFill>
                          <a:schemeClr val="tx1"/>
                        </a:solidFill>
                        <a:latin typeface="+mn-lt"/>
                        <a:ea typeface="+mn-ea"/>
                        <a:cs typeface="+mn-cs"/>
                      </a:defRPr>
                    </a:pPr>
                    <a:r>
                      <a:rPr sz="700"/>
                      <a:t>社会保障和就业5.66%</a:t>
                    </a:r>
                    <a:endParaRPr sz="700"/>
                  </a:p>
                </c:rich>
              </c:tx>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107322983088494"/>
                  <c:y val="0.000940297380318667"/>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209279368213228"/>
                      <c:h val="0.0803129490659428"/>
                    </c:manualLayout>
                  </c15:layout>
                </c:ext>
              </c:extLst>
            </c:dLbl>
            <c:dLbl>
              <c:idx val="5"/>
              <c:layout>
                <c:manualLayout>
                  <c:x val="-0.0854050800166174"/>
                  <c:y val="-0.087604761807878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6"/>
              <c:layout>
                <c:manualLayout>
                  <c:x val="-0.0415996570861992"/>
                  <c:y val="-0.225464395507061"/>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6084842583278"/>
                      <c:h val="0.112406195114162"/>
                    </c:manualLayout>
                  </c15:layout>
                </c:ext>
              </c:extLst>
            </c:dLbl>
            <c:dLbl>
              <c:idx val="8"/>
              <c:layout>
                <c:manualLayout>
                  <c:x val="-0.177821184617456"/>
                  <c:y val="0.0421813225229402"/>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9"/>
              <c:layout>
                <c:manualLayout>
                  <c:x val="-0.00147515894350499"/>
                  <c:y val="-0.0299817438210797"/>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b" anchorCtr="1"/>
              <a:lstStyle/>
              <a:p>
                <a:pPr>
                  <a:defRPr lang="zh-CN" sz="900" b="0" i="0" u="none" strike="noStrike" kern="1200" baseline="0">
                    <a:solidFill>
                      <a:schemeClr val="tx1"/>
                    </a:solidFill>
                    <a:latin typeface="+mn-lt"/>
                    <a:ea typeface="+mn-ea"/>
                    <a:cs typeface="+mn-cs"/>
                  </a:defRPr>
                </a:pPr>
              </a:p>
            </c:txPr>
            <c:dLblPos val="bestFit"/>
            <c:showLegendKey val="1"/>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一般公共服务支出</c:v>
                </c:pt>
                <c:pt idx="1">
                  <c:v>教育支出</c:v>
                </c:pt>
                <c:pt idx="2">
                  <c:v>文化旅游体育与传媒支出</c:v>
                </c:pt>
                <c:pt idx="3">
                  <c:v>社会保障和就业支出</c:v>
                </c:pt>
                <c:pt idx="4">
                  <c:v>卫生健康支出</c:v>
                </c:pt>
                <c:pt idx="5">
                  <c:v>节能环保支出</c:v>
                </c:pt>
                <c:pt idx="6">
                  <c:v>城乡社区支出</c:v>
                </c:pt>
                <c:pt idx="7">
                  <c:v>农林水支出</c:v>
                </c:pt>
                <c:pt idx="8">
                  <c:v>交通运输支出</c:v>
                </c:pt>
                <c:pt idx="9">
                  <c:v>商业服务业等支出</c:v>
                </c:pt>
              </c:strCache>
            </c:strRef>
          </c:cat>
          <c:val>
            <c:numRef>
              <c:f>Sheet1!$B$2:$B$11</c:f>
              <c:numCache>
                <c:formatCode>General</c:formatCode>
                <c:ptCount val="10"/>
                <c:pt idx="0">
                  <c:v>565.62</c:v>
                </c:pt>
                <c:pt idx="1" c:formatCode="#,##0.00">
                  <c:v>4879.76</c:v>
                </c:pt>
                <c:pt idx="2">
                  <c:v>26.17</c:v>
                </c:pt>
                <c:pt idx="3">
                  <c:v>632.86</c:v>
                </c:pt>
                <c:pt idx="4">
                  <c:v>733.77</c:v>
                </c:pt>
                <c:pt idx="5">
                  <c:v>24.25</c:v>
                </c:pt>
                <c:pt idx="6">
                  <c:v>919.07</c:v>
                </c:pt>
                <c:pt idx="7" c:formatCode="#,##0.00">
                  <c:v>2312.24</c:v>
                </c:pt>
                <c:pt idx="8">
                  <c:v>6.7</c:v>
                </c:pt>
                <c:pt idx="9" c:formatCode="#,##0.00">
                  <c:v>15.46</c:v>
                </c:pt>
              </c:numCache>
            </c:numRef>
          </c:val>
        </c:ser>
        <c:ser>
          <c:idx val="1"/>
          <c:order val="1"/>
          <c:tx>
            <c:strRef>
              <c:f>Sheet1!#REF!</c:f>
              <c:strCache>
                <c:ptCount val="1"/>
                <c:pt idx="0">
                  <c:v/>
                </c:pt>
              </c:strCache>
            </c:strRef>
          </c:tx>
          <c:spPr/>
          <c:explosion val="0"/>
          <c:dPt>
            <c:idx val="0"/>
            <c:bubble3D val="0"/>
            <c:spPr>
              <a:solidFill>
                <a:schemeClr val="accent6"/>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一般公共服务支出</c:v>
                </c:pt>
                <c:pt idx="1">
                  <c:v>教育支出</c:v>
                </c:pt>
                <c:pt idx="2">
                  <c:v>文化旅游体育与传媒支出</c:v>
                </c:pt>
                <c:pt idx="3">
                  <c:v>社会保障和就业支出</c:v>
                </c:pt>
                <c:pt idx="4">
                  <c:v>卫生健康支出</c:v>
                </c:pt>
                <c:pt idx="5">
                  <c:v>节能环保支出</c:v>
                </c:pt>
                <c:pt idx="6">
                  <c:v>城乡社区支出</c:v>
                </c:pt>
                <c:pt idx="7">
                  <c:v>农林水支出</c:v>
                </c:pt>
                <c:pt idx="8">
                  <c:v>交通运输支出</c:v>
                </c:pt>
                <c:pt idx="9">
                  <c:v>商业服务业等支出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c:explosion val="0"/>
          <c:dPt>
            <c:idx val="0"/>
            <c:bubble3D val="0"/>
            <c:spPr>
              <a:solidFill>
                <a:schemeClr val="accent6"/>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一般公共服务支出</c:v>
                </c:pt>
                <c:pt idx="1">
                  <c:v>教育支出</c:v>
                </c:pt>
                <c:pt idx="2">
                  <c:v>文化旅游体育与传媒支出</c:v>
                </c:pt>
                <c:pt idx="3">
                  <c:v>社会保障和就业支出</c:v>
                </c:pt>
                <c:pt idx="4">
                  <c:v>卫生健康支出</c:v>
                </c:pt>
                <c:pt idx="5">
                  <c:v>节能环保支出</c:v>
                </c:pt>
                <c:pt idx="6">
                  <c:v>城乡社区支出</c:v>
                </c:pt>
                <c:pt idx="7">
                  <c:v>农林水支出</c:v>
                </c:pt>
                <c:pt idx="8">
                  <c:v>交通运输支出</c:v>
                </c:pt>
                <c:pt idx="9">
                  <c:v>商业服务业等支出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showLeaderLines val="1"/>
        </c:dLbls>
        <c:firstSliceAng val="346"/>
      </c:pieChart>
      <c:spPr>
        <a:noFill/>
        <a:ln>
          <a:noFill/>
        </a:ln>
        <a:effectLst/>
      </c:spPr>
    </c:plotArea>
    <c:legend>
      <c:legendPos val="t"/>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5"/>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6"/>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7"/>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8"/>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9"/>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manualLayout>
          <c:xMode val="edge"/>
          <c:yMode val="edge"/>
          <c:x val="0.00324346239610785"/>
          <c:y val="0.00479003672361488"/>
          <c:w val="0.282992094060409"/>
          <c:h val="0.97732715950822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solidFill>
      <a:schemeClr val="bg1">
        <a:alpha val="96000"/>
      </a:schemeClr>
    </a:solidFill>
    <a:ln w="9525" cap="flat" cmpd="sng" algn="ctr">
      <a:solidFill>
        <a:schemeClr val="tx1">
          <a:lumMod val="15000"/>
          <a:lumOff val="85000"/>
        </a:schemeClr>
      </a:solidFill>
      <a:round/>
    </a:ln>
    <a:effectLst/>
  </c:spPr>
  <c:txPr>
    <a:bodyPr/>
    <a:lstStyle/>
    <a:p>
      <a:pPr>
        <a:defRPr lang="zh-CN">
          <a:solidFill>
            <a:schemeClr val="tx1"/>
          </a:solidFill>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215771458662454"/>
          <c:y val="0.0223583460949464"/>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rgbClr val="5D5D5E"/>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title>
    <c:autoTitleDeleted val="0"/>
    <c:plotArea>
      <c:layout>
        <c:manualLayout>
          <c:layoutTarget val="inner"/>
          <c:xMode val="edge"/>
          <c:yMode val="edge"/>
          <c:x val="0.215886055826588"/>
          <c:y val="0.218130254456166"/>
          <c:w val="0.385455394636946"/>
          <c:h val="0.650556910816137"/>
        </c:manualLayout>
      </c:layout>
      <c:pieChart>
        <c:varyColors val="1"/>
        <c:ser>
          <c:idx val="0"/>
          <c:order val="0"/>
          <c:tx>
            <c:strRef>
              <c:f>Sheet1!$B$1</c:f>
              <c:strCache>
                <c:ptCount val="1"/>
                <c:pt idx="0">
                  <c:v>“三公”经费财政拨款支出结构</c:v>
                </c:pt>
              </c:strCache>
            </c:strRef>
          </c:tx>
          <c:spPr>
            <a:gradFill>
              <a:gsLst>
                <a:gs pos="0">
                  <a:srgbClr val="5B9BD5">
                    <a:lumMod val="20000"/>
                    <a:lumOff val="80000"/>
                  </a:srgbClr>
                </a:gs>
                <a:gs pos="100000">
                  <a:srgbClr val="5B9BD5"/>
                </a:gs>
              </a:gsLst>
              <a:path path="circle">
                <a:fillToRect l="50000" t="50000" r="50000" b="50000"/>
              </a:path>
              <a:tileRect/>
            </a:gradFill>
            <a:ln w="12700" cap="rnd">
              <a:noFill/>
              <a:prstDash val="solid"/>
              <a:round/>
            </a:ln>
            <a:effectLst>
              <a:innerShdw dist="25400">
                <a:srgbClr val="5B9BD5">
                  <a:lumMod val="40000"/>
                  <a:lumOff val="60000"/>
                </a:srgbClr>
              </a:innerShdw>
            </a:effectLst>
          </c:spPr>
          <c:explosion val="0"/>
          <c:dPt>
            <c:idx val="0"/>
            <c:bubble3D val="0"/>
            <c:spPr>
              <a:gradFill>
                <a:gsLst>
                  <a:gs pos="0">
                    <a:srgbClr val="91D2F2"/>
                  </a:gs>
                  <a:gs pos="100000">
                    <a:srgbClr val="47B4E9"/>
                  </a:gs>
                </a:gsLst>
                <a:lin ang="13500000"/>
              </a:gradFill>
              <a:ln w="12700" cap="rnd">
                <a:noFill/>
                <a:prstDash val="solid"/>
                <a:round/>
              </a:ln>
              <a:effectLst>
                <a:innerShdw dist="25400">
                  <a:srgbClr val="B5E1F6"/>
                </a:innerShdw>
              </a:effectLst>
            </c:spPr>
          </c:dPt>
          <c:dPt>
            <c:idx val="1"/>
            <c:bubble3D val="0"/>
            <c:spPr>
              <a:gradFill>
                <a:gsLst>
                  <a:gs pos="0">
                    <a:srgbClr val="FF9B78"/>
                  </a:gs>
                  <a:gs pos="100000">
                    <a:srgbClr val="FF581F"/>
                  </a:gs>
                </a:gsLst>
                <a:lin ang="13500000"/>
              </a:gradFill>
              <a:ln w="12700" cap="rnd">
                <a:noFill/>
                <a:prstDash val="solid"/>
                <a:round/>
              </a:ln>
              <a:effectLst>
                <a:innerShdw dist="25400">
                  <a:srgbClr val="FFBCA6"/>
                </a:innerShdw>
              </a:effectLst>
            </c:spPr>
          </c:dPt>
          <c:dPt>
            <c:idx val="2"/>
            <c:bubble3D val="0"/>
            <c:spPr>
              <a:gradFill>
                <a:gsLst>
                  <a:gs pos="0">
                    <a:srgbClr val="FFC266"/>
                  </a:gs>
                  <a:gs pos="100000">
                    <a:srgbClr val="FF9900"/>
                  </a:gs>
                </a:gsLst>
                <a:lin ang="13500000"/>
              </a:gradFill>
              <a:ln w="12700" cap="rnd">
                <a:noFill/>
                <a:prstDash val="solid"/>
                <a:round/>
              </a:ln>
              <a:effectLst>
                <a:innerShdw dist="25400">
                  <a:srgbClr val="4F81BD">
                    <a:lumMod val="40000"/>
                    <a:lumOff val="60000"/>
                  </a:srgbClr>
                </a:innerShdw>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因公出国（境）经费支出</c:v>
                </c:pt>
                <c:pt idx="1">
                  <c:v>公务用车购置及运行维护费支出</c:v>
                </c:pt>
                <c:pt idx="2">
                  <c:v>公务接待费支出</c:v>
                </c:pt>
              </c:strCache>
            </c:strRef>
          </c:cat>
          <c:val>
            <c:numRef>
              <c:f>Sheet1!$B$2:$B$4</c:f>
              <c:numCache>
                <c:formatCode>General</c:formatCode>
                <c:ptCount val="3"/>
                <c:pt idx="0">
                  <c:v>0</c:v>
                </c:pt>
                <c:pt idx="1">
                  <c:v>0</c:v>
                </c:pt>
                <c:pt idx="2">
                  <c:v>13.07</c:v>
                </c:pt>
              </c:numCache>
            </c:numRef>
          </c:val>
        </c:ser>
        <c:ser>
          <c:idx val="1"/>
          <c:order val="1"/>
          <c:tx>
            <c:strRef>
              <c:f>Sheet1!#REF!</c:f>
              <c:strCache>
                <c:ptCount val="1"/>
                <c:pt idx="0">
                  <c:v/>
                </c:pt>
              </c:strCache>
            </c:strRef>
          </c:tx>
          <c:spPr/>
          <c:explosion val="0"/>
          <c:dPt>
            <c:idx val="0"/>
            <c:bubble3D val="0"/>
            <c:spPr>
              <a:solidFill>
                <a:schemeClr val="accent1"/>
              </a:solidFill>
              <a:ln>
                <a:no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5D5D5E"/>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因公出国（境）经费支出</c:v>
                </c:pt>
                <c:pt idx="1">
                  <c:v>公务用车购置及运行维护费支出</c:v>
                </c:pt>
                <c:pt idx="2">
                  <c:v>公务接待费支出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c:explosion val="0"/>
          <c:dPt>
            <c:idx val="0"/>
            <c:bubble3D val="0"/>
            <c:spPr>
              <a:solidFill>
                <a:schemeClr val="accent1"/>
              </a:solidFill>
              <a:ln>
                <a:no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5D5D5E"/>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因公出国（境）经费支出</c:v>
                </c:pt>
                <c:pt idx="1">
                  <c:v>公务用车购置及运行维护费支出</c:v>
                </c:pt>
                <c:pt idx="2">
                  <c:v>公务接待费支出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72985781990521"/>
          <c:y val="0.456585247575294"/>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rgbClr val="5D5D5E"/>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ysClr val="window" lastClr="FFFFFF"/>
    </a:solidFill>
    <a:ln w="9525" cap="flat" cmpd="sng" algn="ctr">
      <a:solidFill>
        <a:sysClr val="window" lastClr="FFFFFF">
          <a:lumMod val="85000"/>
        </a:sysClr>
      </a:solidFill>
      <a:round/>
    </a:ln>
    <a:effectLst/>
  </c:spPr>
  <c:txPr>
    <a:bodyPr/>
    <a:lstStyle/>
    <a:p>
      <a:pPr>
        <a:defRPr lang="zh-CN">
          <a:solidFill>
            <a:srgbClr val="5D5D5E"/>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4A7DA4-7EC2-4A07-BA3B-28B96F11ACB6}">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1276</Words>
  <Characters>7279</Characters>
  <Lines>60</Lines>
  <Paragraphs>17</Paragraphs>
  <TotalTime>1</TotalTime>
  <ScaleCrop>false</ScaleCrop>
  <LinksUpToDate>false</LinksUpToDate>
  <CharactersWithSpaces>8538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惟简是从</cp:lastModifiedBy>
  <cp:lastPrinted>2020-10-21T08:28:00Z</cp:lastPrinted>
  <dcterms:modified xsi:type="dcterms:W3CDTF">2020-10-22T00:53:35Z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