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8441"/>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77194"/>
      <w:bookmarkStart w:id="9" w:name="_Toc15396598"/>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通江县信访局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both"/>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w:t>
      </w:r>
      <w:r>
        <w:rPr>
          <w:rFonts w:hint="eastAsia"/>
          <w:lang w:val="en-US" w:eastAsia="zh-CN"/>
        </w:rPr>
        <w:t>8</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olor w:val="FF0000"/>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spacing w:line="500" w:lineRule="exact"/>
        <w:ind w:right="120" w:firstLine="627" w:firstLineChars="196"/>
        <w:rPr>
          <w:rFonts w:ascii="楷体" w:hAnsi="楷体" w:eastAsia="楷体" w:cs="楷体"/>
          <w:sz w:val="32"/>
          <w:szCs w:val="32"/>
        </w:rPr>
      </w:pPr>
      <w:r>
        <w:rPr>
          <w:rFonts w:ascii="仿宋" w:hAnsi="仿宋" w:eastAsia="仿宋" w:cs="仿宋"/>
          <w:sz w:val="32"/>
          <w:szCs w:val="32"/>
        </w:rPr>
        <w:t>1、负责处理来信来电，接待来访，听取和收集来信来访人员反映的情况和问题，向来访人提供相关政策和法律法规的咨询服务；</w:t>
      </w:r>
    </w:p>
    <w:p>
      <w:pPr>
        <w:spacing w:line="500" w:lineRule="exact"/>
        <w:ind w:right="120" w:firstLine="787" w:firstLineChars="246"/>
        <w:rPr>
          <w:rFonts w:ascii="楷体" w:hAnsi="楷体" w:eastAsia="楷体" w:cs="楷体"/>
          <w:sz w:val="32"/>
          <w:szCs w:val="32"/>
        </w:rPr>
      </w:pPr>
      <w:r>
        <w:rPr>
          <w:rFonts w:ascii="仿宋" w:hAnsi="仿宋" w:eastAsia="仿宋" w:cs="仿宋"/>
          <w:sz w:val="32"/>
          <w:szCs w:val="32"/>
        </w:rPr>
        <w:t>2、受理、转送、交办信访人提出的信访事项；</w:t>
      </w:r>
    </w:p>
    <w:p>
      <w:pPr>
        <w:spacing w:line="500" w:lineRule="exact"/>
        <w:ind w:right="120" w:firstLine="787" w:firstLineChars="246"/>
        <w:rPr>
          <w:rFonts w:ascii="楷体" w:hAnsi="楷体" w:eastAsia="楷体" w:cs="楷体"/>
          <w:sz w:val="32"/>
          <w:szCs w:val="32"/>
        </w:rPr>
      </w:pPr>
      <w:r>
        <w:rPr>
          <w:rFonts w:ascii="仿宋" w:hAnsi="仿宋" w:eastAsia="仿宋" w:cs="仿宋"/>
          <w:sz w:val="32"/>
          <w:szCs w:val="32"/>
        </w:rPr>
        <w:t>3、协调处理各乡镇、县级各部门接待来访中遇到的复杂问题；</w:t>
      </w:r>
    </w:p>
    <w:p>
      <w:pPr>
        <w:spacing w:line="500" w:lineRule="exact"/>
        <w:ind w:right="120" w:firstLine="787" w:firstLineChars="246"/>
        <w:rPr>
          <w:rFonts w:ascii="楷体" w:hAnsi="楷体" w:eastAsia="楷体" w:cs="楷体"/>
          <w:sz w:val="32"/>
          <w:szCs w:val="32"/>
        </w:rPr>
      </w:pPr>
      <w:r>
        <w:rPr>
          <w:rFonts w:ascii="仿宋" w:hAnsi="仿宋" w:eastAsia="仿宋" w:cs="仿宋"/>
          <w:sz w:val="32"/>
          <w:szCs w:val="32"/>
        </w:rPr>
        <w:t>4、会同有关部门协调处理好群众赴京去省到市上访的劝阻、接访、劝返工作和异常、突发信访事件。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信访局</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19</w:t>
      </w:r>
      <w:r>
        <w:rPr>
          <w:rFonts w:hint="eastAsia" w:ascii="楷体_GB2312" w:hAnsi="楷体_GB2312" w:eastAsia="楷体_GB2312" w:cs="楷体_GB2312"/>
          <w:sz w:val="32"/>
          <w:szCs w:val="32"/>
        </w:rPr>
        <w:t>年重点工作</w:t>
      </w:r>
    </w:p>
    <w:p>
      <w:pPr>
        <w:spacing w:line="500" w:lineRule="exact"/>
        <w:ind w:right="120" w:firstLine="787" w:firstLineChars="246"/>
        <w:rPr>
          <w:rFonts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、始终坚持党的领导，切实守好为民服务初心</w:t>
      </w:r>
    </w:p>
    <w:p>
      <w:pPr>
        <w:spacing w:line="500" w:lineRule="exact"/>
        <w:ind w:right="120" w:firstLine="787" w:firstLineChars="246"/>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1</w:t>
      </w:r>
      <w:r>
        <w:rPr>
          <w:rFonts w:ascii="仿宋" w:hAnsi="仿宋" w:eastAsia="仿宋" w:cs="仿宋"/>
          <w:sz w:val="32"/>
          <w:szCs w:val="32"/>
        </w:rPr>
        <w:t>）贯彻党的决策部署，维护社会和谐稳定。</w:t>
      </w:r>
    </w:p>
    <w:p>
      <w:pPr>
        <w:spacing w:line="500" w:lineRule="exact"/>
        <w:ind w:right="120" w:firstLine="787" w:firstLineChars="246"/>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2</w:t>
      </w:r>
      <w:r>
        <w:rPr>
          <w:rFonts w:ascii="仿宋" w:hAnsi="仿宋" w:eastAsia="仿宋" w:cs="仿宋"/>
          <w:sz w:val="32"/>
          <w:szCs w:val="32"/>
        </w:rPr>
        <w:t>）大力加强政治建设，永葆对党忠诚本色。</w:t>
      </w:r>
    </w:p>
    <w:p>
      <w:pPr>
        <w:spacing w:line="500" w:lineRule="exact"/>
        <w:ind w:right="120" w:firstLine="787" w:firstLineChars="246"/>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3</w:t>
      </w:r>
      <w:r>
        <w:rPr>
          <w:rFonts w:ascii="仿宋" w:hAnsi="仿宋" w:eastAsia="仿宋" w:cs="仿宋"/>
          <w:sz w:val="32"/>
          <w:szCs w:val="32"/>
        </w:rPr>
        <w:t>）狠抓党史学习教育，提升干部政治觉悟。</w:t>
      </w:r>
    </w:p>
    <w:p>
      <w:pPr>
        <w:spacing w:line="500" w:lineRule="exact"/>
        <w:ind w:right="120" w:firstLine="787" w:firstLineChars="246"/>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4</w:t>
      </w:r>
      <w:r>
        <w:rPr>
          <w:rFonts w:ascii="仿宋" w:hAnsi="仿宋" w:eastAsia="仿宋" w:cs="仿宋"/>
          <w:sz w:val="32"/>
          <w:szCs w:val="32"/>
        </w:rPr>
        <w:t>）深入开展主题教育，强化服务宗旨意识。</w:t>
      </w:r>
    </w:p>
    <w:p>
      <w:pPr>
        <w:spacing w:line="500" w:lineRule="exact"/>
        <w:ind w:right="120" w:firstLine="787" w:firstLineChars="246"/>
        <w:rPr>
          <w:rFonts w:ascii="仿宋" w:hAnsi="仿宋" w:eastAsia="仿宋" w:cs="仿宋"/>
          <w:sz w:val="32"/>
          <w:szCs w:val="32"/>
        </w:rPr>
      </w:pPr>
      <w:r>
        <w:rPr>
          <w:rFonts w:hint="eastAsia" w:ascii="仿宋" w:hAnsi="仿宋" w:eastAsia="仿宋" w:cs="仿宋"/>
          <w:sz w:val="32"/>
          <w:szCs w:val="32"/>
          <w:lang w:val="en-US" w:eastAsia="zh-CN"/>
        </w:rPr>
        <w:t>2</w:t>
      </w:r>
      <w:r>
        <w:rPr>
          <w:rFonts w:ascii="仿宋" w:hAnsi="仿宋" w:eastAsia="仿宋" w:cs="仿宋"/>
          <w:sz w:val="32"/>
          <w:szCs w:val="32"/>
        </w:rPr>
        <w:t>、集中治理重信重访，推动问题及时有效解决</w:t>
      </w:r>
    </w:p>
    <w:p>
      <w:pPr>
        <w:spacing w:line="500" w:lineRule="exact"/>
        <w:ind w:right="120" w:firstLine="787" w:firstLineChars="246"/>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1</w:t>
      </w:r>
      <w:r>
        <w:rPr>
          <w:rFonts w:ascii="仿宋" w:hAnsi="仿宋" w:eastAsia="仿宋" w:cs="仿宋"/>
          <w:sz w:val="32"/>
          <w:szCs w:val="32"/>
        </w:rPr>
        <w:t>）狠抓落实，序</w:t>
      </w:r>
      <w:r>
        <w:rPr>
          <w:rFonts w:hint="eastAsia" w:ascii="仿宋" w:hAnsi="仿宋" w:eastAsia="仿宋" w:cs="仿宋"/>
          <w:sz w:val="32"/>
          <w:szCs w:val="32"/>
        </w:rPr>
        <w:t>时</w:t>
      </w:r>
      <w:r>
        <w:rPr>
          <w:rFonts w:ascii="仿宋" w:hAnsi="仿宋" w:eastAsia="仿宋" w:cs="仿宋"/>
          <w:sz w:val="32"/>
          <w:szCs w:val="32"/>
        </w:rPr>
        <w:t>推进工作开展。</w:t>
      </w:r>
    </w:p>
    <w:p>
      <w:pPr>
        <w:spacing w:line="500" w:lineRule="exact"/>
        <w:ind w:right="120" w:firstLine="787" w:firstLineChars="246"/>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2</w:t>
      </w:r>
      <w:r>
        <w:rPr>
          <w:rFonts w:ascii="仿宋" w:hAnsi="仿宋" w:eastAsia="仿宋" w:cs="仿宋"/>
          <w:sz w:val="32"/>
          <w:szCs w:val="32"/>
        </w:rPr>
        <w:t>）标本兼治，建立</w:t>
      </w:r>
      <w:r>
        <w:rPr>
          <w:rFonts w:hint="eastAsia" w:ascii="仿宋" w:hAnsi="仿宋" w:eastAsia="仿宋" w:cs="仿宋"/>
          <w:sz w:val="32"/>
          <w:szCs w:val="32"/>
        </w:rPr>
        <w:t>化解</w:t>
      </w:r>
      <w:r>
        <w:rPr>
          <w:rFonts w:ascii="仿宋" w:hAnsi="仿宋" w:eastAsia="仿宋" w:cs="仿宋"/>
          <w:sz w:val="32"/>
          <w:szCs w:val="32"/>
        </w:rPr>
        <w:t>长效机制。</w:t>
      </w:r>
    </w:p>
    <w:p>
      <w:pPr>
        <w:spacing w:line="500" w:lineRule="exact"/>
        <w:ind w:right="120" w:firstLine="787" w:firstLineChars="246"/>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3</w:t>
      </w:r>
      <w:r>
        <w:rPr>
          <w:rFonts w:ascii="仿宋" w:hAnsi="仿宋" w:eastAsia="仿宋" w:cs="仿宋"/>
          <w:sz w:val="32"/>
          <w:szCs w:val="32"/>
        </w:rPr>
        <w:t>）聚焦聚力，加强“三访”专项治理。</w:t>
      </w:r>
    </w:p>
    <w:p>
      <w:pPr>
        <w:spacing w:line="500" w:lineRule="exact"/>
        <w:ind w:right="120" w:firstLine="787" w:firstLineChars="246"/>
        <w:rPr>
          <w:rFonts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、围绕突出矛盾攻坚，持续化解重点领域积案</w:t>
      </w:r>
    </w:p>
    <w:p>
      <w:pPr>
        <w:spacing w:line="500" w:lineRule="exact"/>
        <w:ind w:right="120" w:firstLine="787" w:firstLineChars="246"/>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1</w:t>
      </w:r>
      <w:r>
        <w:rPr>
          <w:rFonts w:ascii="仿宋" w:hAnsi="仿宋" w:eastAsia="仿宋" w:cs="仿宋"/>
          <w:sz w:val="32"/>
          <w:szCs w:val="32"/>
        </w:rPr>
        <w:t>）持续抓好领导干部示范攻坚化解突出问题。</w:t>
      </w:r>
    </w:p>
    <w:p>
      <w:pPr>
        <w:spacing w:line="500" w:lineRule="exact"/>
        <w:ind w:right="120" w:firstLine="787" w:firstLineChars="246"/>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2</w:t>
      </w:r>
      <w:r>
        <w:rPr>
          <w:rFonts w:ascii="仿宋" w:hAnsi="仿宋" w:eastAsia="仿宋" w:cs="仿宋"/>
          <w:sz w:val="32"/>
          <w:szCs w:val="32"/>
        </w:rPr>
        <w:t>）持续攻坚“化解一批拆迁安置还房和国土住建领域信访积案”。</w:t>
      </w:r>
    </w:p>
    <w:p>
      <w:pPr>
        <w:spacing w:line="500" w:lineRule="exact"/>
        <w:ind w:right="120" w:firstLine="787" w:firstLineChars="246"/>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3</w:t>
      </w:r>
      <w:r>
        <w:rPr>
          <w:rFonts w:ascii="仿宋" w:hAnsi="仿宋" w:eastAsia="仿宋" w:cs="仿宋"/>
          <w:sz w:val="32"/>
          <w:szCs w:val="32"/>
        </w:rPr>
        <w:t>）持续深入开展“六个一批”工作。</w:t>
      </w:r>
    </w:p>
    <w:p>
      <w:pPr>
        <w:spacing w:line="500" w:lineRule="exact"/>
        <w:ind w:right="120" w:firstLine="787" w:firstLineChars="246"/>
        <w:rPr>
          <w:rFonts w:ascii="仿宋" w:hAnsi="仿宋" w:eastAsia="仿宋" w:cs="仿宋"/>
          <w:sz w:val="32"/>
          <w:szCs w:val="32"/>
        </w:rPr>
      </w:pPr>
      <w:r>
        <w:rPr>
          <w:rFonts w:hint="eastAsia" w:ascii="仿宋" w:hAnsi="仿宋" w:eastAsia="仿宋" w:cs="仿宋"/>
          <w:sz w:val="32"/>
          <w:szCs w:val="32"/>
          <w:lang w:val="en-US" w:eastAsia="zh-CN"/>
        </w:rPr>
        <w:t>4</w:t>
      </w:r>
      <w:r>
        <w:rPr>
          <w:rFonts w:ascii="仿宋" w:hAnsi="仿宋" w:eastAsia="仿宋" w:cs="仿宋"/>
          <w:sz w:val="32"/>
          <w:szCs w:val="32"/>
        </w:rPr>
        <w:t>、全面落实“四个加强”，提升信访干部队伍素质</w:t>
      </w:r>
    </w:p>
    <w:p>
      <w:pPr>
        <w:spacing w:line="500" w:lineRule="exact"/>
        <w:ind w:right="120" w:firstLine="640" w:firstLineChars="200"/>
        <w:rPr>
          <w:rFonts w:hint="default" w:ascii="仿宋" w:hAnsi="仿宋" w:eastAsia="仿宋" w:cs="仿宋"/>
          <w:sz w:val="32"/>
          <w:szCs w:val="32"/>
          <w:lang w:val="en-US" w:eastAsia="zh-CN"/>
        </w:rPr>
      </w:pPr>
      <w:r>
        <w:rPr>
          <w:rFonts w:ascii="仿宋" w:hAnsi="仿宋" w:eastAsia="仿宋" w:cs="仿宋"/>
          <w:sz w:val="32"/>
          <w:szCs w:val="32"/>
        </w:rPr>
        <w:t>（</w:t>
      </w:r>
      <w:r>
        <w:rPr>
          <w:rFonts w:hint="eastAsia" w:ascii="仿宋" w:hAnsi="仿宋" w:eastAsia="仿宋" w:cs="仿宋"/>
          <w:sz w:val="32"/>
          <w:szCs w:val="32"/>
          <w:lang w:val="en-US" w:eastAsia="zh-CN"/>
        </w:rPr>
        <w:t>1</w:t>
      </w:r>
      <w:r>
        <w:rPr>
          <w:rFonts w:ascii="仿宋" w:hAnsi="仿宋" w:eastAsia="仿宋" w:cs="仿宋"/>
          <w:sz w:val="32"/>
          <w:szCs w:val="32"/>
        </w:rPr>
        <w:t>）加强信访干部队伍建设。</w:t>
      </w:r>
    </w:p>
    <w:p>
      <w:pPr>
        <w:spacing w:line="500" w:lineRule="exact"/>
        <w:ind w:right="120" w:firstLine="640" w:firstLineChars="200"/>
        <w:rPr>
          <w:rFonts w:hint="default" w:ascii="仿宋" w:hAnsi="仿宋" w:eastAsia="仿宋" w:cs="仿宋"/>
          <w:sz w:val="32"/>
          <w:szCs w:val="32"/>
          <w:lang w:val="en-US" w:eastAsia="zh-CN"/>
        </w:rPr>
      </w:pPr>
      <w:r>
        <w:rPr>
          <w:rFonts w:ascii="仿宋" w:hAnsi="仿宋" w:eastAsia="仿宋" w:cs="仿宋"/>
          <w:sz w:val="32"/>
          <w:szCs w:val="32"/>
        </w:rPr>
        <w:t>（</w:t>
      </w:r>
      <w:r>
        <w:rPr>
          <w:rFonts w:hint="eastAsia" w:ascii="仿宋" w:hAnsi="仿宋" w:eastAsia="仿宋" w:cs="仿宋"/>
          <w:sz w:val="32"/>
          <w:szCs w:val="32"/>
          <w:lang w:val="en-US" w:eastAsia="zh-CN"/>
        </w:rPr>
        <w:t>2</w:t>
      </w:r>
      <w:r>
        <w:rPr>
          <w:rFonts w:ascii="仿宋" w:hAnsi="仿宋" w:eastAsia="仿宋" w:cs="仿宋"/>
          <w:sz w:val="32"/>
          <w:szCs w:val="32"/>
        </w:rPr>
        <w:t>）加强信访工作规范化建设。</w:t>
      </w:r>
    </w:p>
    <w:p>
      <w:pPr>
        <w:spacing w:line="500" w:lineRule="exact"/>
        <w:ind w:right="120" w:firstLine="640" w:firstLineChars="200"/>
        <w:rPr>
          <w:rFonts w:hint="default" w:ascii="仿宋" w:hAnsi="仿宋" w:eastAsia="仿宋" w:cs="仿宋"/>
          <w:sz w:val="32"/>
          <w:szCs w:val="32"/>
          <w:lang w:val="en-US" w:eastAsia="zh-CN"/>
        </w:rPr>
      </w:pPr>
      <w:r>
        <w:rPr>
          <w:rFonts w:ascii="仿宋" w:hAnsi="仿宋" w:eastAsia="仿宋" w:cs="仿宋"/>
          <w:sz w:val="32"/>
          <w:szCs w:val="32"/>
        </w:rPr>
        <w:t>（</w:t>
      </w:r>
      <w:r>
        <w:rPr>
          <w:rFonts w:hint="eastAsia" w:ascii="仿宋" w:hAnsi="仿宋" w:eastAsia="仿宋" w:cs="仿宋"/>
          <w:sz w:val="32"/>
          <w:szCs w:val="32"/>
          <w:lang w:val="en-US" w:eastAsia="zh-CN"/>
        </w:rPr>
        <w:t>3</w:t>
      </w:r>
      <w:r>
        <w:rPr>
          <w:rFonts w:ascii="仿宋" w:hAnsi="仿宋" w:eastAsia="仿宋" w:cs="仿宋"/>
          <w:sz w:val="32"/>
          <w:szCs w:val="32"/>
        </w:rPr>
        <w:t>）加强信访工作基层基础建设。</w:t>
      </w:r>
    </w:p>
    <w:p>
      <w:pPr>
        <w:spacing w:line="500" w:lineRule="exact"/>
        <w:ind w:right="120" w:firstLine="640" w:firstLineChars="200"/>
        <w:rPr>
          <w:rFonts w:hint="default" w:ascii="仿宋" w:hAnsi="仿宋" w:eastAsia="仿宋" w:cs="仿宋"/>
          <w:sz w:val="32"/>
          <w:szCs w:val="32"/>
          <w:lang w:val="en-US" w:eastAsia="zh-CN"/>
        </w:rPr>
      </w:pPr>
      <w:r>
        <w:rPr>
          <w:rFonts w:ascii="仿宋" w:hAnsi="仿宋" w:eastAsia="仿宋" w:cs="仿宋"/>
          <w:sz w:val="32"/>
          <w:szCs w:val="32"/>
        </w:rPr>
        <w:t>（</w:t>
      </w:r>
      <w:r>
        <w:rPr>
          <w:rFonts w:hint="eastAsia" w:ascii="仿宋" w:hAnsi="仿宋" w:eastAsia="仿宋" w:cs="仿宋"/>
          <w:sz w:val="32"/>
          <w:szCs w:val="32"/>
          <w:lang w:val="en-US" w:eastAsia="zh-CN"/>
        </w:rPr>
        <w:t>4</w:t>
      </w:r>
      <w:r>
        <w:rPr>
          <w:rFonts w:ascii="仿宋" w:hAnsi="仿宋" w:eastAsia="仿宋" w:cs="仿宋"/>
          <w:sz w:val="32"/>
          <w:szCs w:val="32"/>
        </w:rPr>
        <w:t>）加强信访领域党风廉政建设。</w:t>
      </w:r>
    </w:p>
    <w:p>
      <w:pPr>
        <w:spacing w:line="500" w:lineRule="exact"/>
        <w:ind w:right="120" w:firstLine="787" w:firstLineChars="246"/>
        <w:rPr>
          <w:rFonts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、全力做好信访保障，确保实现“三零五不”目标</w:t>
      </w:r>
    </w:p>
    <w:p>
      <w:pPr>
        <w:spacing w:line="500" w:lineRule="exact"/>
        <w:ind w:right="120" w:firstLine="787" w:firstLineChars="246"/>
        <w:rPr>
          <w:rFonts w:hint="eastAsia" w:ascii="仿宋" w:hAnsi="仿宋" w:eastAsia="仿宋" w:cs="仿宋"/>
          <w:sz w:val="32"/>
          <w:szCs w:val="32"/>
          <w:lang w:val="en-US" w:eastAsia="zh-CN"/>
        </w:rPr>
      </w:pPr>
      <w:r>
        <w:rPr>
          <w:rFonts w:ascii="仿宋" w:hAnsi="仿宋" w:eastAsia="仿宋" w:cs="仿宋"/>
          <w:sz w:val="32"/>
          <w:szCs w:val="32"/>
        </w:rPr>
        <w:t>（</w:t>
      </w:r>
      <w:r>
        <w:rPr>
          <w:rFonts w:hint="eastAsia" w:ascii="仿宋" w:hAnsi="仿宋" w:eastAsia="仿宋" w:cs="仿宋"/>
          <w:sz w:val="32"/>
          <w:szCs w:val="32"/>
          <w:lang w:val="en-US" w:eastAsia="zh-CN"/>
        </w:rPr>
        <w:t>1</w:t>
      </w:r>
      <w:r>
        <w:rPr>
          <w:rFonts w:ascii="仿宋" w:hAnsi="仿宋" w:eastAsia="仿宋" w:cs="仿宋"/>
          <w:sz w:val="32"/>
          <w:szCs w:val="32"/>
        </w:rPr>
        <w:t>）倾力倾心敏感时段信访维稳工作。</w:t>
      </w:r>
    </w:p>
    <w:p>
      <w:pPr>
        <w:spacing w:line="500" w:lineRule="exact"/>
        <w:ind w:right="120" w:firstLine="787" w:firstLineChars="246"/>
        <w:rPr>
          <w:rFonts w:hint="eastAsia" w:ascii="仿宋" w:hAnsi="仿宋" w:eastAsia="仿宋" w:cs="仿宋"/>
          <w:sz w:val="32"/>
          <w:szCs w:val="32"/>
          <w:lang w:val="en-US" w:eastAsia="zh-CN"/>
        </w:rPr>
      </w:pPr>
      <w:r>
        <w:rPr>
          <w:rFonts w:ascii="仿宋" w:hAnsi="仿宋" w:eastAsia="仿宋" w:cs="仿宋"/>
          <w:sz w:val="32"/>
          <w:szCs w:val="32"/>
        </w:rPr>
        <w:t>（</w:t>
      </w:r>
      <w:r>
        <w:rPr>
          <w:rFonts w:hint="eastAsia" w:ascii="仿宋" w:hAnsi="仿宋" w:eastAsia="仿宋" w:cs="仿宋"/>
          <w:sz w:val="32"/>
          <w:szCs w:val="32"/>
          <w:lang w:val="en-US" w:eastAsia="zh-CN"/>
        </w:rPr>
        <w:t>2</w:t>
      </w:r>
      <w:r>
        <w:rPr>
          <w:rFonts w:ascii="仿宋" w:hAnsi="仿宋" w:eastAsia="仿宋" w:cs="仿宋"/>
          <w:sz w:val="32"/>
          <w:szCs w:val="32"/>
        </w:rPr>
        <w:t>）落地落实疫情期间矛盾源头防范。</w:t>
      </w:r>
    </w:p>
    <w:p>
      <w:pPr>
        <w:spacing w:line="500" w:lineRule="exact"/>
        <w:ind w:right="120" w:firstLine="787" w:firstLineChars="246"/>
        <w:rPr>
          <w:rFonts w:hint="eastAsia" w:ascii="仿宋" w:hAnsi="仿宋" w:eastAsia="仿宋"/>
          <w:bCs/>
          <w:color w:val="000000"/>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3</w:t>
      </w:r>
      <w:r>
        <w:rPr>
          <w:rFonts w:ascii="仿宋" w:hAnsi="仿宋" w:eastAsia="仿宋" w:cs="仿宋"/>
          <w:sz w:val="32"/>
          <w:szCs w:val="32"/>
        </w:rPr>
        <w:t>）从严从细抓好常态化疫情防控。</w:t>
      </w:r>
    </w:p>
    <w:p>
      <w:pPr>
        <w:pStyle w:val="3"/>
        <w:rPr>
          <w:rStyle w:val="25"/>
          <w:b w:val="0"/>
          <w:bCs w:val="0"/>
        </w:rPr>
      </w:pPr>
      <w:bookmarkStart w:id="18" w:name="_Toc15377200"/>
      <w:bookmarkStart w:id="19"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spacing w:line="52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年财政预算财政供给人员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人，供给车辆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辆，下属二级预算单位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为全额财政拨款；</w:t>
      </w:r>
      <w:r>
        <w:rPr>
          <w:rFonts w:hint="eastAsia" w:ascii="仿宋_GB2312" w:hAnsi="仿宋_GB2312" w:eastAsia="仿宋_GB2312" w:cs="仿宋_GB2312"/>
          <w:sz w:val="32"/>
          <w:szCs w:val="32"/>
        </w:rPr>
        <w:t>其他事业单位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，为全额财政拨款</w:t>
      </w:r>
      <w:r>
        <w:rPr>
          <w:rFonts w:hint="eastAsia" w:ascii="仿宋_GB2312" w:hAnsi="仿宋_GB2312" w:eastAsia="仿宋_GB2312" w:cs="仿宋_GB2312"/>
          <w:sz w:val="32"/>
          <w:szCs w:val="32"/>
        </w:rPr>
        <w:t>。</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纳入2019年度部门决算编制范围的二级预算单位包括：</w:t>
      </w:r>
    </w:p>
    <w:p>
      <w:pPr>
        <w:pStyle w:val="5"/>
        <w:numPr>
          <w:ilvl w:val="0"/>
          <w:numId w:val="0"/>
        </w:numPr>
        <w:adjustRightInd w:val="0"/>
        <w:snapToGrid w:val="0"/>
        <w:spacing w:before="93" w:line="600" w:lineRule="exact"/>
        <w:ind w:left="672" w:leftChars="0"/>
        <w:outlineLvl w:val="2"/>
        <w:rPr>
          <w:rFonts w:ascii="仿宋" w:hAnsi="仿宋" w:eastAsia="仿宋"/>
          <w:color w:val="000000"/>
          <w:sz w:val="32"/>
          <w:szCs w:val="32"/>
        </w:rPr>
      </w:pPr>
      <w:r>
        <w:rPr>
          <w:rFonts w:hint="eastAsia" w:ascii="仿宋" w:hAnsi="仿宋" w:eastAsia="仿宋"/>
          <w:color w:val="000000"/>
          <w:sz w:val="32"/>
          <w:szCs w:val="32"/>
          <w:lang w:eastAsia="zh-CN"/>
        </w:rPr>
        <w:t>通江县群众接待中心</w:t>
      </w:r>
    </w:p>
    <w:p>
      <w:pPr>
        <w:pStyle w:val="5"/>
        <w:adjustRightInd w:val="0"/>
        <w:snapToGrid w:val="0"/>
        <w:spacing w:before="93" w:line="600" w:lineRule="exact"/>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0" w:name="_Toc15377204"/>
      <w:bookmarkStart w:id="21"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0"/>
      <w:bookmarkEnd w:id="21"/>
    </w:p>
    <w:p/>
    <w:p>
      <w:pPr>
        <w:pStyle w:val="23"/>
        <w:numPr>
          <w:ilvl w:val="0"/>
          <w:numId w:val="1"/>
        </w:numPr>
        <w:spacing w:line="600" w:lineRule="exact"/>
        <w:ind w:firstLineChars="0"/>
        <w:outlineLvl w:val="1"/>
        <w:rPr>
          <w:rStyle w:val="25"/>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2"/>
      <w:bookmarkEnd w:id="23"/>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2019年度收、支总计345.41万元。与2018年相比，收、支总计各减少</w:t>
      </w:r>
      <w:r>
        <w:rPr>
          <w:rFonts w:hint="eastAsia" w:ascii="仿宋" w:hAnsi="仿宋" w:eastAsia="仿宋"/>
          <w:color w:val="000000"/>
          <w:sz w:val="32"/>
          <w:szCs w:val="32"/>
          <w:lang w:val="en-US" w:eastAsia="zh-CN"/>
        </w:rPr>
        <w:t>29.02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7.75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人员的减少、厉行节约的倡导。</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325120</wp:posOffset>
            </wp:positionH>
            <wp:positionV relativeFrom="paragraph">
              <wp:posOffset>185420</wp:posOffset>
            </wp:positionV>
            <wp:extent cx="5080000" cy="3810000"/>
            <wp:effectExtent l="4445" t="4445" r="20955" b="1460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p>
    <w:p>
      <w:pPr>
        <w:pStyle w:val="23"/>
        <w:numPr>
          <w:ilvl w:val="0"/>
          <w:numId w:val="0"/>
        </w:numPr>
        <w:spacing w:line="600" w:lineRule="exact"/>
        <w:ind w:firstLine="320" w:firstLineChars="100"/>
        <w:outlineLvl w:val="1"/>
        <w:rPr>
          <w:rFonts w:hint="eastAsia" w:ascii="黑体" w:hAnsi="黑体" w:eastAsia="黑体"/>
          <w:color w:val="000000"/>
          <w:sz w:val="32"/>
          <w:szCs w:val="32"/>
          <w:lang w:eastAsia="zh-CN"/>
        </w:rPr>
      </w:pPr>
      <w:bookmarkStart w:id="24" w:name="_Toc15396604"/>
      <w:bookmarkStart w:id="25" w:name="_Toc15377206"/>
    </w:p>
    <w:p>
      <w:pPr>
        <w:pStyle w:val="23"/>
        <w:numPr>
          <w:ilvl w:val="0"/>
          <w:numId w:val="0"/>
        </w:numPr>
        <w:spacing w:line="600" w:lineRule="exact"/>
        <w:ind w:firstLine="320" w:firstLineChars="100"/>
        <w:outlineLvl w:val="1"/>
        <w:rPr>
          <w:rStyle w:val="25"/>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4"/>
      <w:bookmarkEnd w:id="25"/>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9年本年收入合计345.41万元，其中：一般公共预算财政拨款收入345.4万元，占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r>
        <w:rPr>
          <w:rFonts w:hint="default" w:ascii="仿宋" w:hAnsi="仿宋" w:eastAsia="仿宋"/>
          <w:color w:val="000000"/>
          <w:sz w:val="32"/>
          <w:szCs w:val="32"/>
          <w:lang w:val="en-US" w:eastAsia="zh-CN"/>
        </w:rPr>
        <w:drawing>
          <wp:anchor distT="0" distB="0" distL="114300" distR="114300" simplePos="0" relativeHeight="251662336" behindDoc="0" locked="0" layoutInCell="1" allowOverlap="1">
            <wp:simplePos x="0" y="0"/>
            <wp:positionH relativeFrom="column">
              <wp:posOffset>-262255</wp:posOffset>
            </wp:positionH>
            <wp:positionV relativeFrom="paragraph">
              <wp:posOffset>213360</wp:posOffset>
            </wp:positionV>
            <wp:extent cx="5080000" cy="3810000"/>
            <wp:effectExtent l="4445" t="4445" r="20955"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96605"/>
      <w:bookmarkStart w:id="27"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6"/>
      <w:bookmarkEnd w:id="27"/>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9年本年支出合计345.41万元，其中：基本支出282.81万元，占</w:t>
      </w:r>
      <w:r>
        <w:rPr>
          <w:rFonts w:hint="eastAsia" w:ascii="仿宋" w:hAnsi="仿宋" w:eastAsia="仿宋"/>
          <w:color w:val="000000"/>
          <w:sz w:val="32"/>
          <w:szCs w:val="32"/>
          <w:lang w:val="en-US" w:eastAsia="zh-CN"/>
        </w:rPr>
        <w:t>81.88</w:t>
      </w:r>
      <w:r>
        <w:rPr>
          <w:rFonts w:ascii="仿宋" w:hAnsi="仿宋" w:eastAsia="仿宋"/>
          <w:color w:val="000000"/>
          <w:sz w:val="32"/>
          <w:szCs w:val="32"/>
        </w:rPr>
        <w:t>%</w:t>
      </w:r>
      <w:r>
        <w:rPr>
          <w:rFonts w:hint="eastAsia" w:ascii="仿宋" w:hAnsi="仿宋" w:eastAsia="仿宋"/>
          <w:color w:val="000000"/>
          <w:sz w:val="32"/>
          <w:szCs w:val="32"/>
        </w:rPr>
        <w:t>；项目支出62.6万元，占</w:t>
      </w:r>
      <w:r>
        <w:rPr>
          <w:rFonts w:hint="eastAsia" w:ascii="仿宋" w:hAnsi="仿宋" w:eastAsia="仿宋"/>
          <w:color w:val="000000"/>
          <w:sz w:val="32"/>
          <w:szCs w:val="32"/>
          <w:lang w:val="en-US" w:eastAsia="zh-CN"/>
        </w:rPr>
        <w:t>18.12</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Fonts w:hint="eastAsia" w:ascii="仿宋" w:hAnsi="仿宋" w:eastAsia="仿宋"/>
          <w:color w:val="000000"/>
          <w:sz w:val="32"/>
          <w:szCs w:val="32"/>
          <w:lang w:eastAsia="zh-CN"/>
        </w:rPr>
      </w:pPr>
      <w:r>
        <w:rPr>
          <w:rFonts w:hint="default" w:ascii="仿宋" w:hAnsi="仿宋" w:eastAsia="仿宋"/>
          <w:color w:val="000000"/>
          <w:sz w:val="32"/>
          <w:szCs w:val="32"/>
          <w:lang w:val="en-US" w:eastAsia="zh-CN"/>
        </w:rPr>
        <w:drawing>
          <wp:anchor distT="0" distB="0" distL="114300" distR="114300" simplePos="0" relativeHeight="251663360"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1600" w:firstLineChars="5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9年财政拨款收、支总计345.41万元。与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29.02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7.75</w:t>
      </w:r>
      <w:r>
        <w:rPr>
          <w:rFonts w:ascii="仿宋" w:hAnsi="仿宋" w:eastAsia="仿宋"/>
          <w:color w:val="000000"/>
          <w:sz w:val="32"/>
          <w:szCs w:val="32"/>
        </w:rPr>
        <w:t>%</w:t>
      </w:r>
      <w:r>
        <w:rPr>
          <w:rFonts w:hint="eastAsia" w:ascii="仿宋" w:hAnsi="仿宋" w:eastAsia="仿宋"/>
          <w:color w:val="000000"/>
          <w:sz w:val="32"/>
          <w:szCs w:val="32"/>
        </w:rPr>
        <w:t>。主要变动原因是主要变动原因是</w:t>
      </w:r>
      <w:r>
        <w:rPr>
          <w:rFonts w:hint="eastAsia" w:ascii="仿宋" w:hAnsi="仿宋" w:eastAsia="仿宋"/>
          <w:color w:val="000000"/>
          <w:sz w:val="32"/>
          <w:szCs w:val="32"/>
          <w:lang w:eastAsia="zh-CN"/>
        </w:rPr>
        <w:t>人员的减少、厉行节约的倡导。</w:t>
      </w: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lang w:eastAsia="zh-CN"/>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drawing>
          <wp:anchor distT="0" distB="0" distL="114300" distR="114300" simplePos="0" relativeHeight="251664384"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320" w:firstLineChars="100"/>
        <w:outlineLvl w:val="1"/>
        <w:rPr>
          <w:rStyle w:val="25"/>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9年一般公共预算财政拨款支出345.41万元，占本年支出合计的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29.02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7.75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人员的减少、厉行节约的倡导。</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drawing>
          <wp:anchor distT="0" distB="0" distL="114300" distR="114300" simplePos="0" relativeHeight="251665408" behindDoc="0" locked="0" layoutInCell="1" allowOverlap="1">
            <wp:simplePos x="0" y="0"/>
            <wp:positionH relativeFrom="column">
              <wp:posOffset>410845</wp:posOffset>
            </wp:positionH>
            <wp:positionV relativeFrom="paragraph">
              <wp:posOffset>-539115</wp:posOffset>
            </wp:positionV>
            <wp:extent cx="5080000" cy="3439160"/>
            <wp:effectExtent l="4445" t="4445" r="2095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lang w:eastAsia="zh-CN"/>
        </w:rPr>
      </w:pPr>
    </w:p>
    <w:p>
      <w:pPr>
        <w:spacing w:line="600" w:lineRule="exact"/>
        <w:ind w:firstLine="640" w:firstLineChars="200"/>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 xml:space="preserve"> </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hint="eastAsia"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345.41</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支出282.54万元，占</w:t>
      </w:r>
      <w:r>
        <w:rPr>
          <w:rFonts w:hint="eastAsia" w:ascii="仿宋" w:hAnsi="仿宋" w:eastAsia="仿宋"/>
          <w:color w:val="000000" w:themeColor="text1"/>
          <w:sz w:val="32"/>
          <w:szCs w:val="32"/>
          <w:lang w:val="en-US" w:eastAsia="zh-CN"/>
        </w:rPr>
        <w:t>81.80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支出25.5万元，占</w:t>
      </w:r>
      <w:r>
        <w:rPr>
          <w:rFonts w:hint="eastAsia" w:ascii="仿宋" w:hAnsi="仿宋" w:eastAsia="仿宋"/>
          <w:color w:val="000000" w:themeColor="text1"/>
          <w:sz w:val="32"/>
          <w:szCs w:val="32"/>
          <w:lang w:val="en-US" w:eastAsia="zh-CN"/>
        </w:rPr>
        <w:t>7.38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14.19万元，占</w:t>
      </w:r>
      <w:r>
        <w:rPr>
          <w:rFonts w:hint="eastAsia" w:ascii="仿宋" w:hAnsi="仿宋" w:eastAsia="仿宋"/>
          <w:color w:val="000000" w:themeColor="text1"/>
          <w:sz w:val="32"/>
          <w:szCs w:val="32"/>
          <w:lang w:val="en-US" w:eastAsia="zh-CN"/>
        </w:rPr>
        <w:t>4.11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w:t>
      </w:r>
      <w:r>
        <w:rPr>
          <w:rFonts w:hint="eastAsia" w:ascii="仿宋" w:hAnsi="仿宋" w:eastAsia="仿宋"/>
          <w:color w:val="000000" w:themeColor="text1"/>
          <w:sz w:val="32"/>
          <w:szCs w:val="32"/>
        </w:rPr>
        <w:t>17.59万元，占</w:t>
      </w:r>
      <w:r>
        <w:rPr>
          <w:rFonts w:hint="eastAsia" w:ascii="仿宋" w:hAnsi="仿宋" w:eastAsia="仿宋"/>
          <w:color w:val="000000" w:themeColor="text1"/>
          <w:sz w:val="32"/>
          <w:szCs w:val="32"/>
          <w:lang w:val="en-US" w:eastAsia="zh-CN"/>
        </w:rPr>
        <w:t>6.71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sz w:val="32"/>
          <w:szCs w:val="32"/>
        </w:rPr>
      </w:pPr>
      <w:r>
        <w:rPr>
          <w:rFonts w:hint="default" w:ascii="仿宋" w:hAnsi="仿宋" w:eastAsia="仿宋"/>
          <w:color w:val="000000" w:themeColor="text1"/>
          <w:sz w:val="32"/>
          <w:szCs w:val="32"/>
          <w:lang w:val="en-US" w:eastAsia="zh-CN"/>
        </w:rPr>
        <w:drawing>
          <wp:anchor distT="0" distB="0" distL="114300" distR="114300" simplePos="0" relativeHeight="251660288" behindDoc="0" locked="0" layoutInCell="1" allowOverlap="1">
            <wp:simplePos x="0" y="0"/>
            <wp:positionH relativeFrom="column">
              <wp:posOffset>128270</wp:posOffset>
            </wp:positionH>
            <wp:positionV relativeFrom="paragraph">
              <wp:posOffset>222885</wp:posOffset>
            </wp:positionV>
            <wp:extent cx="5774055" cy="3961130"/>
            <wp:effectExtent l="4445" t="4445" r="12700" b="1587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213"/>
      <w:bookmarkStart w:id="36" w:name="_Toc15377444"/>
      <w:bookmarkStart w:id="37" w:name="_Toc15378460"/>
      <w:r>
        <w:rPr>
          <w:rFonts w:hint="eastAsia" w:ascii="仿宋" w:hAnsi="仿宋" w:eastAsia="仿宋"/>
          <w:b/>
          <w:color w:val="000000" w:themeColor="text1"/>
          <w:sz w:val="32"/>
          <w:szCs w:val="32"/>
        </w:rPr>
        <w:t>2019年般公共预算支出决算数为</w:t>
      </w:r>
      <w:r>
        <w:rPr>
          <w:rFonts w:hint="eastAsia" w:ascii="仿宋" w:hAnsi="仿宋" w:eastAsia="仿宋"/>
          <w:color w:val="000000"/>
          <w:sz w:val="32"/>
          <w:szCs w:val="32"/>
        </w:rPr>
        <w:t>345.41</w:t>
      </w:r>
      <w:r>
        <w:rPr>
          <w:rFonts w:hint="eastAsia" w:ascii="仿宋" w:hAnsi="仿宋" w:eastAsia="仿宋"/>
          <w:color w:val="000000" w:themeColor="text1"/>
          <w:sz w:val="32"/>
          <w:szCs w:val="32"/>
        </w:rPr>
        <w:t>万元，</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 w:val="0"/>
          <w:bCs/>
          <w:color w:val="000000"/>
          <w:sz w:val="32"/>
          <w:szCs w:val="32"/>
          <w:lang w:val="en-US" w:eastAsia="zh-CN"/>
        </w:rPr>
        <w:t>124.40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支出决算为282.54万元，完成预算</w:t>
      </w:r>
      <w:r>
        <w:rPr>
          <w:rStyle w:val="14"/>
          <w:rFonts w:hint="eastAsia" w:ascii="仿宋" w:hAnsi="仿宋" w:eastAsia="仿宋"/>
          <w:b w:val="0"/>
          <w:bCs/>
          <w:color w:val="000000"/>
          <w:sz w:val="32"/>
          <w:szCs w:val="32"/>
          <w:lang w:val="en-US" w:eastAsia="zh-CN"/>
        </w:rPr>
        <w:t>132.20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大于</w:t>
      </w:r>
      <w:r>
        <w:rPr>
          <w:rStyle w:val="14"/>
          <w:rFonts w:hint="eastAsia" w:ascii="仿宋" w:hAnsi="仿宋" w:eastAsia="仿宋"/>
          <w:b w:val="0"/>
          <w:bCs/>
          <w:color w:val="000000"/>
          <w:sz w:val="32"/>
          <w:szCs w:val="32"/>
        </w:rPr>
        <w:t>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25.5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83.06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本年度调入</w:t>
      </w:r>
      <w:r>
        <w:rPr>
          <w:rStyle w:val="14"/>
          <w:rFonts w:hint="eastAsia" w:ascii="仿宋" w:hAnsi="仿宋" w:eastAsia="仿宋"/>
          <w:b w:val="0"/>
          <w:bCs/>
          <w:color w:val="000000"/>
          <w:sz w:val="32"/>
          <w:szCs w:val="32"/>
          <w:lang w:val="en-US" w:eastAsia="zh-CN"/>
        </w:rPr>
        <w:t>2人调出3人</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4"/>
          <w:rFonts w:hint="eastAsia" w:ascii="仿宋" w:hAnsi="仿宋" w:eastAsia="仿宋"/>
          <w:bCs/>
          <w:color w:val="000000"/>
          <w:sz w:val="32"/>
          <w:szCs w:val="32"/>
          <w:lang w:eastAsia="zh-CN"/>
        </w:rPr>
        <w:t>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14.19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95.88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本年度调入</w:t>
      </w:r>
      <w:r>
        <w:rPr>
          <w:rStyle w:val="14"/>
          <w:rFonts w:hint="eastAsia" w:ascii="仿宋" w:hAnsi="仿宋" w:eastAsia="仿宋"/>
          <w:b w:val="0"/>
          <w:bCs/>
          <w:color w:val="000000"/>
          <w:sz w:val="32"/>
          <w:szCs w:val="32"/>
          <w:lang w:val="en-US" w:eastAsia="zh-CN"/>
        </w:rPr>
        <w:t>2人调出3人</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bCs/>
          <w:color w:val="000000"/>
          <w:sz w:val="32"/>
          <w:szCs w:val="32"/>
          <w:lang w:val="en-US" w:eastAsia="zh-CN"/>
        </w:rPr>
        <w:t>7.住房保障支出：</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17.59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95.44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本年度调入</w:t>
      </w:r>
      <w:r>
        <w:rPr>
          <w:rStyle w:val="14"/>
          <w:rFonts w:hint="eastAsia" w:ascii="仿宋" w:hAnsi="仿宋" w:eastAsia="仿宋"/>
          <w:b w:val="0"/>
          <w:bCs/>
          <w:color w:val="000000"/>
          <w:sz w:val="32"/>
          <w:szCs w:val="32"/>
          <w:lang w:val="en-US" w:eastAsia="zh-CN"/>
        </w:rPr>
        <w:t>2人调出3人</w:t>
      </w:r>
      <w:r>
        <w:rPr>
          <w:rStyle w:val="14"/>
          <w:rFonts w:hint="eastAsia" w:ascii="仿宋" w:hAnsi="仿宋" w:eastAsia="仿宋"/>
          <w:b w:val="0"/>
          <w:bCs/>
          <w:color w:val="000000"/>
          <w:sz w:val="32"/>
          <w:szCs w:val="32"/>
        </w:rPr>
        <w:t>。</w:t>
      </w:r>
    </w:p>
    <w:p>
      <w:pPr>
        <w:tabs>
          <w:tab w:val="right" w:pos="8306"/>
        </w:tabs>
        <w:spacing w:line="600" w:lineRule="exact"/>
        <w:ind w:firstLine="320" w:firstLineChars="100"/>
        <w:outlineLvl w:val="1"/>
        <w:rPr>
          <w:rStyle w:val="25"/>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9年一般公共预算财政拨款基本支出282.81万元，其中：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225.46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49.35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9年“三公”经费财政拨款支出决算为1.75万元，完成预算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9年“三公”经费财政拨款支出决算中，因公出国（境）公务接待费支出决算1.75万元，占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default" w:ascii="仿宋" w:hAnsi="仿宋" w:eastAsia="仿宋"/>
          <w:color w:val="000000"/>
          <w:sz w:val="32"/>
          <w:szCs w:val="32"/>
          <w:lang w:val="en-US" w:eastAsia="zh-CN"/>
        </w:rPr>
        <w:drawing>
          <wp:anchor distT="0" distB="0" distL="114300" distR="114300" simplePos="0" relativeHeight="251659264" behindDoc="0" locked="0" layoutInCell="1" allowOverlap="1">
            <wp:simplePos x="0" y="0"/>
            <wp:positionH relativeFrom="column">
              <wp:posOffset>23495</wp:posOffset>
            </wp:positionH>
            <wp:positionV relativeFrom="paragraph">
              <wp:posOffset>276225</wp:posOffset>
            </wp:positionV>
            <wp:extent cx="5080000" cy="3810000"/>
            <wp:effectExtent l="4445" t="4445" r="20955"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bookmarkStart w:id="71" w:name="_GoBack"/>
      <w:bookmarkEnd w:id="71"/>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hint="default" w:ascii="仿宋_GB2312" w:eastAsia="仿宋_GB2312"/>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1.75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1.75</w:t>
      </w:r>
      <w:r>
        <w:rPr>
          <w:rFonts w:hint="eastAsia" w:ascii="仿宋_GB2312" w:eastAsia="仿宋_GB2312"/>
          <w:color w:val="000000"/>
          <w:sz w:val="32"/>
          <w:szCs w:val="32"/>
        </w:rPr>
        <w:t>万元，主要用于执行公务、开展业务活动开支的交通费、住宿费、用餐费</w:t>
      </w:r>
      <w:r>
        <w:rPr>
          <w:rFonts w:hint="eastAsia" w:ascii="仿宋_GB2312" w:eastAsia="仿宋_GB2312"/>
          <w:color w:val="000000"/>
          <w:sz w:val="32"/>
          <w:szCs w:val="32"/>
          <w:lang w:eastAsia="zh-CN"/>
        </w:rPr>
        <w:t>等</w:t>
      </w:r>
      <w:r>
        <w:rPr>
          <w:rFonts w:hint="eastAsia" w:ascii="仿宋_GB2312" w:eastAsia="仿宋_GB2312"/>
          <w:color w:val="000000"/>
          <w:sz w:val="32"/>
          <w:szCs w:val="32"/>
        </w:rPr>
        <w:t>。</w:t>
      </w:r>
      <w:r>
        <w:rPr>
          <w:rFonts w:hint="eastAsia" w:ascii="仿宋_GB2312" w:eastAsia="仿宋_GB2312"/>
          <w:color w:val="000000"/>
          <w:sz w:val="32"/>
          <w:szCs w:val="32"/>
          <w:lang w:eastAsia="zh-CN"/>
        </w:rPr>
        <w:t>国内公务接待</w:t>
      </w:r>
      <w:r>
        <w:rPr>
          <w:rFonts w:hint="eastAsia" w:ascii="仿宋_GB2312" w:eastAsia="仿宋_GB2312"/>
          <w:color w:val="000000"/>
          <w:sz w:val="32"/>
          <w:szCs w:val="32"/>
          <w:lang w:val="en-US" w:eastAsia="zh-CN"/>
        </w:rPr>
        <w:t>35批次，154人次（不含陪同人员），共计支出1.75万元。</w:t>
      </w:r>
    </w:p>
    <w:p>
      <w:pPr>
        <w:spacing w:line="600" w:lineRule="exact"/>
        <w:ind w:firstLine="640" w:firstLineChars="200"/>
        <w:outlineLvl w:val="1"/>
        <w:rPr>
          <w:rStyle w:val="25"/>
          <w:rFonts w:ascii="黑体" w:hAnsi="黑体" w:eastAsia="黑体"/>
        </w:rPr>
      </w:pPr>
      <w:bookmarkStart w:id="44" w:name="_Toc15377218"/>
      <w:bookmarkStart w:id="45"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ind w:firstLine="640" w:firstLineChars="200"/>
        <w:outlineLvl w:val="1"/>
        <w:rPr>
          <w:rStyle w:val="25"/>
          <w:rFonts w:ascii="黑体" w:hAnsi="黑体" w:eastAsia="黑体"/>
          <w:b w:val="0"/>
        </w:rPr>
      </w:pPr>
      <w:bookmarkStart w:id="46" w:name="_Toc15377219"/>
      <w:bookmarkStart w:id="47" w:name="_Toc15396611"/>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5"/>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通江县信访局</w:t>
      </w:r>
      <w:r>
        <w:rPr>
          <w:rFonts w:hint="eastAsia" w:ascii="仿宋_GB2312" w:eastAsia="仿宋_GB2312"/>
          <w:color w:val="000000"/>
          <w:sz w:val="32"/>
          <w:szCs w:val="32"/>
        </w:rPr>
        <w:t>机关运行经费支出49.35万元，</w:t>
      </w:r>
      <w:r>
        <w:rPr>
          <w:rFonts w:hint="eastAsia" w:ascii="仿宋" w:hAnsi="仿宋" w:eastAsia="仿宋"/>
          <w:color w:val="000000"/>
          <w:sz w:val="32"/>
          <w:szCs w:val="32"/>
        </w:rPr>
        <w:t>决算数与预算数持平</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通江县信访局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万元（办公设备购置）。</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通江县信访局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信访网络运行维护专项资金、中央、省、市值班专项资金</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宋体" w:eastAsia="仿宋_GB2312"/>
          <w:sz w:val="32"/>
          <w:szCs w:val="32"/>
          <w:lang w:val="zh-CN" w:bidi="ar"/>
        </w:rPr>
        <w:t>根据年初目标任务，年底全面高质量超额完成各项目标任务</w:t>
      </w:r>
      <w:r>
        <w:rPr>
          <w:rFonts w:hint="eastAsia" w:ascii="仿宋_GB2312" w:hAnsi="仿宋_GB2312" w:eastAsia="仿宋_GB2312" w:cs="仿宋_GB2312"/>
          <w:sz w:val="32"/>
          <w:szCs w:val="32"/>
        </w:rPr>
        <w:t>。本部门还自行组织了1个项目支出绩效评价，从评价情况来看</w:t>
      </w:r>
      <w:r>
        <w:rPr>
          <w:rFonts w:hint="eastAsia" w:ascii="仿宋_GB2312" w:hAnsi="宋体" w:eastAsia="仿宋_GB2312"/>
          <w:sz w:val="32"/>
          <w:szCs w:val="32"/>
          <w:lang w:val="zh-CN" w:bidi="ar"/>
        </w:rPr>
        <w:t>年底全面高质量超额完成目标任务</w:t>
      </w:r>
      <w:r>
        <w:rPr>
          <w:rFonts w:hint="eastAsia" w:ascii="仿宋_GB2312" w:hAnsi="仿宋_GB2312" w:eastAsia="仿宋_GB2312" w:cs="仿宋_GB2312"/>
          <w:sz w:val="32"/>
          <w:szCs w:val="32"/>
        </w:rPr>
        <w:t>。</w:t>
      </w:r>
    </w:p>
    <w:p>
      <w:pPr>
        <w:numPr>
          <w:ilvl w:val="0"/>
          <w:numId w:val="2"/>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信访网络运行维护专项资金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中央、省、市值班专项资金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信访网络运行维护专项资金</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22.2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22.2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保障了信访网络的正常运行。</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网络需要维护的多，经费少。</w:t>
      </w:r>
      <w:r>
        <w:rPr>
          <w:rFonts w:hint="eastAsia" w:ascii="仿宋_GB2312" w:hAnsi="仿宋_GB2312" w:eastAsia="仿宋_GB2312" w:cs="仿宋_GB2312"/>
          <w:sz w:val="32"/>
          <w:szCs w:val="32"/>
        </w:rPr>
        <w:t>下一步改进措施：优化</w:t>
      </w:r>
      <w:r>
        <w:rPr>
          <w:rFonts w:hint="eastAsia" w:ascii="仿宋_GB2312" w:hAnsi="仿宋_GB2312" w:eastAsia="仿宋_GB2312" w:cs="仿宋_GB2312"/>
          <w:sz w:val="32"/>
          <w:szCs w:val="32"/>
          <w:lang w:eastAsia="zh-CN"/>
        </w:rPr>
        <w:t>网络运行维护</w:t>
      </w:r>
      <w:r>
        <w:rPr>
          <w:rFonts w:hint="eastAsia" w:ascii="仿宋_GB2312" w:hAnsi="仿宋_GB2312" w:eastAsia="仿宋_GB2312" w:cs="仿宋_GB2312"/>
          <w:sz w:val="32"/>
          <w:szCs w:val="32"/>
        </w:rPr>
        <w:t>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中央、省、市值班专项资金</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保障了值班人员</w:t>
      </w:r>
      <w:r>
        <w:rPr>
          <w:rFonts w:hint="eastAsia" w:ascii="仿宋_GB2312" w:hAnsi="仿宋_GB2312" w:eastAsia="仿宋_GB2312" w:cs="仿宋_GB2312"/>
          <w:sz w:val="32"/>
          <w:szCs w:val="32"/>
        </w:rPr>
        <w:t>后勤，发现的主要问题：</w:t>
      </w:r>
      <w:r>
        <w:rPr>
          <w:rFonts w:hint="eastAsia" w:ascii="仿宋_GB2312" w:hAnsi="仿宋_GB2312" w:eastAsia="仿宋_GB2312" w:cs="仿宋_GB2312"/>
          <w:sz w:val="32"/>
          <w:szCs w:val="32"/>
          <w:lang w:eastAsia="zh-CN"/>
        </w:rPr>
        <w:t>值班</w:t>
      </w:r>
      <w:r>
        <w:rPr>
          <w:rFonts w:hint="eastAsia" w:ascii="仿宋_GB2312" w:hAnsi="仿宋_GB2312" w:eastAsia="仿宋_GB2312" w:cs="仿宋_GB2312"/>
          <w:sz w:val="32"/>
          <w:szCs w:val="32"/>
        </w:rPr>
        <w:t>人员多，经费少。下一步改进措施：优化经费及</w:t>
      </w:r>
      <w:r>
        <w:rPr>
          <w:rFonts w:hint="eastAsia" w:ascii="仿宋_GB2312" w:hAnsi="仿宋_GB2312" w:eastAsia="仿宋_GB2312" w:cs="仿宋_GB2312"/>
          <w:sz w:val="32"/>
          <w:szCs w:val="32"/>
          <w:lang w:eastAsia="zh-CN"/>
        </w:rPr>
        <w:t>值班</w:t>
      </w:r>
      <w:r>
        <w:rPr>
          <w:rFonts w:hint="eastAsia" w:ascii="仿宋_GB2312" w:hAnsi="仿宋_GB2312" w:eastAsia="仿宋_GB2312" w:cs="仿宋_GB2312"/>
          <w:sz w:val="32"/>
          <w:szCs w:val="32"/>
        </w:rPr>
        <w:t>管理。</w:t>
      </w: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中央、省、市值班专项资金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通江县信访局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eastAsia="zh-CN"/>
              </w:rPr>
              <w:t>中央、省、市值班</w:t>
            </w:r>
            <w:r>
              <w:rPr>
                <w:rFonts w:hint="eastAsia" w:ascii="宋体" w:hAnsi="宋体" w:cs="宋体"/>
                <w:color w:val="000000"/>
                <w:sz w:val="24"/>
                <w:lang w:val="en-US" w:eastAsia="zh-CN"/>
              </w:rPr>
              <w:t>32次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中央、省、市值班</w:t>
            </w:r>
            <w:r>
              <w:rPr>
                <w:rFonts w:hint="eastAsia" w:ascii="宋体" w:hAnsi="宋体" w:cs="宋体"/>
                <w:color w:val="000000"/>
                <w:sz w:val="24"/>
                <w:lang w:val="en-US" w:eastAsia="zh-CN"/>
              </w:rPr>
              <w:t>32次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工资福利保障人数</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=21人</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完成指标的</w:t>
            </w: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1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公务接待批次</w:t>
            </w:r>
          </w:p>
        </w:tc>
        <w:tc>
          <w:tcPr>
            <w:tcW w:w="2394"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&lt;=10批次&gt;</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举办业务培训（会议）批次</w:t>
            </w:r>
          </w:p>
        </w:tc>
        <w:tc>
          <w:tcPr>
            <w:tcW w:w="2394"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&gt;=3次</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年内职工出差天数</w:t>
            </w:r>
          </w:p>
        </w:tc>
        <w:tc>
          <w:tcPr>
            <w:tcW w:w="2394"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&gt;=3500天</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购置办公设备数量</w:t>
            </w:r>
          </w:p>
        </w:tc>
        <w:tc>
          <w:tcPr>
            <w:tcW w:w="2394"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&gt;=15台(套))</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6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办理疑难信访事项次</w:t>
            </w:r>
          </w:p>
        </w:tc>
        <w:tc>
          <w:tcPr>
            <w:tcW w:w="2394"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&gt;=20件次</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工资福利、</w:t>
            </w:r>
            <w:r>
              <w:rPr>
                <w:rFonts w:hint="eastAsia" w:ascii="宋体" w:hAnsi="宋体" w:cs="宋体"/>
                <w:color w:val="000000"/>
                <w:sz w:val="24"/>
                <w:lang w:val="en-US" w:eastAsia="zh-CN"/>
              </w:rPr>
              <w:t>运转、民生保障率</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完成指标的</w:t>
            </w: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举办会议成功率、购置设备合格率</w:t>
            </w:r>
          </w:p>
        </w:tc>
        <w:tc>
          <w:tcPr>
            <w:tcW w:w="2394"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5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培训</w:t>
            </w:r>
            <w:r>
              <w:rPr>
                <w:rFonts w:hint="eastAsia" w:ascii="宋体" w:hAnsi="宋体" w:cs="宋体"/>
                <w:color w:val="000000"/>
                <w:sz w:val="24"/>
                <w:lang w:val="en-US" w:eastAsia="zh-CN"/>
              </w:rPr>
              <w:t>(会议)完成时间</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2019年12月底前</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完成指标的</w:t>
            </w: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5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信访事项办结时间</w:t>
            </w:r>
          </w:p>
        </w:tc>
        <w:tc>
          <w:tcPr>
            <w:tcW w:w="2394"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2019年12月底前</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5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培训</w:t>
            </w:r>
            <w:r>
              <w:rPr>
                <w:rFonts w:hint="eastAsia" w:ascii="宋体" w:hAnsi="宋体" w:cs="宋体"/>
                <w:color w:val="000000"/>
                <w:sz w:val="24"/>
                <w:lang w:val="en-US" w:eastAsia="zh-CN"/>
              </w:rPr>
              <w:t>(会议)成本</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&lt;=15万元</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完成指标的</w:t>
            </w: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5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设备购置成本</w:t>
            </w:r>
          </w:p>
        </w:tc>
        <w:tc>
          <w:tcPr>
            <w:tcW w:w="2394"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&lt;=10万元</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帮扶贫困户增收率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完成指标的</w:t>
            </w: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培训</w:t>
            </w:r>
            <w:r>
              <w:rPr>
                <w:rFonts w:hint="eastAsia" w:ascii="宋体" w:hAnsi="宋体" w:cs="宋体"/>
                <w:color w:val="000000"/>
                <w:sz w:val="24"/>
                <w:lang w:val="en-US" w:eastAsia="zh-CN"/>
              </w:rPr>
              <w:t>(会议)提升信访业务水平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完成指标的</w:t>
            </w: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能耗下降率</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&gt;=10%</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完成指标的</w:t>
            </w: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水电能源节约率</w:t>
            </w:r>
          </w:p>
        </w:tc>
        <w:tc>
          <w:tcPr>
            <w:tcW w:w="2394"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&gt;=5%</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对信访工作未来可持续发展的影响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53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参加培训（会议）人员满意度）</w:t>
            </w:r>
          </w:p>
        </w:tc>
        <w:tc>
          <w:tcPr>
            <w:tcW w:w="239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&gt;=95%</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完成指标的</w:t>
            </w:r>
            <w:r>
              <w:rPr>
                <w:rFonts w:hint="eastAsia" w:ascii="宋体" w:hAnsi="宋体" w:cs="宋体"/>
                <w:color w:val="000000"/>
                <w:sz w:val="24"/>
                <w:lang w:val="en-US" w:eastAsia="zh-CN"/>
              </w:rPr>
              <w:t>98%</w:t>
            </w:r>
          </w:p>
        </w:tc>
      </w:tr>
      <w:tr>
        <w:tblPrEx>
          <w:tblCellMar>
            <w:top w:w="0" w:type="dxa"/>
            <w:left w:w="0" w:type="dxa"/>
            <w:bottom w:w="0" w:type="dxa"/>
            <w:right w:w="0" w:type="dxa"/>
          </w:tblCellMar>
        </w:tblPrEx>
        <w:trPr>
          <w:trHeight w:val="53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信访群众对信访工作满意度</w:t>
            </w:r>
          </w:p>
        </w:tc>
        <w:tc>
          <w:tcPr>
            <w:tcW w:w="2394"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&gt;=90%</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通江县信访局</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中央、省、市值班专项资金</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中央、省、市值班专项资金</w:t>
      </w:r>
      <w:r>
        <w:rPr>
          <w:rFonts w:hint="eastAsia" w:ascii="仿宋_GB2312" w:hAnsi="仿宋_GB2312" w:eastAsia="仿宋_GB2312" w:cs="仿宋_GB2312"/>
          <w:sz w:val="32"/>
          <w:szCs w:val="32"/>
        </w:rPr>
        <w:t>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3" w:name="_Toc15377225"/>
      <w:bookmarkStart w:id="54"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en-US" w:eastAsia="zh-CN"/>
        </w:rPr>
        <w:t xml:space="preserve">    </w:t>
      </w:r>
      <w:r>
        <w:rPr>
          <w:rFonts w:hint="eastAsia" w:ascii="方正小标宋简体" w:hAnsi="宋体" w:eastAsia="方正小标宋简体"/>
          <w:color w:val="000000"/>
          <w:kern w:val="0"/>
          <w:sz w:val="40"/>
          <w:szCs w:val="44"/>
          <w:lang w:eastAsia="zh-CN"/>
        </w:rPr>
        <w:t>通江县信访局</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00" w:lineRule="exact"/>
        <w:ind w:right="120" w:firstLine="627" w:firstLineChars="196"/>
        <w:rPr>
          <w:rFonts w:ascii="楷体" w:hAnsi="楷体" w:eastAsia="楷体" w:cs="楷体"/>
          <w:sz w:val="32"/>
          <w:szCs w:val="32"/>
        </w:rPr>
      </w:pPr>
      <w:r>
        <w:rPr>
          <w:rFonts w:ascii="仿宋" w:hAnsi="仿宋" w:eastAsia="仿宋" w:cs="仿宋"/>
          <w:sz w:val="32"/>
          <w:szCs w:val="32"/>
        </w:rPr>
        <w:t>负责处理来信来电，接待来访，听取和收集来信来访人员反映的情况和问题，向来访人提供相关政策和法律法规的咨询服务；受理、转送、交办信访人提出的信访事项；协调处理各乡镇、县级各部门接待来访中遇到的复杂问题；会同有关部门协调处理好群众赴京去省到市上访的劝阻、接访、劝返工作和异常、突发信访事件。</w:t>
      </w:r>
    </w:p>
    <w:p>
      <w:pPr>
        <w:spacing w:line="52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年财政预算财政供给人员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人，供给车辆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辆，下属二级预算单位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为全额财政拨款；</w:t>
      </w:r>
      <w:r>
        <w:rPr>
          <w:rFonts w:hint="eastAsia" w:ascii="仿宋_GB2312" w:hAnsi="仿宋_GB2312" w:eastAsia="仿宋_GB2312" w:cs="仿宋_GB2312"/>
          <w:sz w:val="32"/>
          <w:szCs w:val="32"/>
        </w:rPr>
        <w:t>其他事业单位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，为全额财政拨款</w:t>
      </w:r>
      <w:r>
        <w:rPr>
          <w:rFonts w:hint="eastAsia" w:ascii="仿宋_GB2312" w:hAnsi="仿宋_GB2312" w:eastAsia="仿宋_GB2312" w:cs="仿宋_GB2312"/>
          <w:sz w:val="32"/>
          <w:szCs w:val="32"/>
        </w:rPr>
        <w:t>。</w:t>
      </w:r>
      <w:r>
        <w:rPr>
          <w:rFonts w:hint="eastAsia" w:ascii="仿宋" w:hAnsi="仿宋" w:eastAsia="仿宋"/>
          <w:color w:val="000000"/>
          <w:sz w:val="32"/>
          <w:szCs w:val="32"/>
        </w:rPr>
        <w:t>纳入2019年度部门决算编制范围的二级预算单位包括</w:t>
      </w:r>
      <w:r>
        <w:rPr>
          <w:rFonts w:hint="eastAsia" w:ascii="仿宋" w:hAnsi="仿宋" w:eastAsia="仿宋"/>
          <w:color w:val="000000"/>
          <w:sz w:val="32"/>
          <w:szCs w:val="32"/>
          <w:lang w:eastAsia="zh-CN"/>
        </w:rPr>
        <w:t>：通江县群众接待中心。</w:t>
      </w:r>
    </w:p>
    <w:p>
      <w:pPr>
        <w:spacing w:line="500" w:lineRule="exact"/>
        <w:ind w:right="120" w:firstLine="627" w:firstLineChars="196"/>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整体支出主要是用于人员经费、办公经费以及脱贫攻坚、</w:t>
      </w:r>
      <w:r>
        <w:rPr>
          <w:rFonts w:ascii="仿宋" w:hAnsi="仿宋" w:eastAsia="仿宋" w:cs="仿宋"/>
          <w:sz w:val="32"/>
          <w:szCs w:val="32"/>
        </w:rPr>
        <w:t>会同有关部门协调处理好群众赴京去省到市上访的劝阻、接访、劝返工作和异常、突发信访事件</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党报党刊的征订等专项工作。</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（一）部门财政资金收入情况。</w:t>
      </w:r>
      <w:r>
        <w:rPr>
          <w:rFonts w:hint="eastAsia" w:ascii="仿宋_GB2312" w:hAnsi="仿宋_GB2312" w:eastAsia="仿宋_GB2312" w:cs="仿宋_GB2312"/>
          <w:sz w:val="32"/>
          <w:szCs w:val="32"/>
        </w:rPr>
        <w:t>所有资金均系财政预算内资金，县</w:t>
      </w:r>
      <w:r>
        <w:rPr>
          <w:rFonts w:hint="eastAsia" w:ascii="仿宋_GB2312" w:hAnsi="仿宋_GB2312" w:eastAsia="仿宋_GB2312" w:cs="仿宋_GB2312"/>
          <w:sz w:val="32"/>
          <w:szCs w:val="32"/>
          <w:lang w:eastAsia="zh-CN"/>
        </w:rPr>
        <w:t>信访局</w:t>
      </w:r>
      <w:r>
        <w:rPr>
          <w:rFonts w:hint="eastAsia" w:ascii="仿宋_GB2312" w:hAnsi="仿宋_GB2312" w:eastAsia="仿宋_GB2312" w:cs="仿宋_GB2312"/>
          <w:sz w:val="32"/>
          <w:szCs w:val="32"/>
        </w:rPr>
        <w:t>部严格按照省、市、县相关财务管理规定使用资金。我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制定了内部控制制度规定，开支1万元以上的经费均由</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办公会议审定。购置办公设备、开展专项工作的经费等均通过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长办公会议研究决定。资金使用严格按照程序和规定，主要用于2019年</w:t>
      </w:r>
      <w:r>
        <w:rPr>
          <w:rFonts w:hint="eastAsia" w:ascii="仿宋_GB2312" w:hAnsi="仿宋_GB2312" w:eastAsia="仿宋_GB2312" w:cs="仿宋_GB2312"/>
          <w:sz w:val="32"/>
          <w:szCs w:val="32"/>
          <w:lang w:eastAsia="zh-CN"/>
        </w:rPr>
        <w:t>信访局</w:t>
      </w:r>
      <w:r>
        <w:rPr>
          <w:rFonts w:hint="eastAsia" w:ascii="仿宋_GB2312" w:hAnsi="仿宋_GB2312" w:eastAsia="仿宋_GB2312" w:cs="仿宋_GB2312"/>
          <w:sz w:val="32"/>
          <w:szCs w:val="32"/>
        </w:rPr>
        <w:t>机关运行及各专项工作的开展。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1.人员经费</w:t>
      </w:r>
      <w:r>
        <w:rPr>
          <w:rFonts w:hint="eastAsia" w:ascii="仿宋_GB2312" w:hAnsi="仿宋_GB2312" w:eastAsia="仿宋_GB2312" w:cs="仿宋_GB2312"/>
          <w:sz w:val="32"/>
          <w:szCs w:val="32"/>
          <w:lang w:val="en-US" w:eastAsia="zh-CN"/>
        </w:rPr>
        <w:t>225.46</w:t>
      </w:r>
      <w:r>
        <w:rPr>
          <w:rFonts w:hint="eastAsia" w:ascii="仿宋_GB2312" w:hAnsi="仿宋_GB2312" w:eastAsia="仿宋_GB2312" w:cs="仿宋_GB2312"/>
          <w:sz w:val="32"/>
          <w:szCs w:val="32"/>
        </w:rPr>
        <w:t>万元，主要用于工资、保险、公积金等。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2.公用经费</w:t>
      </w:r>
      <w:r>
        <w:rPr>
          <w:rFonts w:hint="eastAsia" w:ascii="仿宋_GB2312" w:hAnsi="仿宋_GB2312" w:eastAsia="仿宋_GB2312" w:cs="仿宋_GB2312"/>
          <w:sz w:val="32"/>
          <w:szCs w:val="32"/>
          <w:lang w:val="en-US" w:eastAsia="zh-CN"/>
        </w:rPr>
        <w:t>49.35</w:t>
      </w:r>
      <w:r>
        <w:rPr>
          <w:rFonts w:hint="eastAsia" w:ascii="仿宋_GB2312" w:hAnsi="仿宋_GB2312" w:eastAsia="仿宋_GB2312" w:cs="仿宋_GB2312"/>
          <w:sz w:val="32"/>
          <w:szCs w:val="32"/>
        </w:rPr>
        <w:t>万元，主要用于机关日常运转。</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3.项目性支出</w:t>
      </w:r>
      <w:r>
        <w:rPr>
          <w:rFonts w:hint="eastAsia" w:ascii="仿宋_GB2312" w:hAnsi="仿宋_GB2312" w:eastAsia="仿宋_GB2312" w:cs="仿宋_GB2312"/>
          <w:sz w:val="32"/>
          <w:szCs w:val="32"/>
          <w:lang w:val="en-US" w:eastAsia="zh-CN"/>
        </w:rPr>
        <w:t>62.6</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中央、省、市的专项资金和网络运行维护资金。</w:t>
      </w:r>
    </w:p>
    <w:p>
      <w:pPr>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（二）部门财政资金支出情况。</w:t>
      </w:r>
      <w:r>
        <w:rPr>
          <w:rFonts w:hint="eastAsia" w:ascii="仿宋_GB2312" w:hAnsi="仿宋_GB2312" w:eastAsia="仿宋_GB2312" w:cs="仿宋_GB2312"/>
          <w:sz w:val="32"/>
          <w:szCs w:val="32"/>
        </w:rPr>
        <w:t>所有专项工作经费均由各相关股室提出方案，</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办公会讨论后再实施。实施过程中相关股室实时监管，分管领导检查验收。项目资金严格按照项目进度进行支付，不存在重复支付。</w:t>
      </w:r>
    </w:p>
    <w:p>
      <w:pPr>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三、目标完成情况</w:t>
      </w:r>
      <w:r>
        <w:rPr>
          <w:rFonts w:hint="eastAsia" w:ascii="黑体" w:hAnsi="黑体" w:eastAsia="黑体" w:cs="黑体"/>
          <w:b/>
          <w:bCs/>
          <w:sz w:val="32"/>
          <w:szCs w:val="32"/>
        </w:rPr>
        <w:tab/>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（一）目标任务量完成情况。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全年机关运转正常，各专项工作有序展开，取得较好成绩。全年</w:t>
      </w:r>
      <w:r>
        <w:rPr>
          <w:rFonts w:hint="eastAsia" w:ascii="仿宋_GB2312" w:hAnsi="仿宋_GB2312" w:eastAsia="仿宋_GB2312" w:cs="仿宋_GB2312"/>
          <w:sz w:val="32"/>
          <w:szCs w:val="32"/>
          <w:lang w:eastAsia="zh-CN"/>
        </w:rPr>
        <w:t>中央、省、市值班维稳</w:t>
      </w:r>
      <w:r>
        <w:rPr>
          <w:rFonts w:hint="eastAsia" w:ascii="仿宋_GB2312" w:hAnsi="仿宋_GB2312" w:eastAsia="仿宋_GB2312" w:cs="仿宋_GB2312"/>
          <w:sz w:val="32"/>
          <w:szCs w:val="32"/>
          <w:lang w:val="en-US" w:eastAsia="zh-CN"/>
        </w:rPr>
        <w:t>32次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网络运行维护取得很好的成效，</w:t>
      </w:r>
      <w:r>
        <w:rPr>
          <w:rFonts w:hint="eastAsia" w:ascii="仿宋_GB2312" w:hAnsi="仿宋_GB2312" w:eastAsia="仿宋_GB2312" w:cs="仿宋_GB2312"/>
          <w:sz w:val="32"/>
          <w:szCs w:val="32"/>
        </w:rPr>
        <w:t>顺利完成上级下达的党报党刊的征订任务；保障了驻村工作队及驻村第一书记的工作经费和生活补助费用，严格考核驻村工作，确保脱贫攻坚工作的顺利开展；大力提升</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的党风廉政建设能力；大力打造一批文艺精品，有效降低</w:t>
      </w:r>
      <w:r>
        <w:rPr>
          <w:rFonts w:hint="eastAsia" w:ascii="仿宋_GB2312" w:hAnsi="仿宋_GB2312" w:eastAsia="仿宋_GB2312" w:cs="仿宋_GB2312"/>
          <w:sz w:val="32"/>
          <w:szCs w:val="32"/>
          <w:lang w:eastAsia="zh-CN"/>
        </w:rPr>
        <w:t>信访案件</w:t>
      </w:r>
      <w:r>
        <w:rPr>
          <w:rFonts w:hint="eastAsia" w:ascii="仿宋_GB2312" w:hAnsi="仿宋_GB2312" w:eastAsia="仿宋_GB2312" w:cs="仿宋_GB2312"/>
          <w:sz w:val="32"/>
          <w:szCs w:val="32"/>
        </w:rPr>
        <w:t>发生率，线下解决</w:t>
      </w:r>
      <w:r>
        <w:rPr>
          <w:rFonts w:hint="eastAsia" w:ascii="仿宋_GB2312" w:hAnsi="仿宋_GB2312" w:eastAsia="仿宋_GB2312" w:cs="仿宋_GB2312"/>
          <w:sz w:val="32"/>
          <w:szCs w:val="32"/>
          <w:lang w:eastAsia="zh-CN"/>
        </w:rPr>
        <w:t>信访人员</w:t>
      </w:r>
      <w:r>
        <w:rPr>
          <w:rFonts w:hint="eastAsia" w:ascii="仿宋_GB2312" w:hAnsi="仿宋_GB2312" w:eastAsia="仿宋_GB2312" w:cs="仿宋_GB2312"/>
          <w:sz w:val="32"/>
          <w:szCs w:val="32"/>
        </w:rPr>
        <w:t>反应比较强烈的问题；完成大型</w:t>
      </w:r>
      <w:r>
        <w:rPr>
          <w:rFonts w:hint="eastAsia" w:ascii="仿宋_GB2312" w:hAnsi="仿宋_GB2312" w:eastAsia="仿宋_GB2312" w:cs="仿宋_GB2312"/>
          <w:sz w:val="32"/>
          <w:szCs w:val="32"/>
          <w:lang w:eastAsia="zh-CN"/>
        </w:rPr>
        <w:t>案件</w:t>
      </w:r>
      <w:r>
        <w:rPr>
          <w:rFonts w:hint="eastAsia" w:ascii="仿宋_GB2312" w:hAnsi="仿宋_GB2312" w:eastAsia="仿宋_GB2312" w:cs="仿宋_GB2312"/>
          <w:sz w:val="32"/>
          <w:szCs w:val="32"/>
        </w:rPr>
        <w:t>的对外</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（二）目标质量完成情况。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根据年初目标任务，年底全面高质量超额完成各项目标任务。</w:t>
      </w:r>
    </w:p>
    <w:p>
      <w:pPr>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四、项目效益情况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2019年度</w:t>
      </w:r>
      <w:r>
        <w:rPr>
          <w:rFonts w:hint="eastAsia" w:ascii="仿宋_GB2312" w:hAnsi="仿宋_GB2312" w:eastAsia="仿宋_GB2312" w:cs="仿宋_GB2312"/>
          <w:sz w:val="32"/>
          <w:szCs w:val="32"/>
          <w:lang w:eastAsia="zh-CN"/>
        </w:rPr>
        <w:t>保障了中央、省、市维稳工作的有序开展，畅通老百姓信访渠道、宣传法律法规知识、及时处置突发性的集访案件、维护全县大的活动有序开展、大型会议顺利召开、有效降低到京和到蓉越级访数量、全县有一个良好的信访秩序、工作秩序。</w:t>
      </w:r>
    </w:p>
    <w:p>
      <w:pPr>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五、问题及建议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由于资金的限制、</w:t>
      </w:r>
      <w:r>
        <w:rPr>
          <w:rFonts w:hint="eastAsia" w:ascii="仿宋_GB2312" w:hAnsi="仿宋_GB2312" w:eastAsia="仿宋_GB2312" w:cs="仿宋_GB2312"/>
          <w:sz w:val="32"/>
          <w:szCs w:val="32"/>
          <w:lang w:eastAsia="zh-CN"/>
        </w:rPr>
        <w:t>解决信访</w:t>
      </w:r>
      <w:r>
        <w:rPr>
          <w:rFonts w:hint="eastAsia" w:ascii="仿宋_GB2312" w:hAnsi="仿宋_GB2312" w:eastAsia="仿宋_GB2312" w:cs="仿宋_GB2312"/>
          <w:sz w:val="32"/>
          <w:szCs w:val="32"/>
        </w:rPr>
        <w:t>的形式比较单一，受众面小，影响力度不强。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建议适当调整资金额度，整合资源。强化专项资金的监督，要充分发挥审计等监督部门的作用，建立长期有效的专项资金监督管理新体系，确保专项资金用到实处，提高资金使用质量和效益，实现效益最大化。</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en-US" w:eastAsia="zh-CN"/>
        </w:rPr>
        <w:t xml:space="preserve">      </w:t>
      </w:r>
      <w:r>
        <w:rPr>
          <w:rFonts w:hint="eastAsia" w:ascii="方正小标宋简体" w:hAnsi="宋体" w:eastAsia="方正小标宋简体"/>
          <w:color w:val="000000"/>
          <w:kern w:val="0"/>
          <w:sz w:val="44"/>
          <w:szCs w:val="44"/>
          <w:lang w:eastAsia="zh-CN"/>
        </w:rPr>
        <w:t>中央、省、市专项资金</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numPr>
          <w:ilvl w:val="0"/>
          <w:numId w:val="4"/>
        </w:numPr>
        <w:ind w:left="-13" w:leftChars="0" w:firstLine="643" w:firstLineChars="0"/>
        <w:rPr>
          <w:rFonts w:ascii="黑体" w:hAnsi="黑体" w:eastAsia="黑体" w:cs="黑体"/>
          <w:b/>
          <w:bCs/>
          <w:sz w:val="32"/>
          <w:szCs w:val="32"/>
        </w:rPr>
      </w:pPr>
      <w:r>
        <w:rPr>
          <w:rFonts w:hint="eastAsia" w:ascii="黑体" w:hAnsi="黑体" w:eastAsia="黑体" w:cs="黑体"/>
          <w:b/>
          <w:bCs/>
          <w:sz w:val="32"/>
          <w:szCs w:val="32"/>
        </w:rPr>
        <w:t>绩效概况</w:t>
      </w:r>
    </w:p>
    <w:p>
      <w:pPr>
        <w:ind w:firstLine="638" w:firstLineChars="228"/>
        <w:rPr>
          <w:rFonts w:ascii="黑体" w:hAnsi="黑体" w:cs="黑体" w:eastAsiaTheme="minorEastAsia"/>
          <w:b/>
          <w:bCs/>
          <w:sz w:val="32"/>
          <w:szCs w:val="32"/>
        </w:rPr>
      </w:pPr>
      <w:r>
        <w:rPr>
          <w:rFonts w:hint="eastAsia" w:ascii="宋体" w:hAnsi="宋体"/>
          <w:sz w:val="28"/>
          <w:szCs w:val="28"/>
        </w:rPr>
        <w:t>着力满足群众的不同</w:t>
      </w:r>
      <w:r>
        <w:rPr>
          <w:rFonts w:hint="eastAsia" w:ascii="宋体" w:hAnsi="宋体"/>
          <w:sz w:val="28"/>
          <w:szCs w:val="28"/>
          <w:lang w:eastAsia="zh-CN"/>
        </w:rPr>
        <w:t>信访诉</w:t>
      </w:r>
      <w:r>
        <w:rPr>
          <w:rFonts w:hint="eastAsia" w:ascii="宋体" w:hAnsi="宋体"/>
          <w:sz w:val="28"/>
          <w:szCs w:val="28"/>
        </w:rPr>
        <w:t>求，保障群众基本权益，</w:t>
      </w:r>
      <w:r>
        <w:rPr>
          <w:rFonts w:hint="eastAsia" w:ascii="宋体" w:hAnsi="宋体" w:eastAsia="宋体" w:cs="宋体"/>
          <w:b w:val="0"/>
          <w:bCs w:val="0"/>
          <w:sz w:val="28"/>
          <w:szCs w:val="28"/>
          <w:lang w:eastAsia="zh-CN"/>
        </w:rPr>
        <w:t>信访维稳工作正常开展，为规范加强信访事务经费的管理，信访事务的经费做到了专款专用，保障了信访工作的有序开展，降低了信访事件的发生率</w:t>
      </w:r>
      <w:r>
        <w:rPr>
          <w:rFonts w:hint="eastAsia" w:ascii="宋体" w:hAnsi="宋体"/>
          <w:sz w:val="28"/>
          <w:szCs w:val="28"/>
        </w:rPr>
        <w:t>。</w:t>
      </w:r>
    </w:p>
    <w:p>
      <w:pPr>
        <w:numPr>
          <w:ilvl w:val="0"/>
          <w:numId w:val="4"/>
        </w:numPr>
        <w:ind w:left="-13" w:leftChars="0" w:firstLine="643" w:firstLineChars="0"/>
        <w:rPr>
          <w:rFonts w:ascii="黑体" w:hAnsi="黑体" w:eastAsia="黑体" w:cs="黑体"/>
          <w:b/>
          <w:bCs/>
          <w:sz w:val="32"/>
          <w:szCs w:val="32"/>
        </w:rPr>
      </w:pPr>
      <w:r>
        <w:rPr>
          <w:rFonts w:hint="eastAsia" w:ascii="黑体" w:hAnsi="黑体" w:eastAsia="黑体" w:cs="黑体"/>
          <w:b/>
          <w:bCs/>
          <w:sz w:val="32"/>
          <w:szCs w:val="32"/>
        </w:rPr>
        <w:t>资金使用情况</w:t>
      </w:r>
    </w:p>
    <w:p>
      <w:pPr>
        <w:ind w:firstLine="643" w:firstLineChars="200"/>
        <w:rPr>
          <w:rFonts w:ascii="宋体" w:hAnsi="宋体"/>
          <w:b/>
          <w:bCs/>
          <w:sz w:val="32"/>
          <w:szCs w:val="32"/>
        </w:rPr>
      </w:pPr>
      <w:r>
        <w:rPr>
          <w:rFonts w:hint="eastAsia" w:ascii="宋体" w:hAnsi="宋体"/>
          <w:b/>
          <w:bCs/>
          <w:sz w:val="32"/>
          <w:szCs w:val="32"/>
        </w:rPr>
        <w:t>（一）资金使用</w:t>
      </w:r>
    </w:p>
    <w:p>
      <w:pPr>
        <w:ind w:firstLine="560" w:firstLineChars="200"/>
        <w:rPr>
          <w:rFonts w:ascii="宋体" w:hAnsi="宋体"/>
          <w:sz w:val="28"/>
          <w:szCs w:val="28"/>
        </w:rPr>
      </w:pPr>
      <w:r>
        <w:rPr>
          <w:rFonts w:hint="eastAsia" w:ascii="宋体" w:hAnsi="宋体"/>
          <w:sz w:val="28"/>
          <w:szCs w:val="28"/>
          <w:lang w:eastAsia="zh-CN"/>
        </w:rPr>
        <w:t>中央、省、市</w:t>
      </w:r>
      <w:r>
        <w:rPr>
          <w:rFonts w:hint="eastAsia" w:ascii="宋体" w:hAnsi="宋体"/>
          <w:sz w:val="28"/>
          <w:szCs w:val="28"/>
        </w:rPr>
        <w:t>专项经费</w:t>
      </w:r>
      <w:r>
        <w:rPr>
          <w:rFonts w:hint="eastAsia" w:ascii="宋体" w:hAnsi="宋体"/>
          <w:sz w:val="28"/>
          <w:szCs w:val="28"/>
          <w:lang w:val="en-US" w:eastAsia="zh-CN"/>
        </w:rPr>
        <w:t>20</w:t>
      </w:r>
      <w:r>
        <w:rPr>
          <w:rFonts w:hint="eastAsia" w:ascii="宋体" w:hAnsi="宋体"/>
          <w:sz w:val="28"/>
          <w:szCs w:val="28"/>
        </w:rPr>
        <w:t>万元</w:t>
      </w:r>
      <w:r>
        <w:rPr>
          <w:rFonts w:hint="eastAsia" w:ascii="宋体" w:hAnsi="宋体"/>
          <w:sz w:val="28"/>
          <w:szCs w:val="28"/>
          <w:lang w:eastAsia="zh-CN"/>
        </w:rPr>
        <w:t>用</w:t>
      </w:r>
      <w:r>
        <w:rPr>
          <w:rFonts w:hint="eastAsia" w:ascii="宋体" w:hAnsi="宋体"/>
          <w:sz w:val="28"/>
          <w:szCs w:val="28"/>
        </w:rPr>
        <w:t>于2019年</w:t>
      </w:r>
      <w:r>
        <w:rPr>
          <w:rFonts w:hint="eastAsia" w:ascii="宋体" w:hAnsi="宋体"/>
          <w:sz w:val="28"/>
          <w:szCs w:val="28"/>
          <w:lang w:val="en-US" w:eastAsia="zh-CN"/>
        </w:rPr>
        <w:t>32次的到京、蓉等地方工作经费、信访业务知识是业务培训等</w:t>
      </w:r>
      <w:r>
        <w:rPr>
          <w:rFonts w:hint="eastAsia" w:ascii="宋体" w:hAnsi="宋体"/>
          <w:sz w:val="28"/>
          <w:szCs w:val="28"/>
        </w:rPr>
        <w:t>。</w:t>
      </w:r>
    </w:p>
    <w:p>
      <w:pPr>
        <w:ind w:firstLine="643" w:firstLineChars="200"/>
        <w:rPr>
          <w:rFonts w:ascii="宋体" w:hAnsi="宋体"/>
          <w:sz w:val="28"/>
          <w:szCs w:val="28"/>
        </w:rPr>
      </w:pPr>
      <w:r>
        <w:rPr>
          <w:rFonts w:hint="eastAsia" w:ascii="宋体" w:hAnsi="宋体"/>
          <w:b/>
          <w:bCs/>
          <w:sz w:val="32"/>
          <w:szCs w:val="32"/>
        </w:rPr>
        <w:t>（二）组织实施情况</w:t>
      </w:r>
    </w:p>
    <w:p>
      <w:pPr>
        <w:ind w:left="420" w:leftChars="200"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信访维稳工作正常开展，为规范加强信访事务经费的管理，信访事务的经费做到了专款专用，保障了信访工作的有序开展，降低了信访事件的发生率。</w:t>
      </w:r>
    </w:p>
    <w:p>
      <w:pPr>
        <w:ind w:left="420" w:leftChars="200" w:firstLine="321" w:firstLineChars="100"/>
        <w:rPr>
          <w:rFonts w:ascii="黑体" w:hAnsi="黑体" w:eastAsia="黑体" w:cs="黑体"/>
          <w:b/>
          <w:bCs/>
          <w:sz w:val="32"/>
          <w:szCs w:val="32"/>
        </w:rPr>
      </w:pPr>
      <w:r>
        <w:rPr>
          <w:rFonts w:hint="eastAsia" w:ascii="黑体" w:hAnsi="黑体" w:eastAsia="黑体" w:cs="黑体"/>
          <w:b/>
          <w:bCs/>
          <w:sz w:val="32"/>
          <w:szCs w:val="32"/>
        </w:rPr>
        <w:t>三、目标完成情况</w:t>
      </w:r>
    </w:p>
    <w:p>
      <w:pPr>
        <w:ind w:firstLine="560" w:firstLineChars="200"/>
        <w:rPr>
          <w:rFonts w:ascii="宋体" w:hAnsi="宋体"/>
          <w:sz w:val="28"/>
          <w:szCs w:val="28"/>
        </w:rPr>
      </w:pPr>
      <w:r>
        <w:rPr>
          <w:rFonts w:hint="eastAsia" w:ascii="宋体" w:hAnsi="宋体"/>
          <w:sz w:val="28"/>
          <w:szCs w:val="28"/>
        </w:rPr>
        <w:t>（一）目标任务量完成情况</w:t>
      </w:r>
    </w:p>
    <w:p>
      <w:pPr>
        <w:ind w:firstLine="638" w:firstLineChars="228"/>
        <w:rPr>
          <w:rFonts w:hint="default" w:ascii="宋体" w:hAnsi="宋体" w:eastAsiaTheme="minorEastAsia"/>
          <w:sz w:val="28"/>
          <w:szCs w:val="28"/>
          <w:lang w:val="en-US"/>
        </w:rPr>
      </w:pPr>
      <w:r>
        <w:rPr>
          <w:rFonts w:hint="eastAsia" w:ascii="宋体" w:hAnsi="宋体"/>
          <w:sz w:val="28"/>
          <w:szCs w:val="28"/>
          <w:lang w:val="en-US" w:eastAsia="zh-CN"/>
        </w:rPr>
        <w:t>2019年12月底前全面完成32次到京、蓉等地方值班。</w:t>
      </w:r>
    </w:p>
    <w:p>
      <w:pPr>
        <w:numPr>
          <w:ilvl w:val="0"/>
          <w:numId w:val="5"/>
        </w:numPr>
        <w:ind w:firstLine="560" w:firstLineChars="200"/>
        <w:rPr>
          <w:rFonts w:ascii="宋体" w:hAnsi="宋体"/>
          <w:sz w:val="28"/>
          <w:szCs w:val="28"/>
        </w:rPr>
      </w:pPr>
      <w:r>
        <w:rPr>
          <w:rFonts w:hint="eastAsia" w:ascii="宋体" w:hAnsi="宋体"/>
          <w:sz w:val="28"/>
          <w:szCs w:val="28"/>
        </w:rPr>
        <w:t>目标质量完成情况</w:t>
      </w:r>
    </w:p>
    <w:p>
      <w:pPr>
        <w:rPr>
          <w:rFonts w:hint="eastAsia" w:ascii="宋体" w:hAnsi="宋体" w:eastAsia="宋体"/>
          <w:sz w:val="28"/>
          <w:szCs w:val="28"/>
          <w:lang w:eastAsia="zh-CN"/>
        </w:rPr>
      </w:pPr>
      <w:r>
        <w:rPr>
          <w:rFonts w:hint="eastAsia" w:ascii="宋体" w:hAnsi="宋体"/>
          <w:sz w:val="28"/>
          <w:szCs w:val="28"/>
        </w:rPr>
        <w:t xml:space="preserve">     </w:t>
      </w:r>
      <w:r>
        <w:rPr>
          <w:rFonts w:hint="eastAsia" w:ascii="宋体" w:hAnsi="宋体"/>
          <w:sz w:val="28"/>
          <w:szCs w:val="28"/>
          <w:lang w:eastAsia="zh-CN"/>
        </w:rPr>
        <w:t>圆满完成目标任务，无任何信访事件发生。</w:t>
      </w:r>
    </w:p>
    <w:p>
      <w:pPr>
        <w:numPr>
          <w:ilvl w:val="0"/>
          <w:numId w:val="5"/>
        </w:numPr>
        <w:ind w:firstLine="560" w:firstLineChars="200"/>
        <w:rPr>
          <w:rFonts w:ascii="宋体" w:hAnsi="宋体"/>
          <w:sz w:val="28"/>
          <w:szCs w:val="28"/>
        </w:rPr>
      </w:pPr>
      <w:r>
        <w:rPr>
          <w:rFonts w:hint="eastAsia" w:ascii="宋体" w:hAnsi="宋体"/>
          <w:sz w:val="28"/>
          <w:szCs w:val="28"/>
        </w:rPr>
        <w:t>目标进度完成情况</w:t>
      </w:r>
    </w:p>
    <w:p>
      <w:pPr>
        <w:ind w:left="420" w:leftChars="200"/>
        <w:rPr>
          <w:rFonts w:ascii="宋体" w:hAnsi="宋体"/>
          <w:sz w:val="28"/>
          <w:szCs w:val="28"/>
        </w:rPr>
      </w:pPr>
      <w:r>
        <w:rPr>
          <w:rFonts w:hint="eastAsia" w:ascii="宋体" w:hAnsi="宋体"/>
          <w:sz w:val="28"/>
          <w:szCs w:val="28"/>
        </w:rPr>
        <w:t xml:space="preserve">  截止2019年底，各项任务按照预定目标圆满完成。</w:t>
      </w:r>
    </w:p>
    <w:p>
      <w:pPr>
        <w:ind w:firstLine="643" w:firstLineChars="200"/>
        <w:rPr>
          <w:rFonts w:ascii="宋体" w:hAnsi="宋体"/>
          <w:sz w:val="28"/>
          <w:szCs w:val="28"/>
        </w:rPr>
      </w:pPr>
      <w:r>
        <w:rPr>
          <w:rFonts w:hint="eastAsia" w:ascii="黑体" w:hAnsi="黑体" w:eastAsia="黑体" w:cs="黑体"/>
          <w:b/>
          <w:bCs/>
          <w:sz w:val="32"/>
          <w:szCs w:val="32"/>
        </w:rPr>
        <w:t>四、项目效益情况</w:t>
      </w:r>
    </w:p>
    <w:p>
      <w:pPr>
        <w:ind w:firstLine="560" w:firstLineChars="200"/>
        <w:rPr>
          <w:rFonts w:ascii="宋体" w:hAnsi="宋体"/>
          <w:sz w:val="28"/>
          <w:szCs w:val="28"/>
        </w:rPr>
      </w:pPr>
      <w:r>
        <w:rPr>
          <w:rFonts w:hint="eastAsia" w:ascii="宋体" w:hAnsi="宋体"/>
          <w:sz w:val="28"/>
          <w:szCs w:val="28"/>
        </w:rPr>
        <w:t>（1）项目实施的社会效益分析。通过项目的实施，着力满足群众的不同</w:t>
      </w:r>
      <w:r>
        <w:rPr>
          <w:rFonts w:hint="eastAsia" w:ascii="宋体" w:hAnsi="宋体"/>
          <w:sz w:val="28"/>
          <w:szCs w:val="28"/>
          <w:lang w:eastAsia="zh-CN"/>
        </w:rPr>
        <w:t>信访诉</w:t>
      </w:r>
      <w:r>
        <w:rPr>
          <w:rFonts w:hint="eastAsia" w:ascii="宋体" w:hAnsi="宋体"/>
          <w:sz w:val="28"/>
          <w:szCs w:val="28"/>
        </w:rPr>
        <w:t>求，保障群众基本权益，加快提升群众</w:t>
      </w:r>
      <w:r>
        <w:rPr>
          <w:rFonts w:hint="eastAsia" w:ascii="宋体" w:hAnsi="宋体"/>
          <w:sz w:val="28"/>
          <w:szCs w:val="28"/>
          <w:lang w:eastAsia="zh-CN"/>
        </w:rPr>
        <w:t>问题诉求解决时效</w:t>
      </w:r>
      <w:r>
        <w:rPr>
          <w:rFonts w:hint="eastAsia" w:ascii="宋体" w:hAnsi="宋体"/>
          <w:sz w:val="28"/>
          <w:szCs w:val="28"/>
        </w:rPr>
        <w:t>。</w:t>
      </w:r>
    </w:p>
    <w:p>
      <w:pPr>
        <w:ind w:firstLine="700" w:firstLineChars="250"/>
        <w:rPr>
          <w:rFonts w:hint="eastAsia" w:ascii="宋体" w:hAnsi="宋体" w:eastAsia="宋体"/>
          <w:sz w:val="28"/>
          <w:szCs w:val="28"/>
          <w:lang w:eastAsia="zh-CN"/>
        </w:rPr>
      </w:pPr>
      <w:r>
        <w:rPr>
          <w:rFonts w:hint="eastAsia" w:ascii="宋体" w:hAnsi="宋体"/>
          <w:sz w:val="28"/>
          <w:szCs w:val="28"/>
        </w:rPr>
        <w:t>（2）运行保障效果。</w:t>
      </w:r>
      <w:r>
        <w:rPr>
          <w:rFonts w:hint="eastAsia" w:ascii="宋体" w:hAnsi="宋体"/>
          <w:sz w:val="28"/>
          <w:szCs w:val="28"/>
          <w:lang w:eastAsia="zh-CN"/>
        </w:rPr>
        <w:t>密切联系群众、服务群众情况，妥善处理群众信访来访，化解社会矛盾情况，加强正风行风建设、解决了损害群众利益。</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五、问题及建议</w:t>
      </w:r>
    </w:p>
    <w:p>
      <w:pPr>
        <w:ind w:firstLine="560" w:firstLineChars="200"/>
        <w:rPr>
          <w:rFonts w:ascii="宋体" w:hAnsi="宋体"/>
          <w:sz w:val="28"/>
          <w:szCs w:val="28"/>
        </w:rPr>
      </w:pPr>
      <w:r>
        <w:rPr>
          <w:rFonts w:hint="eastAsia" w:ascii="宋体" w:hAnsi="宋体"/>
          <w:sz w:val="28"/>
          <w:szCs w:val="28"/>
        </w:rPr>
        <w:t>（一）存在的问题</w:t>
      </w:r>
    </w:p>
    <w:p>
      <w:pPr>
        <w:ind w:firstLine="560" w:firstLineChars="200"/>
        <w:rPr>
          <w:rFonts w:hint="eastAsia" w:ascii="宋体" w:hAnsi="宋体" w:eastAsia="宋体"/>
          <w:sz w:val="28"/>
          <w:szCs w:val="28"/>
          <w:lang w:eastAsia="zh-CN"/>
        </w:rPr>
      </w:pPr>
      <w:r>
        <w:rPr>
          <w:rFonts w:hint="eastAsia" w:ascii="宋体" w:hAnsi="宋体"/>
          <w:sz w:val="28"/>
          <w:szCs w:val="28"/>
          <w:lang w:eastAsia="zh-CN"/>
        </w:rPr>
        <w:t>根据</w:t>
      </w:r>
      <w:r>
        <w:rPr>
          <w:rFonts w:hint="eastAsia" w:ascii="宋体" w:hAnsi="宋体"/>
          <w:sz w:val="28"/>
          <w:szCs w:val="28"/>
          <w:u w:val="single"/>
          <w:lang w:eastAsia="zh-CN"/>
        </w:rPr>
        <w:t>本次绩</w:t>
      </w:r>
      <w:r>
        <w:rPr>
          <w:rFonts w:hint="eastAsia" w:ascii="宋体" w:hAnsi="宋体"/>
          <w:sz w:val="28"/>
          <w:szCs w:val="28"/>
          <w:lang w:eastAsia="zh-CN"/>
        </w:rPr>
        <w:t>效评价情况，存在预算绩效申报时，对信访事务项目编制不够明细和精准。</w:t>
      </w:r>
    </w:p>
    <w:p>
      <w:pPr>
        <w:ind w:firstLine="700" w:firstLineChars="250"/>
        <w:rPr>
          <w:rFonts w:ascii="宋体" w:hAnsi="宋体"/>
          <w:sz w:val="28"/>
          <w:szCs w:val="28"/>
        </w:rPr>
      </w:pPr>
      <w:r>
        <w:rPr>
          <w:rFonts w:hint="eastAsia" w:ascii="宋体" w:hAnsi="宋体"/>
          <w:sz w:val="28"/>
          <w:szCs w:val="28"/>
        </w:rPr>
        <w:t>（二）相关建议</w:t>
      </w:r>
    </w:p>
    <w:p>
      <w:pPr>
        <w:ind w:firstLine="700" w:firstLineChars="250"/>
        <w:rPr>
          <w:rFonts w:ascii="宋体" w:hAnsi="宋体"/>
          <w:sz w:val="28"/>
          <w:szCs w:val="28"/>
        </w:rPr>
      </w:pPr>
      <w:r>
        <w:rPr>
          <w:rFonts w:hint="eastAsia" w:ascii="宋体" w:hAnsi="宋体"/>
          <w:sz w:val="28"/>
          <w:szCs w:val="28"/>
        </w:rPr>
        <w:t>对预算绩效管理业务进行培训指导，提高预算绩效管理水平。</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9"/>
    </w:p>
    <w:p>
      <w:pPr>
        <w:pStyle w:val="3"/>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0"/>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Style w:val="25"/>
          <w:rFonts w:ascii="仿宋" w:hAnsi="仿宋" w:eastAsia="仿宋"/>
          <w:b w:val="0"/>
          <w:bCs w:val="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2"/>
      <w:bookmarkStart w:id="63"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D6F0"/>
    <w:multiLevelType w:val="singleLevel"/>
    <w:tmpl w:val="8577D6F0"/>
    <w:lvl w:ilvl="0" w:tentative="0">
      <w:start w:val="1"/>
      <w:numFmt w:val="decimal"/>
      <w:lvlText w:val="%1."/>
      <w:lvlJc w:val="left"/>
      <w:pPr>
        <w:tabs>
          <w:tab w:val="left" w:pos="312"/>
        </w:tabs>
      </w:pPr>
    </w:lvl>
  </w:abstractNum>
  <w:abstractNum w:abstractNumId="1">
    <w:nsid w:val="DF280016"/>
    <w:multiLevelType w:val="singleLevel"/>
    <w:tmpl w:val="DF280016"/>
    <w:lvl w:ilvl="0" w:tentative="0">
      <w:start w:val="1"/>
      <w:numFmt w:val="chineseCounting"/>
      <w:suff w:val="nothing"/>
      <w:lvlText w:val="%1、"/>
      <w:lvlJc w:val="left"/>
      <w:pPr>
        <w:ind w:left="-13"/>
      </w:pPr>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0D7F25E"/>
    <w:multiLevelType w:val="singleLevel"/>
    <w:tmpl w:val="10D7F25E"/>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2AFC"/>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3CE9"/>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9DC"/>
    <w:rsid w:val="00FA23E8"/>
    <w:rsid w:val="00FD3CC1"/>
    <w:rsid w:val="00FF1E02"/>
    <w:rsid w:val="00FF30B4"/>
    <w:rsid w:val="024354FE"/>
    <w:rsid w:val="027E5CAB"/>
    <w:rsid w:val="034C452E"/>
    <w:rsid w:val="04A36E7D"/>
    <w:rsid w:val="06AA1D67"/>
    <w:rsid w:val="0A10292E"/>
    <w:rsid w:val="0B3C7D87"/>
    <w:rsid w:val="0F1A7A3C"/>
    <w:rsid w:val="10C055FF"/>
    <w:rsid w:val="12E725EA"/>
    <w:rsid w:val="16BB723D"/>
    <w:rsid w:val="1B103BBF"/>
    <w:rsid w:val="1BC2597E"/>
    <w:rsid w:val="1BC62B55"/>
    <w:rsid w:val="1D950AE0"/>
    <w:rsid w:val="1F306844"/>
    <w:rsid w:val="22456CEF"/>
    <w:rsid w:val="22CE55C4"/>
    <w:rsid w:val="240371BF"/>
    <w:rsid w:val="2536747A"/>
    <w:rsid w:val="26540229"/>
    <w:rsid w:val="28904CBB"/>
    <w:rsid w:val="291E4E36"/>
    <w:rsid w:val="29FD04D3"/>
    <w:rsid w:val="2C526878"/>
    <w:rsid w:val="2DED6C9E"/>
    <w:rsid w:val="2F855655"/>
    <w:rsid w:val="3038430D"/>
    <w:rsid w:val="319F7F4E"/>
    <w:rsid w:val="31D86E72"/>
    <w:rsid w:val="34104EFA"/>
    <w:rsid w:val="363E4D34"/>
    <w:rsid w:val="36B87BF7"/>
    <w:rsid w:val="37E36A71"/>
    <w:rsid w:val="3950322C"/>
    <w:rsid w:val="3B945353"/>
    <w:rsid w:val="3B982DA2"/>
    <w:rsid w:val="3D645BB3"/>
    <w:rsid w:val="4297667A"/>
    <w:rsid w:val="435768F7"/>
    <w:rsid w:val="435C353E"/>
    <w:rsid w:val="43CD1FB9"/>
    <w:rsid w:val="45961F58"/>
    <w:rsid w:val="4AA03A37"/>
    <w:rsid w:val="4ECE2238"/>
    <w:rsid w:val="50B87477"/>
    <w:rsid w:val="55A96A21"/>
    <w:rsid w:val="55AF686B"/>
    <w:rsid w:val="55DE6449"/>
    <w:rsid w:val="571E4DE0"/>
    <w:rsid w:val="59234A53"/>
    <w:rsid w:val="5976481E"/>
    <w:rsid w:val="5B8D77A2"/>
    <w:rsid w:val="5FB876A5"/>
    <w:rsid w:val="601156E8"/>
    <w:rsid w:val="60852471"/>
    <w:rsid w:val="60863923"/>
    <w:rsid w:val="69AC1528"/>
    <w:rsid w:val="6C301298"/>
    <w:rsid w:val="6CF23DC8"/>
    <w:rsid w:val="70B8191F"/>
    <w:rsid w:val="70DE5159"/>
    <w:rsid w:val="72734D90"/>
    <w:rsid w:val="765356F2"/>
    <w:rsid w:val="79665192"/>
    <w:rsid w:val="7AFE0367"/>
    <w:rsid w:val="7BA16599"/>
    <w:rsid w:val="7BFA12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年度收支总体情况图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Sheet1!$A$1</c:f>
              <c:strCache>
                <c:ptCount val="1"/>
                <c:pt idx="0">
                  <c:v>2018年</c:v>
                </c:pt>
              </c:strCache>
            </c:strRef>
          </c:tx>
          <c:spPr>
            <a:solidFill>
              <a:schemeClr val="accent1"/>
            </a:solidFill>
            <a:ln>
              <a:noFill/>
            </a:ln>
            <a:effectLst/>
          </c:spPr>
          <c:invertIfNegative val="0"/>
          <c:dLbls>
            <c:delete val="1"/>
          </c:dLbls>
          <c:cat>
            <c:numRef>
              <c:f>Sheet1!#REF!</c:f>
              <c:numCache>
                <c:ptCount val="0"/>
              </c:numCache>
            </c:numRef>
          </c:cat>
          <c:val>
            <c:numRef>
              <c:f>Sheet1!$A$2:$A$3</c:f>
              <c:numCache>
                <c:formatCode>General</c:formatCode>
                <c:ptCount val="2"/>
                <c:pt idx="0">
                  <c:v>374.43</c:v>
                </c:pt>
              </c:numCache>
            </c:numRef>
          </c:val>
        </c:ser>
        <c:ser>
          <c:idx val="1"/>
          <c:order val="1"/>
          <c:tx>
            <c:strRef>
              <c:f>Sheet1!$B$1</c:f>
              <c:strCache>
                <c:ptCount val="1"/>
                <c:pt idx="0">
                  <c:v>2019年</c:v>
                </c:pt>
              </c:strCache>
            </c:strRef>
          </c:tx>
          <c:spPr>
            <a:solidFill>
              <a:schemeClr val="accent2"/>
            </a:solidFill>
            <a:ln>
              <a:noFill/>
            </a:ln>
            <a:effectLst/>
          </c:spPr>
          <c:invertIfNegative val="0"/>
          <c:dLbls>
            <c:delete val="1"/>
          </c:dLbls>
          <c:cat>
            <c:numRef>
              <c:f>Sheet1!#REF!</c:f>
              <c:numCache>
                <c:ptCount val="0"/>
              </c:numCache>
            </c:numRef>
          </c:cat>
          <c:val>
            <c:numRef>
              <c:f>Sheet1!$B$2:$B$3</c:f>
              <c:numCache>
                <c:formatCode>General</c:formatCode>
                <c:ptCount val="2"/>
                <c:pt idx="0">
                  <c:v>345.41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Sheet1!#REF!</c:f>
              <c:numCache>
                <c:ptCount val="0"/>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72264255"/>
        <c:axId val="639009506"/>
      </c:barChart>
      <c:catAx>
        <c:axId val="1722642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009506"/>
        <c:crosses val="autoZero"/>
        <c:auto val="1"/>
        <c:lblAlgn val="ctr"/>
        <c:lblOffset val="100"/>
        <c:noMultiLvlLbl val="0"/>
      </c:catAx>
      <c:valAx>
        <c:axId val="6390095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26425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2019年度收入</c:v>
                </c:pt>
              </c:strCache>
            </c:strRef>
          </c:cat>
          <c:val>
            <c:numRef>
              <c:f>Sheet1!$B$2</c:f>
              <c:numCache>
                <c:formatCode>General</c:formatCode>
                <c:ptCount val="1"/>
                <c:pt idx="0">
                  <c:v>345.41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2019年度支出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282.81</c:v>
                </c:pt>
                <c:pt idx="1">
                  <c:v>62.6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2018年度</c:v>
                </c:pt>
              </c:strCache>
            </c:strRef>
          </c:tx>
          <c:spPr>
            <a:solidFill>
              <a:schemeClr val="accent1"/>
            </a:solidFill>
            <a:ln>
              <a:noFill/>
            </a:ln>
            <a:effectLst/>
          </c:spPr>
          <c:invertIfNegative val="0"/>
          <c:dPt>
            <c:idx val="0"/>
            <c:invertIfNegative val="0"/>
            <c:bubble3D val="0"/>
          </c:dPt>
          <c:dPt>
            <c:idx val="1"/>
            <c:invertIfNegative val="0"/>
            <c:bubble3D val="0"/>
            <c:spPr>
              <a:solidFill>
                <a:srgbClr val="C0000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2018年度</c:v>
                </c:pt>
                <c:pt idx="1">
                  <c:v>2019年度</c:v>
                </c:pt>
              </c:strCache>
            </c:strRef>
          </c:cat>
          <c:val>
            <c:numRef>
              <c:f>Sheet1!$B$2:$B$3</c:f>
              <c:numCache>
                <c:formatCode>General</c:formatCode>
                <c:ptCount val="2"/>
                <c:pt idx="0">
                  <c:v>374.43</c:v>
                </c:pt>
                <c:pt idx="1">
                  <c:v>345.41</c:v>
                </c:pt>
              </c:numCache>
            </c:numRef>
          </c:val>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2018年度</c:v>
                </c:pt>
                <c:pt idx="1">
                  <c:v>2019年度</c:v>
                </c:pt>
              </c:strCache>
            </c:strRef>
          </c:cat>
          <c:val>
            <c:numRef>
              <c:f>Sheet1!$C$2:$C$3</c:f>
              <c:numCache>
                <c:formatCode>General</c:formatCode>
                <c:ptCount val="2"/>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2018年度</c:v>
                </c:pt>
                <c:pt idx="1">
                  <c:v>2019年度</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444"/>
        <c:overlap val="-90"/>
        <c:axId val="170646693"/>
        <c:axId val="42573138"/>
      </c:barChart>
      <c:catAx>
        <c:axId val="170646693"/>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42573138"/>
        <c:crosses val="autoZero"/>
        <c:auto val="1"/>
        <c:lblAlgn val="ctr"/>
        <c:lblOffset val="100"/>
        <c:noMultiLvlLbl val="0"/>
      </c:catAx>
      <c:valAx>
        <c:axId val="4257313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646693"/>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Pt>
            <c:idx val="1"/>
            <c:invertIfNegative val="0"/>
            <c:bubble3D val="0"/>
            <c:spPr>
              <a:gradFill>
                <a:gsLst>
                  <a:gs pos="0">
                    <a:srgbClr val="FE4444"/>
                  </a:gs>
                  <a:gs pos="100000">
                    <a:srgbClr val="832B2B"/>
                  </a:gs>
                </a:gsLst>
                <a:lin scaled="0"/>
              </a:gradFill>
              <a:ln>
                <a:noFill/>
              </a:ln>
              <a:effectLst/>
            </c:spPr>
          </c:dPt>
          <c:dLbls>
            <c:delete val="1"/>
          </c:dLbls>
          <c:cat>
            <c:strRef>
              <c:f>Sheet1!$A$2:$A$3</c:f>
              <c:strCache>
                <c:ptCount val="2"/>
                <c:pt idx="0">
                  <c:v>2018年</c:v>
                </c:pt>
                <c:pt idx="1">
                  <c:v>2019年</c:v>
                </c:pt>
              </c:strCache>
            </c:strRef>
          </c:cat>
          <c:val>
            <c:numRef>
              <c:f>Sheet1!$B$2:$B$3</c:f>
              <c:numCache>
                <c:formatCode>General</c:formatCode>
                <c:ptCount val="2"/>
                <c:pt idx="0">
                  <c:v>374.43</c:v>
                </c:pt>
                <c:pt idx="1">
                  <c:v>345.41</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2019年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84916490"/>
        <c:axId val="910640142"/>
      </c:barChart>
      <c:catAx>
        <c:axId val="849164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0640142"/>
        <c:crosses val="autoZero"/>
        <c:auto val="1"/>
        <c:lblAlgn val="ctr"/>
        <c:lblOffset val="100"/>
        <c:noMultiLvlLbl val="0"/>
      </c:catAx>
      <c:valAx>
        <c:axId val="9106401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91649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决算数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一般公共服务支出</c:v>
                </c:pt>
                <c:pt idx="1">
                  <c:v>社会保障与就业支出</c:v>
                </c:pt>
                <c:pt idx="2">
                  <c:v>卫生健康支出</c:v>
                </c:pt>
                <c:pt idx="3">
                  <c:v>住房保障支出</c:v>
                </c:pt>
              </c:strCache>
            </c:strRef>
          </c:cat>
          <c:val>
            <c:numRef>
              <c:f>Sheet1!$B$2:$B$5</c:f>
              <c:numCache>
                <c:formatCode>General</c:formatCode>
                <c:ptCount val="4"/>
                <c:pt idx="0">
                  <c:v>282.54</c:v>
                </c:pt>
                <c:pt idx="1">
                  <c:v>25.5</c:v>
                </c:pt>
                <c:pt idx="2">
                  <c:v>14.19</c:v>
                </c:pt>
                <c:pt idx="3">
                  <c:v>17.59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744375"/>
          <c:y val="0.93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预算数</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决算数</c:v>
                </c:pt>
              </c:strCache>
            </c:strRef>
          </c:cat>
          <c:val>
            <c:numRef>
              <c:f>Sheet1!$B$2</c:f>
              <c:numCache>
                <c:formatCode>General</c:formatCode>
                <c:ptCount val="1"/>
                <c:pt idx="0">
                  <c:v>1.76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A7DA4-7EC2-4A07-BA3B-28B96F11AC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1276</Words>
  <Characters>7279</Characters>
  <Lines>60</Lines>
  <Paragraphs>17</Paragraphs>
  <TotalTime>12</TotalTime>
  <ScaleCrop>false</ScaleCrop>
  <LinksUpToDate>false</LinksUpToDate>
  <CharactersWithSpaces>8538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2021-06-01T01:26:54Z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E0738452AE32498B9B2F6996A19DF2E9</vt:lpwstr>
  </property>
</Properties>
</file>