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8350"/>
      <w:bookmarkStart w:id="2" w:name="_Toc15396597"/>
      <w:bookmarkStart w:id="3" w:name="_Toc15396475"/>
      <w:bookmarkStart w:id="4" w:name="_Toc15377193"/>
      <w:bookmarkStart w:id="5" w:name="_Toc15377425"/>
      <w:bookmarkStart w:id="6"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24489"/>
      <w:bookmarkStart w:id="8" w:name="_Toc15396598"/>
      <w:bookmarkStart w:id="9" w:name="_Toc15377426"/>
      <w:bookmarkStart w:id="10" w:name="_Toc15396476"/>
      <w:bookmarkStart w:id="11" w:name="_Toc15378442"/>
      <w:bookmarkStart w:id="12" w:name="_Toc15377194"/>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通江县板桥口镇</w:t>
      </w:r>
      <w:bookmarkEnd w:id="7"/>
    </w:p>
    <w:p>
      <w:pPr>
        <w:adjustRightInd w:val="0"/>
        <w:snapToGrid w:val="0"/>
        <w:spacing w:line="360" w:lineRule="auto"/>
        <w:jc w:val="center"/>
        <w:outlineLvl w:val="0"/>
        <w:rPr>
          <w:rFonts w:ascii="方正小标宋简体" w:hAnsi="宋体" w:eastAsia="方正小标宋简体"/>
          <w:color w:val="000000"/>
          <w:sz w:val="72"/>
          <w:szCs w:val="72"/>
        </w:rPr>
      </w:pPr>
      <w:bookmarkStart w:id="14" w:name="_Toc8514"/>
      <w:r>
        <w:rPr>
          <w:rFonts w:hint="eastAsia" w:ascii="方正小标宋简体" w:hAnsi="宋体" w:eastAsia="方正小标宋简体"/>
          <w:color w:val="000000"/>
          <w:sz w:val="72"/>
          <w:szCs w:val="72"/>
        </w:rPr>
        <w:t>部门决算</w:t>
      </w:r>
      <w:bookmarkEnd w:id="8"/>
      <w:bookmarkEnd w:id="9"/>
      <w:bookmarkEnd w:id="10"/>
      <w:bookmarkEnd w:id="11"/>
      <w:bookmarkEnd w:id="12"/>
      <w:bookmarkEnd w:id="13"/>
      <w:bookmarkEnd w:id="14"/>
    </w:p>
    <w:p>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widowControl/>
        <w:jc w:val="center"/>
        <w:rPr>
          <w:rFonts w:ascii="黑体" w:hAnsi="黑体" w:eastAsia="黑体" w:cstheme="minorBidi"/>
          <w:sz w:val="28"/>
          <w:szCs w:val="28"/>
        </w:rPr>
      </w:pPr>
      <w:r>
        <w:rPr>
          <w:rFonts w:hint="eastAsia" w:ascii="黑体" w:hAnsi="黑体" w:eastAsia="黑体"/>
          <w:color w:val="000000"/>
          <w:sz w:val="48"/>
          <w:szCs w:val="48"/>
        </w:rPr>
        <w:t>目录</w:t>
      </w:r>
    </w:p>
    <w:p>
      <w:pPr>
        <w:pStyle w:val="10"/>
        <w:rPr>
          <w:rFonts w:ascii="方正小标宋简体" w:hAnsi="宋体" w:eastAsia="方正小标宋简体"/>
          <w:color w:val="000000"/>
          <w:sz w:val="36"/>
          <w:szCs w:val="36"/>
        </w:rPr>
      </w:pPr>
      <w:r>
        <w:rPr>
          <w:rFonts w:hint="eastAsia"/>
        </w:rPr>
        <w:t>公开时间：2020年10月15日</w:t>
      </w:r>
      <w:r>
        <w:rPr>
          <w:rFonts w:ascii="方正小标宋简体" w:hAnsi="宋体" w:eastAsia="方正小标宋简体"/>
          <w:color w:val="000000"/>
          <w:sz w:val="36"/>
          <w:szCs w:val="36"/>
        </w:rPr>
        <w:fldChar w:fldCharType="begin"/>
      </w:r>
      <w:r>
        <w:rPr>
          <w:rFonts w:ascii="方正小标宋简体" w:hAnsi="宋体" w:eastAsia="方正小标宋简体"/>
          <w:color w:val="000000"/>
          <w:sz w:val="36"/>
          <w:szCs w:val="36"/>
        </w:rPr>
        <w:instrText xml:space="preserve">TOC \o "1-3" \h \u </w:instrText>
      </w:r>
      <w:r>
        <w:rPr>
          <w:rFonts w:ascii="方正小标宋简体" w:hAnsi="宋体" w:eastAsia="方正小标宋简体"/>
          <w:color w:val="000000"/>
          <w:sz w:val="36"/>
          <w:szCs w:val="36"/>
        </w:rPr>
        <w:fldChar w:fldCharType="separate"/>
      </w:r>
    </w:p>
    <w:p>
      <w:pPr>
        <w:pStyle w:val="10"/>
        <w:tabs>
          <w:tab w:val="right" w:leader="dot" w:pos="8306"/>
          <w:tab w:val="clear" w:pos="8296"/>
        </w:tabs>
      </w:pPr>
      <w:r>
        <w:fldChar w:fldCharType="begin"/>
      </w:r>
      <w:r>
        <w:instrText xml:space="preserve"> HYPERLINK \l "_Toc13175" </w:instrText>
      </w:r>
      <w:r>
        <w:fldChar w:fldCharType="separate"/>
      </w:r>
      <w:r>
        <w:rPr>
          <w:rFonts w:hint="eastAsia" w:ascii="黑体" w:hAnsi="黑体" w:eastAsia="黑体"/>
        </w:rPr>
        <w:t>第一部分 部门概况</w:t>
      </w:r>
      <w:r>
        <w:tab/>
      </w:r>
      <w:r>
        <w:fldChar w:fldCharType="begin"/>
      </w:r>
      <w:r>
        <w:instrText xml:space="preserve"> PAGEREF _Toc13175 </w:instrText>
      </w:r>
      <w:r>
        <w:fldChar w:fldCharType="separate"/>
      </w:r>
      <w:r>
        <w:t>3</w:t>
      </w:r>
      <w:r>
        <w:fldChar w:fldCharType="end"/>
      </w:r>
      <w:r>
        <w:fldChar w:fldCharType="end"/>
      </w:r>
    </w:p>
    <w:p>
      <w:pPr>
        <w:pStyle w:val="11"/>
        <w:tabs>
          <w:tab w:val="right" w:leader="dot" w:pos="8306"/>
          <w:tab w:val="clear" w:pos="8296"/>
        </w:tabs>
      </w:pPr>
      <w:r>
        <w:fldChar w:fldCharType="begin"/>
      </w:r>
      <w:r>
        <w:instrText xml:space="preserve"> HYPERLINK \l "_Toc15947" </w:instrText>
      </w:r>
      <w:r>
        <w:fldChar w:fldCharType="separate"/>
      </w:r>
      <w:r>
        <w:rPr>
          <w:rFonts w:hint="eastAsia" w:ascii="黑体" w:hAnsi="黑体" w:eastAsia="黑体"/>
        </w:rPr>
        <w:t>一、基本职能及主要工作</w:t>
      </w:r>
      <w:r>
        <w:tab/>
      </w:r>
      <w:r>
        <w:fldChar w:fldCharType="begin"/>
      </w:r>
      <w:r>
        <w:instrText xml:space="preserve"> PAGEREF _Toc15947 </w:instrText>
      </w:r>
      <w:r>
        <w:fldChar w:fldCharType="separate"/>
      </w:r>
      <w:r>
        <w:t>3</w:t>
      </w:r>
      <w:r>
        <w:fldChar w:fldCharType="end"/>
      </w:r>
      <w:r>
        <w:fldChar w:fldCharType="end"/>
      </w:r>
    </w:p>
    <w:p>
      <w:pPr>
        <w:pStyle w:val="11"/>
        <w:tabs>
          <w:tab w:val="right" w:leader="dot" w:pos="8306"/>
          <w:tab w:val="clear" w:pos="8296"/>
        </w:tabs>
      </w:pPr>
      <w:r>
        <w:fldChar w:fldCharType="begin"/>
      </w:r>
      <w:r>
        <w:instrText xml:space="preserve"> HYPERLINK \l "_Toc6626" </w:instrText>
      </w:r>
      <w:r>
        <w:fldChar w:fldCharType="separate"/>
      </w:r>
      <w:r>
        <w:rPr>
          <w:rFonts w:hint="eastAsia" w:ascii="黑体" w:eastAsia="黑体"/>
        </w:rPr>
        <w:t>二、</w:t>
      </w:r>
      <w:r>
        <w:rPr>
          <w:rFonts w:hint="eastAsia" w:ascii="黑体" w:hAnsi="黑体" w:eastAsia="黑体"/>
        </w:rPr>
        <w:t>机构设置</w:t>
      </w:r>
      <w:r>
        <w:tab/>
      </w:r>
      <w:r>
        <w:fldChar w:fldCharType="begin"/>
      </w:r>
      <w:r>
        <w:instrText xml:space="preserve"> PAGEREF _Toc6626 </w:instrText>
      </w:r>
      <w:r>
        <w:fldChar w:fldCharType="separate"/>
      </w:r>
      <w:r>
        <w:t>5</w:t>
      </w:r>
      <w:r>
        <w:fldChar w:fldCharType="end"/>
      </w:r>
      <w:r>
        <w:fldChar w:fldCharType="end"/>
      </w:r>
    </w:p>
    <w:p>
      <w:pPr>
        <w:pStyle w:val="10"/>
        <w:tabs>
          <w:tab w:val="right" w:leader="dot" w:pos="8306"/>
          <w:tab w:val="clear" w:pos="8296"/>
        </w:tabs>
      </w:pPr>
      <w:r>
        <w:fldChar w:fldCharType="begin"/>
      </w:r>
      <w:r>
        <w:instrText xml:space="preserve"> HYPERLINK \l "_Toc27089" </w:instrText>
      </w:r>
      <w:r>
        <w:fldChar w:fldCharType="separate"/>
      </w:r>
      <w:r>
        <w:rPr>
          <w:rFonts w:hint="eastAsia" w:ascii="黑体" w:hAnsi="黑体" w:eastAsia="黑体"/>
        </w:rPr>
        <w:t>第二部分 2019年度部门决算情况说明</w:t>
      </w:r>
      <w:r>
        <w:tab/>
      </w:r>
      <w:r>
        <w:fldChar w:fldCharType="begin"/>
      </w:r>
      <w:r>
        <w:instrText xml:space="preserve"> PAGEREF _Toc27089 </w:instrText>
      </w:r>
      <w:r>
        <w:fldChar w:fldCharType="separate"/>
      </w:r>
      <w:r>
        <w:t>7</w:t>
      </w:r>
      <w:r>
        <w:fldChar w:fldCharType="end"/>
      </w:r>
      <w:r>
        <w:fldChar w:fldCharType="end"/>
      </w:r>
    </w:p>
    <w:p>
      <w:pPr>
        <w:pStyle w:val="11"/>
        <w:tabs>
          <w:tab w:val="right" w:leader="dot" w:pos="8306"/>
          <w:tab w:val="clear" w:pos="8296"/>
        </w:tabs>
      </w:pPr>
      <w:r>
        <w:fldChar w:fldCharType="begin"/>
      </w:r>
      <w:r>
        <w:instrText xml:space="preserve"> HYPERLINK \l "_Toc7504"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_Toc7504 </w:instrText>
      </w:r>
      <w:r>
        <w:fldChar w:fldCharType="separate"/>
      </w:r>
      <w:r>
        <w:t>7</w:t>
      </w:r>
      <w:r>
        <w:fldChar w:fldCharType="end"/>
      </w:r>
      <w:r>
        <w:fldChar w:fldCharType="end"/>
      </w:r>
    </w:p>
    <w:p>
      <w:pPr>
        <w:pStyle w:val="11"/>
        <w:tabs>
          <w:tab w:val="right" w:leader="dot" w:pos="8306"/>
          <w:tab w:val="clear" w:pos="8296"/>
        </w:tabs>
      </w:pPr>
      <w:r>
        <w:fldChar w:fldCharType="begin"/>
      </w:r>
      <w:r>
        <w:instrText xml:space="preserve"> HYPERLINK \l "_Toc31389"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_Toc31389 </w:instrText>
      </w:r>
      <w:r>
        <w:fldChar w:fldCharType="separate"/>
      </w:r>
      <w:r>
        <w:t>7</w:t>
      </w:r>
      <w:r>
        <w:fldChar w:fldCharType="end"/>
      </w:r>
      <w:r>
        <w:fldChar w:fldCharType="end"/>
      </w:r>
    </w:p>
    <w:p>
      <w:pPr>
        <w:pStyle w:val="11"/>
        <w:tabs>
          <w:tab w:val="right" w:leader="dot" w:pos="8306"/>
          <w:tab w:val="clear" w:pos="8296"/>
        </w:tabs>
      </w:pPr>
      <w:r>
        <w:fldChar w:fldCharType="begin"/>
      </w:r>
      <w:r>
        <w:instrText xml:space="preserve"> HYPERLINK \l "_Toc6079"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_Toc6079 </w:instrText>
      </w:r>
      <w:r>
        <w:fldChar w:fldCharType="separate"/>
      </w:r>
      <w:r>
        <w:t>8</w:t>
      </w:r>
      <w:r>
        <w:fldChar w:fldCharType="end"/>
      </w:r>
      <w:r>
        <w:fldChar w:fldCharType="end"/>
      </w:r>
    </w:p>
    <w:p>
      <w:pPr>
        <w:pStyle w:val="11"/>
        <w:tabs>
          <w:tab w:val="right" w:leader="dot" w:pos="8306"/>
          <w:tab w:val="clear" w:pos="8296"/>
        </w:tabs>
      </w:pPr>
      <w:r>
        <w:fldChar w:fldCharType="begin"/>
      </w:r>
      <w:r>
        <w:instrText xml:space="preserve"> HYPERLINK \l "_Toc16427"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_Toc16427 </w:instrText>
      </w:r>
      <w:r>
        <w:fldChar w:fldCharType="separate"/>
      </w:r>
      <w:r>
        <w:t>8</w:t>
      </w:r>
      <w:r>
        <w:fldChar w:fldCharType="end"/>
      </w:r>
      <w:r>
        <w:fldChar w:fldCharType="end"/>
      </w:r>
    </w:p>
    <w:p>
      <w:pPr>
        <w:pStyle w:val="11"/>
        <w:tabs>
          <w:tab w:val="right" w:leader="dot" w:pos="8306"/>
          <w:tab w:val="clear" w:pos="8296"/>
        </w:tabs>
      </w:pPr>
      <w:r>
        <w:fldChar w:fldCharType="begin"/>
      </w:r>
      <w:r>
        <w:instrText xml:space="preserve"> HYPERLINK \l "_Toc441"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_Toc441 </w:instrText>
      </w:r>
      <w:r>
        <w:fldChar w:fldCharType="separate"/>
      </w:r>
      <w:r>
        <w:t>9</w:t>
      </w:r>
      <w:r>
        <w:fldChar w:fldCharType="end"/>
      </w:r>
      <w:r>
        <w:fldChar w:fldCharType="end"/>
      </w:r>
    </w:p>
    <w:p>
      <w:pPr>
        <w:pStyle w:val="6"/>
        <w:tabs>
          <w:tab w:val="right" w:leader="dot" w:pos="8306"/>
          <w:tab w:val="clear" w:pos="8296"/>
        </w:tabs>
      </w:pPr>
      <w:r>
        <w:fldChar w:fldCharType="begin"/>
      </w:r>
      <w:r>
        <w:instrText xml:space="preserve"> HYPERLINK \l "_Toc12382"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_Toc12382 </w:instrText>
      </w:r>
      <w:r>
        <w:fldChar w:fldCharType="separate"/>
      </w:r>
      <w:r>
        <w:t>9</w:t>
      </w:r>
      <w:r>
        <w:fldChar w:fldCharType="end"/>
      </w:r>
      <w:r>
        <w:fldChar w:fldCharType="end"/>
      </w:r>
    </w:p>
    <w:p>
      <w:pPr>
        <w:pStyle w:val="6"/>
        <w:tabs>
          <w:tab w:val="right" w:leader="dot" w:pos="8306"/>
          <w:tab w:val="clear" w:pos="8296"/>
        </w:tabs>
      </w:pPr>
      <w:r>
        <w:fldChar w:fldCharType="begin"/>
      </w:r>
      <w:r>
        <w:instrText xml:space="preserve"> HYPERLINK \l "_Toc32755" </w:instrText>
      </w:r>
      <w:r>
        <w:fldChar w:fldCharType="separate"/>
      </w:r>
      <w:r>
        <w:rPr>
          <w:rFonts w:hint="eastAsia" w:ascii="仿宋" w:hAnsi="仿宋" w:eastAsia="仿宋"/>
          <w:szCs w:val="32"/>
        </w:rPr>
        <w:t>（二）一般公共预算财政拨款支出决算结构情况</w:t>
      </w:r>
      <w:r>
        <w:tab/>
      </w:r>
      <w:r>
        <w:fldChar w:fldCharType="begin"/>
      </w:r>
      <w:r>
        <w:instrText xml:space="preserve"> PAGEREF _Toc32755 </w:instrText>
      </w:r>
      <w:r>
        <w:fldChar w:fldCharType="separate"/>
      </w:r>
      <w:r>
        <w:t>10</w:t>
      </w:r>
      <w:r>
        <w:fldChar w:fldCharType="end"/>
      </w:r>
      <w:r>
        <w:fldChar w:fldCharType="end"/>
      </w:r>
    </w:p>
    <w:p>
      <w:pPr>
        <w:pStyle w:val="6"/>
        <w:tabs>
          <w:tab w:val="right" w:leader="dot" w:pos="8306"/>
          <w:tab w:val="clear" w:pos="8296"/>
        </w:tabs>
      </w:pPr>
      <w:r>
        <w:fldChar w:fldCharType="begin"/>
      </w:r>
      <w:r>
        <w:instrText xml:space="preserve"> HYPERLINK \l "_Toc7766"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_Toc7766 </w:instrText>
      </w:r>
      <w:r>
        <w:fldChar w:fldCharType="separate"/>
      </w:r>
      <w:r>
        <w:t>11</w:t>
      </w:r>
      <w:r>
        <w:fldChar w:fldCharType="end"/>
      </w:r>
      <w:r>
        <w:fldChar w:fldCharType="end"/>
      </w:r>
    </w:p>
    <w:p>
      <w:pPr>
        <w:pStyle w:val="11"/>
        <w:tabs>
          <w:tab w:val="right" w:leader="dot" w:pos="8306"/>
          <w:tab w:val="clear" w:pos="8296"/>
        </w:tabs>
      </w:pPr>
      <w:r>
        <w:fldChar w:fldCharType="begin"/>
      </w:r>
      <w:r>
        <w:instrText xml:space="preserve"> HYPERLINK \l "_Toc21050"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_Toc21050 </w:instrText>
      </w:r>
      <w:r>
        <w:fldChar w:fldCharType="separate"/>
      </w:r>
      <w:r>
        <w:t>14</w:t>
      </w:r>
      <w:r>
        <w:fldChar w:fldCharType="end"/>
      </w:r>
      <w:r>
        <w:fldChar w:fldCharType="end"/>
      </w:r>
    </w:p>
    <w:p>
      <w:pPr>
        <w:pStyle w:val="11"/>
        <w:tabs>
          <w:tab w:val="right" w:leader="dot" w:pos="8306"/>
          <w:tab w:val="clear" w:pos="8296"/>
        </w:tabs>
      </w:pPr>
      <w:r>
        <w:fldChar w:fldCharType="begin"/>
      </w:r>
      <w:r>
        <w:instrText xml:space="preserve"> HYPERLINK \l "_Toc26680"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_Toc26680 </w:instrText>
      </w:r>
      <w:r>
        <w:fldChar w:fldCharType="separate"/>
      </w:r>
      <w:r>
        <w:t>15</w:t>
      </w:r>
      <w:r>
        <w:fldChar w:fldCharType="end"/>
      </w:r>
      <w:r>
        <w:fldChar w:fldCharType="end"/>
      </w:r>
    </w:p>
    <w:p>
      <w:pPr>
        <w:pStyle w:val="11"/>
        <w:tabs>
          <w:tab w:val="right" w:leader="dot" w:pos="8306"/>
          <w:tab w:val="clear" w:pos="8296"/>
        </w:tabs>
      </w:pPr>
      <w:r>
        <w:fldChar w:fldCharType="begin"/>
      </w:r>
      <w:r>
        <w:instrText xml:space="preserve"> HYPERLINK \l "_Toc15467"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_Toc15467 </w:instrText>
      </w:r>
      <w:r>
        <w:fldChar w:fldCharType="separate"/>
      </w:r>
      <w:r>
        <w:t>16</w:t>
      </w:r>
      <w:r>
        <w:fldChar w:fldCharType="end"/>
      </w:r>
      <w:r>
        <w:fldChar w:fldCharType="end"/>
      </w:r>
    </w:p>
    <w:p>
      <w:pPr>
        <w:pStyle w:val="11"/>
        <w:tabs>
          <w:tab w:val="right" w:leader="dot" w:pos="8306"/>
          <w:tab w:val="clear" w:pos="8296"/>
        </w:tabs>
      </w:pPr>
      <w:r>
        <w:fldChar w:fldCharType="begin"/>
      </w:r>
      <w:r>
        <w:instrText xml:space="preserve"> HYPERLINK \l "_Toc13498" </w:instrText>
      </w:r>
      <w:r>
        <w:fldChar w:fldCharType="separate"/>
      </w:r>
      <w:r>
        <w:rPr>
          <w:rFonts w:hint="eastAsia" w:ascii="黑体" w:hAnsi="黑体" w:eastAsia="黑体"/>
        </w:rPr>
        <w:t>九、 国有资本经营预算支出决算情况说明</w:t>
      </w:r>
      <w:r>
        <w:tab/>
      </w:r>
      <w:r>
        <w:fldChar w:fldCharType="begin"/>
      </w:r>
      <w:r>
        <w:instrText xml:space="preserve"> PAGEREF _Toc13498 </w:instrText>
      </w:r>
      <w:r>
        <w:fldChar w:fldCharType="separate"/>
      </w:r>
      <w:r>
        <w:t>16</w:t>
      </w:r>
      <w:r>
        <w:fldChar w:fldCharType="end"/>
      </w:r>
      <w:r>
        <w:fldChar w:fldCharType="end"/>
      </w:r>
    </w:p>
    <w:p>
      <w:pPr>
        <w:pStyle w:val="11"/>
        <w:tabs>
          <w:tab w:val="right" w:leader="dot" w:pos="8306"/>
          <w:tab w:val="clear" w:pos="8296"/>
        </w:tabs>
      </w:pPr>
      <w:r>
        <w:fldChar w:fldCharType="begin"/>
      </w:r>
      <w:r>
        <w:instrText xml:space="preserve"> HYPERLINK \l "_Toc29626"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_Toc29626 </w:instrText>
      </w:r>
      <w:r>
        <w:fldChar w:fldCharType="separate"/>
      </w:r>
      <w:r>
        <w:t>16</w:t>
      </w:r>
      <w:r>
        <w:fldChar w:fldCharType="end"/>
      </w:r>
      <w:r>
        <w:fldChar w:fldCharType="end"/>
      </w:r>
    </w:p>
    <w:p>
      <w:pPr>
        <w:pStyle w:val="6"/>
        <w:tabs>
          <w:tab w:val="right" w:leader="dot" w:pos="8306"/>
          <w:tab w:val="clear" w:pos="8296"/>
        </w:tabs>
      </w:pPr>
      <w:r>
        <w:fldChar w:fldCharType="begin"/>
      </w:r>
      <w:r>
        <w:instrText xml:space="preserve"> HYPERLINK \l "_Toc9697" </w:instrText>
      </w:r>
      <w:r>
        <w:fldChar w:fldCharType="separate"/>
      </w:r>
      <w:r>
        <w:rPr>
          <w:rFonts w:hint="eastAsia" w:ascii="仿宋" w:hAnsi="仿宋" w:eastAsia="仿宋"/>
          <w:szCs w:val="32"/>
        </w:rPr>
        <w:t>（一）机关运行经费支出情况</w:t>
      </w:r>
      <w:r>
        <w:tab/>
      </w:r>
      <w:r>
        <w:fldChar w:fldCharType="begin"/>
      </w:r>
      <w:r>
        <w:instrText xml:space="preserve"> PAGEREF _Toc9697 </w:instrText>
      </w:r>
      <w:r>
        <w:fldChar w:fldCharType="separate"/>
      </w:r>
      <w:r>
        <w:t>16</w:t>
      </w:r>
      <w:r>
        <w:fldChar w:fldCharType="end"/>
      </w:r>
      <w:r>
        <w:fldChar w:fldCharType="end"/>
      </w:r>
    </w:p>
    <w:p>
      <w:pPr>
        <w:pStyle w:val="6"/>
        <w:tabs>
          <w:tab w:val="right" w:leader="dot" w:pos="8306"/>
          <w:tab w:val="clear" w:pos="8296"/>
        </w:tabs>
      </w:pPr>
      <w:r>
        <w:fldChar w:fldCharType="begin"/>
      </w:r>
      <w:r>
        <w:instrText xml:space="preserve"> HYPERLINK \l "_Toc19746" </w:instrText>
      </w:r>
      <w:r>
        <w:fldChar w:fldCharType="separate"/>
      </w:r>
      <w:r>
        <w:rPr>
          <w:rFonts w:hint="eastAsia" w:ascii="仿宋" w:hAnsi="仿宋" w:eastAsia="仿宋"/>
          <w:szCs w:val="32"/>
        </w:rPr>
        <w:t>（二）政府采购支出情况</w:t>
      </w:r>
      <w:r>
        <w:tab/>
      </w:r>
      <w:r>
        <w:fldChar w:fldCharType="begin"/>
      </w:r>
      <w:r>
        <w:instrText xml:space="preserve"> PAGEREF _Toc19746 </w:instrText>
      </w:r>
      <w:r>
        <w:fldChar w:fldCharType="separate"/>
      </w:r>
      <w:r>
        <w:t>17</w:t>
      </w:r>
      <w:r>
        <w:fldChar w:fldCharType="end"/>
      </w:r>
      <w:r>
        <w:fldChar w:fldCharType="end"/>
      </w:r>
    </w:p>
    <w:p>
      <w:pPr>
        <w:pStyle w:val="6"/>
        <w:tabs>
          <w:tab w:val="right" w:leader="dot" w:pos="8306"/>
          <w:tab w:val="clear" w:pos="8296"/>
        </w:tabs>
      </w:pPr>
      <w:r>
        <w:fldChar w:fldCharType="begin"/>
      </w:r>
      <w:r>
        <w:instrText xml:space="preserve"> HYPERLINK \l "_Toc15538" </w:instrText>
      </w:r>
      <w:r>
        <w:fldChar w:fldCharType="separate"/>
      </w:r>
      <w:r>
        <w:rPr>
          <w:rFonts w:hint="eastAsia" w:ascii="仿宋" w:hAnsi="仿宋" w:eastAsia="仿宋"/>
          <w:szCs w:val="32"/>
        </w:rPr>
        <w:t>（三）国有资产占有使用情况</w:t>
      </w:r>
      <w:r>
        <w:tab/>
      </w:r>
      <w:r>
        <w:fldChar w:fldCharType="begin"/>
      </w:r>
      <w:r>
        <w:instrText xml:space="preserve"> PAGEREF _Toc15538 </w:instrText>
      </w:r>
      <w:r>
        <w:fldChar w:fldCharType="separate"/>
      </w:r>
      <w:r>
        <w:t>17</w:t>
      </w:r>
      <w:r>
        <w:fldChar w:fldCharType="end"/>
      </w:r>
      <w:r>
        <w:fldChar w:fldCharType="end"/>
      </w:r>
    </w:p>
    <w:p>
      <w:pPr>
        <w:pStyle w:val="6"/>
        <w:tabs>
          <w:tab w:val="right" w:leader="dot" w:pos="8306"/>
          <w:tab w:val="clear" w:pos="8296"/>
        </w:tabs>
      </w:pPr>
      <w:r>
        <w:fldChar w:fldCharType="begin"/>
      </w:r>
      <w:r>
        <w:instrText xml:space="preserve"> HYPERLINK \l "_Toc25688" </w:instrText>
      </w:r>
      <w:r>
        <w:fldChar w:fldCharType="separate"/>
      </w:r>
      <w:r>
        <w:rPr>
          <w:rFonts w:hint="eastAsia" w:ascii="仿宋" w:hAnsi="仿宋" w:eastAsia="仿宋"/>
          <w:szCs w:val="32"/>
        </w:rPr>
        <w:t>（四）预算绩效管理情况</w:t>
      </w:r>
      <w:r>
        <w:tab/>
      </w:r>
      <w:r>
        <w:fldChar w:fldCharType="begin"/>
      </w:r>
      <w:r>
        <w:instrText xml:space="preserve"> PAGEREF _Toc25688 </w:instrText>
      </w:r>
      <w:r>
        <w:fldChar w:fldCharType="separate"/>
      </w:r>
      <w:r>
        <w:t>17</w:t>
      </w:r>
      <w:r>
        <w:fldChar w:fldCharType="end"/>
      </w:r>
      <w:r>
        <w:fldChar w:fldCharType="end"/>
      </w:r>
    </w:p>
    <w:p>
      <w:pPr>
        <w:pStyle w:val="10"/>
        <w:tabs>
          <w:tab w:val="right" w:leader="dot" w:pos="8306"/>
          <w:tab w:val="clear" w:pos="8296"/>
        </w:tabs>
      </w:pPr>
      <w:r>
        <w:fldChar w:fldCharType="begin"/>
      </w:r>
      <w:r>
        <w:instrText xml:space="preserve"> HYPERLINK \l "_Toc20097"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_Toc20097 </w:instrText>
      </w:r>
      <w:r>
        <w:fldChar w:fldCharType="separate"/>
      </w:r>
      <w:r>
        <w:t>26</w:t>
      </w:r>
      <w:r>
        <w:fldChar w:fldCharType="end"/>
      </w:r>
      <w:r>
        <w:fldChar w:fldCharType="end"/>
      </w:r>
    </w:p>
    <w:p>
      <w:pPr>
        <w:pStyle w:val="10"/>
        <w:tabs>
          <w:tab w:val="right" w:leader="dot" w:pos="8306"/>
          <w:tab w:val="clear" w:pos="8296"/>
        </w:tabs>
        <w:rPr>
          <w:rFonts w:ascii="方正小标宋简体" w:hAnsi="宋体" w:eastAsia="方正小标宋简体"/>
          <w:color w:val="000000"/>
          <w:szCs w:val="36"/>
        </w:rPr>
      </w:pPr>
      <w:r>
        <w:fldChar w:fldCharType="begin"/>
      </w:r>
      <w:r>
        <w:instrText xml:space="preserve"> HYPERLINK \l "_Toc9353"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_Toc9353 </w:instrText>
      </w:r>
      <w:r>
        <w:fldChar w:fldCharType="separate"/>
      </w:r>
      <w:r>
        <w:t>35</w:t>
      </w:r>
      <w:r>
        <w:fldChar w:fldCharType="end"/>
      </w:r>
      <w:r>
        <w:fldChar w:fldCharType="end"/>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r>
        <w:tab/>
      </w:r>
      <w:r>
        <w:fldChar w:fldCharType="begin"/>
      </w:r>
      <w:r>
        <w:instrText xml:space="preserve"> PAGEREF _Toc9353 </w:instrText>
      </w:r>
      <w:r>
        <w:fldChar w:fldCharType="separate"/>
      </w:r>
      <w:r>
        <w:t>35</w:t>
      </w:r>
      <w:r>
        <w:fldChar w:fldCharType="end"/>
      </w:r>
    </w:p>
    <w:p>
      <w:pPr>
        <w:pStyle w:val="11"/>
        <w:adjustRightInd w:val="0"/>
        <w:snapToGrid w:val="0"/>
        <w:spacing w:line="440" w:lineRule="exact"/>
        <w:jc w:val="left"/>
      </w:pPr>
      <w:r>
        <w:rPr>
          <w:rFonts w:hint="eastAsia"/>
          <w:sz w:val="24"/>
        </w:rPr>
        <w:t>附件</w:t>
      </w:r>
      <w:r>
        <w:rPr>
          <w:sz w:val="24"/>
        </w:rPr>
        <w:t>2</w:t>
      </w:r>
      <w:r>
        <w:tab/>
      </w:r>
      <w:r>
        <w:fldChar w:fldCharType="begin"/>
      </w:r>
      <w:r>
        <w:instrText xml:space="preserve"> PAGEREF _Toc9353 </w:instrText>
      </w:r>
      <w:r>
        <w:fldChar w:fldCharType="separate"/>
      </w:r>
      <w:r>
        <w:t>3</w:t>
      </w:r>
      <w:r>
        <w:rPr>
          <w:rFonts w:hint="eastAsia"/>
        </w:rPr>
        <w:t>9</w:t>
      </w:r>
      <w:r>
        <w:fldChar w:fldCharType="end"/>
      </w:r>
    </w:p>
    <w:p>
      <w:pPr>
        <w:pStyle w:val="10"/>
        <w:tabs>
          <w:tab w:val="right" w:leader="dot" w:pos="8306"/>
          <w:tab w:val="clear" w:pos="8296"/>
        </w:tabs>
      </w:pPr>
      <w:r>
        <w:fldChar w:fldCharType="begin"/>
      </w:r>
      <w:r>
        <w:instrText xml:space="preserve"> HYPERLINK \l "_Toc16105"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_Toc16105 </w:instrText>
      </w:r>
      <w:r>
        <w:fldChar w:fldCharType="separate"/>
      </w:r>
      <w:r>
        <w:t>49</w:t>
      </w:r>
      <w:r>
        <w:fldChar w:fldCharType="end"/>
      </w:r>
      <w:r>
        <w:fldChar w:fldCharType="end"/>
      </w:r>
    </w:p>
    <w:p>
      <w:pPr>
        <w:pStyle w:val="11"/>
        <w:tabs>
          <w:tab w:val="right" w:leader="dot" w:pos="8306"/>
          <w:tab w:val="clear" w:pos="8296"/>
        </w:tabs>
      </w:pPr>
      <w:r>
        <w:fldChar w:fldCharType="begin"/>
      </w:r>
      <w:r>
        <w:instrText xml:space="preserve"> HYPERLINK \l "_Toc1456" </w:instrText>
      </w:r>
      <w:r>
        <w:fldChar w:fldCharType="separate"/>
      </w:r>
      <w:r>
        <w:rPr>
          <w:rFonts w:hint="eastAsia" w:ascii="仿宋" w:hAnsi="仿宋" w:eastAsia="仿宋"/>
        </w:rPr>
        <w:t>一、收入支出决算总表</w:t>
      </w:r>
      <w:r>
        <w:tab/>
      </w:r>
      <w:r>
        <w:fldChar w:fldCharType="begin"/>
      </w:r>
      <w:r>
        <w:instrText xml:space="preserve"> PAGEREF _Toc1456 </w:instrText>
      </w:r>
      <w:r>
        <w:fldChar w:fldCharType="separate"/>
      </w:r>
      <w:r>
        <w:t>49</w:t>
      </w:r>
      <w:r>
        <w:fldChar w:fldCharType="end"/>
      </w:r>
      <w:r>
        <w:fldChar w:fldCharType="end"/>
      </w:r>
    </w:p>
    <w:p>
      <w:pPr>
        <w:pStyle w:val="11"/>
        <w:tabs>
          <w:tab w:val="right" w:leader="dot" w:pos="8306"/>
          <w:tab w:val="clear" w:pos="8296"/>
        </w:tabs>
      </w:pPr>
      <w:r>
        <w:fldChar w:fldCharType="begin"/>
      </w:r>
      <w:r>
        <w:instrText xml:space="preserve"> HYPERLINK \l "_Toc155" </w:instrText>
      </w:r>
      <w:r>
        <w:fldChar w:fldCharType="separate"/>
      </w:r>
      <w:r>
        <w:rPr>
          <w:rFonts w:hint="eastAsia" w:ascii="仿宋" w:hAnsi="仿宋" w:eastAsia="仿宋"/>
        </w:rPr>
        <w:t>二、收入决算表</w:t>
      </w:r>
      <w:r>
        <w:tab/>
      </w:r>
      <w:r>
        <w:fldChar w:fldCharType="begin"/>
      </w:r>
      <w:r>
        <w:instrText xml:space="preserve"> PAGEREF _Toc155 </w:instrText>
      </w:r>
      <w:r>
        <w:fldChar w:fldCharType="separate"/>
      </w:r>
      <w:r>
        <w:t>49</w:t>
      </w:r>
      <w:r>
        <w:fldChar w:fldCharType="end"/>
      </w:r>
      <w:r>
        <w:fldChar w:fldCharType="end"/>
      </w:r>
    </w:p>
    <w:p>
      <w:pPr>
        <w:pStyle w:val="11"/>
        <w:tabs>
          <w:tab w:val="right" w:leader="dot" w:pos="8306"/>
          <w:tab w:val="clear" w:pos="8296"/>
        </w:tabs>
      </w:pPr>
      <w:r>
        <w:fldChar w:fldCharType="begin"/>
      </w:r>
      <w:r>
        <w:instrText xml:space="preserve"> HYPERLINK \l "_Toc9414" </w:instrText>
      </w:r>
      <w:r>
        <w:fldChar w:fldCharType="separate"/>
      </w:r>
      <w:r>
        <w:rPr>
          <w:rFonts w:hint="eastAsia" w:ascii="仿宋" w:hAnsi="仿宋" w:eastAsia="仿宋"/>
        </w:rPr>
        <w:t>三、支出决算表</w:t>
      </w:r>
      <w:r>
        <w:tab/>
      </w:r>
      <w:r>
        <w:fldChar w:fldCharType="begin"/>
      </w:r>
      <w:r>
        <w:instrText xml:space="preserve"> PAGEREF _Toc9414 </w:instrText>
      </w:r>
      <w:r>
        <w:fldChar w:fldCharType="separate"/>
      </w:r>
      <w:r>
        <w:t>49</w:t>
      </w:r>
      <w:r>
        <w:fldChar w:fldCharType="end"/>
      </w:r>
      <w:r>
        <w:fldChar w:fldCharType="end"/>
      </w:r>
    </w:p>
    <w:p>
      <w:pPr>
        <w:pStyle w:val="11"/>
        <w:tabs>
          <w:tab w:val="right" w:leader="dot" w:pos="8306"/>
          <w:tab w:val="clear" w:pos="8296"/>
        </w:tabs>
      </w:pPr>
      <w:r>
        <w:fldChar w:fldCharType="begin"/>
      </w:r>
      <w:r>
        <w:instrText xml:space="preserve"> HYPERLINK \l "_Toc12654" </w:instrText>
      </w:r>
      <w:r>
        <w:fldChar w:fldCharType="separate"/>
      </w:r>
      <w:r>
        <w:rPr>
          <w:rFonts w:hint="eastAsia" w:ascii="仿宋" w:hAnsi="仿宋" w:eastAsia="仿宋"/>
        </w:rPr>
        <w:t>四、财政拨款收入支出决算总表</w:t>
      </w:r>
      <w:r>
        <w:tab/>
      </w:r>
      <w:r>
        <w:fldChar w:fldCharType="begin"/>
      </w:r>
      <w:r>
        <w:instrText xml:space="preserve"> PAGEREF _Toc12654 </w:instrText>
      </w:r>
      <w:r>
        <w:fldChar w:fldCharType="separate"/>
      </w:r>
      <w:r>
        <w:t>49</w:t>
      </w:r>
      <w:r>
        <w:fldChar w:fldCharType="end"/>
      </w:r>
      <w:r>
        <w:fldChar w:fldCharType="end"/>
      </w:r>
    </w:p>
    <w:p>
      <w:pPr>
        <w:pStyle w:val="11"/>
        <w:tabs>
          <w:tab w:val="right" w:leader="dot" w:pos="8306"/>
          <w:tab w:val="clear" w:pos="8296"/>
        </w:tabs>
      </w:pPr>
      <w:r>
        <w:fldChar w:fldCharType="begin"/>
      </w:r>
      <w:r>
        <w:instrText xml:space="preserve"> HYPERLINK \l "_Toc14381" </w:instrText>
      </w:r>
      <w:r>
        <w:fldChar w:fldCharType="separate"/>
      </w:r>
      <w:r>
        <w:rPr>
          <w:rFonts w:hint="eastAsia" w:ascii="仿宋" w:hAnsi="仿宋" w:eastAsia="仿宋"/>
        </w:rPr>
        <w:t>五、一般公共预算财政拨款支出决算表</w:t>
      </w:r>
      <w:r>
        <w:tab/>
      </w:r>
      <w:r>
        <w:fldChar w:fldCharType="begin"/>
      </w:r>
      <w:r>
        <w:instrText xml:space="preserve"> PAGEREF _Toc14381 </w:instrText>
      </w:r>
      <w:r>
        <w:fldChar w:fldCharType="separate"/>
      </w:r>
      <w:r>
        <w:t>49</w:t>
      </w:r>
      <w:r>
        <w:fldChar w:fldCharType="end"/>
      </w:r>
      <w:r>
        <w:fldChar w:fldCharType="end"/>
      </w:r>
    </w:p>
    <w:p>
      <w:pPr>
        <w:pStyle w:val="11"/>
        <w:tabs>
          <w:tab w:val="right" w:leader="dot" w:pos="8306"/>
          <w:tab w:val="clear" w:pos="8296"/>
        </w:tabs>
      </w:pPr>
      <w:r>
        <w:fldChar w:fldCharType="begin"/>
      </w:r>
      <w:r>
        <w:instrText xml:space="preserve"> HYPERLINK \l "_Toc5436" </w:instrText>
      </w:r>
      <w:r>
        <w:fldChar w:fldCharType="separate"/>
      </w:r>
      <w:r>
        <w:rPr>
          <w:rFonts w:hint="eastAsia" w:ascii="仿宋" w:hAnsi="仿宋" w:eastAsia="仿宋"/>
        </w:rPr>
        <w:t>六、一般公共预算财政拨款支出决算明细表</w:t>
      </w:r>
      <w:r>
        <w:tab/>
      </w:r>
      <w:r>
        <w:fldChar w:fldCharType="begin"/>
      </w:r>
      <w:r>
        <w:instrText xml:space="preserve"> PAGEREF _Toc5436 </w:instrText>
      </w:r>
      <w:r>
        <w:fldChar w:fldCharType="separate"/>
      </w:r>
      <w:r>
        <w:t>49</w:t>
      </w:r>
      <w:r>
        <w:fldChar w:fldCharType="end"/>
      </w:r>
      <w:r>
        <w:fldChar w:fldCharType="end"/>
      </w:r>
    </w:p>
    <w:p>
      <w:pPr>
        <w:pStyle w:val="11"/>
        <w:tabs>
          <w:tab w:val="right" w:leader="dot" w:pos="8306"/>
          <w:tab w:val="clear" w:pos="8296"/>
        </w:tabs>
      </w:pPr>
      <w:r>
        <w:fldChar w:fldCharType="begin"/>
      </w:r>
      <w:r>
        <w:instrText xml:space="preserve"> HYPERLINK \l "_Toc991" </w:instrText>
      </w:r>
      <w:r>
        <w:fldChar w:fldCharType="separate"/>
      </w:r>
      <w:r>
        <w:rPr>
          <w:rFonts w:hint="eastAsia" w:ascii="仿宋" w:hAnsi="仿宋" w:eastAsia="仿宋"/>
        </w:rPr>
        <w:t>七、一般公共预算财政拨款“三公”经费支出决算表</w:t>
      </w:r>
      <w:r>
        <w:tab/>
      </w:r>
      <w:r>
        <w:fldChar w:fldCharType="begin"/>
      </w:r>
      <w:r>
        <w:instrText xml:space="preserve"> PAGEREF _Toc991 </w:instrText>
      </w:r>
      <w:r>
        <w:fldChar w:fldCharType="separate"/>
      </w:r>
      <w:r>
        <w:t>49</w:t>
      </w:r>
      <w:r>
        <w:fldChar w:fldCharType="end"/>
      </w:r>
      <w:r>
        <w:fldChar w:fldCharType="end"/>
      </w:r>
    </w:p>
    <w:p>
      <w:pPr>
        <w:widowControl/>
        <w:jc w:val="left"/>
        <w:rPr>
          <w:rFonts w:ascii="黑体" w:hAnsi="黑体" w:eastAsia="黑体"/>
        </w:rPr>
      </w:pPr>
      <w:r>
        <w:rPr>
          <w:rFonts w:ascii="方正小标宋简体" w:hAnsi="宋体" w:eastAsia="方正小标宋简体"/>
          <w:color w:val="000000"/>
          <w:szCs w:val="36"/>
        </w:rPr>
        <w:fldChar w:fldCharType="end"/>
      </w:r>
      <w:bookmarkStart w:id="15" w:name="_Toc15377196"/>
      <w:bookmarkStart w:id="16" w:name="_Toc13175"/>
      <w:bookmarkStart w:id="17" w:name="_Toc15396599"/>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5"/>
      <w:bookmarkEnd w:id="16"/>
      <w:bookmarkEnd w:id="17"/>
    </w:p>
    <w:p>
      <w:pPr>
        <w:widowControl/>
        <w:jc w:val="left"/>
        <w:rPr>
          <w:rFonts w:ascii="黑体" w:eastAsia="黑体"/>
          <w:color w:val="000000"/>
          <w:sz w:val="32"/>
          <w:szCs w:val="32"/>
        </w:rPr>
      </w:pPr>
    </w:p>
    <w:p>
      <w:pPr>
        <w:pStyle w:val="3"/>
        <w:rPr>
          <w:rStyle w:val="25"/>
          <w:rFonts w:ascii="仿宋" w:hAnsi="仿宋" w:eastAsia="仿宋"/>
          <w:b w:val="0"/>
          <w:bCs w:val="0"/>
        </w:rPr>
      </w:pPr>
      <w:bookmarkStart w:id="18" w:name="_Toc15377197"/>
      <w:bookmarkStart w:id="19" w:name="_Toc15396600"/>
      <w:bookmarkStart w:id="20" w:name="_Toc1594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8"/>
      <w:bookmarkEnd w:id="19"/>
      <w:bookmarkEnd w:id="20"/>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1" w:name="_Toc15378445"/>
      <w:bookmarkStart w:id="22" w:name="_Toc15377198"/>
      <w:bookmarkStart w:id="23" w:name="_Toc17956"/>
      <w:r>
        <w:rPr>
          <w:rFonts w:hint="eastAsia" w:ascii="仿宋" w:hAnsi="仿宋" w:eastAsia="仿宋"/>
          <w:bCs/>
          <w:color w:val="000000"/>
          <w:sz w:val="32"/>
          <w:szCs w:val="32"/>
        </w:rPr>
        <w:t>（一）主要职能。</w:t>
      </w:r>
      <w:bookmarkEnd w:id="21"/>
      <w:bookmarkEnd w:id="22"/>
      <w:bookmarkEnd w:id="23"/>
    </w:p>
    <w:p>
      <w:pPr>
        <w:pStyle w:val="5"/>
        <w:adjustRightInd w:val="0"/>
        <w:snapToGrid w:val="0"/>
        <w:spacing w:before="93" w:line="600" w:lineRule="exact"/>
        <w:ind w:firstLine="640" w:firstLineChars="200"/>
        <w:outlineLvl w:val="2"/>
        <w:rPr>
          <w:rFonts w:ascii="仿宋" w:hAnsi="仿宋" w:eastAsia="仿宋"/>
          <w:bCs/>
          <w:color w:val="000000"/>
          <w:sz w:val="32"/>
          <w:szCs w:val="32"/>
        </w:rPr>
      </w:pPr>
      <w:bookmarkStart w:id="24" w:name="_Toc12168"/>
      <w:r>
        <w:rPr>
          <w:rFonts w:hint="eastAsia" w:ascii="仿宋" w:hAnsi="仿宋" w:eastAsia="仿宋"/>
          <w:bCs/>
          <w:color w:val="000000"/>
          <w:sz w:val="32"/>
          <w:szCs w:val="32"/>
        </w:rPr>
        <w:t>镇党政机构具有党委和政府两种职能，党委领导政府工作，主要是政治思想和方针政策的领导，干部的选拔，考核和监督，经济和行政工作中重大问题的决策。镇政府是基层国家行政机关，行使本行政区的行政职能。</w:t>
      </w:r>
      <w:bookmarkEnd w:id="24"/>
    </w:p>
    <w:p>
      <w:pPr>
        <w:pStyle w:val="5"/>
        <w:adjustRightInd w:val="0"/>
        <w:snapToGrid w:val="0"/>
        <w:spacing w:before="93" w:line="600" w:lineRule="exact"/>
        <w:outlineLvl w:val="2"/>
        <w:rPr>
          <w:rFonts w:ascii="仿宋" w:hAnsi="仿宋" w:eastAsia="仿宋"/>
          <w:bCs/>
          <w:color w:val="000000"/>
          <w:sz w:val="32"/>
          <w:szCs w:val="32"/>
        </w:rPr>
      </w:pPr>
      <w:bookmarkStart w:id="25" w:name="_Toc17088"/>
      <w:r>
        <w:rPr>
          <w:rFonts w:hint="eastAsia" w:ascii="仿宋" w:hAnsi="仿宋" w:eastAsia="仿宋"/>
          <w:bCs/>
          <w:color w:val="000000"/>
          <w:sz w:val="32"/>
          <w:szCs w:val="32"/>
        </w:rPr>
        <w:t>（1）党委工作职责：一是保证党的路线、方针、政策的坚决贯彻执行。二是保证监督职能。三是教育和管理职能。四是服从和服务于经济建设的职能。五是负责抓好本镇党建工作、群团工作、精神文明建设工作、新闻宣传工作。六是完成上级组织交给的其他工作任务。</w:t>
      </w:r>
      <w:bookmarkEnd w:id="25"/>
    </w:p>
    <w:p>
      <w:pPr>
        <w:pStyle w:val="5"/>
        <w:adjustRightInd w:val="0"/>
        <w:snapToGrid w:val="0"/>
        <w:spacing w:before="93" w:line="600" w:lineRule="exact"/>
        <w:outlineLvl w:val="2"/>
        <w:rPr>
          <w:rFonts w:ascii="仿宋" w:hAnsi="仿宋" w:eastAsia="仿宋"/>
          <w:bCs/>
          <w:color w:val="000000"/>
          <w:sz w:val="32"/>
          <w:szCs w:val="32"/>
        </w:rPr>
      </w:pPr>
      <w:bookmarkStart w:id="26" w:name="_Toc25694"/>
      <w:r>
        <w:rPr>
          <w:rFonts w:hint="eastAsia" w:ascii="仿宋" w:hAnsi="仿宋" w:eastAsia="仿宋"/>
          <w:bCs/>
          <w:color w:val="000000"/>
          <w:sz w:val="32"/>
          <w:szCs w:val="32"/>
        </w:rPr>
        <w:t>（2）政府职能：一是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二是制定并组织实施村镇建设规划，部署重点工程建设，地方道路建设及公共设施，水利设施的管理，负责土地、林木、水等自然资源和生态环境的保护，做好护林防火工作。三是负责本行政区域内的民政、计划生育、文化教育、卫生、体育等社会公益事业的综合性工作，维护一切经济单位和个人的正当经济权益，取缔非法经济活动，调解和处理民事纠纷，打击刑事犯罪维护社会稳定。四是按计划组织本级财政收入和地方税的征收，完成国家财政计划，不断培植税源，管好财政资金，增强财政实力。五是抓好精神文明建设，丰富群众文化生活，提倡移风易俗，反对封建迷信，破除陈规陋习，树立社会主义新风尚。六是完成上级政府交办的其它事项。</w:t>
      </w:r>
      <w:bookmarkEnd w:id="26"/>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7" w:name="_Toc15377199"/>
      <w:bookmarkStart w:id="28" w:name="_Toc20837"/>
      <w:bookmarkStart w:id="2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7"/>
      <w:bookmarkEnd w:id="28"/>
      <w:bookmarkEnd w:id="29"/>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30" w:name="_Toc10653"/>
      <w:r>
        <w:rPr>
          <w:rFonts w:hint="eastAsia" w:ascii="仿宋" w:hAnsi="仿宋" w:eastAsia="仿宋"/>
          <w:bCs/>
          <w:color w:val="000000"/>
          <w:sz w:val="32"/>
          <w:szCs w:val="32"/>
        </w:rPr>
        <w:t>一是抓落实，脱贫攻坚成效显著。全镇现在库贫困人口840户3201人，贫困村5个。截</w:t>
      </w:r>
      <w:r>
        <w:rPr>
          <w:rFonts w:hint="eastAsia" w:ascii="仿宋" w:hAnsi="仿宋" w:eastAsia="仿宋"/>
          <w:bCs/>
          <w:color w:val="000000"/>
          <w:sz w:val="32"/>
          <w:szCs w:val="32"/>
          <w:lang w:eastAsia="zh-CN"/>
        </w:rPr>
        <w:t>至</w:t>
      </w:r>
      <w:r>
        <w:rPr>
          <w:rFonts w:hint="eastAsia" w:ascii="仿宋" w:hAnsi="仿宋" w:eastAsia="仿宋"/>
          <w:bCs/>
          <w:color w:val="000000"/>
          <w:sz w:val="32"/>
          <w:szCs w:val="32"/>
        </w:rPr>
        <w:t>目前，累计脱贫830户3172人，仅10户29人未脱贫，5个重点贫困村退出序列，全镇贫困发生率由16.9%降至0.14%。倾心做好帮扶工作。全县17个帮扶单位、431名帮扶干部精准结对帮扶贫困户，结合致贫原因、围绕“五个一批”精心制定帮扶计划，贫困群众收入稳定增长。</w:t>
      </w:r>
      <w:bookmarkEnd w:id="30"/>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31" w:name="_Toc17466"/>
      <w:r>
        <w:rPr>
          <w:rFonts w:hint="eastAsia" w:ascii="仿宋" w:hAnsi="仿宋" w:eastAsia="仿宋"/>
          <w:bCs/>
          <w:color w:val="000000"/>
          <w:sz w:val="32"/>
          <w:szCs w:val="32"/>
        </w:rPr>
        <w:t>二是调结构，农业产业持续优化。2019年兑现产业扶持基金200万元；完成贫困户小额贷款共计918.05万元，贴息16.4698万元；产业增量奖补资金160.6万元，因地制宜发展雷竹、栀子、银花中药材乡村特色产业。大小春粮食播种面积38005亩，总产量11400吨。养殖业方面，生猪存栏6750头，出栏11200头；本地黄牛存栏4780头，出栏870头；南江黄羊存栏3800头，出栏2050头；土鸡存栏67800只，出栏49500只。</w:t>
      </w:r>
      <w:bookmarkEnd w:id="31"/>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32" w:name="_Toc18183"/>
      <w:r>
        <w:rPr>
          <w:rFonts w:hint="eastAsia" w:ascii="仿宋" w:hAnsi="仿宋" w:eastAsia="仿宋"/>
          <w:bCs/>
          <w:color w:val="000000"/>
          <w:sz w:val="32"/>
          <w:szCs w:val="32"/>
        </w:rPr>
        <w:t>三是抓项目，基础设施不断夯实。新建道路11.3公里，渡改桥1座。建成全镇30余处安全饮水集中供水点。实现广播电视和宽带网络全覆盖。村村建有标准化文化室和卫生室。住居条件有效改善。实施易地扶贫搬迁 428户、农村危房改造515户，建有黄村坪安置社区等6个集中安置点。</w:t>
      </w:r>
      <w:bookmarkEnd w:id="32"/>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33" w:name="_Toc20839"/>
      <w:r>
        <w:rPr>
          <w:rFonts w:hint="eastAsia" w:ascii="仿宋" w:hAnsi="仿宋" w:eastAsia="仿宋"/>
          <w:bCs/>
          <w:color w:val="000000"/>
          <w:sz w:val="32"/>
          <w:szCs w:val="32"/>
        </w:rPr>
        <w:t>四是抓统筹，民生保障明显增进。落实兜底保障。全镇1315人实施了低保兜底、残疾补助等救助政策。2019年全镇新农合参保率达95%以上，总共住院740人次（门诊大病6人次），报账金额306.8万元。严格控辍保学。全镇小学入学率达100%，初中入学率达100%，正文小学、砥坝小学顺利通过义务均衡教育国检。实施“雨露计划”教育帮扶73户84人16.8万元。积极促进就业。开展免费职业技能培训，培训学员达600人次。通过设置生态护林员等公益性岗位，解决困难群众就近就业91余人次，增加贫困户家庭收入4千多元。</w:t>
      </w:r>
      <w:bookmarkEnd w:id="33"/>
    </w:p>
    <w:p>
      <w:pPr>
        <w:pStyle w:val="3"/>
        <w:rPr>
          <w:rStyle w:val="25"/>
          <w:b w:val="0"/>
          <w:bCs w:val="0"/>
        </w:rPr>
      </w:pPr>
      <w:bookmarkStart w:id="34" w:name="_Toc15396601"/>
      <w:bookmarkStart w:id="35" w:name="_Toc15377200"/>
      <w:bookmarkStart w:id="36" w:name="_Toc6626"/>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34"/>
      <w:bookmarkEnd w:id="35"/>
      <w:bookmarkEnd w:id="36"/>
    </w:p>
    <w:p>
      <w:pPr>
        <w:ind w:firstLine="800" w:firstLineChars="250"/>
        <w:rPr>
          <w:rFonts w:ascii="仿宋" w:hAnsi="仿宋" w:eastAsia="仿宋"/>
          <w:sz w:val="32"/>
          <w:szCs w:val="32"/>
        </w:rPr>
      </w:pPr>
      <w:r>
        <w:rPr>
          <w:rFonts w:hint="eastAsia" w:ascii="仿宋" w:hAnsi="仿宋" w:eastAsia="仿宋"/>
          <w:sz w:val="32"/>
          <w:szCs w:val="32"/>
        </w:rPr>
        <w:t>板桥口镇行政单位1个，下属二级单位3个，其中：参照公务员法管理的事业单位无，其他事业单位3个。</w:t>
      </w:r>
    </w:p>
    <w:p>
      <w:pPr>
        <w:ind w:firstLine="800" w:firstLineChars="250"/>
        <w:rPr>
          <w:rFonts w:ascii="仿宋" w:hAnsi="仿宋" w:eastAsia="仿宋"/>
          <w:sz w:val="32"/>
          <w:szCs w:val="32"/>
        </w:rPr>
      </w:pPr>
      <w:r>
        <w:rPr>
          <w:rFonts w:hint="eastAsia" w:ascii="仿宋" w:hAnsi="仿宋" w:eastAsia="仿宋"/>
          <w:sz w:val="32"/>
          <w:szCs w:val="32"/>
        </w:rPr>
        <w:t>纳入2019年度部门决算编制范围的二级预算单位包括：</w:t>
      </w:r>
    </w:p>
    <w:p>
      <w:pPr>
        <w:ind w:firstLine="800" w:firstLineChars="250"/>
        <w:rPr>
          <w:rFonts w:ascii="仿宋" w:hAnsi="仿宋" w:eastAsia="仿宋"/>
          <w:sz w:val="32"/>
          <w:szCs w:val="32"/>
        </w:rPr>
      </w:pPr>
      <w:r>
        <w:rPr>
          <w:rFonts w:hint="eastAsia" w:ascii="仿宋" w:hAnsi="仿宋" w:eastAsia="仿宋"/>
          <w:sz w:val="32"/>
          <w:szCs w:val="32"/>
        </w:rPr>
        <w:t>1.砥坝小学</w:t>
      </w:r>
    </w:p>
    <w:p>
      <w:pPr>
        <w:ind w:firstLine="800" w:firstLineChars="250"/>
        <w:rPr>
          <w:rFonts w:ascii="仿宋" w:hAnsi="仿宋" w:eastAsia="仿宋"/>
          <w:sz w:val="32"/>
          <w:szCs w:val="32"/>
        </w:rPr>
      </w:pPr>
      <w:r>
        <w:rPr>
          <w:rFonts w:hint="eastAsia" w:ascii="仿宋" w:hAnsi="仿宋" w:eastAsia="仿宋"/>
          <w:sz w:val="32"/>
          <w:szCs w:val="32"/>
        </w:rPr>
        <w:t>2.正文小学</w:t>
      </w:r>
    </w:p>
    <w:p>
      <w:pPr>
        <w:ind w:firstLine="800" w:firstLineChars="250"/>
        <w:rPr>
          <w:rFonts w:ascii="仿宋" w:hAnsi="仿宋" w:eastAsia="仿宋"/>
          <w:sz w:val="32"/>
          <w:szCs w:val="32"/>
        </w:rPr>
      </w:pPr>
      <w:r>
        <w:rPr>
          <w:rFonts w:hint="eastAsia" w:ascii="仿宋" w:hAnsi="仿宋" w:eastAsia="仿宋"/>
          <w:sz w:val="32"/>
          <w:szCs w:val="32"/>
        </w:rPr>
        <w:t>3.卫生院</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37" w:name="_Toc27089"/>
      <w:bookmarkStart w:id="38" w:name="_Toc15377204"/>
      <w:bookmarkStart w:id="39"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37"/>
      <w:bookmarkEnd w:id="38"/>
      <w:bookmarkEnd w:id="39"/>
    </w:p>
    <w:p/>
    <w:p>
      <w:pPr>
        <w:pStyle w:val="23"/>
        <w:numPr>
          <w:ilvl w:val="0"/>
          <w:numId w:val="1"/>
        </w:numPr>
        <w:spacing w:line="600" w:lineRule="exact"/>
        <w:ind w:firstLineChars="0"/>
        <w:outlineLvl w:val="1"/>
        <w:rPr>
          <w:rStyle w:val="25"/>
          <w:rFonts w:ascii="黑体" w:hAnsi="黑体" w:eastAsia="黑体"/>
          <w:b w:val="0"/>
        </w:rPr>
      </w:pPr>
      <w:bookmarkStart w:id="40" w:name="_Toc7504"/>
      <w:bookmarkStart w:id="41" w:name="_Toc15396603"/>
      <w:bookmarkStart w:id="42"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40"/>
      <w:bookmarkEnd w:id="41"/>
      <w:bookmarkEnd w:id="42"/>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2019年度收入总计4217.71万元（其中包含2018年结转28.71万元），本年收入与2018年相比减少319.28万元，下降7.04</w:t>
      </w:r>
      <w:r>
        <w:rPr>
          <w:rFonts w:ascii="仿宋" w:hAnsi="仿宋" w:eastAsia="仿宋"/>
          <w:color w:val="000000"/>
          <w:sz w:val="32"/>
          <w:szCs w:val="32"/>
        </w:rPr>
        <w:t>%</w:t>
      </w:r>
      <w:r>
        <w:rPr>
          <w:rFonts w:hint="eastAsia" w:ascii="仿宋" w:hAnsi="仿宋" w:eastAsia="仿宋"/>
          <w:color w:val="000000"/>
          <w:sz w:val="32"/>
          <w:szCs w:val="32"/>
        </w:rPr>
        <w:t>。2019年度支出4217.71万元，与2018年相比减少290.37万元，下降6.44%。总计主要变动原因是人员和脱贫攻坚项目的减少使得经费相应减少。</w:t>
      </w:r>
    </w:p>
    <w:p>
      <w:pPr>
        <w:widowControl/>
        <w:jc w:val="left"/>
        <w:rPr>
          <w:rFonts w:ascii="宋体" w:hAnsi="宋体" w:cs="宋体"/>
          <w:kern w:val="0"/>
          <w:sz w:val="24"/>
          <w:lang w:bidi="ar"/>
        </w:rPr>
      </w:pPr>
      <w:r>
        <w:rPr>
          <w:rFonts w:ascii="宋体" w:hAnsi="宋体" w:cs="宋体"/>
          <w:kern w:val="0"/>
          <w:sz w:val="24"/>
        </w:rPr>
        <w:drawing>
          <wp:inline distT="0" distB="0" distL="114300" distR="114300">
            <wp:extent cx="4594860" cy="2701290"/>
            <wp:effectExtent l="0" t="0" r="2540" b="381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4594860" cy="2701290"/>
                    </a:xfrm>
                    <a:prstGeom prst="rect">
                      <a:avLst/>
                    </a:prstGeom>
                    <a:noFill/>
                    <a:ln w="9525">
                      <a:noFill/>
                    </a:ln>
                  </pic:spPr>
                </pic:pic>
              </a:graphicData>
            </a:graphic>
          </wp:inline>
        </w:drawing>
      </w:r>
    </w:p>
    <w:p>
      <w:pPr>
        <w:spacing w:line="600" w:lineRule="exact"/>
        <w:ind w:firstLine="640" w:firstLineChars="200"/>
        <w:rPr>
          <w:rFonts w:ascii="宋体" w:hAnsi="宋体" w:cs="宋体"/>
          <w:kern w:val="0"/>
          <w:sz w:val="24"/>
          <w:lang w:bidi="ar"/>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43" w:name="_Toc15396604"/>
      <w:bookmarkStart w:id="44" w:name="_Toc31389"/>
      <w:bookmarkStart w:id="45"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43"/>
      <w:bookmarkEnd w:id="44"/>
      <w:bookmarkEnd w:id="45"/>
    </w:p>
    <w:p>
      <w:pPr>
        <w:spacing w:line="600" w:lineRule="exact"/>
        <w:ind w:firstLine="640" w:firstLineChars="200"/>
        <w:outlineLvl w:val="1"/>
        <w:rPr>
          <w:rFonts w:ascii="仿宋" w:hAnsi="仿宋" w:eastAsia="仿宋"/>
          <w:color w:val="000000"/>
          <w:sz w:val="32"/>
          <w:szCs w:val="32"/>
        </w:rPr>
      </w:pPr>
      <w:bookmarkStart w:id="46" w:name="_Toc5705"/>
      <w:r>
        <w:rPr>
          <w:rFonts w:ascii="仿宋" w:hAnsi="仿宋" w:eastAsia="仿宋"/>
          <w:color w:val="000000"/>
          <w:sz w:val="32"/>
          <w:szCs w:val="32"/>
        </w:rPr>
        <w:t>201</w:t>
      </w:r>
      <w:r>
        <w:rPr>
          <w:rFonts w:hint="eastAsia" w:ascii="仿宋" w:hAnsi="仿宋" w:eastAsia="仿宋"/>
          <w:color w:val="000000"/>
          <w:sz w:val="32"/>
          <w:szCs w:val="32"/>
        </w:rPr>
        <w:t>9年本年收入合计4217.71万元，其中：一般公共预算财政拨款收入3867.5万元，占91.7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；政府性基金预算财政拨款收入167.05万元，占3.96</w:t>
      </w:r>
      <w:r>
        <w:rPr>
          <w:rFonts w:ascii="仿宋" w:hAnsi="仿宋" w:eastAsia="仿宋"/>
          <w:color w:val="000000"/>
          <w:sz w:val="32"/>
          <w:szCs w:val="32"/>
        </w:rPr>
        <w:t>%</w:t>
      </w:r>
      <w:r>
        <w:rPr>
          <w:rFonts w:hint="eastAsia" w:ascii="仿宋" w:hAnsi="仿宋" w:eastAsia="仿宋"/>
          <w:color w:val="000000"/>
          <w:sz w:val="32"/>
          <w:szCs w:val="32"/>
        </w:rPr>
        <w:t>；事业收入154.05万元，占3.65</w:t>
      </w:r>
      <w:r>
        <w:rPr>
          <w:rFonts w:ascii="仿宋" w:hAnsi="仿宋" w:eastAsia="仿宋"/>
          <w:color w:val="000000"/>
          <w:sz w:val="32"/>
          <w:szCs w:val="32"/>
        </w:rPr>
        <w:t>%</w:t>
      </w:r>
      <w:r>
        <w:rPr>
          <w:rFonts w:hint="eastAsia" w:ascii="仿宋" w:hAnsi="仿宋" w:eastAsia="仿宋"/>
          <w:color w:val="000000"/>
          <w:sz w:val="32"/>
          <w:szCs w:val="32"/>
        </w:rPr>
        <w:t>；其他收入29.11万元，占0.69</w:t>
      </w:r>
      <w:r>
        <w:rPr>
          <w:rFonts w:ascii="仿宋" w:hAnsi="仿宋" w:eastAsia="仿宋"/>
          <w:color w:val="000000"/>
          <w:sz w:val="32"/>
          <w:szCs w:val="32"/>
        </w:rPr>
        <w:t>%</w:t>
      </w:r>
      <w:r>
        <w:rPr>
          <w:rFonts w:hint="eastAsia" w:ascii="仿宋" w:hAnsi="仿宋" w:eastAsia="仿宋"/>
          <w:color w:val="000000"/>
          <w:sz w:val="32"/>
          <w:szCs w:val="32"/>
        </w:rPr>
        <w:t>。</w:t>
      </w:r>
      <w:bookmarkEnd w:id="46"/>
    </w:p>
    <w:p>
      <w:pPr>
        <w:spacing w:line="600" w:lineRule="exact"/>
        <w:ind w:firstLine="640" w:firstLineChars="200"/>
        <w:outlineLvl w:val="1"/>
        <w:rPr>
          <w:rFonts w:ascii="仿宋" w:hAnsi="仿宋" w:eastAsia="仿宋"/>
          <w:color w:val="000000"/>
          <w:sz w:val="32"/>
          <w:szCs w:val="32"/>
        </w:rPr>
      </w:pPr>
    </w:p>
    <w:p>
      <w:pPr>
        <w:widowControl/>
        <w:jc w:val="left"/>
      </w:pPr>
    </w:p>
    <w:p>
      <w:pPr>
        <w:widowControl/>
        <w:jc w:val="left"/>
        <w:rPr>
          <w:rFonts w:ascii="宋体" w:hAnsi="宋体" w:cs="宋体"/>
          <w:kern w:val="0"/>
          <w:sz w:val="24"/>
          <w:lang w:bidi="ar"/>
        </w:rPr>
      </w:pPr>
      <w:r>
        <w:rPr>
          <w:rFonts w:ascii="宋体" w:hAnsi="宋体" w:cs="宋体"/>
          <w:kern w:val="0"/>
          <w:sz w:val="24"/>
        </w:rPr>
        <w:drawing>
          <wp:inline distT="0" distB="0" distL="114300" distR="114300">
            <wp:extent cx="4591050" cy="2719705"/>
            <wp:effectExtent l="0" t="0" r="6350" b="1079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4591050" cy="2719705"/>
                    </a:xfrm>
                    <a:prstGeom prst="rect">
                      <a:avLst/>
                    </a:prstGeom>
                    <a:noFill/>
                    <a:ln w="9525">
                      <a:noFill/>
                    </a:ln>
                  </pic:spPr>
                </pic:pic>
              </a:graphicData>
            </a:graphic>
          </wp:inline>
        </w:drawing>
      </w:r>
    </w:p>
    <w:p>
      <w:pPr>
        <w:spacing w:line="600" w:lineRule="exact"/>
        <w:ind w:firstLine="640" w:firstLineChars="200"/>
        <w:rPr>
          <w:rFonts w:ascii="宋体" w:hAnsi="宋体" w:cs="宋体"/>
          <w:kern w:val="0"/>
          <w:sz w:val="24"/>
          <w:lang w:bidi="ar"/>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47" w:name="_Toc6079"/>
      <w:bookmarkStart w:id="48" w:name="_Toc15377207"/>
      <w:bookmarkStart w:id="4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47"/>
      <w:bookmarkEnd w:id="48"/>
      <w:bookmarkEnd w:id="49"/>
    </w:p>
    <w:p>
      <w:pPr>
        <w:spacing w:line="600" w:lineRule="exact"/>
        <w:ind w:firstLine="640" w:firstLineChars="200"/>
        <w:outlineLvl w:val="1"/>
        <w:rPr>
          <w:rFonts w:ascii="仿宋" w:hAnsi="仿宋" w:eastAsia="仿宋"/>
          <w:color w:val="000000"/>
          <w:sz w:val="32"/>
          <w:szCs w:val="32"/>
        </w:rPr>
      </w:pPr>
      <w:bookmarkStart w:id="50" w:name="_Toc2142"/>
      <w:r>
        <w:rPr>
          <w:rFonts w:ascii="仿宋" w:hAnsi="仿宋" w:eastAsia="仿宋"/>
          <w:color w:val="000000"/>
          <w:sz w:val="32"/>
          <w:szCs w:val="32"/>
        </w:rPr>
        <w:t>201</w:t>
      </w:r>
      <w:r>
        <w:rPr>
          <w:rFonts w:hint="eastAsia" w:ascii="仿宋" w:hAnsi="仿宋" w:eastAsia="仿宋"/>
          <w:color w:val="000000"/>
          <w:sz w:val="32"/>
          <w:szCs w:val="32"/>
        </w:rPr>
        <w:t>9年本年支出合计4217.71万元，其中：基本支出2127.01万元，占50.43</w:t>
      </w:r>
      <w:r>
        <w:rPr>
          <w:rFonts w:ascii="仿宋" w:hAnsi="仿宋" w:eastAsia="仿宋"/>
          <w:color w:val="000000"/>
          <w:sz w:val="32"/>
          <w:szCs w:val="32"/>
        </w:rPr>
        <w:t>%</w:t>
      </w:r>
      <w:r>
        <w:rPr>
          <w:rFonts w:hint="eastAsia" w:ascii="仿宋" w:hAnsi="仿宋" w:eastAsia="仿宋"/>
          <w:color w:val="000000"/>
          <w:sz w:val="32"/>
          <w:szCs w:val="32"/>
        </w:rPr>
        <w:t>；项目支出2090.7万元，占49.5</w:t>
      </w:r>
      <w:r>
        <w:rPr>
          <w:rFonts w:ascii="仿宋" w:hAnsi="仿宋" w:eastAsia="仿宋"/>
          <w:color w:val="000000"/>
          <w:sz w:val="32"/>
          <w:szCs w:val="32"/>
        </w:rPr>
        <w:t>%</w:t>
      </w:r>
      <w:r>
        <w:rPr>
          <w:rFonts w:hint="eastAsia" w:ascii="仿宋" w:hAnsi="仿宋" w:eastAsia="仿宋"/>
          <w:color w:val="000000"/>
          <w:sz w:val="32"/>
          <w:szCs w:val="32"/>
        </w:rPr>
        <w:t>。</w:t>
      </w:r>
      <w:bookmarkEnd w:id="50"/>
    </w:p>
    <w:p>
      <w:pPr>
        <w:ind w:firstLine="640" w:firstLineChars="200"/>
        <w:rPr>
          <w:rFonts w:ascii="仿宋_GB2312" w:eastAsia="仿宋_GB2312"/>
          <w:color w:val="FF0000"/>
          <w:sz w:val="32"/>
          <w:szCs w:val="32"/>
        </w:rPr>
      </w:pPr>
      <w:r>
        <w:rPr>
          <w:rFonts w:hint="eastAsia" w:ascii="仿宋_GB2312" w:eastAsia="仿宋_GB2312"/>
          <w:color w:val="FF0000"/>
          <w:sz w:val="32"/>
          <w:szCs w:val="32"/>
        </w:rPr>
        <w:drawing>
          <wp:inline distT="0" distB="0" distL="114300" distR="114300">
            <wp:extent cx="4540885" cy="2928620"/>
            <wp:effectExtent l="0" t="0" r="5715" b="5080"/>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8"/>
                    <a:stretch>
                      <a:fillRect/>
                    </a:stretch>
                  </pic:blipFill>
                  <pic:spPr>
                    <a:xfrm>
                      <a:off x="0" y="0"/>
                      <a:ext cx="4540885" cy="2928620"/>
                    </a:xfrm>
                    <a:prstGeom prst="rect">
                      <a:avLst/>
                    </a:prstGeom>
                  </pic:spPr>
                </pic:pic>
              </a:graphicData>
            </a:graphic>
          </wp:inline>
        </w:drawing>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51" w:name="_Toc15396606"/>
      <w:bookmarkStart w:id="52" w:name="_Toc16427"/>
      <w:bookmarkStart w:id="53"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51"/>
      <w:bookmarkEnd w:id="52"/>
      <w:bookmarkEnd w:id="5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9年财政拨款收、支总计4063.45万元。与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8年相比，财政拨款收、支总计各减少362.14万元，下降8.18</w:t>
      </w:r>
      <w:r>
        <w:rPr>
          <w:rFonts w:ascii="仿宋" w:hAnsi="仿宋" w:eastAsia="仿宋"/>
          <w:color w:val="000000"/>
          <w:sz w:val="32"/>
          <w:szCs w:val="32"/>
        </w:rPr>
        <w:t>%</w:t>
      </w:r>
      <w:r>
        <w:rPr>
          <w:rFonts w:hint="eastAsia" w:ascii="仿宋" w:hAnsi="仿宋" w:eastAsia="仿宋"/>
          <w:color w:val="000000"/>
          <w:sz w:val="32"/>
          <w:szCs w:val="32"/>
        </w:rPr>
        <w:t>。主要变动原因是人员的调出，预算经费相应减少。</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widowControl/>
        <w:jc w:val="left"/>
        <w:rPr>
          <w:rFonts w:ascii="仿宋" w:hAnsi="仿宋" w:eastAsia="仿宋"/>
          <w:b/>
          <w:color w:val="00B050"/>
          <w:sz w:val="32"/>
          <w:szCs w:val="32"/>
        </w:rPr>
      </w:pPr>
      <w:r>
        <w:rPr>
          <w:rFonts w:ascii="宋体" w:hAnsi="宋体" w:cs="宋体"/>
          <w:kern w:val="0"/>
          <w:sz w:val="24"/>
        </w:rPr>
        <w:drawing>
          <wp:inline distT="0" distB="0" distL="114300" distR="114300">
            <wp:extent cx="4930140" cy="2907665"/>
            <wp:effectExtent l="0" t="0" r="10160" b="635"/>
            <wp:docPr id="18"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IMG_256"/>
                    <pic:cNvPicPr>
                      <a:picLocks noChangeAspect="1"/>
                    </pic:cNvPicPr>
                  </pic:nvPicPr>
                  <pic:blipFill>
                    <a:blip r:embed="rId9"/>
                    <a:stretch>
                      <a:fillRect/>
                    </a:stretch>
                  </pic:blipFill>
                  <pic:spPr>
                    <a:xfrm>
                      <a:off x="0" y="0"/>
                      <a:ext cx="4930140" cy="2907665"/>
                    </a:xfrm>
                    <a:prstGeom prst="rect">
                      <a:avLst/>
                    </a:prstGeom>
                    <a:noFill/>
                    <a:ln w="9525">
                      <a:noFill/>
                    </a:ln>
                  </pic:spPr>
                </pic:pic>
              </a:graphicData>
            </a:graphic>
          </wp:inline>
        </w:drawing>
      </w:r>
    </w:p>
    <w:p>
      <w:pPr>
        <w:spacing w:line="600" w:lineRule="exact"/>
        <w:ind w:firstLine="640" w:firstLineChars="200"/>
        <w:outlineLvl w:val="1"/>
        <w:rPr>
          <w:rStyle w:val="25"/>
          <w:rFonts w:ascii="黑体" w:hAnsi="黑体" w:eastAsia="黑体"/>
          <w:b w:val="0"/>
        </w:rPr>
      </w:pPr>
      <w:bookmarkStart w:id="54" w:name="_Toc15396607"/>
      <w:bookmarkStart w:id="55" w:name="_Toc15377209"/>
      <w:bookmarkStart w:id="56" w:name="_Toc441"/>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54"/>
      <w:bookmarkEnd w:id="55"/>
      <w:bookmarkEnd w:id="56"/>
    </w:p>
    <w:p>
      <w:pPr>
        <w:spacing w:line="600" w:lineRule="exact"/>
        <w:ind w:firstLine="643" w:firstLineChars="200"/>
        <w:outlineLvl w:val="2"/>
        <w:rPr>
          <w:rFonts w:ascii="仿宋" w:hAnsi="仿宋" w:eastAsia="仿宋"/>
          <w:b/>
          <w:color w:val="000000"/>
          <w:sz w:val="32"/>
          <w:szCs w:val="32"/>
        </w:rPr>
      </w:pPr>
      <w:bookmarkStart w:id="57" w:name="_Toc15377210"/>
      <w:bookmarkStart w:id="58" w:name="_Toc12382"/>
      <w:r>
        <w:rPr>
          <w:rFonts w:hint="eastAsia" w:ascii="仿宋" w:hAnsi="仿宋" w:eastAsia="仿宋"/>
          <w:b/>
          <w:color w:val="000000"/>
          <w:sz w:val="32"/>
          <w:szCs w:val="32"/>
        </w:rPr>
        <w:t>（一）一般公共预算财政拨款支出决算总体情况</w:t>
      </w:r>
      <w:bookmarkEnd w:id="57"/>
      <w:bookmarkEnd w:id="5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9年一般公共预算财政拨款支出3896.40万元，占本年支出合计的92.38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8年相比，一般公共预算财政拨款减少463.42万元，下降10.63</w:t>
      </w:r>
      <w:r>
        <w:rPr>
          <w:rFonts w:ascii="仿宋" w:hAnsi="仿宋" w:eastAsia="仿宋"/>
          <w:color w:val="000000"/>
          <w:sz w:val="32"/>
          <w:szCs w:val="32"/>
        </w:rPr>
        <w:t>%</w:t>
      </w:r>
      <w:r>
        <w:rPr>
          <w:rFonts w:hint="eastAsia" w:ascii="仿宋" w:hAnsi="仿宋" w:eastAsia="仿宋"/>
          <w:color w:val="000000"/>
          <w:sz w:val="32"/>
          <w:szCs w:val="32"/>
        </w:rPr>
        <w:t>。主要变动原因是脱贫攻坚项目减少以及人员、经费等减少。</w:t>
      </w:r>
    </w:p>
    <w:p>
      <w:pPr>
        <w:widowControl/>
        <w:jc w:val="left"/>
      </w:pPr>
      <w:r>
        <w:rPr>
          <w:rFonts w:ascii="宋体" w:hAnsi="宋体" w:cs="宋体"/>
          <w:kern w:val="0"/>
          <w:sz w:val="24"/>
        </w:rPr>
        <w:drawing>
          <wp:inline distT="0" distB="0" distL="114300" distR="114300">
            <wp:extent cx="5156200" cy="2908300"/>
            <wp:effectExtent l="0" t="0" r="0" b="0"/>
            <wp:docPr id="19"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IMG_256"/>
                    <pic:cNvPicPr>
                      <a:picLocks noChangeAspect="1"/>
                    </pic:cNvPicPr>
                  </pic:nvPicPr>
                  <pic:blipFill>
                    <a:blip r:embed="rId10"/>
                    <a:stretch>
                      <a:fillRect/>
                    </a:stretch>
                  </pic:blipFill>
                  <pic:spPr>
                    <a:xfrm>
                      <a:off x="0" y="0"/>
                      <a:ext cx="5156200" cy="2908300"/>
                    </a:xfrm>
                    <a:prstGeom prst="rect">
                      <a:avLst/>
                    </a:prstGeom>
                    <a:noFill/>
                    <a:ln w="9525">
                      <a:noFill/>
                    </a:ln>
                  </pic:spPr>
                </pic:pic>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59" w:name="_Toc15377211"/>
      <w:bookmarkStart w:id="60" w:name="_Toc32755"/>
      <w:r>
        <w:rPr>
          <w:rFonts w:hint="eastAsia" w:ascii="仿宋" w:hAnsi="仿宋" w:eastAsia="仿宋"/>
          <w:b/>
          <w:color w:val="000000"/>
          <w:sz w:val="32"/>
          <w:szCs w:val="32"/>
        </w:rPr>
        <w:t>（二）一般公共预算财政拨款支出决算结构情况</w:t>
      </w:r>
      <w:bookmarkEnd w:id="59"/>
      <w:bookmarkEnd w:id="60"/>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3896.40</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支出527.17万元，占13.53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1166.57万元，占29.94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w:t>
      </w:r>
      <w:r>
        <w:rPr>
          <w:rFonts w:hint="eastAsia" w:ascii="仿宋" w:hAnsi="仿宋" w:eastAsia="仿宋"/>
          <w:color w:val="000000" w:themeColor="text1"/>
          <w:sz w:val="32"/>
          <w:szCs w:val="32"/>
          <w14:textFill>
            <w14:solidFill>
              <w14:schemeClr w14:val="tx1"/>
            </w14:solidFill>
          </w14:textFill>
        </w:rPr>
        <w:t>支出12万元，占0.31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支出143.58万元，占3.68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卫生健康支出（类）</w:t>
      </w:r>
      <w:r>
        <w:rPr>
          <w:rFonts w:hint="eastAsia" w:ascii="仿宋" w:hAnsi="仿宋" w:eastAsia="仿宋"/>
          <w:color w:val="000000" w:themeColor="text1"/>
          <w:sz w:val="32"/>
          <w:szCs w:val="32"/>
          <w14:textFill>
            <w14:solidFill>
              <w14:schemeClr w14:val="tx1"/>
            </w14:solidFill>
          </w14:textFill>
        </w:rPr>
        <w:t>250.76万元，占6.44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节能环保支出（类）</w:t>
      </w:r>
      <w:r>
        <w:rPr>
          <w:rFonts w:hint="eastAsia" w:ascii="仿宋" w:hAnsi="仿宋" w:eastAsia="仿宋"/>
          <w:color w:val="000000" w:themeColor="text1"/>
          <w:sz w:val="32"/>
          <w:szCs w:val="32"/>
          <w14:textFill>
            <w14:solidFill>
              <w14:schemeClr w14:val="tx1"/>
            </w14:solidFill>
          </w14:textFill>
        </w:rPr>
        <w:t>25.25万元，占0.65%；</w:t>
      </w:r>
      <w:r>
        <w:rPr>
          <w:rFonts w:hint="eastAsia" w:ascii="仿宋" w:hAnsi="仿宋" w:eastAsia="仿宋"/>
          <w:b/>
          <w:bCs/>
          <w:color w:val="000000" w:themeColor="text1"/>
          <w:sz w:val="32"/>
          <w:szCs w:val="32"/>
          <w14:textFill>
            <w14:solidFill>
              <w14:schemeClr w14:val="tx1"/>
            </w14:solidFill>
          </w14:textFill>
        </w:rPr>
        <w:t>城乡社区支出（类）</w:t>
      </w:r>
      <w:r>
        <w:rPr>
          <w:rFonts w:hint="eastAsia" w:ascii="仿宋" w:hAnsi="仿宋" w:eastAsia="仿宋"/>
          <w:color w:val="000000" w:themeColor="text1"/>
          <w:sz w:val="32"/>
          <w:szCs w:val="32"/>
          <w14:textFill>
            <w14:solidFill>
              <w14:schemeClr w14:val="tx1"/>
            </w14:solidFill>
          </w14:textFill>
        </w:rPr>
        <w:t>394.05万元，占10.11%；</w:t>
      </w:r>
      <w:r>
        <w:rPr>
          <w:rFonts w:hint="eastAsia" w:ascii="仿宋" w:hAnsi="仿宋" w:eastAsia="仿宋"/>
          <w:b/>
          <w:bCs/>
          <w:color w:val="000000" w:themeColor="text1"/>
          <w:sz w:val="32"/>
          <w:szCs w:val="32"/>
          <w14:textFill>
            <w14:solidFill>
              <w14:schemeClr w14:val="tx1"/>
            </w14:solidFill>
          </w14:textFill>
        </w:rPr>
        <w:t>农林水支出（类）</w:t>
      </w:r>
      <w:r>
        <w:rPr>
          <w:rFonts w:hint="eastAsia" w:ascii="仿宋" w:hAnsi="仿宋" w:eastAsia="仿宋"/>
          <w:color w:val="000000" w:themeColor="text1"/>
          <w:sz w:val="32"/>
          <w:szCs w:val="32"/>
          <w14:textFill>
            <w14:solidFill>
              <w14:schemeClr w14:val="tx1"/>
            </w14:solidFill>
          </w14:textFill>
        </w:rPr>
        <w:t>1275.54万元，占32.74%；</w:t>
      </w:r>
      <w:r>
        <w:rPr>
          <w:rFonts w:hint="eastAsia" w:ascii="仿宋" w:hAnsi="仿宋" w:eastAsia="仿宋"/>
          <w:b/>
          <w:bCs/>
          <w:color w:val="000000" w:themeColor="text1"/>
          <w:sz w:val="32"/>
          <w:szCs w:val="32"/>
          <w14:textFill>
            <w14:solidFill>
              <w14:schemeClr w14:val="tx1"/>
            </w14:solidFill>
          </w14:textFill>
        </w:rPr>
        <w:t>商业服务业等支出（类）</w:t>
      </w:r>
      <w:r>
        <w:rPr>
          <w:rFonts w:hint="eastAsia" w:ascii="仿宋" w:hAnsi="仿宋" w:eastAsia="仿宋"/>
          <w:color w:val="000000" w:themeColor="text1"/>
          <w:sz w:val="32"/>
          <w:szCs w:val="32"/>
          <w14:textFill>
            <w14:solidFill>
              <w14:schemeClr w14:val="tx1"/>
            </w14:solidFill>
          </w14:textFill>
        </w:rPr>
        <w:t>1.88万元，占0.05%；</w:t>
      </w:r>
      <w:r>
        <w:rPr>
          <w:rFonts w:hint="eastAsia" w:ascii="仿宋" w:hAnsi="仿宋" w:eastAsia="仿宋"/>
          <w:b/>
          <w:bCs/>
          <w:color w:val="000000" w:themeColor="text1"/>
          <w:sz w:val="32"/>
          <w:szCs w:val="32"/>
          <w14:textFill>
            <w14:solidFill>
              <w14:schemeClr w14:val="tx1"/>
            </w14:solidFill>
          </w14:textFill>
        </w:rPr>
        <w:t>住房保障支出（类）</w:t>
      </w:r>
      <w:r>
        <w:rPr>
          <w:rFonts w:hint="eastAsia" w:ascii="仿宋" w:hAnsi="仿宋" w:eastAsia="仿宋"/>
          <w:color w:val="000000" w:themeColor="text1"/>
          <w:sz w:val="32"/>
          <w:szCs w:val="32"/>
          <w14:textFill>
            <w14:solidFill>
              <w14:schemeClr w14:val="tx1"/>
            </w14:solidFill>
          </w14:textFill>
        </w:rPr>
        <w:t>99.6万元，占2.55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inline distT="0" distB="0" distL="114300" distR="114300">
            <wp:extent cx="4864735" cy="2755265"/>
            <wp:effectExtent l="0" t="0" r="12065" b="635"/>
            <wp:docPr id="22" name="图片 2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3"/>
                    <pic:cNvPicPr>
                      <a:picLocks noChangeAspect="1"/>
                    </pic:cNvPicPr>
                  </pic:nvPicPr>
                  <pic:blipFill>
                    <a:blip r:embed="rId11"/>
                    <a:stretch>
                      <a:fillRect/>
                    </a:stretch>
                  </pic:blipFill>
                  <pic:spPr>
                    <a:xfrm>
                      <a:off x="0" y="0"/>
                      <a:ext cx="4864735" cy="2755265"/>
                    </a:xfrm>
                    <a:prstGeom prst="rect">
                      <a:avLst/>
                    </a:prstGeom>
                  </pic:spPr>
                </pic:pic>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61" w:name="_Toc7766"/>
      <w:bookmarkStart w:id="62" w:name="_Toc15377212"/>
      <w:r>
        <w:rPr>
          <w:rFonts w:hint="eastAsia" w:ascii="仿宋" w:hAnsi="仿宋" w:eastAsia="仿宋"/>
          <w:b/>
          <w:color w:val="000000"/>
          <w:sz w:val="32"/>
          <w:szCs w:val="32"/>
        </w:rPr>
        <w:t>（三）一般公共预算财政拨款支出决算具体情况</w:t>
      </w:r>
      <w:bookmarkEnd w:id="61"/>
      <w:bookmarkEnd w:id="62"/>
    </w:p>
    <w:p>
      <w:pPr>
        <w:spacing w:line="600" w:lineRule="exact"/>
        <w:ind w:firstLine="643" w:firstLineChars="200"/>
        <w:outlineLvl w:val="2"/>
        <w:rPr>
          <w:rFonts w:ascii="仿宋" w:hAnsi="仿宋" w:eastAsia="仿宋"/>
          <w:color w:val="FF0000"/>
          <w:sz w:val="32"/>
          <w:szCs w:val="32"/>
        </w:rPr>
      </w:pPr>
      <w:bookmarkStart w:id="63" w:name="_Toc15377444"/>
      <w:bookmarkStart w:id="64" w:name="_Toc31924"/>
      <w:bookmarkStart w:id="65" w:name="_Toc15378460"/>
      <w:bookmarkStart w:id="66" w:name="_Toc15377213"/>
      <w:r>
        <w:rPr>
          <w:rFonts w:hint="eastAsia" w:ascii="仿宋" w:hAnsi="仿宋" w:eastAsia="仿宋"/>
          <w:b/>
          <w:color w:val="000000" w:themeColor="text1"/>
          <w:sz w:val="32"/>
          <w:szCs w:val="32"/>
          <w14:textFill>
            <w14:solidFill>
              <w14:schemeClr w14:val="tx1"/>
            </w14:solidFill>
          </w14:textFill>
        </w:rPr>
        <w:t>2019年般公共预算支出决算数为3896.40万元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63"/>
      <w:bookmarkEnd w:id="64"/>
      <w:bookmarkEnd w:id="65"/>
      <w:bookmarkEnd w:id="66"/>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1.一般公共服务（类）政府办公厅（室）及相关机构事务（款）行政运行（项）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支出决算为311.14万元，完成预算100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2.一般公共服务（类）政府办公厅（室）及相关机构事务（款）一般行政管理事务（项）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3.一般公共服务（类）政府办公厅（室）及相关机构事务（款）信访事务（项）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4.一般公共服务（类）政府办公厅（室）及相关机构事务（款）事业运行（项）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支出决算为177.03万元，完成预算100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5.一般公共服务（类）统计信息事务（款）专项普查活动（项）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教育支出（类）普通教育（款）学前教育（项）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7.教育支出（类）普通教育（款）小学教育（项）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支出决算为1108.04万元，完成预算100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8.教育支出（类）普通教育（款）其他普通教育支出（项）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支出决算为43.81万元，完成预算100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9.教育支出（类）职业教育（款）其他职业教育支出（项）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支出决算为3.23万元，完成预算100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10.文化旅游体育与传媒支出（类）文化和旅游（款）其他文化和旅游支出（项）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11.文化旅游体育与传媒支出（类）其他文化体育与传媒支出（款）其他文化体育与传媒支出（项）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支出决算为143.58万元，完成预算100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13</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sz w:val="32"/>
          <w:szCs w:val="32"/>
        </w:rPr>
        <w:t>（类）基层医疗卫生机构（款）乡镇卫生院（项）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支出决算为78.38万元，完成预算100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14</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sz w:val="32"/>
          <w:szCs w:val="32"/>
        </w:rPr>
        <w:t>（类）基层医疗卫生机构（款）其他基层医疗卫生机构支出（项）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支出决算为39.77万元，完成预算100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15</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sz w:val="32"/>
          <w:szCs w:val="32"/>
        </w:rPr>
        <w:t>（类）公共卫生（款）基本公共卫生服务（项）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支出决算为100.68万元，完成预算100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sz w:val="32"/>
          <w:szCs w:val="32"/>
        </w:rPr>
        <w:t>（类）行政事业单位医疗（款）行政单位医疗（项）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支出决算为14.77万元，完成预算100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sz w:val="32"/>
          <w:szCs w:val="32"/>
        </w:rPr>
        <w:t>（类）行政事业单位医疗（款）事业单位医疗（项）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支出决算为14.01万元，完成预算100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18</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卫生健康支出</w:t>
      </w:r>
      <w:r>
        <w:rPr>
          <w:rStyle w:val="14"/>
          <w:rFonts w:hint="eastAsia" w:ascii="仿宋" w:hAnsi="仿宋" w:eastAsia="仿宋"/>
          <w:bCs/>
          <w:color w:val="000000"/>
          <w:sz w:val="32"/>
          <w:szCs w:val="32"/>
        </w:rPr>
        <w:t>（类）行政事业单位医疗（款）公务员医疗补助（项）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支出决算为3.15万元，完成预算100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19</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节能环保支出</w:t>
      </w:r>
      <w:r>
        <w:rPr>
          <w:rStyle w:val="14"/>
          <w:rFonts w:hint="eastAsia" w:ascii="仿宋" w:hAnsi="仿宋" w:eastAsia="仿宋"/>
          <w:bCs/>
          <w:color w:val="000000"/>
          <w:sz w:val="32"/>
          <w:szCs w:val="32"/>
        </w:rPr>
        <w:t>（类）自然生态保护（款）农村环境保护（项）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20</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节能环保支出</w:t>
      </w:r>
      <w:r>
        <w:rPr>
          <w:rStyle w:val="14"/>
          <w:rFonts w:hint="eastAsia" w:ascii="仿宋" w:hAnsi="仿宋" w:eastAsia="仿宋"/>
          <w:bCs/>
          <w:color w:val="000000"/>
          <w:sz w:val="32"/>
          <w:szCs w:val="32"/>
        </w:rPr>
        <w:t>（类）退耕还林（款）退耕现金（项）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21</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城乡社区支出</w:t>
      </w:r>
      <w:r>
        <w:rPr>
          <w:rStyle w:val="14"/>
          <w:rFonts w:hint="eastAsia" w:ascii="仿宋" w:hAnsi="仿宋" w:eastAsia="仿宋"/>
          <w:bCs/>
          <w:color w:val="000000"/>
          <w:sz w:val="32"/>
          <w:szCs w:val="32"/>
        </w:rPr>
        <w:t>（类）其他城乡社区支出（款）其他城乡社区支出（项）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支出决算为394.05万元，完成预算100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22.农林水支出</w:t>
      </w:r>
      <w:r>
        <w:rPr>
          <w:rStyle w:val="14"/>
          <w:rFonts w:hint="eastAsia" w:ascii="仿宋" w:hAnsi="仿宋" w:eastAsia="仿宋"/>
          <w:bCs/>
          <w:color w:val="000000"/>
          <w:sz w:val="32"/>
          <w:szCs w:val="32"/>
        </w:rPr>
        <w:t>（类）农业（款）农业生产支持补贴（项）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支出决算为241.92万元，完成预算100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23.农林水支出</w:t>
      </w:r>
      <w:r>
        <w:rPr>
          <w:rStyle w:val="14"/>
          <w:rFonts w:hint="eastAsia" w:ascii="仿宋" w:hAnsi="仿宋" w:eastAsia="仿宋"/>
          <w:bCs/>
          <w:color w:val="000000"/>
          <w:sz w:val="32"/>
          <w:szCs w:val="32"/>
        </w:rPr>
        <w:t>（类）林业和草原（款）森林资源管理（项）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支出决算为0.66万元，完成预算100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24.农林水支出</w:t>
      </w:r>
      <w:r>
        <w:rPr>
          <w:rStyle w:val="14"/>
          <w:rFonts w:hint="eastAsia" w:ascii="仿宋" w:hAnsi="仿宋" w:eastAsia="仿宋"/>
          <w:bCs/>
          <w:color w:val="000000"/>
          <w:sz w:val="32"/>
          <w:szCs w:val="32"/>
        </w:rPr>
        <w:t>（类）林业和草原（款）森林生态效益补偿（项）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支出决算为104.55万元，完成预算100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25.农林水支出</w:t>
      </w:r>
      <w:r>
        <w:rPr>
          <w:rStyle w:val="14"/>
          <w:rFonts w:hint="eastAsia" w:ascii="仿宋" w:hAnsi="仿宋" w:eastAsia="仿宋"/>
          <w:bCs/>
          <w:color w:val="000000"/>
          <w:sz w:val="32"/>
          <w:szCs w:val="32"/>
        </w:rPr>
        <w:t>（类）扶贫（款）农村基础设施建设（项）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支出决算为339.90万元，完成预算100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26.农林水支出</w:t>
      </w:r>
      <w:r>
        <w:rPr>
          <w:rStyle w:val="14"/>
          <w:rFonts w:hint="eastAsia" w:ascii="仿宋" w:hAnsi="仿宋" w:eastAsia="仿宋"/>
          <w:bCs/>
          <w:color w:val="000000"/>
          <w:sz w:val="32"/>
          <w:szCs w:val="32"/>
        </w:rPr>
        <w:t>（类）扶贫（款）生产发展（项）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支出决算为160.77万元，完成预算100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27.农林水支出</w:t>
      </w:r>
      <w:r>
        <w:rPr>
          <w:rStyle w:val="14"/>
          <w:rFonts w:hint="eastAsia" w:ascii="仿宋" w:hAnsi="仿宋" w:eastAsia="仿宋"/>
          <w:bCs/>
          <w:color w:val="000000"/>
          <w:sz w:val="32"/>
          <w:szCs w:val="32"/>
        </w:rPr>
        <w:t>（类）扶贫（款）扶贫贷款奖补和贴息（项）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支出决算为45.28万元，完成预算100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28.农林水支出</w:t>
      </w:r>
      <w:r>
        <w:rPr>
          <w:rStyle w:val="14"/>
          <w:rFonts w:hint="eastAsia" w:ascii="仿宋" w:hAnsi="仿宋" w:eastAsia="仿宋"/>
          <w:bCs/>
          <w:color w:val="000000"/>
          <w:sz w:val="32"/>
          <w:szCs w:val="32"/>
        </w:rPr>
        <w:t>（类）扶贫（款）其他扶贫支出（项）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支出决算为77.40万元，完成预算100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29.农林水支出</w:t>
      </w:r>
      <w:r>
        <w:rPr>
          <w:rStyle w:val="14"/>
          <w:rFonts w:hint="eastAsia" w:ascii="仿宋" w:hAnsi="仿宋" w:eastAsia="仿宋"/>
          <w:bCs/>
          <w:color w:val="000000"/>
          <w:sz w:val="32"/>
          <w:szCs w:val="32"/>
        </w:rPr>
        <w:t>（类）农村综合改革（款）对村民委员会和村党支部的补助（项）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支出决算为305.06万元，完成预算100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30.商业服务业等支出</w:t>
      </w:r>
      <w:r>
        <w:rPr>
          <w:rStyle w:val="14"/>
          <w:rFonts w:hint="eastAsia" w:ascii="仿宋" w:hAnsi="仿宋" w:eastAsia="仿宋"/>
          <w:bCs/>
          <w:color w:val="000000"/>
          <w:sz w:val="32"/>
          <w:szCs w:val="32"/>
        </w:rPr>
        <w:t>（类）商业流通事务（款）其他商业流通事务支出（项）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themeColor="text1"/>
          <w:sz w:val="32"/>
          <w:szCs w:val="32"/>
          <w14:textFill>
            <w14:solidFill>
              <w14:schemeClr w14:val="tx1"/>
            </w14:solidFill>
          </w14:textFill>
        </w:rPr>
        <w:t>31.住房保障支出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支出决算为99.60万元，完成预算100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67" w:name="_Toc15377214"/>
      <w:bookmarkStart w:id="68" w:name="_Toc21050"/>
      <w:bookmarkStart w:id="6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67"/>
      <w:bookmarkEnd w:id="68"/>
      <w:bookmarkEnd w:id="6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9年一般公共预算财政拨款基本支出1972.75万元，其中：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1668.12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日常公用经费304.63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70" w:name="_Toc15377215"/>
      <w:bookmarkStart w:id="71" w:name="_Toc15396609"/>
      <w:bookmarkStart w:id="72" w:name="_Toc26680"/>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70"/>
      <w:bookmarkEnd w:id="71"/>
      <w:bookmarkEnd w:id="72"/>
    </w:p>
    <w:p>
      <w:pPr>
        <w:spacing w:line="600" w:lineRule="exact"/>
        <w:ind w:firstLine="640"/>
        <w:outlineLvl w:val="2"/>
        <w:rPr>
          <w:rFonts w:ascii="仿宋" w:hAnsi="仿宋" w:eastAsia="仿宋"/>
          <w:b/>
          <w:color w:val="000000"/>
          <w:sz w:val="32"/>
          <w:szCs w:val="32"/>
        </w:rPr>
      </w:pPr>
      <w:bookmarkStart w:id="73" w:name="_Toc15377216"/>
      <w:bookmarkStart w:id="74" w:name="_Toc26937"/>
      <w:r>
        <w:rPr>
          <w:rFonts w:hint="eastAsia" w:ascii="仿宋" w:hAnsi="仿宋" w:eastAsia="仿宋"/>
          <w:b/>
          <w:color w:val="000000"/>
          <w:sz w:val="32"/>
          <w:szCs w:val="32"/>
        </w:rPr>
        <w:t>（一）“三公”经费财政拨款支出决算总体情况说明</w:t>
      </w:r>
      <w:bookmarkEnd w:id="73"/>
      <w:bookmarkEnd w:id="7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9年“三公”经费财政拨款支出决算为2.64万元，完成预算100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75" w:name="_Toc15377217"/>
      <w:bookmarkStart w:id="76" w:name="_Toc18743"/>
      <w:r>
        <w:rPr>
          <w:rFonts w:hint="eastAsia" w:ascii="仿宋" w:hAnsi="仿宋" w:eastAsia="仿宋"/>
          <w:b/>
          <w:color w:val="000000"/>
          <w:sz w:val="32"/>
          <w:szCs w:val="32"/>
        </w:rPr>
        <w:t>（二）“三公”经费财政拨款支出决算具体情况说明</w:t>
      </w:r>
      <w:bookmarkEnd w:id="75"/>
      <w:bookmarkEnd w:id="76"/>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2019年“三公”经费财政拨款支出决算中，公务接待费支出决算2.64万元，占100%；无因公出国（境）费支出和公务用车购置及运行维护费支出。具体情况如下：</w:t>
      </w:r>
    </w:p>
    <w:p>
      <w:pPr>
        <w:ind w:firstLine="640"/>
        <w:rPr>
          <w:rFonts w:ascii="仿宋" w:hAnsi="仿宋" w:eastAsia="仿宋"/>
          <w:color w:val="000000"/>
          <w:sz w:val="32"/>
          <w:szCs w:val="32"/>
        </w:rPr>
      </w:pPr>
      <w:r>
        <w:rPr>
          <w:rFonts w:hint="eastAsia" w:ascii="仿宋" w:hAnsi="仿宋" w:eastAsia="仿宋"/>
          <w:color w:val="000000"/>
          <w:sz w:val="32"/>
          <w:szCs w:val="32"/>
        </w:rPr>
        <w:drawing>
          <wp:inline distT="0" distB="0" distL="114300" distR="114300">
            <wp:extent cx="4584065" cy="2755265"/>
            <wp:effectExtent l="0" t="0" r="635" b="635"/>
            <wp:docPr id="21" name="图片 2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4"/>
                    <pic:cNvPicPr>
                      <a:picLocks noChangeAspect="1"/>
                    </pic:cNvPicPr>
                  </pic:nvPicPr>
                  <pic:blipFill>
                    <a:blip r:embed="rId12"/>
                    <a:stretch>
                      <a:fillRect/>
                    </a:stretch>
                  </pic:blipFill>
                  <pic:spPr>
                    <a:xfrm>
                      <a:off x="0" y="0"/>
                      <a:ext cx="4584065" cy="2755265"/>
                    </a:xfrm>
                    <a:prstGeom prst="rect">
                      <a:avLst/>
                    </a:prstGeom>
                  </pic:spPr>
                </pic:pic>
              </a:graphicData>
            </a:graphic>
          </wp:inline>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bCs/>
          <w:color w:val="000000"/>
          <w:sz w:val="32"/>
          <w:szCs w:val="32"/>
        </w:rPr>
        <w:t>无。</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2.64万元，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8年减少0.048万元，下降2</w:t>
      </w:r>
      <w:r>
        <w:rPr>
          <w:rFonts w:ascii="仿宋_GB2312" w:eastAsia="仿宋_GB2312"/>
          <w:color w:val="000000"/>
          <w:sz w:val="32"/>
          <w:szCs w:val="32"/>
        </w:rPr>
        <w:t>%</w:t>
      </w:r>
      <w:r>
        <w:rPr>
          <w:rFonts w:hint="eastAsia" w:ascii="仿宋_GB2312" w:eastAsia="仿宋_GB2312"/>
          <w:color w:val="000000"/>
          <w:sz w:val="32"/>
          <w:szCs w:val="32"/>
        </w:rPr>
        <w:t>。主要原因是贯彻落实中央八项规定，厉行节约，从严控制“三公”经费支出，其中：</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2.64</w:t>
      </w:r>
      <w:r>
        <w:rPr>
          <w:rFonts w:hint="eastAsia" w:ascii="仿宋_GB2312" w:eastAsia="仿宋_GB2312"/>
          <w:color w:val="000000"/>
          <w:sz w:val="32"/>
          <w:szCs w:val="32"/>
        </w:rPr>
        <w:t>万元，主要用于执行公务、开展业务活动开支的交通费、住宿费、用餐费等。国内公务接待88批次，667人次（不包括陪同人员），共计支出2.64万元，具体内容包括：为脱贫攻坚、教学教育以及惠农惠民政策落实情况等相关部门检查指导工作发生的接待支出。</w:t>
      </w:r>
      <w:bookmarkStart w:id="77" w:name="_Toc15396610"/>
      <w:bookmarkStart w:id="78" w:name="_Toc15377218"/>
    </w:p>
    <w:p>
      <w:pPr>
        <w:spacing w:line="600" w:lineRule="exact"/>
        <w:ind w:firstLine="640"/>
        <w:outlineLvl w:val="1"/>
        <w:rPr>
          <w:rStyle w:val="25"/>
          <w:rFonts w:ascii="黑体" w:hAnsi="黑体" w:eastAsia="黑体"/>
        </w:rPr>
      </w:pPr>
      <w:bookmarkStart w:id="79" w:name="_Toc15467"/>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77"/>
      <w:bookmarkEnd w:id="78"/>
      <w:bookmarkEnd w:id="7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9年政府性基金预算拨款支出167.05万元。</w:t>
      </w:r>
    </w:p>
    <w:p>
      <w:pPr>
        <w:numPr>
          <w:ilvl w:val="0"/>
          <w:numId w:val="2"/>
        </w:numPr>
        <w:spacing w:line="600" w:lineRule="exact"/>
        <w:ind w:firstLine="640"/>
        <w:outlineLvl w:val="1"/>
        <w:rPr>
          <w:rStyle w:val="25"/>
          <w:rFonts w:ascii="黑体" w:hAnsi="黑体" w:eastAsia="黑体"/>
          <w:b w:val="0"/>
        </w:rPr>
      </w:pPr>
      <w:bookmarkStart w:id="80" w:name="_Toc15377219"/>
      <w:bookmarkStart w:id="81" w:name="_Toc13498"/>
      <w:bookmarkStart w:id="82" w:name="_Toc15396611"/>
      <w:r>
        <w:rPr>
          <w:rStyle w:val="25"/>
          <w:rFonts w:hint="eastAsia" w:ascii="黑体" w:hAnsi="黑体" w:eastAsia="黑体"/>
          <w:b w:val="0"/>
        </w:rPr>
        <w:t>国有资本经营预算支出决算情况说明</w:t>
      </w:r>
      <w:bookmarkEnd w:id="80"/>
      <w:bookmarkEnd w:id="81"/>
      <w:bookmarkEnd w:id="82"/>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9年国有资本经营预算拨款支出无。</w:t>
      </w:r>
    </w:p>
    <w:p>
      <w:pPr>
        <w:spacing w:line="600" w:lineRule="exact"/>
        <w:ind w:firstLine="800" w:firstLineChars="250"/>
        <w:outlineLvl w:val="1"/>
        <w:rPr>
          <w:rStyle w:val="25"/>
          <w:rFonts w:ascii="黑体" w:hAnsi="黑体" w:eastAsia="黑体"/>
        </w:rPr>
      </w:pPr>
      <w:bookmarkStart w:id="83" w:name="_Toc15396612"/>
      <w:bookmarkStart w:id="84" w:name="_Toc29626"/>
      <w:bookmarkStart w:id="85"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83"/>
      <w:bookmarkEnd w:id="84"/>
      <w:bookmarkEnd w:id="85"/>
    </w:p>
    <w:p>
      <w:pPr>
        <w:spacing w:line="600" w:lineRule="exact"/>
        <w:ind w:firstLine="643" w:firstLineChars="200"/>
        <w:outlineLvl w:val="2"/>
        <w:rPr>
          <w:rFonts w:ascii="仿宋" w:hAnsi="仿宋" w:eastAsia="仿宋"/>
          <w:color w:val="000000"/>
          <w:sz w:val="32"/>
          <w:szCs w:val="32"/>
        </w:rPr>
      </w:pPr>
      <w:bookmarkStart w:id="86" w:name="_Toc15377222"/>
      <w:bookmarkStart w:id="87" w:name="_Toc9697"/>
      <w:r>
        <w:rPr>
          <w:rFonts w:hint="eastAsia" w:ascii="仿宋" w:hAnsi="仿宋" w:eastAsia="仿宋"/>
          <w:b/>
          <w:color w:val="000000"/>
          <w:sz w:val="32"/>
          <w:szCs w:val="32"/>
        </w:rPr>
        <w:t>（一）机关运行经费支出情况</w:t>
      </w:r>
      <w:bookmarkEnd w:id="86"/>
      <w:bookmarkEnd w:id="8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机关运行经费支出304.63万元，主要包括：办公费、印刷费、咨询费、手续费、水费、电费、邮电费、差旅费、维修（护）费、租赁费、会议费、培训费、公务接待费、劳务费、工会经费、福利费、其他交通费、其他商品和服务支出、其他资本性支出等。</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8" w:name="_Toc19746"/>
      <w:bookmarkStart w:id="89" w:name="_Toc15377223"/>
      <w:r>
        <w:rPr>
          <w:rFonts w:hint="eastAsia" w:ascii="仿宋" w:hAnsi="仿宋" w:eastAsia="仿宋"/>
          <w:b/>
          <w:color w:val="000000"/>
          <w:sz w:val="32"/>
          <w:szCs w:val="32"/>
        </w:rPr>
        <w:t>（二）政府采购支出情况</w:t>
      </w:r>
      <w:bookmarkEnd w:id="88"/>
      <w:bookmarkEnd w:id="8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9年，政府无采购支出。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0" w:name="_Toc15377224"/>
      <w:bookmarkStart w:id="91" w:name="_Toc15538"/>
      <w:r>
        <w:rPr>
          <w:rFonts w:hint="eastAsia" w:ascii="仿宋" w:hAnsi="仿宋" w:eastAsia="仿宋"/>
          <w:b/>
          <w:color w:val="000000"/>
          <w:sz w:val="32"/>
          <w:szCs w:val="32"/>
        </w:rPr>
        <w:t>（三）国有资产占有使用情况</w:t>
      </w:r>
      <w:bookmarkEnd w:id="90"/>
      <w:bookmarkEnd w:id="91"/>
    </w:p>
    <w:p>
      <w:pPr>
        <w:autoSpaceDE w:val="0"/>
        <w:autoSpaceDN w:val="0"/>
        <w:adjustRightInd w:val="0"/>
        <w:spacing w:line="600" w:lineRule="exact"/>
        <w:ind w:firstLine="640" w:firstLineChars="200"/>
        <w:jc w:val="left"/>
        <w:outlineLvl w:val="2"/>
        <w:rPr>
          <w:rFonts w:ascii="仿宋_GB2312" w:eastAsia="仿宋_GB2312"/>
          <w:color w:val="000000"/>
          <w:sz w:val="32"/>
          <w:szCs w:val="32"/>
        </w:rPr>
      </w:pPr>
      <w:bookmarkStart w:id="92" w:name="_Toc8893"/>
      <w:r>
        <w:rPr>
          <w:rFonts w:hint="eastAsia" w:ascii="仿宋_GB2312" w:eastAsia="仿宋_GB2312"/>
          <w:color w:val="000000"/>
          <w:sz w:val="32"/>
          <w:szCs w:val="32"/>
        </w:rPr>
        <w:t>2019年，政府无国有资产占有使用情况。</w:t>
      </w:r>
      <w:bookmarkEnd w:id="92"/>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3" w:name="_Toc25688"/>
      <w:r>
        <w:rPr>
          <w:rFonts w:hint="eastAsia" w:ascii="仿宋" w:hAnsi="仿宋" w:eastAsia="仿宋"/>
          <w:b/>
          <w:color w:val="000000"/>
          <w:sz w:val="32"/>
          <w:szCs w:val="32"/>
        </w:rPr>
        <w:t>（四）预算绩效管理情况</w:t>
      </w:r>
      <w:bookmarkEnd w:id="93"/>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2019年一般公共预算项目支出开展了预算事前绩效评估，对21个项目编制了绩效目标，预算执行过程中，对21个项目开展绩效监控，年终执行完毕后，对项目开展了绩效目标完成情况自评。</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本部门按要求对2019年部门整体支出开展绩效自评，从评价情况来看：2019年全年，我单位能严格执行相关规定，及时圆满完成原定目标绩效任务，各项指标均达到并超过合格要求线。本部门还自行组织了21个项目支出绩效评价，从评价情况来看：一是投入管理、项目管理和项目产出等中存在一些问题；二是预算编制及项目核算的精细化程度不高；三是项目执行有效性有待加强。存在部分资金申报不及时，项目实施进度偏慢，报账不及时，补贴资金未及时兑现到农户等现象时有发生。</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本部门在2019年度部门决算中反映“森林生态效益补偿项目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“农业生产支持补贴项目”“易地扶贫搬迁项目”“农村基础设施建设”“便民服务中心建设”等5个项目绩效目标实际完成情况。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森林生态效益补偿项目绩效目标完成情况综述。项目全年预算数104.55万元，执行数为104.55万元，完成预算的100%。通过项目实施，增加了我镇大部分农民家庭经济收入，有利助推脱贫攻坚、也有利于生态环境建设，并符合“绿水青山就是金山银山”的发展理念。受益群众生活质量提高，生态环境得到了较大改善和提升，人民的生活幸福指数也日益增长。该项目工作在社会上取得了良好的评价，为决胜脱贫攻坚和乡村振兴战略打下了坚实的基础。</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生产支持补贴项目绩效目标完成情况综述。项目全年预算数241.92万元，执行数为241.92万元，完成预算的100%。通过项目实施，一是提高了农民以绿色生态导向、农作物秸秆综合利用水平，充分调动了农民综合采取秸秆还田、深松整地、减少化肥农药用量、施用有机肥理念，切实加强了农业生态资源保护，自觉提升耕地地力。二是支持了农民粮食适度规模经营。三是保障了农业生产发展，稳定了粮食市场。</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易地扶贫搬迁项目绩效目标完成情况综述。项目全年预算数31.2万元，执行数为31.2万元，完成预算的100%。通过项目实施，</w:t>
      </w:r>
      <w:r>
        <w:rPr>
          <w:rFonts w:hint="eastAsia" w:ascii="仿宋_GB2312" w:hAnsi="仿宋_GB2312" w:eastAsia="仿宋_GB2312" w:cs="仿宋_GB2312"/>
          <w:spacing w:val="20"/>
          <w:sz w:val="32"/>
          <w:szCs w:val="32"/>
        </w:rPr>
        <w:t>一是有效解决了农村群众的安全住房需求，逐步告别了世代居住的茅草房和土坯房，农村面貌焕然一新，呈现出了新楼房、新生活、新气象。二是易迁这项惠民政策发挥了应有的作用，即解决困难群众安全住房，又避免增加经济负担，深入人心。存在的</w:t>
      </w:r>
      <w:r>
        <w:rPr>
          <w:rFonts w:hint="eastAsia" w:ascii="仿宋_GB2312" w:hAnsi="仿宋_GB2312" w:eastAsia="仿宋_GB2312" w:cs="仿宋_GB2312"/>
          <w:spacing w:val="20"/>
          <w:sz w:val="32"/>
          <w:szCs w:val="32"/>
          <w:lang w:val="zh-CN"/>
        </w:rPr>
        <w:t>问题：改造范围广，项目实施难度大，造成预算准确性不高，资金缺口大，支出责任与资金预算不成正比。下一步改进措施：强化事前准备，提升预算质量。强化绩效理念，深入推进评价工作。规范评价标准，切实提高评价质量。</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农村基础设施建设项目（安全饮水）绩效目标完成情况综述。项目全年预算数308.7万元，执行数为308.7万元，完成预算的100%。通过项目实施，</w:t>
      </w:r>
      <w:r>
        <w:rPr>
          <w:rFonts w:hint="eastAsia" w:ascii="仿宋_GB2312" w:hAnsi="仿宋_GB2312" w:eastAsia="仿宋_GB2312" w:cs="仿宋_GB2312"/>
          <w:spacing w:val="20"/>
          <w:sz w:val="32"/>
          <w:szCs w:val="32"/>
        </w:rPr>
        <w:t>解决了群众及牲畜的吃水难，人畜共用水源的现状得到有效解决，极大减轻了广大群众的生活负担和因饮水问题出现的医疗负担。解决了一大批劳动力，解决了因饮水发生的矛盾纠纷，提高了畜牧业带来的收入，促进了地区经济的发展，维护了地区社会的稳定。</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便民服务中心建设项目绩效目标完成情况综述。项目全年预算数26万元，执行数为26万元，完成预算的100%。通过项目实施，2019年我镇便民服务中心完成新建并投入使用，新增各个部门服务窗口，完善办公基础设施，实行“一个窗口管理，内部运作，上下联动，全程服务”，变群众跑为干部跑，变多次办为一次办，立志打造老百姓心里合格的便民服务中心。该项目工作在社会上取得了良好的评价，为决胜脱贫攻坚和乡村振兴战略打下了坚实的基础。</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W w:w="9900" w:type="dxa"/>
        <w:tblInd w:w="0" w:type="dxa"/>
        <w:tblLayout w:type="fixed"/>
        <w:tblCellMar>
          <w:top w:w="0" w:type="dxa"/>
          <w:left w:w="0" w:type="dxa"/>
          <w:bottom w:w="0" w:type="dxa"/>
          <w:right w:w="0" w:type="dxa"/>
        </w:tblCellMar>
      </w:tblPr>
      <w:tblGrid>
        <w:gridCol w:w="363"/>
        <w:gridCol w:w="14"/>
        <w:gridCol w:w="177"/>
        <w:gridCol w:w="574"/>
        <w:gridCol w:w="191"/>
        <w:gridCol w:w="741"/>
        <w:gridCol w:w="102"/>
        <w:gridCol w:w="87"/>
        <w:gridCol w:w="1934"/>
        <w:gridCol w:w="84"/>
        <w:gridCol w:w="474"/>
        <w:gridCol w:w="29"/>
        <w:gridCol w:w="84"/>
        <w:gridCol w:w="27"/>
        <w:gridCol w:w="303"/>
        <w:gridCol w:w="240"/>
        <w:gridCol w:w="188"/>
        <w:gridCol w:w="658"/>
        <w:gridCol w:w="305"/>
        <w:gridCol w:w="174"/>
        <w:gridCol w:w="607"/>
        <w:gridCol w:w="310"/>
        <w:gridCol w:w="157"/>
        <w:gridCol w:w="112"/>
        <w:gridCol w:w="349"/>
        <w:gridCol w:w="265"/>
        <w:gridCol w:w="68"/>
        <w:gridCol w:w="360"/>
        <w:gridCol w:w="74"/>
        <w:gridCol w:w="272"/>
        <w:gridCol w:w="112"/>
        <w:gridCol w:w="465"/>
      </w:tblGrid>
      <w:tr>
        <w:tblPrEx>
          <w:tblCellMar>
            <w:top w:w="0" w:type="dxa"/>
            <w:left w:w="0" w:type="dxa"/>
            <w:bottom w:w="0" w:type="dxa"/>
            <w:right w:w="0" w:type="dxa"/>
          </w:tblCellMar>
        </w:tblPrEx>
        <w:trPr>
          <w:trHeight w:val="570" w:hRule="atLeast"/>
        </w:trPr>
        <w:tc>
          <w:tcPr>
            <w:tcW w:w="9900" w:type="dxa"/>
            <w:gridSpan w:val="3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Style w:val="33"/>
                <w:rFonts w:hint="default"/>
                <w:lang w:bidi="ar"/>
              </w:rPr>
              <w:t>绩效目标自评表</w:t>
            </w:r>
            <w:r>
              <w:rPr>
                <w:rStyle w:val="34"/>
                <w:rFonts w:hint="default"/>
                <w:lang w:bidi="ar"/>
              </w:rPr>
              <w:t xml:space="preserve"> </w:t>
            </w:r>
          </w:p>
        </w:tc>
      </w:tr>
      <w:tr>
        <w:tblPrEx>
          <w:tblCellMar>
            <w:top w:w="0" w:type="dxa"/>
            <w:left w:w="0" w:type="dxa"/>
            <w:bottom w:w="0" w:type="dxa"/>
            <w:right w:w="0" w:type="dxa"/>
          </w:tblCellMar>
        </w:tblPrEx>
        <w:trPr>
          <w:trHeight w:val="420" w:hRule="atLeast"/>
        </w:trPr>
        <w:tc>
          <w:tcPr>
            <w:tcW w:w="9900" w:type="dxa"/>
            <w:gridSpan w:val="32"/>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trHeight w:val="555" w:hRule="atLeast"/>
        </w:trPr>
        <w:tc>
          <w:tcPr>
            <w:tcW w:w="206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55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2019年森林生态效益补助资金</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31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侯瑞荣（0827-7656002）</w:t>
            </w:r>
          </w:p>
        </w:tc>
      </w:tr>
      <w:tr>
        <w:tblPrEx>
          <w:tblCellMar>
            <w:top w:w="0" w:type="dxa"/>
            <w:left w:w="0" w:type="dxa"/>
            <w:bottom w:w="0" w:type="dxa"/>
            <w:right w:w="0" w:type="dxa"/>
          </w:tblCellMar>
        </w:tblPrEx>
        <w:trPr>
          <w:trHeight w:val="300" w:hRule="atLeast"/>
        </w:trPr>
        <w:tc>
          <w:tcPr>
            <w:tcW w:w="206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55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通江县林业局</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1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板桥口镇人民政府</w:t>
            </w:r>
          </w:p>
        </w:tc>
      </w:tr>
      <w:tr>
        <w:tblPrEx>
          <w:tblCellMar>
            <w:top w:w="0" w:type="dxa"/>
            <w:left w:w="0" w:type="dxa"/>
            <w:bottom w:w="0" w:type="dxa"/>
            <w:right w:w="0" w:type="dxa"/>
          </w:tblCellMar>
        </w:tblPrEx>
        <w:trPr>
          <w:trHeight w:val="465" w:hRule="atLeast"/>
        </w:trPr>
        <w:tc>
          <w:tcPr>
            <w:tcW w:w="206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（万元）</w:t>
            </w:r>
          </w:p>
        </w:tc>
        <w:tc>
          <w:tcPr>
            <w:tcW w:w="27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8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22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trHeight w:val="282" w:hRule="atLeast"/>
        </w:trPr>
        <w:tc>
          <w:tcPr>
            <w:tcW w:w="206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7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8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104.55万元</w:t>
            </w:r>
          </w:p>
        </w:tc>
        <w:tc>
          <w:tcPr>
            <w:tcW w:w="22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104.55万元</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282" w:hRule="atLeast"/>
        </w:trPr>
        <w:tc>
          <w:tcPr>
            <w:tcW w:w="206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7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其中：本年财政拨款</w:t>
            </w:r>
          </w:p>
        </w:tc>
        <w:tc>
          <w:tcPr>
            <w:tcW w:w="8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104.55万元</w:t>
            </w:r>
          </w:p>
        </w:tc>
        <w:tc>
          <w:tcPr>
            <w:tcW w:w="22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104.55万元</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82" w:hRule="atLeast"/>
        </w:trPr>
        <w:tc>
          <w:tcPr>
            <w:tcW w:w="206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7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8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82" w:hRule="atLeast"/>
        </w:trPr>
        <w:tc>
          <w:tcPr>
            <w:tcW w:w="3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23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428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trHeight w:val="86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23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通过对我镇权属为集体（含个人）的国家级公益林进行森林生态效益补偿，严格控制采伐国家级公益林，杜绝擅自改变国家级公益林地用途，确保国家级公益林资源得到有效保护。</w:t>
            </w:r>
          </w:p>
        </w:tc>
        <w:tc>
          <w:tcPr>
            <w:tcW w:w="428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按国家级生态公益林标准，实行了常年管护，按照下达任务，全面完成。2019年12月底，通过银行“一卡通”直接直发到农户，兑现成功率100%。</w:t>
            </w:r>
          </w:p>
        </w:tc>
      </w:tr>
      <w:tr>
        <w:tblPrEx>
          <w:tblCellMar>
            <w:top w:w="0" w:type="dxa"/>
            <w:left w:w="0" w:type="dxa"/>
            <w:bottom w:w="0" w:type="dxa"/>
            <w:right w:w="0" w:type="dxa"/>
          </w:tblCellMar>
        </w:tblPrEx>
        <w:trPr>
          <w:trHeight w:val="559" w:hRule="atLeast"/>
        </w:trPr>
        <w:tc>
          <w:tcPr>
            <w:tcW w:w="3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trHeight w:val="32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(50分)</w:t>
            </w:r>
          </w:p>
        </w:tc>
        <w:tc>
          <w:tcPr>
            <w:tcW w:w="9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2019年森林生态效益补助兑现</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70883.7亩</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70883.7亩</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生态效益补偿覆盖村</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18个村</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18个村</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2019年森林生态效益补助资金合格率</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w:t>
            </w:r>
            <w:r>
              <w:rPr>
                <w:rStyle w:val="35"/>
                <w:rFonts w:hint="default"/>
                <w:lang w:bidi="ar"/>
              </w:rPr>
              <w:t>森</w:t>
            </w:r>
            <w:r>
              <w:rPr>
                <w:rStyle w:val="36"/>
                <w:rFonts w:hint="default"/>
                <w:lang w:bidi="ar"/>
              </w:rPr>
              <w:t>林生态效益补助资金</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2019年12月</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2019年12月</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生态效益补偿兑现标准</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14.75元每亩</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14.75元每亩</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效</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益</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(30分)</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生态效益补偿户均增加收入</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14.75元每亩</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14.75元每亩</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保护森林资源，促进社会和谐发展</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生态效益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森林火灾受害率</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生态扶持发展</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满意度指标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(10分)</w:t>
            </w:r>
          </w:p>
        </w:tc>
        <w:tc>
          <w:tcPr>
            <w:tcW w:w="9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项目受益服务对象满意度</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60" w:hRule="atLeast"/>
        </w:trPr>
        <w:tc>
          <w:tcPr>
            <w:tcW w:w="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项目受益行业满意度</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5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90</w:t>
            </w:r>
          </w:p>
        </w:tc>
        <w:tc>
          <w:tcPr>
            <w:tcW w:w="22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7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83</w:t>
            </w:r>
          </w:p>
        </w:tc>
        <w:tc>
          <w:tcPr>
            <w:tcW w:w="13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570" w:hRule="atLeast"/>
        </w:trPr>
        <w:tc>
          <w:tcPr>
            <w:tcW w:w="9435" w:type="dxa"/>
            <w:gridSpan w:val="3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Fonts w:hint="eastAsia" w:ascii="宋体" w:hAnsi="宋体" w:cs="宋体"/>
                <w:b/>
                <w:color w:val="000000"/>
                <w:kern w:val="0"/>
                <w:sz w:val="32"/>
                <w:szCs w:val="32"/>
                <w:lang w:bidi="ar"/>
              </w:rPr>
              <w:t>绩效目标自评表</w:t>
            </w:r>
          </w:p>
        </w:tc>
      </w:tr>
      <w:tr>
        <w:tblPrEx>
          <w:tblCellMar>
            <w:top w:w="0" w:type="dxa"/>
            <w:left w:w="0" w:type="dxa"/>
            <w:bottom w:w="0" w:type="dxa"/>
            <w:right w:w="0" w:type="dxa"/>
          </w:tblCellMar>
        </w:tblPrEx>
        <w:trPr>
          <w:gridAfter w:val="1"/>
          <w:wAfter w:w="465" w:type="dxa"/>
          <w:trHeight w:val="420" w:hRule="atLeast"/>
        </w:trPr>
        <w:tc>
          <w:tcPr>
            <w:tcW w:w="9435" w:type="dxa"/>
            <w:gridSpan w:val="31"/>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gridAfter w:val="1"/>
          <w:wAfter w:w="465" w:type="dxa"/>
          <w:trHeight w:val="555" w:hRule="atLeast"/>
        </w:trPr>
        <w:tc>
          <w:tcPr>
            <w:tcW w:w="21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26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农业生产支持补贴项目-耕地地力支持保护补贴</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8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侯瑞荣 （0827-7656002）</w:t>
            </w:r>
          </w:p>
        </w:tc>
      </w:tr>
      <w:tr>
        <w:tblPrEx>
          <w:tblCellMar>
            <w:top w:w="0" w:type="dxa"/>
            <w:left w:w="0" w:type="dxa"/>
            <w:bottom w:w="0" w:type="dxa"/>
            <w:right w:w="0" w:type="dxa"/>
          </w:tblCellMar>
        </w:tblPrEx>
        <w:trPr>
          <w:gridAfter w:val="1"/>
          <w:wAfter w:w="465" w:type="dxa"/>
          <w:trHeight w:val="300" w:hRule="atLeast"/>
        </w:trPr>
        <w:tc>
          <w:tcPr>
            <w:tcW w:w="21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26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通江县农业农村局</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8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板桥口镇人民政府</w:t>
            </w:r>
          </w:p>
        </w:tc>
      </w:tr>
      <w:tr>
        <w:tblPrEx>
          <w:tblCellMar>
            <w:top w:w="0" w:type="dxa"/>
            <w:left w:w="0" w:type="dxa"/>
            <w:bottom w:w="0" w:type="dxa"/>
            <w:right w:w="0" w:type="dxa"/>
          </w:tblCellMar>
        </w:tblPrEx>
        <w:trPr>
          <w:gridAfter w:val="1"/>
          <w:wAfter w:w="465" w:type="dxa"/>
          <w:trHeight w:val="465" w:hRule="atLeast"/>
        </w:trPr>
        <w:tc>
          <w:tcPr>
            <w:tcW w:w="216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（万元）</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gridAfter w:val="1"/>
          <w:wAfter w:w="465" w:type="dxa"/>
          <w:trHeight w:val="282" w:hRule="atLeast"/>
        </w:trPr>
        <w:tc>
          <w:tcPr>
            <w:tcW w:w="21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1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241.92万元</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241.92万元</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gridAfter w:val="1"/>
          <w:wAfter w:w="465" w:type="dxa"/>
          <w:trHeight w:val="282" w:hRule="atLeast"/>
        </w:trPr>
        <w:tc>
          <w:tcPr>
            <w:tcW w:w="21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其中：本年财政拨款</w:t>
            </w:r>
          </w:p>
        </w:tc>
        <w:tc>
          <w:tcPr>
            <w:tcW w:w="11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241.92万元</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241.92万元</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gridAfter w:val="1"/>
          <w:wAfter w:w="465" w:type="dxa"/>
          <w:trHeight w:val="282" w:hRule="atLeast"/>
        </w:trPr>
        <w:tc>
          <w:tcPr>
            <w:tcW w:w="21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11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gridAfter w:val="1"/>
          <w:wAfter w:w="465" w:type="dxa"/>
          <w:trHeight w:val="282" w:hRule="atLeast"/>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0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401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gridAfter w:val="1"/>
          <w:wAfter w:w="465" w:type="dxa"/>
          <w:trHeight w:val="1020"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0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根据川财农〔2018〕217号、通财农（2019）44号文件，拨我镇2019年耕地地力保护补贴资金，加强农业生态资源保护，自觉提升耕地地力，调整农业结构调整优化，农业发展方向转变和农民多渠道增收。</w:t>
            </w:r>
          </w:p>
        </w:tc>
        <w:tc>
          <w:tcPr>
            <w:tcW w:w="401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根据川财农〔2018〕217号、通财农（2019）44号文件，拨我镇2019年耕地地力保护补贴资金，认真核实种粮户面积，宣传落实好惠民政策，财政通过种粮户一卡通账号银行直发到户。</w:t>
            </w:r>
          </w:p>
        </w:tc>
      </w:tr>
      <w:tr>
        <w:tblPrEx>
          <w:tblCellMar>
            <w:top w:w="0" w:type="dxa"/>
            <w:left w:w="0" w:type="dxa"/>
            <w:bottom w:w="0" w:type="dxa"/>
            <w:right w:w="0" w:type="dxa"/>
          </w:tblCellMar>
        </w:tblPrEx>
        <w:trPr>
          <w:gridAfter w:val="1"/>
          <w:wAfter w:w="465" w:type="dxa"/>
          <w:trHeight w:val="700" w:hRule="atLeast"/>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7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gridAfter w:val="1"/>
          <w:wAfter w:w="465" w:type="dxa"/>
          <w:trHeight w:val="252"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(50分)</w:t>
            </w:r>
          </w:p>
        </w:tc>
        <w:tc>
          <w:tcPr>
            <w:tcW w:w="10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2019年耕地地力支持保护补贴资金涉及</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18个村</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18个村</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52"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2019年耕地地力支持保护补贴资金涉及</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16320.5亩</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16320.6亩</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52"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验收合格率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20"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截</w:t>
            </w:r>
            <w:r>
              <w:rPr>
                <w:rFonts w:hint="eastAsia" w:ascii="宋体" w:hAnsi="宋体" w:cs="宋体"/>
                <w:color w:val="000000"/>
                <w:kern w:val="0"/>
                <w:sz w:val="20"/>
                <w:szCs w:val="20"/>
                <w:lang w:eastAsia="zh-CN" w:bidi="ar"/>
              </w:rPr>
              <w:t>至</w:t>
            </w:r>
            <w:r>
              <w:rPr>
                <w:rFonts w:hint="eastAsia" w:ascii="宋体" w:hAnsi="宋体" w:cs="宋体"/>
                <w:color w:val="000000"/>
                <w:kern w:val="0"/>
                <w:sz w:val="20"/>
                <w:szCs w:val="20"/>
                <w:lang w:bidi="ar"/>
              </w:rPr>
              <w:t>2019年12月底完成</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2019年12月</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2019年12月</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40"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耕地地力支持保护补贴标准</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148.23元/亩</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148.23元/亩</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52"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效</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益</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(30分)</w:t>
            </w: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带动农户实现亩均增收</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148.23元/亩</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148.23元/亩</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52"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耕地地力保护补贴资金补贴户数</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4262户</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4262户</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52"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生态效益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扶持生态发展率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52"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7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农作物秸秆有效利用率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65" w:type="dxa"/>
          <w:trHeight w:val="252"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满意度指标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(10分)</w:t>
            </w:r>
          </w:p>
        </w:tc>
        <w:tc>
          <w:tcPr>
            <w:tcW w:w="1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项目受益服务对象满意度</w:t>
            </w:r>
          </w:p>
        </w:tc>
        <w:tc>
          <w:tcPr>
            <w:tcW w:w="6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distribute"/>
            </w:pPr>
          </w:p>
        </w:tc>
      </w:tr>
      <w:tr>
        <w:tblPrEx>
          <w:tblCellMar>
            <w:top w:w="0" w:type="dxa"/>
            <w:left w:w="0" w:type="dxa"/>
            <w:bottom w:w="0" w:type="dxa"/>
            <w:right w:w="0" w:type="dxa"/>
          </w:tblCellMar>
        </w:tblPrEx>
        <w:trPr>
          <w:gridAfter w:val="1"/>
          <w:wAfter w:w="465" w:type="dxa"/>
          <w:trHeight w:val="252" w:hRule="atLeast"/>
        </w:trPr>
        <w:tc>
          <w:tcPr>
            <w:tcW w:w="488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b/>
                <w:color w:val="000000"/>
                <w:kern w:val="0"/>
                <w:sz w:val="20"/>
                <w:szCs w:val="20"/>
                <w:lang w:bidi="ar"/>
              </w:rPr>
              <w:t>总分</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b/>
                <w:color w:val="000000"/>
                <w:kern w:val="0"/>
                <w:sz w:val="20"/>
                <w:szCs w:val="20"/>
                <w:lang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b/>
                <w:color w:val="000000"/>
                <w:kern w:val="0"/>
                <w:sz w:val="20"/>
                <w:szCs w:val="20"/>
                <w:lang w:bidi="ar"/>
              </w:rPr>
              <w:t>86</w:t>
            </w:r>
          </w:p>
        </w:tc>
        <w:tc>
          <w:tcPr>
            <w:tcW w:w="11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570" w:hRule="atLeast"/>
        </w:trPr>
        <w:tc>
          <w:tcPr>
            <w:tcW w:w="9052" w:type="dxa"/>
            <w:gridSpan w:val="2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Fonts w:hint="eastAsia" w:ascii="宋体" w:hAnsi="宋体" w:cs="宋体"/>
                <w:b/>
                <w:color w:val="000000"/>
                <w:kern w:val="0"/>
                <w:sz w:val="32"/>
                <w:szCs w:val="32"/>
                <w:lang w:bidi="ar"/>
              </w:rPr>
              <w:t>绩效目标自评表</w:t>
            </w:r>
            <w:r>
              <w:rPr>
                <w:rStyle w:val="37"/>
                <w:rFonts w:hint="default"/>
                <w:lang w:bidi="ar"/>
              </w:rPr>
              <w:t xml:space="preserve"> </w:t>
            </w:r>
          </w:p>
        </w:tc>
      </w:tr>
      <w:tr>
        <w:tblPrEx>
          <w:tblCellMar>
            <w:top w:w="0" w:type="dxa"/>
            <w:left w:w="0" w:type="dxa"/>
            <w:bottom w:w="0" w:type="dxa"/>
            <w:right w:w="0" w:type="dxa"/>
          </w:tblCellMar>
        </w:tblPrEx>
        <w:trPr>
          <w:gridAfter w:val="3"/>
          <w:wAfter w:w="848" w:type="dxa"/>
          <w:trHeight w:val="420" w:hRule="atLeast"/>
        </w:trPr>
        <w:tc>
          <w:tcPr>
            <w:tcW w:w="9052" w:type="dxa"/>
            <w:gridSpan w:val="29"/>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gridAfter w:val="3"/>
          <w:wAfter w:w="848" w:type="dxa"/>
          <w:trHeight w:val="555" w:hRule="atLeast"/>
        </w:trPr>
        <w:tc>
          <w:tcPr>
            <w:tcW w:w="225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9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2019年易地扶贫搬迁工程建设资金</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7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赵久辉（0827-7656002）</w:t>
            </w:r>
          </w:p>
        </w:tc>
      </w:tr>
      <w:tr>
        <w:tblPrEx>
          <w:tblCellMar>
            <w:top w:w="0" w:type="dxa"/>
            <w:left w:w="0" w:type="dxa"/>
            <w:bottom w:w="0" w:type="dxa"/>
            <w:right w:w="0" w:type="dxa"/>
          </w:tblCellMar>
        </w:tblPrEx>
        <w:trPr>
          <w:gridAfter w:val="3"/>
          <w:wAfter w:w="848" w:type="dxa"/>
          <w:trHeight w:val="300" w:hRule="atLeast"/>
        </w:trPr>
        <w:tc>
          <w:tcPr>
            <w:tcW w:w="225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29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通江县发改局</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7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板桥口镇人民政府</w:t>
            </w:r>
          </w:p>
        </w:tc>
      </w:tr>
      <w:tr>
        <w:tblPrEx>
          <w:tblCellMar>
            <w:top w:w="0" w:type="dxa"/>
            <w:left w:w="0" w:type="dxa"/>
            <w:bottom w:w="0" w:type="dxa"/>
            <w:right w:w="0" w:type="dxa"/>
          </w:tblCellMar>
        </w:tblPrEx>
        <w:trPr>
          <w:gridAfter w:val="3"/>
          <w:wAfter w:w="848" w:type="dxa"/>
          <w:trHeight w:val="465" w:hRule="atLeast"/>
        </w:trPr>
        <w:tc>
          <w:tcPr>
            <w:tcW w:w="225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（万元）</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21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gridAfter w:val="3"/>
          <w:wAfter w:w="848" w:type="dxa"/>
          <w:trHeight w:val="282" w:hRule="atLeast"/>
        </w:trPr>
        <w:tc>
          <w:tcPr>
            <w:tcW w:w="22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0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31.2万元</w:t>
            </w:r>
          </w:p>
        </w:tc>
        <w:tc>
          <w:tcPr>
            <w:tcW w:w="21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31.2万元</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gridAfter w:val="3"/>
          <w:wAfter w:w="848" w:type="dxa"/>
          <w:trHeight w:val="282" w:hRule="atLeast"/>
        </w:trPr>
        <w:tc>
          <w:tcPr>
            <w:tcW w:w="22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其中：本年财政拨款</w:t>
            </w:r>
          </w:p>
        </w:tc>
        <w:tc>
          <w:tcPr>
            <w:tcW w:w="10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31.2万元</w:t>
            </w:r>
          </w:p>
        </w:tc>
        <w:tc>
          <w:tcPr>
            <w:tcW w:w="21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31.2万元</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gridAfter w:val="3"/>
          <w:wAfter w:w="848" w:type="dxa"/>
          <w:trHeight w:val="282" w:hRule="atLeast"/>
        </w:trPr>
        <w:tc>
          <w:tcPr>
            <w:tcW w:w="22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10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1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gridAfter w:val="3"/>
          <w:wAfter w:w="848" w:type="dxa"/>
          <w:trHeight w:val="282" w:hRule="atLeast"/>
        </w:trPr>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63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386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gridAfter w:val="3"/>
          <w:wAfter w:w="848" w:type="dxa"/>
          <w:trHeight w:val="1240"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63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根据川财投〔2019〕87号文件，下达2019年易地扶贫搬迁工程建设资金。打好脱贫攻坚战，改善了贫困户的生产生活条件，促进了社会经济发展，让惠民政策落到了实处。</w:t>
            </w:r>
          </w:p>
        </w:tc>
        <w:tc>
          <w:tcPr>
            <w:tcW w:w="386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根据川财投〔2019〕87号文件，下达2019年易地扶贫搬迁工程建设资金。打好脱贫攻坚战，改善了贫困户的生产生活条件，促进了社会经济发展，让惠民政策落到了实处。按预期目标任务完成。</w:t>
            </w:r>
          </w:p>
        </w:tc>
      </w:tr>
      <w:tr>
        <w:tblPrEx>
          <w:tblCellMar>
            <w:top w:w="0" w:type="dxa"/>
            <w:left w:w="0" w:type="dxa"/>
            <w:bottom w:w="0" w:type="dxa"/>
            <w:right w:w="0" w:type="dxa"/>
          </w:tblCellMar>
        </w:tblPrEx>
        <w:trPr>
          <w:gridAfter w:val="3"/>
          <w:wAfter w:w="848" w:type="dxa"/>
          <w:trHeight w:val="680" w:hRule="atLeast"/>
        </w:trPr>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(50分)</w:t>
            </w:r>
          </w:p>
        </w:tc>
        <w:tc>
          <w:tcPr>
            <w:tcW w:w="9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2019年易地扶贫搬迁入住率</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2019年易地扶贫搬迁道路建设</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&gt;=3公里</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&gt;=3公里</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质量达到合格率</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截</w:t>
            </w:r>
            <w:r>
              <w:rPr>
                <w:rFonts w:hint="eastAsia" w:ascii="宋体" w:hAnsi="宋体" w:cs="宋体"/>
                <w:color w:val="000000"/>
                <w:kern w:val="0"/>
                <w:sz w:val="20"/>
                <w:szCs w:val="20"/>
                <w:lang w:eastAsia="zh-CN" w:bidi="ar"/>
              </w:rPr>
              <w:t>至</w:t>
            </w:r>
            <w:r>
              <w:rPr>
                <w:rFonts w:hint="eastAsia" w:ascii="宋体" w:hAnsi="宋体" w:cs="宋体"/>
                <w:color w:val="000000"/>
                <w:kern w:val="0"/>
                <w:sz w:val="20"/>
                <w:szCs w:val="20"/>
                <w:lang w:bidi="ar"/>
              </w:rPr>
              <w:t>2019年12月底完成</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2019年12月</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2019年12月</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易地扶贫搬迁工程配套设施补助</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31.2万元</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31.2万元</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效</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益</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(30分)</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带动建档立卡贫困户经济收入</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增长</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增长</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带动建档立卡贫困户脱贫人口</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3201人</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3201人</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生态效益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建设美好家园生态率</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基础设施建设使用年限</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满意度指标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(10分)</w:t>
            </w:r>
          </w:p>
        </w:tc>
        <w:tc>
          <w:tcPr>
            <w:tcW w:w="9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项目受益服务对象满意度</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社会满意度</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3"/>
          <w:wAfter w:w="848" w:type="dxa"/>
          <w:trHeight w:val="252" w:hRule="atLeast"/>
        </w:trPr>
        <w:tc>
          <w:tcPr>
            <w:tcW w:w="47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90</w:t>
            </w:r>
          </w:p>
        </w:tc>
        <w:tc>
          <w:tcPr>
            <w:tcW w:w="21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5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86</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spacing w:line="580" w:lineRule="exact"/>
        <w:ind w:left="630"/>
        <w:rPr>
          <w:rFonts w:ascii="仿宋_GB2312" w:hAnsi="仿宋_GB2312" w:eastAsia="仿宋_GB2312" w:cs="仿宋_GB2312"/>
          <w:sz w:val="32"/>
          <w:szCs w:val="32"/>
        </w:rPr>
      </w:pPr>
    </w:p>
    <w:tbl>
      <w:tblPr>
        <w:tblStyle w:val="12"/>
        <w:tblW w:w="9570" w:type="dxa"/>
        <w:tblInd w:w="0" w:type="dxa"/>
        <w:tblLayout w:type="autofit"/>
        <w:tblCellMar>
          <w:top w:w="0" w:type="dxa"/>
          <w:left w:w="0" w:type="dxa"/>
          <w:bottom w:w="0" w:type="dxa"/>
          <w:right w:w="0" w:type="dxa"/>
        </w:tblCellMar>
      </w:tblPr>
      <w:tblGrid>
        <w:gridCol w:w="479"/>
        <w:gridCol w:w="735"/>
        <w:gridCol w:w="1056"/>
        <w:gridCol w:w="2288"/>
        <w:gridCol w:w="631"/>
        <w:gridCol w:w="468"/>
        <w:gridCol w:w="1151"/>
        <w:gridCol w:w="1215"/>
        <w:gridCol w:w="477"/>
        <w:gridCol w:w="722"/>
        <w:gridCol w:w="348"/>
      </w:tblGrid>
      <w:tr>
        <w:tblPrEx>
          <w:tblCellMar>
            <w:top w:w="0" w:type="dxa"/>
            <w:left w:w="0" w:type="dxa"/>
            <w:bottom w:w="0" w:type="dxa"/>
            <w:right w:w="0" w:type="dxa"/>
          </w:tblCellMar>
        </w:tblPrEx>
        <w:trPr>
          <w:trHeight w:val="560" w:hRule="atLeast"/>
        </w:trPr>
        <w:tc>
          <w:tcPr>
            <w:tcW w:w="9571"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Fonts w:hint="eastAsia" w:ascii="宋体" w:hAnsi="宋体" w:cs="宋体"/>
                <w:b/>
                <w:color w:val="000000"/>
                <w:kern w:val="0"/>
                <w:sz w:val="32"/>
                <w:szCs w:val="32"/>
                <w:lang w:bidi="ar"/>
              </w:rPr>
              <w:t>绩效目标自评表</w:t>
            </w:r>
            <w:r>
              <w:rPr>
                <w:rFonts w:hint="eastAsia" w:ascii="宋体" w:hAnsi="宋体" w:cs="宋体"/>
                <w:color w:val="000000"/>
                <w:kern w:val="0"/>
                <w:sz w:val="32"/>
                <w:szCs w:val="32"/>
                <w:lang w:bidi="ar"/>
              </w:rPr>
              <w:t xml:space="preserve"> </w:t>
            </w:r>
          </w:p>
        </w:tc>
      </w:tr>
      <w:tr>
        <w:tblPrEx>
          <w:tblCellMar>
            <w:top w:w="0" w:type="dxa"/>
            <w:left w:w="0" w:type="dxa"/>
            <w:bottom w:w="0" w:type="dxa"/>
            <w:right w:w="0" w:type="dxa"/>
          </w:tblCellMar>
        </w:tblPrEx>
        <w:trPr>
          <w:trHeight w:val="340" w:hRule="atLeast"/>
        </w:trPr>
        <w:tc>
          <w:tcPr>
            <w:tcW w:w="9571" w:type="dxa"/>
            <w:gridSpan w:val="11"/>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trHeight w:val="555" w:hRule="atLeast"/>
        </w:trPr>
        <w:tc>
          <w:tcPr>
            <w:tcW w:w="22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3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2019年农村安全饮水建设资金</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7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何川（0827-7656002）</w:t>
            </w:r>
          </w:p>
        </w:tc>
      </w:tr>
      <w:tr>
        <w:tblPrEx>
          <w:tblCellMar>
            <w:top w:w="0" w:type="dxa"/>
            <w:left w:w="0" w:type="dxa"/>
            <w:bottom w:w="0" w:type="dxa"/>
            <w:right w:w="0" w:type="dxa"/>
          </w:tblCellMar>
        </w:tblPrEx>
        <w:trPr>
          <w:trHeight w:val="300" w:hRule="atLeast"/>
        </w:trPr>
        <w:tc>
          <w:tcPr>
            <w:tcW w:w="22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3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通江县水务局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7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板桥口镇人民政府</w:t>
            </w:r>
          </w:p>
        </w:tc>
      </w:tr>
      <w:tr>
        <w:tblPrEx>
          <w:tblCellMar>
            <w:top w:w="0" w:type="dxa"/>
            <w:left w:w="0" w:type="dxa"/>
            <w:bottom w:w="0" w:type="dxa"/>
            <w:right w:w="0" w:type="dxa"/>
          </w:tblCellMar>
        </w:tblPrEx>
        <w:trPr>
          <w:trHeight w:val="465" w:hRule="atLeast"/>
        </w:trPr>
        <w:tc>
          <w:tcPr>
            <w:tcW w:w="22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（万元）</w:t>
            </w:r>
          </w:p>
        </w:tc>
        <w:tc>
          <w:tcPr>
            <w:tcW w:w="2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trHeight w:val="282" w:hRule="atLeast"/>
        </w:trPr>
        <w:tc>
          <w:tcPr>
            <w:tcW w:w="22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308.7万元</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308.7万元</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282" w:hRule="atLeast"/>
        </w:trPr>
        <w:tc>
          <w:tcPr>
            <w:tcW w:w="22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其中：本年财政拨款</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308.7万元</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308.7万元</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82" w:hRule="atLeast"/>
        </w:trPr>
        <w:tc>
          <w:tcPr>
            <w:tcW w:w="22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82"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1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39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trHeight w:val="1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1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根据通财农【2019】13号文件，下达板桥口镇农村安全饮水补助资金308.6万元，改善群众生产生活环境，为群众办</w:t>
            </w:r>
            <w:r>
              <w:rPr>
                <w:rFonts w:hint="eastAsia" w:ascii="宋体" w:hAnsi="宋体" w:cs="宋体"/>
                <w:color w:val="000000"/>
                <w:kern w:val="0"/>
                <w:sz w:val="20"/>
                <w:szCs w:val="20"/>
                <w:lang w:eastAsia="zh-CN" w:bidi="ar"/>
              </w:rPr>
              <w:t>实事</w:t>
            </w:r>
            <w:bookmarkStart w:id="117" w:name="_GoBack"/>
            <w:bookmarkEnd w:id="117"/>
            <w:r>
              <w:rPr>
                <w:rFonts w:hint="eastAsia" w:ascii="宋体" w:hAnsi="宋体" w:cs="宋体"/>
                <w:color w:val="000000"/>
                <w:kern w:val="0"/>
                <w:sz w:val="20"/>
                <w:szCs w:val="20"/>
                <w:lang w:bidi="ar"/>
              </w:rPr>
              <w:t>办好事，民生工程。</w:t>
            </w:r>
          </w:p>
        </w:tc>
        <w:tc>
          <w:tcPr>
            <w:tcW w:w="39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根据通财农【2019】13号文件，下达板桥口镇农村安全饮水补助资金308.7万元，改善群众生产生活环境.</w:t>
            </w:r>
          </w:p>
        </w:tc>
      </w:tr>
      <w:tr>
        <w:tblPrEx>
          <w:tblCellMar>
            <w:top w:w="0" w:type="dxa"/>
            <w:left w:w="0" w:type="dxa"/>
            <w:bottom w:w="0" w:type="dxa"/>
            <w:right w:w="0" w:type="dxa"/>
          </w:tblCellMar>
        </w:tblPrEx>
        <w:trPr>
          <w:trHeight w:val="559"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(50分)</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2019年农村安全饮水补助资金</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18个村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18个村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实现受益人口</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≥3201人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≥3201人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项目（工程）验收合格率</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水质净化：达到饮用标准</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合格</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合格</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截</w:t>
            </w:r>
            <w:r>
              <w:rPr>
                <w:rFonts w:hint="eastAsia" w:ascii="宋体" w:hAnsi="宋体" w:cs="宋体"/>
                <w:color w:val="000000"/>
                <w:kern w:val="0"/>
                <w:sz w:val="20"/>
                <w:szCs w:val="20"/>
                <w:lang w:eastAsia="zh-CN" w:bidi="ar"/>
              </w:rPr>
              <w:t>至</w:t>
            </w:r>
            <w:r>
              <w:rPr>
                <w:rFonts w:hint="eastAsia" w:ascii="宋体" w:hAnsi="宋体" w:cs="宋体"/>
                <w:color w:val="000000"/>
                <w:kern w:val="0"/>
                <w:sz w:val="20"/>
                <w:szCs w:val="20"/>
                <w:lang w:bidi="ar"/>
              </w:rPr>
              <w:t>2019年12月底完成</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2019年12月</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2019年12月</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当年投资完成率</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2019年农村安全饮水补助资金</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308.7万元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308.7万元</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效</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益</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(30分)</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解决建卡贫困人口饮水问题，受益人口增加</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增加</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增加</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提高群众生产生活水平</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逐步提升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逐步提升</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99"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改善群众饮水水质质量，逐步提高水质合格率</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逐步提高</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逐步提高</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生态效益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饮水工程对生态破坏程度</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饮水安全项目建设使用年限</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长期受益</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长期受益</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满意度指标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(10分)</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饮水安全提升改造地受益农户满意度</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社会满意度</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5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90</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85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spacing w:line="580" w:lineRule="exact"/>
        <w:ind w:left="630"/>
        <w:rPr>
          <w:rFonts w:ascii="仿宋_GB2312" w:hAnsi="仿宋_GB2312" w:eastAsia="仿宋_GB2312" w:cs="仿宋_GB2312"/>
          <w:sz w:val="32"/>
          <w:szCs w:val="32"/>
        </w:rPr>
      </w:pPr>
    </w:p>
    <w:tbl>
      <w:tblPr>
        <w:tblStyle w:val="12"/>
        <w:tblW w:w="8880" w:type="dxa"/>
        <w:tblInd w:w="0" w:type="dxa"/>
        <w:tblLayout w:type="autofit"/>
        <w:tblCellMar>
          <w:top w:w="0" w:type="dxa"/>
          <w:left w:w="0" w:type="dxa"/>
          <w:bottom w:w="0" w:type="dxa"/>
          <w:right w:w="0" w:type="dxa"/>
        </w:tblCellMar>
      </w:tblPr>
      <w:tblGrid>
        <w:gridCol w:w="481"/>
        <w:gridCol w:w="729"/>
        <w:gridCol w:w="910"/>
        <w:gridCol w:w="2006"/>
        <w:gridCol w:w="547"/>
        <w:gridCol w:w="430"/>
        <w:gridCol w:w="1133"/>
        <w:gridCol w:w="730"/>
        <w:gridCol w:w="689"/>
        <w:gridCol w:w="730"/>
        <w:gridCol w:w="495"/>
      </w:tblGrid>
      <w:tr>
        <w:tblPrEx>
          <w:tblCellMar>
            <w:top w:w="0" w:type="dxa"/>
            <w:left w:w="0" w:type="dxa"/>
            <w:bottom w:w="0" w:type="dxa"/>
            <w:right w:w="0" w:type="dxa"/>
          </w:tblCellMar>
        </w:tblPrEx>
        <w:trPr>
          <w:trHeight w:val="570" w:hRule="atLeast"/>
        </w:trPr>
        <w:tc>
          <w:tcPr>
            <w:tcW w:w="8891"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Fonts w:hint="eastAsia" w:ascii="宋体" w:hAnsi="宋体" w:cs="宋体"/>
                <w:b/>
                <w:bCs/>
                <w:color w:val="000000"/>
                <w:kern w:val="0"/>
                <w:sz w:val="32"/>
                <w:szCs w:val="32"/>
                <w:lang w:bidi="ar"/>
              </w:rPr>
              <w:t>绩效目标自评表</w:t>
            </w:r>
          </w:p>
        </w:tc>
      </w:tr>
      <w:tr>
        <w:tblPrEx>
          <w:tblCellMar>
            <w:top w:w="0" w:type="dxa"/>
            <w:left w:w="0" w:type="dxa"/>
            <w:bottom w:w="0" w:type="dxa"/>
            <w:right w:w="0" w:type="dxa"/>
          </w:tblCellMar>
        </w:tblPrEx>
        <w:trPr>
          <w:trHeight w:val="420" w:hRule="atLeast"/>
        </w:trPr>
        <w:tc>
          <w:tcPr>
            <w:tcW w:w="8891" w:type="dxa"/>
            <w:gridSpan w:val="11"/>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trHeight w:val="555" w:hRule="atLeast"/>
        </w:trPr>
        <w:tc>
          <w:tcPr>
            <w:tcW w:w="21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便民服务中心建设项目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李世海 0827-7656002</w:t>
            </w:r>
          </w:p>
        </w:tc>
      </w:tr>
      <w:tr>
        <w:tblPrEx>
          <w:tblCellMar>
            <w:top w:w="0" w:type="dxa"/>
            <w:left w:w="0" w:type="dxa"/>
            <w:bottom w:w="0" w:type="dxa"/>
            <w:right w:w="0" w:type="dxa"/>
          </w:tblCellMar>
        </w:tblPrEx>
        <w:trPr>
          <w:trHeight w:val="320" w:hRule="atLeast"/>
        </w:trPr>
        <w:tc>
          <w:tcPr>
            <w:tcW w:w="21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通江县人民政府</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6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板桥口镇人民政府</w:t>
            </w:r>
          </w:p>
        </w:tc>
      </w:tr>
      <w:tr>
        <w:tblPrEx>
          <w:tblCellMar>
            <w:top w:w="0" w:type="dxa"/>
            <w:left w:w="0" w:type="dxa"/>
            <w:bottom w:w="0" w:type="dxa"/>
            <w:right w:w="0" w:type="dxa"/>
          </w:tblCellMar>
        </w:tblPrEx>
        <w:trPr>
          <w:trHeight w:val="560" w:hRule="atLeast"/>
        </w:trPr>
        <w:tc>
          <w:tcPr>
            <w:tcW w:w="21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（万元）</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trHeight w:val="320" w:hRule="atLeast"/>
        </w:trPr>
        <w:tc>
          <w:tcPr>
            <w:tcW w:w="21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26万元</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320" w:hRule="atLeast"/>
        </w:trPr>
        <w:tc>
          <w:tcPr>
            <w:tcW w:w="21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其中：本年财政拨款</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26万元</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320" w:hRule="atLeast"/>
        </w:trPr>
        <w:tc>
          <w:tcPr>
            <w:tcW w:w="21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32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6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trHeight w:val="7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6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建设新的政府办公区域、方便全镇广大群众办事、改善工作人员办公环境，提升工作效率。</w:t>
            </w:r>
          </w:p>
        </w:tc>
        <w:tc>
          <w:tcPr>
            <w:tcW w:w="37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建设新的政府办公区域、方便全镇广大群众办事、改善工作人员办公环境，提升工作效率。</w:t>
            </w:r>
          </w:p>
        </w:tc>
      </w:tr>
      <w:tr>
        <w:tblPrEx>
          <w:tblCellMar>
            <w:top w:w="0" w:type="dxa"/>
            <w:left w:w="0" w:type="dxa"/>
            <w:bottom w:w="0" w:type="dxa"/>
            <w:right w:w="0" w:type="dxa"/>
          </w:tblCellMar>
        </w:tblPrEx>
        <w:trPr>
          <w:trHeight w:val="70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trHeight w:val="56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便民中心建设项目惠及村（居）个数</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实现受益人口（≥**人）</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11000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建设合格面积完成率（≥%）</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资金拨付率（**%）</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按期投入使用完成率（≥%）</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财政投入资金（=**万元）</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=26万元</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效</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益</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(30分)</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覆盖工作人员人数（≥人）</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解决全镇群众办事问题（≥人）</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可投入使用年限（≥**年）</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满意度指标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受益农户满意度（≥**%）</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受益工作人员满意度（≥**%）</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4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90</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87</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本部门按要求对2019年部门整体支出绩效评价情况开展自评，《板桥口镇2019年部门整体支出绩效评价报告》见附件（附件1）。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本部门自行组织对“森林生态效益补偿项目”“农业生产支持补贴项目”“易地扶贫搬迁项目”“农村基础设施建设”“便民服务中心建设项目”5个项目开展了绩效评价，绩效评价报告见附件（附件2）。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94" w:name="_Toc15377225"/>
      <w:bookmarkStart w:id="95" w:name="_Toc20097"/>
      <w:bookmarkStart w:id="9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94"/>
      <w:bookmarkEnd w:id="95"/>
      <w:bookmarkEnd w:id="9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9、一般公共服务（类）反映政府提供一般公共服务的支出。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人大事务（款）反映各级人民代表大会（以下简称"人大"）的支出。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行政运行（项）反映行政单位（包括实行公务员管理的事业单位）的基本支出。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②　政府办公厅（室）及相关机构事务（款）反映各级政府办公厅（室）及相关机构的支出。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行政运行（项）反映行政单位（包括实行公务员管理的事业单位）的基本支出。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一般行政管理事务（项）反映行政单位（包括实行公务员管理的事业单位）未单独设置项级科目的其他项目支出。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信访事务（项）信访事务</w:t>
      </w:r>
      <w:r>
        <w:rPr>
          <w:rFonts w:hint="eastAsia" w:ascii="仿宋_GB2312" w:eastAsia="仿宋_GB2312"/>
          <w:color w:val="000000"/>
          <w:sz w:val="32"/>
          <w:szCs w:val="32"/>
        </w:rPr>
        <w:tab/>
      </w:r>
      <w:r>
        <w:rPr>
          <w:rFonts w:hint="eastAsia" w:ascii="仿宋_GB2312" w:eastAsia="仿宋_GB2312"/>
          <w:color w:val="000000"/>
          <w:sz w:val="32"/>
          <w:szCs w:val="32"/>
        </w:rPr>
        <w:t>反映各级政府用于接待群众来信来访方面的支出。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③　财政事务（款）反映财政事务方面的支出。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行政运行（项）反映行政单位（包括实行公务员管理的事业单位）的基本支出。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④　纪检监察事务（款）反映纪检、监察方面的支出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行政运行（项）反映行政单位（包括实行公务员管理的事业单位）的基本支出。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⑤　党委办公厅（室）及相关机构事务（款） 反映党委办公厅（室）及相关机构的支出。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行政运行（项）反映行政单位（包括实行公务员管理的事业单位）的基本支出。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⑥　其他共产党事务支出（款）反映上述款项以外其他用于中国共产党事务的支出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行政运行（项）反映行政单位（包括实行公务员管理的事业单位）的基本支出。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教育支出（类）反映政府教育事务支出。有关具体事务包括教育行政管理、学前教育、小学教育、初中教育、普通高中教育、普通高等教育、初等职业教育、中专教育、技校教育、职业高中教育、高等职业教育、广播电视教育、留学生教育、特殊教育、干部继续教育、教育机关服务等。</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普通教育（款）</w:t>
      </w:r>
      <w:r>
        <w:rPr>
          <w:rFonts w:hint="eastAsia" w:ascii="仿宋_GB2312" w:eastAsia="仿宋_GB2312"/>
          <w:color w:val="000000"/>
          <w:sz w:val="32"/>
          <w:szCs w:val="32"/>
        </w:rPr>
        <w:tab/>
      </w:r>
      <w:r>
        <w:rPr>
          <w:rFonts w:hint="eastAsia" w:ascii="仿宋_GB2312" w:eastAsia="仿宋_GB2312"/>
          <w:color w:val="000000"/>
          <w:sz w:val="32"/>
          <w:szCs w:val="32"/>
        </w:rPr>
        <w:t>反映各类普通教育支出。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学前教育（项）反映各部门举办的学前教育支出。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小学教育（项）</w:t>
      </w:r>
      <w:r>
        <w:rPr>
          <w:rFonts w:hint="eastAsia" w:ascii="仿宋_GB2312" w:eastAsia="仿宋_GB2312"/>
          <w:color w:val="000000"/>
          <w:sz w:val="32"/>
          <w:szCs w:val="32"/>
        </w:rPr>
        <w:tab/>
      </w:r>
      <w:r>
        <w:rPr>
          <w:rFonts w:hint="eastAsia" w:ascii="仿宋_GB2312" w:eastAsia="仿宋_GB2312"/>
          <w:color w:val="000000"/>
          <w:sz w:val="32"/>
          <w:szCs w:val="32"/>
        </w:rPr>
        <w:t>反映各部门举办的小学教育支出。政府各部门对社会中介组织等举办的小学的资助，如各类捐赠、补贴等，也在本科目反映。</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其他普通教育支出（项）反映除上述项目以外其他用于普通教育方面的支出。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11、文化体育与传媒支出（类）反映政府在文化、文物、体育、广播影视、新闻出版等方面的支出。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文化（款）反映政府用于公用文化设施、艺术表演团体及文化艺术活动等方面的支出。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其他文化支出（项）反映除上述项目以外其他用于文化方面的支出。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② 新闻出版广播影视（款） 反映新闻出版方面的支出。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广播（项）</w:t>
      </w:r>
      <w:r>
        <w:rPr>
          <w:rFonts w:hint="eastAsia" w:ascii="仿宋_GB2312" w:eastAsia="仿宋_GB2312"/>
          <w:color w:val="000000"/>
          <w:sz w:val="32"/>
          <w:szCs w:val="32"/>
        </w:rPr>
        <w:tab/>
      </w:r>
      <w:r>
        <w:rPr>
          <w:rFonts w:hint="eastAsia" w:ascii="仿宋_GB2312" w:eastAsia="仿宋_GB2312"/>
          <w:color w:val="000000"/>
          <w:sz w:val="32"/>
          <w:szCs w:val="32"/>
        </w:rPr>
        <w:t>反映广播电台、广播发射台、广播转播台及有线广播站的支出。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12、社会保障和就业（类）反映政府在社会保障与就业方面的支出。有关事项包括社会保障和就业管理事务、民政管理事务、财政对社会保险基金的补助、补充全国社会保障基金、行政事业单位离退休、企业改革补助、就业补助、抚恤、退役安置、社会福利、残疾人事业、城市居民最低生活保障、其他城镇社会救济、农村社会救济、自然灾害生活救助、红十字事务等。</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人力资源和社会保障管理事务（款）反映人力资源和社会保障管理事务支出。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社会保险经办机构（项）反映社会保险经办机构开展业务工作的支出。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② 行政事业单位离退休（款）反映用于行政事业单位离退休方面的支出。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机关事业单位基本养老保险缴费支出（项）反映实行归口管理的事业单位开支的离退休经费。</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13、医疗卫生与计划生育支出（类）反映政府医疗卫生与计划生育管理方面的支出。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①基层医疗卫生机构（款）反映用于基层医疗卫生机构方面的支出。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镇镇卫生院（项）反映用于镇镇卫生院方面的支出。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其他基层医疗卫生机构支出（项）</w:t>
      </w:r>
      <w:r>
        <w:rPr>
          <w:rFonts w:hint="eastAsia" w:ascii="仿宋_GB2312" w:eastAsia="仿宋_GB2312"/>
          <w:color w:val="000000"/>
          <w:sz w:val="32"/>
          <w:szCs w:val="32"/>
        </w:rPr>
        <w:tab/>
      </w:r>
      <w:r>
        <w:rPr>
          <w:rFonts w:hint="eastAsia" w:ascii="仿宋_GB2312" w:eastAsia="仿宋_GB2312"/>
          <w:color w:val="000000"/>
          <w:sz w:val="32"/>
          <w:szCs w:val="32"/>
        </w:rPr>
        <w:t>反映除上述项目以外的其他用于基层医疗卫生机构方面的支出。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② 公共卫生（款）反映公共卫生支出。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基本公共卫生服务（项）反映基本公共卫生服务支出。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③ 财政对基本医疗保险基金的补助（款）反映财政对基本医疗保险基金的补助支出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财政对城镇居民基本医疗保险基金的补助（项）反映财政对已将新型农村合作医疗基金和城镇居民基本医疗保险基金整合为城镇居民基本医疗保险基金的补助支出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14、节能环保支出（类）反映政府节能环保支出。具体包括：环境保护管理事务支出、环境监测与监察支出、污染治理支出、自然生态保护支出、天然林保护工程支出、退耕还林支出、风沙荒漠治理支出、退牧还草支出、已垦草原退耕还草、能源节约利用、污染减排、可再生能源和资源综合利用等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退耕还林（款）反映专项用于退耕还林工程的各项补助支出。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退耕现金（项）反映专项用于退耕户的医疗、教育等日常生活需要的支出。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15、城镇社区支出（类）反映政府城镇社区事务支出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城镇社区公共设施（款）反映城镇社区道路、桥涵、燃气、供暖、公共交通（含轮渡、轻轨、地铁）、道路照明等公共设施建设维护与管理方面的支出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其他城镇社区公共设施支出（项）反映除上述项目以外其他用于其他城镇社区公共设施方面的支出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16、农林水支出（类）反映政府农林水事务支出。具体包括：农业支出、林业支出、水利支出、扶贫支出、农业综合开发支出等。</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农业（款）反映财政用于种植业、畜牧业、渔业、兽医、农机、农垦、农场、农业产业化经营组织、农村和垦区公益事业、农产品加工等方面的支出。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事业运行（项）反映用于农业事业单位基本支出，事业单位设施、系统运行与资产维护等方面的支出。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农业生产支持补贴（项）反映对种粮农民直接补贴，对农业生产资料补贴、技术物化补贴，推广先进适用农机农艺技术等方面的支出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农村道路建设（项）反映用于农村公路、镇村道路建设方面的支出。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② 林业（款）反映政府用于林业方面的支出。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林业事业机构（项）</w:t>
      </w:r>
      <w:r>
        <w:rPr>
          <w:rFonts w:hint="eastAsia" w:ascii="仿宋_GB2312" w:eastAsia="仿宋_GB2312"/>
          <w:color w:val="000000"/>
          <w:sz w:val="32"/>
          <w:szCs w:val="32"/>
        </w:rPr>
        <w:tab/>
      </w:r>
      <w:r>
        <w:rPr>
          <w:rFonts w:hint="eastAsia" w:ascii="仿宋_GB2312" w:eastAsia="仿宋_GB2312"/>
          <w:color w:val="000000"/>
          <w:sz w:val="32"/>
          <w:szCs w:val="32"/>
        </w:rPr>
        <w:t>反映用于林业事业单位的基本支出。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森林生态效益补偿（项）反映由森林生态效益补偿基金安排用于公益林营造、抚育、管理和保护等方面的支出。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③ 水利（款）反映政府用于水利方面的支出。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水利技术推广（项）反映水利系统纳入预算管理的技术推广事业单位的支出。有关事项包括国内外先进水利技术的引进、试验、技术创新、推广、应用、宣传以及水利系统人员培训等。</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④ 扶贫（款）反映用于农村（包括国有农场、国有林场）扶贫开发等方面的支出。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生产发展反映用于农村贫困地区发展种植业、养殖业、畜牧业、农副产品加工、林果地建设等生产发展项目以及相关技术推广和培训、县镇村干部培训、贫困地区劳务输出培训等方面的项目支出。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其他扶贫支出（项）反映除上述项目以外其他用于扶贫方面的支出。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⑤ 农村综合改革（款）反映有关农村综合改革方面的支出。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对村民委员会和村党支部的补助（项）反映各级财政对村民委员会和村党支部的补助支出，以及支持建立县级基本财力保障机制安排的村级组织运转奖补资金。</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对村集体经济组织的补助（项）反映农村税费改革后对村集体经济组织的补助支出。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其他农村综合改革支出（项）反映上述项目以外其他用于农村综合改革方面的支出。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17、交通运输支出（类）反映政府交通运输和邮政业方面的支出。包括公路运输支出、水路运输支出、铁路运输支出、民用航空运输支出和邮政业支出等。</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公路水路运输（款）反映与公路、水路运输相关的支出。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公路运输管理（项）反映公路运输管理支出。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18、住房保障支出（类）集中反映政府用于住房方面的支出。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① 住房改革支出（款）反映行政事业单位用财政拨款资金和其他资金等安排的住房改革支出。</w:t>
      </w:r>
    </w:p>
    <w:p>
      <w:pPr>
        <w:spacing w:line="600" w:lineRule="exact"/>
        <w:ind w:firstLine="640"/>
        <w:rPr>
          <w:rFonts w:ascii="仿宋" w:hAnsi="仿宋" w:eastAsia="仿宋"/>
          <w:b/>
          <w:color w:val="000000"/>
          <w:sz w:val="32"/>
          <w:szCs w:val="32"/>
        </w:rPr>
      </w:pPr>
      <w:r>
        <w:rPr>
          <w:rFonts w:hint="eastAsia" w:ascii="仿宋_GB2312" w:eastAsia="仿宋_GB2312"/>
          <w:color w:val="000000"/>
          <w:sz w:val="32"/>
          <w:szCs w:val="32"/>
        </w:rPr>
        <w:t>住房公积金（项）反映行政事业单位按人事部和财政部规定的基本工资和津贴补贴以及规定比例为职工缴纳的住房公积金。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97" w:name="_Toc15377226"/>
      <w:r>
        <w:rPr>
          <w:rFonts w:ascii="宋体"/>
          <w:b/>
          <w:color w:val="000000"/>
          <w:sz w:val="44"/>
          <w:szCs w:val="44"/>
        </w:rPr>
        <w:br w:type="page"/>
      </w:r>
      <w:bookmarkStart w:id="98" w:name="_Toc9353"/>
      <w:bookmarkStart w:id="99"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98"/>
      <w:bookmarkEnd w:id="99"/>
    </w:p>
    <w:p>
      <w:pPr>
        <w:spacing w:line="600" w:lineRule="exact"/>
        <w:jc w:val="left"/>
        <w:outlineLvl w:val="0"/>
        <w:rPr>
          <w:rFonts w:ascii="方正小标宋简体" w:hAnsi="方正小标宋简体" w:eastAsia="方正小标宋简体" w:cs="方正小标宋简体"/>
          <w:sz w:val="32"/>
          <w:szCs w:val="32"/>
        </w:rPr>
      </w:pPr>
      <w:bookmarkStart w:id="100" w:name="_Toc16536"/>
      <w:r>
        <w:rPr>
          <w:rFonts w:hint="eastAsia" w:ascii="黑体" w:hAnsi="黑体" w:eastAsia="黑体" w:cs="黑体"/>
          <w:sz w:val="32"/>
          <w:szCs w:val="32"/>
        </w:rPr>
        <w:t>附件1</w:t>
      </w:r>
      <w:bookmarkEnd w:id="100"/>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板桥口镇人民政府</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板桥口镇</w:t>
      </w:r>
      <w:r>
        <w:rPr>
          <w:rFonts w:hint="eastAsia" w:ascii="仿宋_GB2312" w:hAnsi="宋体" w:eastAsia="仿宋_GB2312" w:cs="宋体"/>
          <w:color w:val="000000"/>
          <w:kern w:val="0"/>
          <w:sz w:val="32"/>
          <w:szCs w:val="32"/>
          <w:shd w:val="clear" w:color="auto" w:fill="FFFFFF"/>
          <w:lang w:val="zh-CN"/>
        </w:rPr>
        <w:t>人民政府是乡级一级预算单位，下属二级事业单位</w:t>
      </w:r>
      <w:r>
        <w:rPr>
          <w:rFonts w:hint="eastAsia" w:ascii="仿宋_GB2312" w:hAnsi="宋体" w:eastAsia="仿宋_GB2312" w:cs="宋体"/>
          <w:color w:val="000000"/>
          <w:kern w:val="0"/>
          <w:sz w:val="32"/>
          <w:szCs w:val="32"/>
          <w:shd w:val="clear" w:color="auto" w:fill="FFFFFF"/>
        </w:rPr>
        <w:t>3</w:t>
      </w:r>
      <w:r>
        <w:rPr>
          <w:rFonts w:hint="eastAsia" w:ascii="仿宋_GB2312" w:hAnsi="宋体" w:eastAsia="仿宋_GB2312" w:cs="宋体"/>
          <w:color w:val="000000"/>
          <w:kern w:val="0"/>
          <w:sz w:val="32"/>
          <w:szCs w:val="32"/>
          <w:shd w:val="clear" w:color="auto" w:fill="FFFFFF"/>
          <w:lang w:val="zh-CN"/>
        </w:rPr>
        <w:t>个，分别为</w:t>
      </w:r>
      <w:r>
        <w:rPr>
          <w:rFonts w:hint="eastAsia" w:ascii="仿宋_GB2312" w:hAnsi="宋体" w:eastAsia="仿宋_GB2312" w:cs="宋体"/>
          <w:color w:val="000000"/>
          <w:kern w:val="0"/>
          <w:sz w:val="32"/>
          <w:szCs w:val="32"/>
          <w:shd w:val="clear" w:color="auto" w:fill="FFFFFF"/>
        </w:rPr>
        <w:t>板桥口镇</w:t>
      </w:r>
      <w:r>
        <w:rPr>
          <w:rFonts w:hint="eastAsia" w:ascii="仿宋_GB2312" w:hAnsi="宋体" w:eastAsia="仿宋_GB2312" w:cs="宋体"/>
          <w:color w:val="000000"/>
          <w:kern w:val="0"/>
          <w:sz w:val="32"/>
          <w:szCs w:val="32"/>
          <w:shd w:val="clear" w:color="auto" w:fill="FFFFFF"/>
          <w:lang w:val="zh-CN"/>
        </w:rPr>
        <w:t>卫生院、</w:t>
      </w:r>
      <w:r>
        <w:rPr>
          <w:rFonts w:hint="eastAsia" w:ascii="仿宋_GB2312" w:hAnsi="宋体" w:eastAsia="仿宋_GB2312" w:cs="宋体"/>
          <w:color w:val="000000"/>
          <w:kern w:val="0"/>
          <w:sz w:val="32"/>
          <w:szCs w:val="32"/>
          <w:shd w:val="clear" w:color="auto" w:fill="FFFFFF"/>
        </w:rPr>
        <w:t>板桥口镇正文小学、坻坝小学</w:t>
      </w:r>
      <w:r>
        <w:rPr>
          <w:rFonts w:hint="eastAsia" w:ascii="仿宋_GB2312" w:hAnsi="宋体" w:eastAsia="仿宋_GB2312" w:cs="宋体"/>
          <w:color w:val="000000"/>
          <w:kern w:val="0"/>
          <w:sz w:val="32"/>
          <w:szCs w:val="32"/>
          <w:shd w:val="clear" w:color="auto" w:fill="FFFFFF"/>
          <w:lang w:val="zh-CN"/>
        </w:rPr>
        <w:t>；实行独立核算的单位</w:t>
      </w:r>
      <w:r>
        <w:rPr>
          <w:rFonts w:hint="eastAsia" w:ascii="仿宋_GB2312" w:hAnsi="宋体" w:eastAsia="仿宋_GB2312" w:cs="宋体"/>
          <w:color w:val="000000"/>
          <w:kern w:val="0"/>
          <w:sz w:val="32"/>
          <w:szCs w:val="32"/>
          <w:shd w:val="clear" w:color="auto" w:fill="FFFFFF"/>
        </w:rPr>
        <w:t>5</w:t>
      </w:r>
      <w:r>
        <w:rPr>
          <w:rFonts w:hint="eastAsia" w:ascii="仿宋_GB2312" w:hAnsi="宋体" w:eastAsia="仿宋_GB2312" w:cs="宋体"/>
          <w:color w:val="000000"/>
          <w:kern w:val="0"/>
          <w:sz w:val="32"/>
          <w:szCs w:val="32"/>
          <w:shd w:val="clear" w:color="auto" w:fill="FFFFFF"/>
          <w:lang w:val="zh-CN"/>
        </w:rPr>
        <w:t>个。</w:t>
      </w:r>
      <w:r>
        <w:rPr>
          <w:rFonts w:hint="eastAsia" w:ascii="仿宋_GB2312" w:hAnsi="宋体" w:eastAsia="仿宋_GB2312" w:cs="宋体"/>
          <w:color w:val="000000"/>
          <w:kern w:val="0"/>
          <w:sz w:val="32"/>
          <w:szCs w:val="32"/>
          <w:shd w:val="clear" w:color="auto" w:fill="FFFFFF"/>
        </w:rPr>
        <w:t>板桥口镇</w:t>
      </w:r>
      <w:r>
        <w:rPr>
          <w:rFonts w:hint="eastAsia" w:ascii="仿宋_GB2312" w:hAnsi="宋体" w:eastAsia="仿宋_GB2312" w:cs="宋体"/>
          <w:color w:val="000000"/>
          <w:kern w:val="0"/>
          <w:sz w:val="32"/>
          <w:szCs w:val="32"/>
          <w:shd w:val="clear" w:color="auto" w:fill="FFFFFF"/>
          <w:lang w:val="zh-CN"/>
        </w:rPr>
        <w:t>人民政府（本级）内设便民服务中心、农业综合服务中心、社会事业服务中心、村镇建设服务中心、会计核算中心，全</w:t>
      </w:r>
      <w:r>
        <w:rPr>
          <w:rFonts w:hint="eastAsia" w:ascii="仿宋_GB2312" w:hAnsi="宋体" w:eastAsia="仿宋_GB2312" w:cs="宋体"/>
          <w:color w:val="000000"/>
          <w:kern w:val="0"/>
          <w:sz w:val="32"/>
          <w:szCs w:val="32"/>
          <w:shd w:val="clear" w:color="auto" w:fill="FFFFFF"/>
        </w:rPr>
        <w:t>镇</w:t>
      </w:r>
      <w:r>
        <w:rPr>
          <w:rFonts w:hint="eastAsia" w:ascii="仿宋_GB2312" w:hAnsi="宋体" w:eastAsia="仿宋_GB2312" w:cs="宋体"/>
          <w:color w:val="000000"/>
          <w:kern w:val="0"/>
          <w:sz w:val="32"/>
          <w:szCs w:val="32"/>
          <w:shd w:val="clear" w:color="auto" w:fill="FFFFFF"/>
          <w:lang w:val="zh-CN"/>
        </w:rPr>
        <w:t>辖</w:t>
      </w:r>
      <w:r>
        <w:rPr>
          <w:rFonts w:hint="eastAsia" w:ascii="仿宋_GB2312" w:hAnsi="宋体" w:eastAsia="仿宋_GB2312" w:cs="宋体"/>
          <w:color w:val="000000"/>
          <w:kern w:val="0"/>
          <w:sz w:val="32"/>
          <w:szCs w:val="32"/>
          <w:shd w:val="clear" w:color="auto" w:fill="FFFFFF"/>
        </w:rPr>
        <w:t>18</w:t>
      </w:r>
      <w:r>
        <w:rPr>
          <w:rFonts w:hint="eastAsia" w:ascii="仿宋_GB2312" w:hAnsi="宋体" w:eastAsia="仿宋_GB2312" w:cs="宋体"/>
          <w:color w:val="000000"/>
          <w:kern w:val="0"/>
          <w:sz w:val="32"/>
          <w:szCs w:val="32"/>
          <w:shd w:val="clear" w:color="auto" w:fill="FFFFFF"/>
          <w:lang w:val="zh-CN"/>
        </w:rPr>
        <w:t>个村、1个居民委员会。纳入</w:t>
      </w:r>
      <w:r>
        <w:rPr>
          <w:rFonts w:hint="eastAsia" w:ascii="仿宋_GB2312" w:hAnsi="宋体" w:eastAsia="仿宋_GB2312" w:cs="宋体"/>
          <w:color w:val="000000"/>
          <w:kern w:val="0"/>
          <w:sz w:val="32"/>
          <w:szCs w:val="32"/>
          <w:shd w:val="clear" w:color="auto" w:fill="FFFFFF"/>
        </w:rPr>
        <w:t>板桥口镇</w:t>
      </w:r>
      <w:r>
        <w:rPr>
          <w:rFonts w:hint="eastAsia" w:ascii="仿宋_GB2312" w:hAnsi="宋体" w:eastAsia="仿宋_GB2312" w:cs="宋体"/>
          <w:color w:val="000000"/>
          <w:kern w:val="0"/>
          <w:sz w:val="32"/>
          <w:szCs w:val="32"/>
          <w:shd w:val="clear" w:color="auto" w:fill="FFFFFF"/>
          <w:lang w:val="zh-CN"/>
        </w:rPr>
        <w:t>2019年度部门决算编制范围的二级预算单位包括：板桥口镇卫生院、板桥口镇正文小学、坻坝小学。</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1.贯彻执行国家有关财政管理等方面的法律、法规和规定；拟定和执行乡镇财政发展规划及其他有关政策。</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2.编制乡镇年度财政预算草案并组织执行；向乡镇人大报告财政决算；管理和监督乡镇各项财政收支。</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3.管理各类政策性补贴等资金，建立惠农资金补助对象管理新机制，进一步完善财政补贴农民资金“一卡（折）通”发放机制。</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4.负责对各类专项资金的监管，提高财政资金使用效率。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5.负责乡镇涉农及社会保障等专户资金的管理和核算；管理乡镇政府非税收入。</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6.提高加强财政管理的政策建议；负责财政、税收政策法规的宣传工作。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7.执行会计集中核算，落实“乡财县管、村财乡监”、“农村三资代理服务”等管理制度，负责村级资金专户存储、核拨和监督管理；严格按照上级财政部门规定的工作程序开展工作，充分发挥财政资金使用效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8.负责本乡镇行政事业单位的国有资产监督管理工作。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9.负责做好农村综合改革和社会主义新农村建设相关工作。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10.承办乡镇党委、政府及上级财政部门交办的其他事项。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一般公共预算财政拨款开支人员</w:t>
      </w:r>
      <w:r>
        <w:rPr>
          <w:rFonts w:hint="eastAsia" w:ascii="仿宋_GB2312" w:hAnsi="宋体" w:eastAsia="仿宋_GB2312" w:cs="宋体"/>
          <w:color w:val="000000"/>
          <w:kern w:val="0"/>
          <w:sz w:val="32"/>
          <w:szCs w:val="32"/>
          <w:shd w:val="clear" w:color="auto" w:fill="FFFFFF"/>
        </w:rPr>
        <w:t>144</w:t>
      </w:r>
      <w:r>
        <w:rPr>
          <w:rFonts w:hint="eastAsia" w:ascii="仿宋_GB2312" w:hAnsi="宋体" w:eastAsia="仿宋_GB2312" w:cs="宋体"/>
          <w:color w:val="000000"/>
          <w:kern w:val="0"/>
          <w:sz w:val="32"/>
          <w:szCs w:val="32"/>
          <w:shd w:val="clear" w:color="auto" w:fill="FFFFFF"/>
          <w:lang w:val="zh-CN"/>
        </w:rPr>
        <w:t>人，其中行政编制2</w:t>
      </w:r>
      <w:r>
        <w:rPr>
          <w:rFonts w:hint="eastAsia" w:ascii="仿宋_GB2312" w:hAnsi="宋体" w:eastAsia="仿宋_GB2312" w:cs="宋体"/>
          <w:color w:val="000000"/>
          <w:kern w:val="0"/>
          <w:sz w:val="32"/>
          <w:szCs w:val="32"/>
          <w:shd w:val="clear" w:color="auto" w:fill="FFFFFF"/>
        </w:rPr>
        <w:t>6</w:t>
      </w:r>
      <w:r>
        <w:rPr>
          <w:rFonts w:hint="eastAsia" w:ascii="仿宋_GB2312" w:hAnsi="宋体" w:eastAsia="仿宋_GB2312" w:cs="宋体"/>
          <w:color w:val="000000"/>
          <w:kern w:val="0"/>
          <w:sz w:val="32"/>
          <w:szCs w:val="32"/>
          <w:shd w:val="clear" w:color="auto" w:fill="FFFFFF"/>
          <w:lang w:val="zh-CN"/>
        </w:rPr>
        <w:t>个，非参公事业人员</w:t>
      </w:r>
      <w:r>
        <w:rPr>
          <w:rFonts w:hint="eastAsia" w:ascii="仿宋_GB2312" w:hAnsi="宋体" w:eastAsia="仿宋_GB2312" w:cs="宋体"/>
          <w:color w:val="000000"/>
          <w:kern w:val="0"/>
          <w:sz w:val="32"/>
          <w:szCs w:val="32"/>
          <w:shd w:val="clear" w:color="auto" w:fill="FFFFFF"/>
        </w:rPr>
        <w:t>118</w:t>
      </w:r>
      <w:r>
        <w:rPr>
          <w:rFonts w:hint="eastAsia" w:ascii="仿宋_GB2312" w:hAnsi="宋体" w:eastAsia="仿宋_GB2312" w:cs="宋体"/>
          <w:color w:val="000000"/>
          <w:kern w:val="0"/>
          <w:sz w:val="32"/>
          <w:szCs w:val="32"/>
          <w:shd w:val="clear" w:color="auto" w:fill="FFFFFF"/>
          <w:lang w:val="zh-CN"/>
        </w:rPr>
        <w:t>人。</w:t>
      </w:r>
      <w:r>
        <w:rPr>
          <w:rFonts w:hint="eastAsia" w:ascii="仿宋_GB2312" w:hAnsi="宋体" w:eastAsia="仿宋_GB2312" w:cs="宋体"/>
          <w:color w:val="000000"/>
          <w:kern w:val="0"/>
          <w:sz w:val="32"/>
          <w:szCs w:val="32"/>
          <w:shd w:val="clear" w:color="auto" w:fill="FFFFFF"/>
          <w:lang w:val="zh-CN"/>
        </w:rPr>
        <w:tab/>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2019年财政拨款收入</w:t>
      </w:r>
      <w:r>
        <w:rPr>
          <w:rFonts w:hint="eastAsia" w:ascii="仿宋_GB2312" w:hAnsi="宋体" w:eastAsia="仿宋_GB2312" w:cs="宋体"/>
          <w:color w:val="000000"/>
          <w:kern w:val="0"/>
          <w:sz w:val="32"/>
          <w:szCs w:val="32"/>
          <w:shd w:val="clear" w:color="auto" w:fill="FFFFFF"/>
        </w:rPr>
        <w:t>3867.49</w:t>
      </w:r>
      <w:r>
        <w:rPr>
          <w:rFonts w:hint="eastAsia" w:ascii="仿宋_GB2312" w:hAnsi="宋体" w:eastAsia="仿宋_GB2312" w:cs="宋体"/>
          <w:color w:val="000000"/>
          <w:kern w:val="0"/>
          <w:sz w:val="32"/>
          <w:szCs w:val="32"/>
          <w:shd w:val="clear" w:color="auto" w:fill="FFFFFF"/>
          <w:lang w:val="zh-CN"/>
        </w:rPr>
        <w:t>万元。与2018年相比，财政拨款收入减少</w:t>
      </w:r>
      <w:r>
        <w:rPr>
          <w:rFonts w:hint="eastAsia" w:ascii="仿宋_GB2312" w:hAnsi="宋体" w:eastAsia="仿宋_GB2312" w:cs="宋体"/>
          <w:color w:val="000000"/>
          <w:kern w:val="0"/>
          <w:sz w:val="32"/>
          <w:szCs w:val="32"/>
          <w:shd w:val="clear" w:color="auto" w:fill="FFFFFF"/>
        </w:rPr>
        <w:t>492.33</w:t>
      </w:r>
      <w:r>
        <w:rPr>
          <w:rFonts w:hint="eastAsia" w:ascii="仿宋_GB2312" w:hAnsi="宋体" w:eastAsia="仿宋_GB2312" w:cs="宋体"/>
          <w:color w:val="000000"/>
          <w:kern w:val="0"/>
          <w:sz w:val="32"/>
          <w:szCs w:val="32"/>
          <w:shd w:val="clear" w:color="auto" w:fill="FFFFFF"/>
          <w:lang w:val="zh-CN"/>
        </w:rPr>
        <w:t>万元，下降</w:t>
      </w:r>
      <w:r>
        <w:rPr>
          <w:rFonts w:hint="eastAsia" w:ascii="仿宋_GB2312" w:hAnsi="宋体" w:eastAsia="仿宋_GB2312" w:cs="宋体"/>
          <w:color w:val="000000"/>
          <w:kern w:val="0"/>
          <w:sz w:val="32"/>
          <w:szCs w:val="32"/>
          <w:shd w:val="clear" w:color="auto" w:fill="FFFFFF"/>
        </w:rPr>
        <w:t>11.29</w:t>
      </w:r>
      <w:r>
        <w:rPr>
          <w:rFonts w:hint="eastAsia" w:ascii="仿宋_GB2312" w:hAnsi="宋体" w:eastAsia="仿宋_GB2312" w:cs="宋体"/>
          <w:color w:val="000000"/>
          <w:kern w:val="0"/>
          <w:sz w:val="32"/>
          <w:szCs w:val="32"/>
          <w:shd w:val="clear" w:color="auto" w:fill="FFFFFF"/>
          <w:lang w:val="zh-CN"/>
        </w:rPr>
        <w:t>%。主要变动原因是脱贫攻坚项目减少以及人员、经费等减少。</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2019年财政拨款支出3867.49万元。与2018年相比，财政拨款收入减少492.33万元，下降11.29%。主要变动原因是脱贫攻坚项目减少以及人员、经费等减少。</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制定了符合本单位实际的财务管理制度、会计核算制度等管理制度，相关制度合法、合规、完整，并有效执行、较好的完成了预期目标，支出符合国家财经法规和财务管理制度规定。</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对本单位的预算配置、预算执行情况、预算管理、职责履行、度职效益和各部门新增财政支出、一般性支出、会议支出、办公经费支出、机构编制和工资管理、厉行节约保障措施等方面的执行情况进行了自评，预算编制质量良好、预算信息公开符合要求，预茸执行进度良好、财务制度健全，会计核算总体规范、准确，项目在实行过程中严格执行有关规定，基本达到预期效果。</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预算编制质量良好、预算信息公开符合要求，预茸执行进度良好、财务制度健全，会计核算总体规范、准确，项目在实行过程中严格执行有关规定，基本达到预期效果。</w:t>
      </w:r>
    </w:p>
    <w:p>
      <w:pPr>
        <w:widowControl/>
        <w:numPr>
          <w:ilvl w:val="0"/>
          <w:numId w:val="7"/>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1.预算执行进度慢、存在部分项目资金中报不及时</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2.项目实施进度偏慢、固定资产合账未及时与账面资产金额对账，来与实物进行清点，导致年束资产合账与账面资产金额存在差异，固定资产管理有待加强。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加强监管，做到监管机制到位，不岀现断层、在编制预算中遵循合法性原则、完整性原则、真实性原则、绩效性原则。绩效评价工作完成后，及时整理、归的、分析绩效评价结果并及时反馈，建立激励与约束机制，强化评价结果在项目中根和预算编制中的有效应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根据绩效评价结果，改进管理措施，完善管理办法，调整和优化支出结构，合理配置资源，加强财务管理，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抗行偏差，切实提高部门预算收支管理水平。</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720" w:firstLineChars="200"/>
        <w:rPr>
          <w:rFonts w:ascii="仿宋_GB2312" w:hAnsi="仿宋_GB2312" w:eastAsia="仿宋_GB2312" w:cs="仿宋_GB2312"/>
          <w:sz w:val="36"/>
          <w:szCs w:val="36"/>
        </w:rPr>
      </w:pPr>
    </w:p>
    <w:p>
      <w:pPr>
        <w:spacing w:line="600" w:lineRule="exact"/>
        <w:jc w:val="center"/>
        <w:rPr>
          <w:rFonts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板桥口镇人民政府</w:t>
      </w:r>
    </w:p>
    <w:p>
      <w:pPr>
        <w:spacing w:line="600" w:lineRule="exact"/>
        <w:jc w:val="center"/>
        <w:rPr>
          <w:rFonts w:ascii="方正小标宋简体" w:hAnsi="宋体" w:eastAsia="方正小标宋简体"/>
          <w:color w:val="000000"/>
          <w:kern w:val="0"/>
          <w:sz w:val="36"/>
          <w:szCs w:val="36"/>
          <w:lang w:val="zh-CN"/>
        </w:rPr>
      </w:pPr>
      <w:r>
        <w:rPr>
          <w:rFonts w:hint="eastAsia" w:ascii="方正小标宋简体" w:hAnsi="宋体" w:eastAsia="方正小标宋简体"/>
          <w:color w:val="000000"/>
          <w:kern w:val="0"/>
          <w:sz w:val="36"/>
          <w:szCs w:val="36"/>
        </w:rPr>
        <w:t>2019年森林生态效益补偿</w:t>
      </w:r>
      <w:r>
        <w:rPr>
          <w:rFonts w:hint="eastAsia" w:ascii="方正小标宋简体" w:hAnsi="宋体" w:eastAsia="方正小标宋简体"/>
          <w:color w:val="000000"/>
          <w:kern w:val="0"/>
          <w:sz w:val="36"/>
          <w:szCs w:val="36"/>
          <w:lang w:val="zh-CN"/>
        </w:rPr>
        <w:t>项目绩效评价报告</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板桥口镇人民政府包括1个独立核算行政单位，1个独立核算事业单位。行政事业编制人数合计53人（其中行政26人，事业27人），实际在编53人（其中行政26人，事业27人），2019年度项目决算收入1670.44万元，决算支出1670.44万元。森林生态效益补偿项目资金104.553458万元，执行资金104.553458万元，绩效目标自评得分93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二、资金使用情况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评价时点森林生态效益补偿金资金的实际支出104.553458万元，实际执行率100%，主要用于农户森林生态效益补偿。涉及18个村94个社4218户。支付标准及支付依据合规合法，资金支付是与预算相符。</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森林生态效益补偿金由镇人民政府林业站对全镇涉及农户面积进行实地统计核实，由财政所负责人对相关农户补偿面积、补偿标准花名册进行复核，由财政分管领导进行审核，再由镇长审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三、目标完成情况</w:t>
      </w:r>
      <w:r>
        <w:rPr>
          <w:rFonts w:hint="eastAsia" w:ascii="仿宋_GB2312" w:hAnsi="仿宋_GB2312" w:eastAsia="仿宋_GB2312" w:cs="仿宋_GB2312"/>
          <w:sz w:val="32"/>
          <w:szCs w:val="32"/>
        </w:rPr>
        <w:tab/>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（一）目标务量完成情况。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森林生态效益实际是指森林的生态效益、社会效益、经济效益。截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评价时点，实际支出额和任务量完成情况基本符合预先设定目标。涵盖18个村94个社70883.7亩4218户。</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实际完成质量基本达到预先设定质量目标，打卡成功率为99.73%，低于打卡预先设定100%的目标，但全部按时按质完成。</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实际完成进度符合预定进度计划。截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2020年年底13户0.27万元资金未打卡成功，因账号错误无法取得联系，其余按时通过农户一卡通支付森林生态效益补偿金。</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森林生态效益补偿金的安排增加了农户转移收入，也有利于生态环境建设，符合绿水青山就是金山银山的发展理念。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五、问题及建议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部分农户在外务工未激活社保卡，未按时兑现森林生态效益补偿金。</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平时核实农户身份证、账号信息，加强农户账号信息的管理更新。加快兑现未成功农户森林生态效益补偿金。</w:t>
      </w:r>
    </w:p>
    <w:p>
      <w:pPr>
        <w:spacing w:line="580" w:lineRule="exact"/>
        <w:ind w:firstLine="64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板桥口镇人民政府</w:t>
      </w:r>
    </w:p>
    <w:p>
      <w:pPr>
        <w:spacing w:line="600" w:lineRule="exact"/>
        <w:jc w:val="center"/>
        <w:rPr>
          <w:rFonts w:ascii="方正小标宋简体" w:hAnsi="宋体" w:eastAsia="方正小标宋简体"/>
          <w:color w:val="000000"/>
          <w:kern w:val="0"/>
          <w:sz w:val="36"/>
          <w:szCs w:val="36"/>
          <w:lang w:val="zh-CN"/>
        </w:rPr>
      </w:pPr>
      <w:r>
        <w:rPr>
          <w:rFonts w:hint="eastAsia" w:ascii="方正小标宋简体" w:hAnsi="宋体" w:eastAsia="方正小标宋简体"/>
          <w:color w:val="000000"/>
          <w:kern w:val="0"/>
          <w:sz w:val="36"/>
          <w:szCs w:val="36"/>
        </w:rPr>
        <w:t>2019年农业生产支持补贴项目</w:t>
      </w:r>
      <w:r>
        <w:rPr>
          <w:rFonts w:hint="eastAsia" w:ascii="方正小标宋简体" w:hAnsi="宋体" w:eastAsia="方正小标宋简体"/>
          <w:color w:val="000000"/>
          <w:kern w:val="0"/>
          <w:sz w:val="36"/>
          <w:szCs w:val="36"/>
          <w:lang w:val="zh-CN"/>
        </w:rPr>
        <w:t>绩效评价报告</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板桥口镇人民政府包括1个独立核算行政单位，1个独立核算事业单位。行政事业编制人数合计53人（其中行政26人，事业27人），实际在编53人（其中行政26人，事业27人），2019年度项目决算收入1670.44万元，决算支出1670.44万元。2019年耕地地力保护补贴资金241.918772万元，执行资金241.918772万元，绩效目标自评得分96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二、资金使用情况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2019年耕地地力保护补贴资金资金的实际支出241.918772万元，实际执行率99.7%，主要用于板桥口镇2019年耕地地力保护补贴，即农业生产支持补贴项目补贴。涉及18个村94个社。支付标准及支付依据合规合法，资金支付是与预算相符，直接打卡到户。</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2019年耕地地力保护补贴资金由板桥口镇人民政府农业服务站对面积与村社进行实地统计审核，与财政所核对资金，并由财政所负责人对相关凭证资料进行核实，由财政分管领导进行审核，再由镇长审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三、目标完成情况</w:t>
      </w:r>
      <w:r>
        <w:rPr>
          <w:rFonts w:hint="eastAsia" w:ascii="仿宋_GB2312" w:hAnsi="仿宋_GB2312" w:eastAsia="仿宋_GB2312" w:cs="仿宋_GB2312"/>
          <w:sz w:val="32"/>
          <w:szCs w:val="32"/>
        </w:rPr>
        <w:tab/>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评价时点，实际支出额和任务量完成情况基本符合原设定目标。涵盖18个村16320.5亩4267户。</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实际完成质量未达到原设定质量目标，原因为验收合格面积16320.5亩，未达到原设定合格面积。</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实际完成进度符合预定进度计划。按时支付生产补贴直接打卡到4267户农户，2户因全家外出务工无法取得联系未兑现成功。</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2019年耕地地力保护补贴资金的安排增加了农户转移收入，有力提升农民种地的积极性，减少了闲置土地。</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五、问题及建议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“一卡通”兑现方式需要实时更新农户的社保卡信息。</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加大社保卡的宣传力度，倡导村社干部、帮扶干部在下户排查中核实户主及其家人的社保卡信息。另外加大验收工作力度，坚决坚持多种多补、少种少补、不种不补的原则，让真正种地农民得到有效补贴，提高种粮积极性。</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板桥口镇人民政府</w:t>
      </w:r>
    </w:p>
    <w:p>
      <w:pPr>
        <w:spacing w:line="600" w:lineRule="exact"/>
        <w:jc w:val="center"/>
        <w:rPr>
          <w:rFonts w:ascii="方正小标宋简体" w:hAnsi="宋体" w:eastAsia="方正小标宋简体"/>
          <w:color w:val="000000"/>
          <w:kern w:val="0"/>
          <w:sz w:val="36"/>
          <w:szCs w:val="36"/>
          <w:lang w:val="zh-CN"/>
        </w:rPr>
      </w:pPr>
      <w:r>
        <w:rPr>
          <w:rFonts w:hint="eastAsia" w:ascii="方正小标宋简体" w:hAnsi="宋体" w:eastAsia="方正小标宋简体"/>
          <w:color w:val="000000"/>
          <w:kern w:val="0"/>
          <w:sz w:val="36"/>
          <w:szCs w:val="36"/>
        </w:rPr>
        <w:t>2019年易地扶贫搬迁工程项目</w:t>
      </w:r>
      <w:r>
        <w:rPr>
          <w:rFonts w:hint="eastAsia" w:ascii="方正小标宋简体" w:hAnsi="宋体" w:eastAsia="方正小标宋简体"/>
          <w:color w:val="000000"/>
          <w:kern w:val="0"/>
          <w:sz w:val="36"/>
          <w:szCs w:val="36"/>
          <w:lang w:val="zh-CN"/>
        </w:rPr>
        <w:t>绩效评价报告</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板桥口镇人民政府包括1个独立核算行政单位，1个独立核算事业单位。行政事业编制人数合计53人（其中行政26人，事业27人），实际在编53人（其中行政26人，事业27人），2019年度项目决算收入1670.44万元，决算支出1670.44万元。2019年易地扶贫搬迁工程中央预算内资金项目资金预算31.2万元，执行资金31.2万元，绩效目标自评得分96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二、资金使用情况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（一）资金使用。根据川财投〔2019〕87号文件，下达2019年易地扶贫搬迁工程建设资金31.2万元。截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评价时点2019年易地扶贫搬迁工程项目资金的实际支出31.2万元，实际执行率100%，支付标准及支付依据合规合法，资金支付是与预算相符。</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（二）组织实施情况。支出事项由板桥口镇扶贫办对支出事项制单确认，由财政所负责人对相关凭证资料进行核实，由财政分管领导进行审核，再由镇长审批。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三、目标完成情况</w:t>
      </w:r>
      <w:r>
        <w:rPr>
          <w:rFonts w:hint="eastAsia" w:ascii="仿宋_GB2312" w:hAnsi="仿宋_GB2312" w:eastAsia="仿宋_GB2312" w:cs="仿宋_GB2312"/>
          <w:sz w:val="32"/>
          <w:szCs w:val="32"/>
        </w:rPr>
        <w:tab/>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评价时点，实际投资完成额和任务量完成情况基本符合原设定目标。补助资金全面落实到位，项目进度执行率达100%。年度资金拨付率达100%。</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实际完成质量达到原设定质量目标，2019年易地扶贫搬迁工程项目资金使用率达到100%，为全镇脱贫攻坚任务的顺利完成保驾护航。</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实际完成进度符合预定进度计划。按时完成相关工作。</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2019年易地扶贫搬迁工程项目为打好脱贫攻坚战提供了助推力，改善了部分农户的生产生活条件，让惠民政策落到了实处。按预期目标任务完成。</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五、问题及建议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资金少，脱贫攻坚配套设施有待加强。</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加强易地搬迁基础设施建设，打造美丽乡村，提高群众的物质文化生活水平。同时要建立资金绩效评价制度，强化资金全过程监管，保证政策落实到位，确保真正发挥作用。</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板桥口镇人民政府</w:t>
      </w:r>
    </w:p>
    <w:p>
      <w:pPr>
        <w:spacing w:line="600" w:lineRule="exact"/>
        <w:jc w:val="center"/>
        <w:rPr>
          <w:rFonts w:ascii="方正小标宋简体" w:hAnsi="宋体" w:eastAsia="方正小标宋简体"/>
          <w:color w:val="000000"/>
          <w:kern w:val="0"/>
          <w:sz w:val="36"/>
          <w:szCs w:val="36"/>
          <w:lang w:val="zh-CN"/>
        </w:rPr>
      </w:pPr>
      <w:r>
        <w:rPr>
          <w:rFonts w:hint="eastAsia" w:ascii="方正小标宋简体" w:hAnsi="宋体" w:eastAsia="方正小标宋简体"/>
          <w:color w:val="000000"/>
          <w:kern w:val="0"/>
          <w:sz w:val="36"/>
          <w:szCs w:val="36"/>
        </w:rPr>
        <w:t>2019年农村安全饮水项目</w:t>
      </w:r>
      <w:r>
        <w:rPr>
          <w:rFonts w:hint="eastAsia" w:ascii="方正小标宋简体" w:hAnsi="宋体" w:eastAsia="方正小标宋简体"/>
          <w:color w:val="000000"/>
          <w:kern w:val="0"/>
          <w:sz w:val="36"/>
          <w:szCs w:val="36"/>
          <w:lang w:val="zh-CN"/>
        </w:rPr>
        <w:t>绩效评价报告</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板桥口镇人民政府包括1个独立核算行政单位，1个独立核算事业单位。行政事业编制人数合计53人（其中行政26人，事业27人），实际在编53人（其中行政26人，事业27人），2019年度项目决算收入1670.44万元，决算支出1670.44万元。2019年农村安全饮水项目补助资金预算308.7万元，执行资金308.7万元，绩效目标自评得分95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二、资金使用情况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（一）资金使用。根据通财农〔2019〕13号文件，下达板桥口镇农村安全饮水补助资金308.7万元。因2019年底报账不及时，截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评价时点2019年农村安全饮水项目补助资金的实际支出308.7万元，实际执行率100%，支付标准及支付依据合规合法，资金支付是与预算相符。</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（二）组织实施情况。支出事项由板桥口镇水利站对支出事项制单确认，由财政所负责人对相关凭证资料进行核实，由财政分管领导进行审核，再由镇长审批。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三、目标完成情况</w:t>
      </w:r>
      <w:r>
        <w:rPr>
          <w:rFonts w:hint="eastAsia" w:ascii="仿宋_GB2312" w:hAnsi="仿宋_GB2312" w:eastAsia="仿宋_GB2312" w:cs="仿宋_GB2312"/>
          <w:sz w:val="32"/>
          <w:szCs w:val="32"/>
        </w:rPr>
        <w:tab/>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评价时点，实际投资完成额和任务量完成情况基本符合原设定目标。补助资金大部分落实到位，项目进度执行率达100%。年度资金根据计划拨付率达100%。</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实际完成质量达到原设定质量目标，2019年农村安全饮水项目补助资金使用率达到100%，为全镇脱贫攻坚任务的顺利完成保驾护航。</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实际完成进度符合预定进度计划。按时完成相关工作。</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2019年农村安全饮水项目为打好脱贫攻坚战提供了助推力，改善了部分农户的生产生活条件，让惠民政策落到了实处。按预期目标任务完成。</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五、问题及建议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资金划拨进度与项目建设进度不匹配。</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增加对水利资金的预算安排投入，加大对水利资金的分配力度，制定有利于推进水利建设项目的财政政策方案，吸引更多的资金参与水利事业的发展，及时在大平台上资金计划指标。</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板桥口镇人民政府</w:t>
      </w:r>
    </w:p>
    <w:p>
      <w:pPr>
        <w:spacing w:line="600" w:lineRule="exact"/>
        <w:jc w:val="center"/>
        <w:rPr>
          <w:rFonts w:ascii="方正小标宋简体" w:hAnsi="宋体" w:eastAsia="方正小标宋简体"/>
          <w:color w:val="000000"/>
          <w:kern w:val="0"/>
          <w:sz w:val="36"/>
          <w:szCs w:val="36"/>
          <w:lang w:val="zh-CN"/>
        </w:rPr>
      </w:pPr>
      <w:r>
        <w:rPr>
          <w:rFonts w:hint="eastAsia" w:ascii="方正小标宋简体" w:hAnsi="宋体" w:eastAsia="方正小标宋简体"/>
          <w:color w:val="000000"/>
          <w:kern w:val="0"/>
          <w:sz w:val="36"/>
          <w:szCs w:val="36"/>
        </w:rPr>
        <w:t>2019年便民服务中心建设项目</w:t>
      </w:r>
      <w:r>
        <w:rPr>
          <w:rFonts w:hint="eastAsia" w:ascii="方正小标宋简体" w:hAnsi="宋体" w:eastAsia="方正小标宋简体"/>
          <w:color w:val="000000"/>
          <w:kern w:val="0"/>
          <w:sz w:val="36"/>
          <w:szCs w:val="36"/>
          <w:lang w:val="zh-CN"/>
        </w:rPr>
        <w:t>绩效评价报告</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板桥口镇人民政府包括1个独立核算行政单位，1个独立核算事业单位。行政事业编制人数合计53人（其中行政26人，事业27人），实际在编53人（其中行政26人，事业27人），2019年度项目决算收入1670.44万元，决算支出1670.44万元。2019年便民服务中心建设项目补助资金预算26万元，执行资金26万元，绩效目标自评得分97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二、资金使用情况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（一）资金使用。2019年便民服务中心建设项目补助资金26万元，涉及18个村1街道的居民办业务。截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评价时点2019年便民服务中心建设项目的实际支出26万元，实际执行率100%，支付标准及支付依据合规合法，资金支付是与预算相符。</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（二）组织实施情况。支出事项由板桥口镇便民服务中心主任对支出事项制单确认，由财政所负责人对相关凭证资料进行核实，由财政分管领导进行审核，再由镇长审批。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三、目标完成情况</w:t>
      </w:r>
      <w:r>
        <w:rPr>
          <w:rFonts w:hint="eastAsia" w:ascii="仿宋_GB2312" w:hAnsi="仿宋_GB2312" w:eastAsia="仿宋_GB2312" w:cs="仿宋_GB2312"/>
          <w:sz w:val="32"/>
          <w:szCs w:val="32"/>
        </w:rPr>
        <w:tab/>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评价时点，实际投资完成额和任务量完成情况基本符合原设定目标。补助资金大部分落实到位，项目进度执行率达100%。年度资金拨付率达100%。</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实际完成质量达到原设定质量目标，2019年便民服务中心建设项目资金使用率达到100%，为全镇脱贫攻坚任务的顺利完成保驾护航。</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实际完成进度符合预定进度计划。按时完成相关工作。</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便民服务中心建设项目完善了板桥口镇便民服务点配套设施，方便了全镇广大群众办事、改善工作人员办公环境，提升工作效率，使我镇镇容面貌和生态环境环境得到了较大改善和提升。为打好脱贫攻坚战提供了助推力。按预期目标任务完成。</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五、问题及建议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因我镇人口多，业务量大，窗口业务经办人不够。</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增加编制或加大对窗口经办人员的业务培训，提高办事效率。</w:t>
      </w: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101" w:name="_Toc16105"/>
      <w:bookmarkStart w:id="10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97"/>
      <w:bookmarkEnd w:id="101"/>
      <w:bookmarkEnd w:id="10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103" w:name="_Toc15396619"/>
      <w:bookmarkStart w:id="104" w:name="_Toc1456"/>
      <w:r>
        <w:rPr>
          <w:rFonts w:hint="eastAsia" w:ascii="仿宋" w:hAnsi="仿宋" w:eastAsia="仿宋"/>
          <w:b w:val="0"/>
          <w:color w:val="000000"/>
        </w:rPr>
        <w:t>一、收</w:t>
      </w:r>
      <w:r>
        <w:rPr>
          <w:rStyle w:val="25"/>
          <w:rFonts w:hint="eastAsia" w:ascii="仿宋" w:hAnsi="仿宋" w:eastAsia="仿宋"/>
          <w:b w:val="0"/>
          <w:bCs w:val="0"/>
        </w:rPr>
        <w:t>入支出决算总表</w:t>
      </w:r>
      <w:bookmarkEnd w:id="103"/>
      <w:bookmarkEnd w:id="104"/>
    </w:p>
    <w:p>
      <w:pPr>
        <w:pStyle w:val="3"/>
        <w:rPr>
          <w:rFonts w:ascii="仿宋" w:hAnsi="仿宋" w:eastAsia="仿宋"/>
          <w:color w:val="000000"/>
        </w:rPr>
      </w:pPr>
      <w:bookmarkStart w:id="105" w:name="_Toc15396620"/>
      <w:bookmarkStart w:id="106" w:name="_Toc155"/>
      <w:r>
        <w:rPr>
          <w:rFonts w:hint="eastAsia" w:ascii="仿宋" w:hAnsi="仿宋" w:eastAsia="仿宋"/>
          <w:b w:val="0"/>
          <w:color w:val="000000"/>
        </w:rPr>
        <w:t>二、收</w:t>
      </w:r>
      <w:r>
        <w:rPr>
          <w:rStyle w:val="25"/>
          <w:rFonts w:hint="eastAsia" w:ascii="仿宋" w:hAnsi="仿宋" w:eastAsia="仿宋"/>
          <w:b w:val="0"/>
          <w:bCs w:val="0"/>
        </w:rPr>
        <w:t>入决算表</w:t>
      </w:r>
      <w:bookmarkEnd w:id="105"/>
      <w:bookmarkEnd w:id="106"/>
    </w:p>
    <w:p>
      <w:pPr>
        <w:pStyle w:val="3"/>
        <w:rPr>
          <w:rFonts w:ascii="仿宋" w:hAnsi="仿宋" w:eastAsia="仿宋"/>
          <w:color w:val="000000"/>
        </w:rPr>
      </w:pPr>
      <w:bookmarkStart w:id="107" w:name="_Toc15396621"/>
      <w:bookmarkStart w:id="108" w:name="_Toc9414"/>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107"/>
      <w:bookmarkEnd w:id="108"/>
    </w:p>
    <w:p>
      <w:pPr>
        <w:pStyle w:val="3"/>
        <w:rPr>
          <w:rFonts w:ascii="仿宋" w:hAnsi="仿宋" w:eastAsia="仿宋"/>
          <w:b w:val="0"/>
          <w:color w:val="000000"/>
        </w:rPr>
      </w:pPr>
      <w:bookmarkStart w:id="109" w:name="_Toc12654"/>
      <w:bookmarkStart w:id="11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09"/>
      <w:bookmarkEnd w:id="110"/>
    </w:p>
    <w:p>
      <w:pPr>
        <w:pStyle w:val="3"/>
        <w:rPr>
          <w:rFonts w:ascii="仿宋" w:hAnsi="仿宋" w:eastAsia="仿宋"/>
          <w:color w:val="000000"/>
        </w:rPr>
      </w:pPr>
      <w:bookmarkStart w:id="111" w:name="_Toc14381"/>
      <w:bookmarkStart w:id="112" w:name="_Toc15396624"/>
      <w:r>
        <w:rPr>
          <w:rStyle w:val="25"/>
          <w:rFonts w:hint="eastAsia" w:ascii="仿宋" w:hAnsi="仿宋" w:eastAsia="仿宋"/>
          <w:b w:val="0"/>
          <w:bCs w:val="0"/>
        </w:rPr>
        <w:t>五、</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11"/>
      <w:bookmarkEnd w:id="112"/>
    </w:p>
    <w:p>
      <w:pPr>
        <w:pStyle w:val="3"/>
        <w:rPr>
          <w:rFonts w:ascii="仿宋" w:hAnsi="仿宋" w:eastAsia="仿宋"/>
          <w:color w:val="000000"/>
        </w:rPr>
      </w:pPr>
      <w:bookmarkStart w:id="113" w:name="_Toc15396625"/>
      <w:bookmarkStart w:id="114" w:name="_Toc5436"/>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13"/>
      <w:bookmarkEnd w:id="114"/>
    </w:p>
    <w:p>
      <w:pPr>
        <w:pStyle w:val="3"/>
        <w:rPr>
          <w:rFonts w:ascii="仿宋" w:hAnsi="仿宋" w:eastAsia="仿宋"/>
          <w:color w:val="000000"/>
        </w:rPr>
      </w:pPr>
      <w:bookmarkStart w:id="115" w:name="_Toc15396628"/>
      <w:bookmarkStart w:id="116" w:name="_Toc991"/>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15"/>
      <w:bookmarkEnd w:id="116"/>
    </w:p>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90741"/>
    <w:multiLevelType w:val="singleLevel"/>
    <w:tmpl w:val="A9E90741"/>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D092341"/>
    <w:multiLevelType w:val="singleLevel"/>
    <w:tmpl w:val="DD092341"/>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6DC64AB"/>
    <w:multiLevelType w:val="singleLevel"/>
    <w:tmpl w:val="36DC64AB"/>
    <w:lvl w:ilvl="0" w:tentative="0">
      <w:start w:val="2"/>
      <w:numFmt w:val="chineseCounting"/>
      <w:suff w:val="nothing"/>
      <w:lvlText w:val="（%1）"/>
      <w:lvlJc w:val="left"/>
      <w:rPr>
        <w:rFonts w:hint="eastAsia"/>
      </w:rPr>
    </w:lvl>
  </w:abstractNum>
  <w:abstractNum w:abstractNumId="6">
    <w:nsid w:val="3E852D33"/>
    <w:multiLevelType w:val="singleLevel"/>
    <w:tmpl w:val="3E852D33"/>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AFC"/>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5C01"/>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D3445"/>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0D4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9DC"/>
    <w:rsid w:val="00FA23E8"/>
    <w:rsid w:val="00FD3CC1"/>
    <w:rsid w:val="00FF1E02"/>
    <w:rsid w:val="00FF30B4"/>
    <w:rsid w:val="10C055FF"/>
    <w:rsid w:val="16BB723D"/>
    <w:rsid w:val="240371BF"/>
    <w:rsid w:val="29FD04D3"/>
    <w:rsid w:val="2B6C0B68"/>
    <w:rsid w:val="2C237B26"/>
    <w:rsid w:val="319F7F4E"/>
    <w:rsid w:val="45D76936"/>
    <w:rsid w:val="488F1061"/>
    <w:rsid w:val="4ECE2238"/>
    <w:rsid w:val="52316B03"/>
    <w:rsid w:val="655D7B1B"/>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81"/>
    <w:basedOn w:val="13"/>
    <w:uiPriority w:val="0"/>
    <w:rPr>
      <w:rFonts w:hint="eastAsia" w:ascii="宋体" w:hAnsi="宋体" w:eastAsia="宋体" w:cs="宋体"/>
      <w:b/>
      <w:color w:val="000000"/>
      <w:sz w:val="32"/>
      <w:szCs w:val="32"/>
      <w:u w:val="none"/>
    </w:rPr>
  </w:style>
  <w:style w:type="character" w:customStyle="1" w:styleId="31">
    <w:name w:val="font01"/>
    <w:basedOn w:val="13"/>
    <w:uiPriority w:val="0"/>
    <w:rPr>
      <w:rFonts w:hint="eastAsia" w:ascii="宋体" w:hAnsi="宋体" w:eastAsia="宋体" w:cs="宋体"/>
      <w:color w:val="000000"/>
      <w:sz w:val="32"/>
      <w:szCs w:val="32"/>
      <w:u w:val="none"/>
    </w:rPr>
  </w:style>
  <w:style w:type="character" w:customStyle="1" w:styleId="32">
    <w:name w:val="font41"/>
    <w:basedOn w:val="13"/>
    <w:uiPriority w:val="0"/>
    <w:rPr>
      <w:rFonts w:hint="eastAsia" w:ascii="宋体" w:hAnsi="宋体" w:eastAsia="宋体" w:cs="宋体"/>
      <w:color w:val="000000"/>
      <w:sz w:val="20"/>
      <w:szCs w:val="20"/>
      <w:u w:val="none"/>
    </w:rPr>
  </w:style>
  <w:style w:type="character" w:customStyle="1" w:styleId="33">
    <w:name w:val="font91"/>
    <w:basedOn w:val="13"/>
    <w:uiPriority w:val="0"/>
    <w:rPr>
      <w:rFonts w:hint="eastAsia" w:ascii="宋体" w:hAnsi="宋体" w:eastAsia="宋体" w:cs="宋体"/>
      <w:b/>
      <w:color w:val="000000"/>
      <w:sz w:val="32"/>
      <w:szCs w:val="32"/>
      <w:u w:val="none"/>
    </w:rPr>
  </w:style>
  <w:style w:type="character" w:customStyle="1" w:styleId="34">
    <w:name w:val="font61"/>
    <w:basedOn w:val="13"/>
    <w:uiPriority w:val="0"/>
    <w:rPr>
      <w:rFonts w:hint="eastAsia" w:ascii="宋体" w:hAnsi="宋体" w:eastAsia="宋体" w:cs="宋体"/>
      <w:color w:val="000000"/>
      <w:sz w:val="32"/>
      <w:szCs w:val="32"/>
      <w:u w:val="none"/>
    </w:rPr>
  </w:style>
  <w:style w:type="character" w:customStyle="1" w:styleId="35">
    <w:name w:val="font71"/>
    <w:basedOn w:val="13"/>
    <w:uiPriority w:val="0"/>
    <w:rPr>
      <w:rFonts w:hint="eastAsia" w:ascii="宋体" w:hAnsi="宋体" w:eastAsia="宋体" w:cs="宋体"/>
      <w:color w:val="000000"/>
      <w:sz w:val="20"/>
      <w:szCs w:val="20"/>
      <w:u w:val="none"/>
    </w:rPr>
  </w:style>
  <w:style w:type="character" w:customStyle="1" w:styleId="36">
    <w:name w:val="font21"/>
    <w:basedOn w:val="13"/>
    <w:uiPriority w:val="0"/>
    <w:rPr>
      <w:rFonts w:hint="eastAsia" w:ascii="宋体" w:hAnsi="宋体" w:eastAsia="宋体" w:cs="宋体"/>
      <w:color w:val="000000"/>
      <w:sz w:val="20"/>
      <w:szCs w:val="20"/>
      <w:u w:val="none"/>
    </w:rPr>
  </w:style>
  <w:style w:type="character" w:customStyle="1" w:styleId="37">
    <w:name w:val="font31"/>
    <w:basedOn w:val="13"/>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CB9AB-055B-4A4F-8178-D44F9EE4093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49</Pages>
  <Words>3610</Words>
  <Characters>20577</Characters>
  <Lines>171</Lines>
  <Paragraphs>48</Paragraphs>
  <TotalTime>8</TotalTime>
  <ScaleCrop>false</ScaleCrop>
  <LinksUpToDate>false</LinksUpToDate>
  <CharactersWithSpaces>24139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白开水</cp:lastModifiedBy>
  <cp:lastPrinted>2020-07-23T02:58:00Z</cp:lastPrinted>
  <dcterms:modified xsi:type="dcterms:W3CDTF">2022-03-11T02:58:58Z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AE23EDF5331A4E0E94FE4439FEF0962C</vt:lpwstr>
  </property>
</Properties>
</file>