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中共通江县委组织部</w:t>
      </w:r>
    </w:p>
    <w:p>
      <w:pPr>
        <w:spacing w:line="560" w:lineRule="exact"/>
        <w:jc w:val="center"/>
        <w:rPr>
          <w:rFonts w:ascii="方正小标宋_GBK" w:hAnsi="方正小标宋_GBK" w:eastAsia="方正小标宋_GBK" w:cs="方正小标宋_GBK"/>
          <w:bCs/>
          <w:sz w:val="44"/>
          <w:szCs w:val="44"/>
        </w:rPr>
      </w:pPr>
      <w:r>
        <w:rPr>
          <w:rFonts w:hint="eastAsia" w:ascii="方正小标宋简体" w:hAnsi="方正小标宋简体" w:eastAsia="方正小标宋简体" w:cs="方正小标宋简体"/>
          <w:bCs/>
          <w:sz w:val="44"/>
          <w:szCs w:val="44"/>
        </w:rPr>
        <w:t>2022年部门预算编制说明</w:t>
      </w:r>
    </w:p>
    <w:p>
      <w:pPr>
        <w:pStyle w:val="2"/>
        <w:adjustRightInd w:val="0"/>
        <w:snapToGrid w:val="0"/>
        <w:spacing w:before="0" w:beforeLines="0" w:line="560" w:lineRule="exact"/>
        <w:rPr>
          <w:rFonts w:ascii="Times New Roman" w:eastAsia="方正仿宋_GBK"/>
          <w:b/>
          <w:sz w:val="44"/>
          <w:szCs w:val="44"/>
        </w:rPr>
      </w:pPr>
      <w:r>
        <w:rPr>
          <w:rFonts w:ascii="Times New Roman" w:eastAsia="方正仿宋_GBK"/>
          <w:b/>
          <w:sz w:val="44"/>
          <w:szCs w:val="44"/>
        </w:rPr>
        <w:t xml:space="preserve">     </w:t>
      </w:r>
    </w:p>
    <w:p>
      <w:pPr>
        <w:spacing w:line="520" w:lineRule="exact"/>
        <w:ind w:firstLine="640" w:firstLineChars="200"/>
        <w:rPr>
          <w:rFonts w:eastAsia="仿宋_GB2312" w:cs="仿宋_GB2312"/>
          <w:sz w:val="32"/>
          <w:szCs w:val="32"/>
        </w:rPr>
      </w:pPr>
      <w:r>
        <w:rPr>
          <w:rFonts w:hint="eastAsia" w:eastAsia="仿宋_GB2312" w:cs="仿宋_GB2312"/>
          <w:sz w:val="32"/>
          <w:szCs w:val="32"/>
        </w:rPr>
        <w:t>中共通江县委组织部202</w:t>
      </w:r>
      <w:r>
        <w:rPr>
          <w:rFonts w:eastAsia="仿宋_GB2312" w:cs="仿宋_GB2312"/>
          <w:sz w:val="32"/>
          <w:szCs w:val="32"/>
        </w:rPr>
        <w:t>2</w:t>
      </w:r>
      <w:r>
        <w:rPr>
          <w:rFonts w:hint="eastAsia" w:eastAsia="仿宋_GB2312" w:cs="仿宋_GB2312"/>
          <w:sz w:val="32"/>
          <w:szCs w:val="32"/>
        </w:rPr>
        <w:t>年部门收支预算已经通江县财政局批复。根据《中华人民共和国预算法》和《中共中央</w:t>
      </w:r>
      <w:bookmarkStart w:id="3" w:name="_GoBack"/>
      <w:bookmarkEnd w:id="3"/>
      <w:r>
        <w:rPr>
          <w:rFonts w:hint="eastAsia" w:eastAsia="仿宋_GB2312" w:cs="仿宋_GB2312"/>
          <w:sz w:val="32"/>
          <w:szCs w:val="32"/>
        </w:rPr>
        <w:t>国务院关于全面实施预算绩效管理的意见》（中发〔2018〕34号）有关文件规定，现将202</w:t>
      </w:r>
      <w:r>
        <w:rPr>
          <w:rFonts w:eastAsia="仿宋_GB2312" w:cs="仿宋_GB2312"/>
          <w:sz w:val="32"/>
          <w:szCs w:val="32"/>
        </w:rPr>
        <w:t>2</w:t>
      </w:r>
      <w:r>
        <w:rPr>
          <w:rFonts w:hint="eastAsia" w:eastAsia="仿宋_GB2312" w:cs="仿宋_GB2312"/>
          <w:sz w:val="32"/>
          <w:szCs w:val="32"/>
        </w:rPr>
        <w:t>年部门收支预算公开如下。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一、基本职能及主要工作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（一）部门职能简介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组织部的主要职责是：贯彻新时代党的建设总要求和新时代党的组织路线，落实县委相关决策部署。（一）负责全县党的组织体系、组织制度建设，负责基层党组织建设规划指导和党员队伍宏观管理，指导开展党员教育工作。（二）负责全县领导班子和干部队伍建设的总体规划和宏观管理。负责县委管理领导班子和领导干部的考察考核、日常管理，提出调整配备建议，审核办理任免、工资、退休、兼职、待遇等有关事项。负责全县优秀年轻干部队伍建设工作。（三）负责管理全县公务员工作。组织实施公务员管理政策法规，承担公务员录用、调配、考核、奖惩、培训、监督、工资福利等工作，指导公务员绩效管理工作。（四）负责全县人才工作的宏观指导、组织协调和督促检查，牵头推进人才发展体制机制改革和政策创新，牵头推进县校（院、企）战略合作、人才对外开放、党委联系服务专家工作，统筹实施重大人才工程和人才表彰奖励。（五）负责全县干部教育培训工作的宏观指导、政策规划、组织协调和督促检查，负责县重点培训项目的策划、实施和管理，指导全县干部教育培训基地建设管理、师资队伍建设等工作。（六）负责县委管理干部监督工作，制定和落实干部监督工作制度，组织开展对选人用人工作情况的监督检查，受理和办理有关问题举报，组织实施领导干部报告个人有关事项及抽查核实工作。（七）负责全县离休干部、副县级及以上退休干部的政策落实、管理服务等工作。（八）统一管理县委机构编制委员会办公室。（九）承担县委党建领导小组、县委人才工作领导小组的日常工作。（十）完成县委交办的其他任务。</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（二）中共通江县委组织部202</w:t>
      </w: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年重点工作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持续深化习近平新时代中国特色社会主义思想教育。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全面加强换届后各级干部政治思想和能力作风建设。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以诺水英才库建设为重点，锻造符合通江振兴发展时代要求的年轻干部队伍。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加快构建富有革命老区特色的红色干部教育培训体系。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进一步加强高素质公务员队伍建设和管理。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全力推动基层党建工作全方位高质量发展。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深入推进党建引领乡村振兴和城乡基层治理。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大力构筑革命老区振兴发展人才集聚洼地。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接续做好老干部工作和关心下一代工作。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 xml:space="preserve"> 突出示范引领建设风清气正政治机关。</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部门概况</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2022年财政预算财政供给人员</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人，其中公务员</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名，参照公务员法管理的事业人员</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名，工勤人员</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名，事业人员</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名；供给车辆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辆；下属二级预算单位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三、收支预算情况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通江县委组织部按照综合预算原则，将全部收入和支出纳入预算管理。收入包括：一般公共预算拨款收入。支出包括：一般公共服务支出、社会保障与就业支出、医疗卫生与计划生育支出、住房保障支出。2022年收支预算总数为</w:t>
      </w:r>
      <w:r>
        <w:rPr>
          <w:rFonts w:ascii="仿宋_GB2312" w:hAnsi="仿宋_GB2312" w:eastAsia="仿宋_GB2312" w:cs="仿宋_GB2312"/>
          <w:sz w:val="32"/>
          <w:szCs w:val="32"/>
        </w:rPr>
        <w:t>839.83</w:t>
      </w:r>
      <w:r>
        <w:rPr>
          <w:rFonts w:hint="eastAsia" w:ascii="仿宋_GB2312" w:hAnsi="仿宋_GB2312" w:eastAsia="仿宋_GB2312" w:cs="仿宋_GB2312"/>
          <w:sz w:val="32"/>
          <w:szCs w:val="32"/>
        </w:rPr>
        <w:t>万元，比2021年收支预算总数</w:t>
      </w:r>
      <w:bookmarkStart w:id="0" w:name="_Hlk105573522"/>
      <w:r>
        <w:rPr>
          <w:rFonts w:hint="eastAsia" w:ascii="仿宋_GB2312" w:hAnsi="仿宋_GB2312" w:eastAsia="仿宋_GB2312" w:cs="仿宋_GB2312"/>
          <w:sz w:val="32"/>
          <w:szCs w:val="32"/>
        </w:rPr>
        <w:t>增加1</w:t>
      </w:r>
      <w:r>
        <w:rPr>
          <w:rFonts w:ascii="仿宋_GB2312" w:hAnsi="仿宋_GB2312" w:eastAsia="仿宋_GB2312" w:cs="仿宋_GB2312"/>
          <w:sz w:val="32"/>
          <w:szCs w:val="32"/>
        </w:rPr>
        <w:t>26.36</w:t>
      </w:r>
      <w:bookmarkEnd w:id="0"/>
      <w:r>
        <w:rPr>
          <w:rFonts w:hint="eastAsia" w:ascii="仿宋_GB2312" w:hAnsi="仿宋_GB2312" w:eastAsia="仿宋_GB2312" w:cs="仿宋_GB2312"/>
          <w:sz w:val="32"/>
          <w:szCs w:val="32"/>
        </w:rPr>
        <w:t>万元，主要原因是</w:t>
      </w:r>
      <w:bookmarkStart w:id="1" w:name="_Hlk105573533"/>
      <w:r>
        <w:rPr>
          <w:rFonts w:hint="eastAsia" w:ascii="仿宋_GB2312" w:hAnsi="仿宋_GB2312" w:eastAsia="仿宋_GB2312" w:cs="仿宋_GB2312"/>
          <w:sz w:val="32"/>
          <w:szCs w:val="32"/>
        </w:rPr>
        <w:t>项目支出预算新增及人员工资增加</w:t>
      </w:r>
      <w:bookmarkEnd w:id="1"/>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w:t>
      </w:r>
      <w:r>
        <w:rPr>
          <w:rFonts w:hint="eastAsia" w:ascii="楷体_GB2312" w:hAnsi="楷体_GB2312" w:eastAsia="楷体_GB2312" w:cs="楷体_GB2312"/>
          <w:b/>
          <w:bCs/>
          <w:sz w:val="32"/>
          <w:szCs w:val="32"/>
        </w:rPr>
        <w:t>收入预算情况。</w:t>
      </w:r>
      <w:r>
        <w:rPr>
          <w:rFonts w:hint="eastAsia" w:ascii="仿宋_GB2312" w:hAnsi="仿宋_GB2312" w:eastAsia="仿宋_GB2312" w:cs="仿宋_GB2312"/>
          <w:sz w:val="32"/>
          <w:szCs w:val="32"/>
        </w:rPr>
        <w:t>收入预算总额</w:t>
      </w:r>
      <w:r>
        <w:rPr>
          <w:rFonts w:ascii="仿宋_GB2312" w:hAnsi="仿宋_GB2312" w:eastAsia="仿宋_GB2312" w:cs="仿宋_GB2312"/>
          <w:sz w:val="32"/>
          <w:szCs w:val="32"/>
        </w:rPr>
        <w:t>839.83</w:t>
      </w:r>
      <w:r>
        <w:rPr>
          <w:rFonts w:hint="eastAsia" w:ascii="仿宋_GB2312" w:hAnsi="仿宋_GB2312" w:eastAsia="仿宋_GB2312" w:cs="仿宋_GB2312"/>
          <w:sz w:val="32"/>
          <w:szCs w:val="32"/>
        </w:rPr>
        <w:t>万元，其中：一般公共预算拨款收入</w:t>
      </w:r>
      <w:r>
        <w:rPr>
          <w:rFonts w:ascii="仿宋_GB2312" w:hAnsi="仿宋_GB2312" w:eastAsia="仿宋_GB2312" w:cs="仿宋_GB2312"/>
          <w:sz w:val="32"/>
          <w:szCs w:val="32"/>
        </w:rPr>
        <w:t>839.83</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w:t>
      </w:r>
      <w:r>
        <w:rPr>
          <w:rFonts w:hint="eastAsia" w:ascii="楷体_GB2312" w:hAnsi="楷体_GB2312" w:eastAsia="楷体_GB2312" w:cs="楷体_GB2312"/>
          <w:b/>
          <w:bCs/>
          <w:sz w:val="32"/>
          <w:szCs w:val="32"/>
        </w:rPr>
        <w:t>支出预算情况。</w:t>
      </w:r>
      <w:r>
        <w:rPr>
          <w:rFonts w:hint="eastAsia" w:ascii="仿宋_GB2312" w:hAnsi="仿宋_GB2312" w:eastAsia="仿宋_GB2312" w:cs="仿宋_GB2312"/>
          <w:sz w:val="32"/>
          <w:szCs w:val="32"/>
        </w:rPr>
        <w:t>支出预算总额</w:t>
      </w:r>
      <w:r>
        <w:rPr>
          <w:rFonts w:ascii="仿宋_GB2312" w:hAnsi="仿宋_GB2312" w:eastAsia="仿宋_GB2312" w:cs="仿宋_GB2312"/>
          <w:sz w:val="32"/>
          <w:szCs w:val="32"/>
        </w:rPr>
        <w:t>839.83</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466.93</w:t>
      </w:r>
      <w:r>
        <w:rPr>
          <w:rFonts w:hint="eastAsia" w:ascii="仿宋_GB2312" w:hAnsi="仿宋_GB2312" w:eastAsia="仿宋_GB2312" w:cs="仿宋_GB2312"/>
          <w:sz w:val="32"/>
          <w:szCs w:val="32"/>
        </w:rPr>
        <w:t>万元，占总支出</w:t>
      </w:r>
      <w:r>
        <w:rPr>
          <w:rFonts w:ascii="仿宋_GB2312" w:hAnsi="仿宋_GB2312" w:eastAsia="仿宋_GB2312" w:cs="仿宋_GB2312"/>
          <w:sz w:val="32"/>
          <w:szCs w:val="32"/>
        </w:rPr>
        <w:t>55.60</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372.90</w:t>
      </w:r>
      <w:r>
        <w:rPr>
          <w:rFonts w:hint="eastAsia" w:ascii="仿宋_GB2312" w:hAnsi="仿宋_GB2312" w:eastAsia="仿宋_GB2312" w:cs="仿宋_GB2312"/>
          <w:sz w:val="32"/>
          <w:szCs w:val="32"/>
        </w:rPr>
        <w:t>万元，占总支出</w:t>
      </w:r>
      <w:r>
        <w:rPr>
          <w:rFonts w:ascii="仿宋_GB2312" w:hAnsi="仿宋_GB2312" w:eastAsia="仿宋_GB2312" w:cs="仿宋_GB2312"/>
          <w:sz w:val="32"/>
          <w:szCs w:val="32"/>
        </w:rPr>
        <w:t>44.40</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四、财政拨款收支预算情况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2022年财政拨款收支总预算</w:t>
      </w:r>
      <w:r>
        <w:rPr>
          <w:rFonts w:ascii="仿宋_GB2312" w:hAnsi="仿宋_GB2312" w:eastAsia="仿宋_GB2312" w:cs="仿宋_GB2312"/>
          <w:sz w:val="32"/>
          <w:szCs w:val="32"/>
        </w:rPr>
        <w:t>839.83</w:t>
      </w:r>
      <w:r>
        <w:rPr>
          <w:rFonts w:hint="eastAsia" w:ascii="仿宋_GB2312" w:hAnsi="仿宋_GB2312" w:eastAsia="仿宋_GB2312" w:cs="仿宋_GB2312"/>
          <w:sz w:val="32"/>
          <w:szCs w:val="32"/>
        </w:rPr>
        <w:t>万元，比2021年财政拨款收支总预算</w:t>
      </w:r>
      <w:bookmarkStart w:id="2" w:name="_Hlk105573817"/>
      <w:r>
        <w:rPr>
          <w:rFonts w:hint="eastAsia" w:ascii="仿宋_GB2312" w:hAnsi="仿宋_GB2312" w:eastAsia="仿宋_GB2312" w:cs="仿宋_GB2312"/>
          <w:sz w:val="32"/>
          <w:szCs w:val="32"/>
        </w:rPr>
        <w:t>增加126.36</w:t>
      </w:r>
      <w:bookmarkEnd w:id="2"/>
      <w:r>
        <w:rPr>
          <w:rFonts w:hint="eastAsia" w:ascii="仿宋_GB2312" w:hAnsi="仿宋_GB2312" w:eastAsia="仿宋_GB2312" w:cs="仿宋_GB2312"/>
          <w:sz w:val="32"/>
          <w:szCs w:val="32"/>
        </w:rPr>
        <w:t>万元，主要原因是项目支出预算新增及人员工资增加。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收入包括：一般公共预算拨款收入</w:t>
      </w:r>
      <w:r>
        <w:rPr>
          <w:rFonts w:ascii="仿宋_GB2312" w:hAnsi="仿宋_GB2312" w:eastAsia="仿宋_GB2312" w:cs="仿宋_GB2312"/>
          <w:sz w:val="32"/>
          <w:szCs w:val="32"/>
        </w:rPr>
        <w:t>839.83</w:t>
      </w:r>
      <w:r>
        <w:rPr>
          <w:rFonts w:hint="eastAsia" w:ascii="仿宋_GB2312" w:hAnsi="仿宋_GB2312" w:eastAsia="仿宋_GB2312" w:cs="仿宋_GB2312"/>
          <w:sz w:val="32"/>
          <w:szCs w:val="32"/>
        </w:rPr>
        <w:t>万元。支出包括：一般公共服务支出</w:t>
      </w:r>
      <w:r>
        <w:rPr>
          <w:rFonts w:ascii="仿宋_GB2312" w:hAnsi="仿宋_GB2312" w:eastAsia="仿宋_GB2312" w:cs="仿宋_GB2312"/>
          <w:sz w:val="32"/>
          <w:szCs w:val="32"/>
        </w:rPr>
        <w:t>739.02</w:t>
      </w:r>
      <w:r>
        <w:rPr>
          <w:rFonts w:hint="eastAsia" w:ascii="仿宋_GB2312" w:hAnsi="仿宋_GB2312" w:eastAsia="仿宋_GB2312" w:cs="仿宋_GB2312"/>
          <w:sz w:val="32"/>
          <w:szCs w:val="32"/>
        </w:rPr>
        <w:t>万元、社会保障与就业支出3</w:t>
      </w:r>
      <w:r>
        <w:rPr>
          <w:rFonts w:ascii="仿宋_GB2312" w:hAnsi="仿宋_GB2312" w:eastAsia="仿宋_GB2312" w:cs="仿宋_GB2312"/>
          <w:sz w:val="32"/>
          <w:szCs w:val="32"/>
        </w:rPr>
        <w:t>9.94</w:t>
      </w:r>
      <w:r>
        <w:rPr>
          <w:rFonts w:hint="eastAsia" w:ascii="仿宋_GB2312" w:hAnsi="仿宋_GB2312" w:eastAsia="仿宋_GB2312" w:cs="仿宋_GB2312"/>
          <w:sz w:val="32"/>
          <w:szCs w:val="32"/>
        </w:rPr>
        <w:t>万元、医疗卫生与计划生育支出3</w:t>
      </w:r>
      <w:r>
        <w:rPr>
          <w:rFonts w:ascii="仿宋_GB2312" w:hAnsi="仿宋_GB2312" w:eastAsia="仿宋_GB2312" w:cs="仿宋_GB2312"/>
          <w:sz w:val="32"/>
          <w:szCs w:val="32"/>
        </w:rPr>
        <w:t>0.92</w:t>
      </w:r>
      <w:r>
        <w:rPr>
          <w:rFonts w:hint="eastAsia" w:ascii="仿宋_GB2312" w:hAnsi="仿宋_GB2312" w:eastAsia="仿宋_GB2312" w:cs="仿宋_GB2312"/>
          <w:sz w:val="32"/>
          <w:szCs w:val="32"/>
        </w:rPr>
        <w:t>万元、住房保障支出2</w:t>
      </w:r>
      <w:r>
        <w:rPr>
          <w:rFonts w:ascii="仿宋_GB2312" w:hAnsi="仿宋_GB2312" w:eastAsia="仿宋_GB2312" w:cs="仿宋_GB2312"/>
          <w:sz w:val="32"/>
          <w:szCs w:val="32"/>
        </w:rPr>
        <w:t>9.95万元。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2022年一般公共预算财政拨款8</w:t>
      </w:r>
      <w:r>
        <w:rPr>
          <w:rFonts w:ascii="仿宋_GB2312" w:hAnsi="仿宋_GB2312" w:eastAsia="仿宋_GB2312" w:cs="仿宋_GB2312"/>
          <w:sz w:val="32"/>
          <w:szCs w:val="32"/>
        </w:rPr>
        <w:t>39.83</w:t>
      </w:r>
      <w:r>
        <w:rPr>
          <w:rFonts w:hint="eastAsia" w:ascii="仿宋_GB2312" w:hAnsi="仿宋_GB2312" w:eastAsia="仿宋_GB2312" w:cs="仿宋_GB2312"/>
          <w:sz w:val="32"/>
          <w:szCs w:val="32"/>
        </w:rPr>
        <w:t>万元，比2021年增加126.36万元，主要原因是项目支出预算新增及人员工资增加。</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（一）基本支出</w:t>
      </w:r>
      <w:r>
        <w:rPr>
          <w:rFonts w:ascii="楷体" w:hAnsi="楷体" w:eastAsia="楷体" w:cs="楷体"/>
          <w:b/>
          <w:bCs/>
          <w:sz w:val="32"/>
          <w:szCs w:val="32"/>
        </w:rPr>
        <w:t>466.93</w:t>
      </w:r>
      <w:r>
        <w:rPr>
          <w:rFonts w:hint="eastAsia" w:ascii="楷体" w:hAnsi="楷体" w:eastAsia="楷体" w:cs="楷体"/>
          <w:b/>
          <w:bCs/>
          <w:sz w:val="32"/>
          <w:szCs w:val="32"/>
        </w:rPr>
        <w:t>万元，其中：</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1.人员经费</w:t>
      </w:r>
      <w:r>
        <w:rPr>
          <w:rFonts w:ascii="仿宋_GB2312" w:hAnsi="仿宋_GB2312" w:eastAsia="仿宋_GB2312" w:cs="仿宋_GB2312"/>
          <w:b/>
          <w:bCs/>
          <w:sz w:val="32"/>
          <w:szCs w:val="32"/>
        </w:rPr>
        <w:t>397.23</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主要包括：基本工资、绩效工资、津贴补贴、机关事业单位养老保险、职工基本医疗保险缴费、奖金、住房公积金、医疗费补助、抚恤费、生活补助等支出。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2.公用经费</w:t>
      </w:r>
      <w:r>
        <w:rPr>
          <w:rFonts w:ascii="仿宋_GB2312" w:hAnsi="仿宋_GB2312" w:eastAsia="仿宋_GB2312" w:cs="仿宋_GB2312"/>
          <w:b/>
          <w:bCs/>
          <w:sz w:val="32"/>
          <w:szCs w:val="32"/>
        </w:rPr>
        <w:t>69.70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主要包括：办公费、差旅费、邮电费、工会经费、公务用车运行维护费等支出。</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（二）项目支出</w:t>
      </w:r>
      <w:r>
        <w:rPr>
          <w:rFonts w:ascii="楷体" w:hAnsi="楷体" w:eastAsia="楷体" w:cs="楷体"/>
          <w:b/>
          <w:bCs/>
          <w:sz w:val="32"/>
          <w:szCs w:val="32"/>
        </w:rPr>
        <w:t>372.90</w:t>
      </w:r>
      <w:r>
        <w:rPr>
          <w:rFonts w:hint="eastAsia" w:ascii="楷体" w:hAnsi="楷体" w:eastAsia="楷体" w:cs="楷体"/>
          <w:b/>
          <w:bCs/>
          <w:sz w:val="32"/>
          <w:szCs w:val="32"/>
        </w:rPr>
        <w:t>万元，其中：</w:t>
      </w:r>
      <w:r>
        <w:rPr>
          <w:rFonts w:hint="eastAsia" w:ascii="仿宋_GB2312" w:hAnsi="仿宋_GB2312" w:eastAsia="仿宋_GB2312" w:cs="仿宋_GB2312"/>
          <w:sz w:val="32"/>
          <w:szCs w:val="32"/>
        </w:rPr>
        <w:t>运转类项目支出</w:t>
      </w:r>
      <w:r>
        <w:rPr>
          <w:rFonts w:ascii="仿宋_GB2312" w:hAnsi="仿宋_GB2312" w:eastAsia="仿宋_GB2312" w:cs="仿宋_GB2312"/>
          <w:sz w:val="32"/>
          <w:szCs w:val="32"/>
        </w:rPr>
        <w:t>274.50</w:t>
      </w:r>
      <w:r>
        <w:rPr>
          <w:rFonts w:hint="eastAsia" w:ascii="仿宋_GB2312" w:hAnsi="仿宋_GB2312" w:eastAsia="仿宋_GB2312" w:cs="仿宋_GB2312"/>
          <w:sz w:val="32"/>
          <w:szCs w:val="32"/>
        </w:rPr>
        <w:t>万元，主要用于党建、乡村振兴、城乡基层治理、公务员及引进人才招录考试等支出；特定目标类项目支出</w:t>
      </w:r>
      <w:r>
        <w:rPr>
          <w:rFonts w:ascii="仿宋_GB2312" w:hAnsi="仿宋_GB2312" w:eastAsia="仿宋_GB2312" w:cs="仿宋_GB2312"/>
          <w:sz w:val="32"/>
          <w:szCs w:val="32"/>
        </w:rPr>
        <w:t>98.40</w:t>
      </w:r>
      <w:r>
        <w:rPr>
          <w:rFonts w:hint="eastAsia" w:ascii="仿宋_GB2312" w:hAnsi="仿宋_GB2312" w:eastAsia="仿宋_GB2312" w:cs="仿宋_GB2312"/>
          <w:sz w:val="32"/>
          <w:szCs w:val="32"/>
        </w:rPr>
        <w:t>万元，主要用于离退休老干部春节慰问等支出。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六、“三公”经费财政拨款预算安排情况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2022年“三公”经费财政拨款预算总额</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万元，比2021年预算总额增加0</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（一）因公出国（境）经费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万元，较2021年预算无变化。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万元，较2021年预算增长</w:t>
      </w:r>
      <w:r>
        <w:rPr>
          <w:rFonts w:ascii="仿宋_GB2312" w:hAnsi="仿宋_GB2312" w:eastAsia="仿宋_GB2312" w:cs="仿宋_GB2312"/>
          <w:sz w:val="32"/>
          <w:szCs w:val="32"/>
        </w:rPr>
        <w:t>9.76</w:t>
      </w:r>
      <w:r>
        <w:rPr>
          <w:rFonts w:hint="eastAsia" w:ascii="仿宋_GB2312" w:hAnsi="仿宋_GB2312" w:eastAsia="仿宋_GB2312" w:cs="仿宋_GB2312"/>
          <w:sz w:val="32"/>
          <w:szCs w:val="32"/>
        </w:rPr>
        <w:t>%，主要原因执行公务、考察调研、专项检查指导等公务活动增加。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万元，较2021年预算无变化；公务用车运行维护费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万元，较2021年预算无变化。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七、政府性基金预算支出情况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2022年政府性基金预算支出无预算安排。</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八、国有资本经营预算支出情况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2022年国有资本经营预算支出无预算安排。</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机关运行经费情况</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2022年度机关运行经费预算</w:t>
      </w:r>
      <w:r>
        <w:rPr>
          <w:rFonts w:ascii="仿宋_GB2312" w:hAnsi="仿宋_GB2312" w:eastAsia="仿宋_GB2312" w:cs="仿宋_GB2312"/>
          <w:sz w:val="32"/>
          <w:szCs w:val="32"/>
        </w:rPr>
        <w:t>69.70</w:t>
      </w:r>
      <w:r>
        <w:rPr>
          <w:rFonts w:hint="eastAsia" w:ascii="仿宋_GB2312" w:hAnsi="仿宋_GB2312" w:eastAsia="仿宋_GB2312" w:cs="仿宋_GB2312"/>
          <w:sz w:val="32"/>
          <w:szCs w:val="32"/>
        </w:rPr>
        <w:t>万元，较2021年预算数减少2</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万元，下降3</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%，主要原因是：在编人员减少。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十、政府采购及政府购买公共服务情况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2022年政府采购支出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万元，主要是：用于购买办公电脑、打印机等办公设备。政府购买公共服务支出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十一、国有资产占用情况说明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2021年底，本部门所属各预算单位固定资产总额</w:t>
      </w:r>
      <w:r>
        <w:rPr>
          <w:rFonts w:ascii="仿宋_GB2312" w:hAnsi="仿宋_GB2312" w:eastAsia="仿宋_GB2312" w:cs="仿宋_GB2312"/>
          <w:sz w:val="32"/>
          <w:szCs w:val="32"/>
        </w:rPr>
        <w:t>331.93</w:t>
      </w:r>
      <w:r>
        <w:rPr>
          <w:rFonts w:hint="eastAsia" w:ascii="仿宋_GB2312" w:hAnsi="仿宋_GB2312" w:eastAsia="仿宋_GB2312" w:cs="仿宋_GB2312"/>
          <w:sz w:val="32"/>
          <w:szCs w:val="32"/>
        </w:rPr>
        <w:t>万元。现有公务用车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辆，其中：定向保障类</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辆、执法执勤类</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辆、特种专业技术类</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辆、事业单位公务用车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辆。单价20万元以上大型设备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十二、预算绩效目标情况说明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按照全面实施预算绩效管理要求，本部门2022年预算编制了整体支出绩效目标和项目支出绩效目标，其中：涉及项目</w:t>
      </w:r>
      <w:r>
        <w:rPr>
          <w:rFonts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个，预算项目资金</w:t>
      </w:r>
      <w:r>
        <w:rPr>
          <w:rFonts w:ascii="仿宋_GB2312" w:hAnsi="仿宋_GB2312" w:eastAsia="仿宋_GB2312" w:cs="仿宋_GB2312"/>
          <w:sz w:val="32"/>
          <w:szCs w:val="32"/>
          <w:shd w:val="clear" w:color="auto" w:fill="FFFFFF"/>
        </w:rPr>
        <w:t>372.90</w:t>
      </w:r>
      <w:r>
        <w:rPr>
          <w:rFonts w:hint="eastAsia" w:ascii="仿宋_GB2312" w:hAnsi="仿宋_GB2312" w:eastAsia="仿宋_GB2312" w:cs="仿宋_GB2312"/>
          <w:sz w:val="32"/>
          <w:szCs w:val="32"/>
          <w:shd w:val="clear" w:color="auto" w:fill="FFFFFF"/>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十三、名词解释</w:t>
      </w:r>
    </w:p>
    <w:p>
      <w:pPr>
        <w:pStyle w:val="6"/>
        <w:widowControl/>
        <w:spacing w:line="560" w:lineRule="exact"/>
        <w:ind w:firstLine="643" w:firstLineChars="200"/>
        <w:rPr>
          <w:rFonts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（一）一般公共预算拨款收入</w:t>
      </w:r>
      <w:r>
        <w:rPr>
          <w:rFonts w:hint="eastAsia" w:ascii="仿宋_GB2312" w:hAnsi="仿宋_GB2312" w:eastAsia="仿宋_GB2312" w:cs="仿宋_GB2312"/>
          <w:b/>
          <w:bCs/>
          <w:kern w:val="2"/>
          <w:sz w:val="32"/>
          <w:szCs w:val="32"/>
          <w:shd w:val="clear" w:color="auto" w:fill="FFFFFF"/>
        </w:rPr>
        <w:t>：</w:t>
      </w:r>
      <w:r>
        <w:rPr>
          <w:rFonts w:hint="eastAsia" w:ascii="仿宋_GB2312" w:hAnsi="仿宋_GB2312" w:eastAsia="仿宋_GB2312" w:cs="仿宋_GB2312"/>
          <w:kern w:val="2"/>
          <w:sz w:val="32"/>
          <w:szCs w:val="32"/>
          <w:shd w:val="clear" w:color="auto" w:fill="FFFFFF"/>
        </w:rPr>
        <w:t>指财政一般公共预算当年安排拨付的资金。</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 xml:space="preserve"> （二）上年结转收入：</w:t>
      </w:r>
      <w:r>
        <w:rPr>
          <w:rFonts w:hint="eastAsia" w:ascii="仿宋_GB2312" w:hAnsi="仿宋_GB2312" w:eastAsia="仿宋_GB2312" w:cs="仿宋_GB2312"/>
          <w:kern w:val="2"/>
          <w:sz w:val="32"/>
          <w:szCs w:val="32"/>
          <w:shd w:val="clear" w:color="auto" w:fill="FFFFFF"/>
        </w:rPr>
        <w:t>指以前年度尚未完成，结转到本年仍按原规定用途继续使用的资金。</w:t>
      </w:r>
    </w:p>
    <w:p>
      <w:pPr>
        <w:pStyle w:val="6"/>
        <w:widowControl/>
        <w:spacing w:line="560" w:lineRule="exact"/>
        <w:ind w:firstLine="643" w:firstLineChars="200"/>
        <w:rPr>
          <w:rFonts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（三）事业收入：</w:t>
      </w:r>
      <w:r>
        <w:rPr>
          <w:rFonts w:hint="eastAsia" w:ascii="楷体_GB2312" w:hAnsi="楷体_GB2312" w:eastAsia="楷体_GB2312" w:cs="楷体_GB2312"/>
          <w:kern w:val="2"/>
          <w:sz w:val="32"/>
          <w:szCs w:val="32"/>
          <w:shd w:val="clear" w:color="auto" w:fill="FFFFFF"/>
        </w:rPr>
        <w:t>指</w:t>
      </w:r>
      <w:r>
        <w:rPr>
          <w:rFonts w:hint="eastAsia" w:ascii="仿宋_GB2312" w:hAnsi="仿宋_GB2312" w:eastAsia="仿宋_GB2312" w:cs="仿宋_GB2312"/>
          <w:kern w:val="2"/>
          <w:sz w:val="32"/>
          <w:szCs w:val="32"/>
          <w:shd w:val="clear" w:color="auto" w:fill="FFFFFF"/>
        </w:rPr>
        <w:t>事业单位开展专业业务活动及其辅助活动实现的收入，不包括从同级财政部门取得的各类财政拨款。</w:t>
      </w:r>
    </w:p>
    <w:p>
      <w:pPr>
        <w:pStyle w:val="6"/>
        <w:widowControl/>
        <w:spacing w:line="560" w:lineRule="exact"/>
        <w:ind w:firstLine="643" w:firstLineChars="200"/>
        <w:rPr>
          <w:rFonts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（四）事业单位经营收入：</w:t>
      </w:r>
      <w:r>
        <w:rPr>
          <w:rFonts w:hint="eastAsia" w:ascii="楷体_GB2312" w:hAnsi="楷体_GB2312" w:eastAsia="楷体_GB2312" w:cs="楷体_GB2312"/>
          <w:kern w:val="2"/>
          <w:sz w:val="32"/>
          <w:szCs w:val="32"/>
          <w:shd w:val="clear" w:color="auto" w:fill="FFFFFF"/>
        </w:rPr>
        <w:t>指</w:t>
      </w:r>
      <w:r>
        <w:rPr>
          <w:rFonts w:hint="eastAsia" w:ascii="仿宋_GB2312" w:hAnsi="仿宋_GB2312" w:eastAsia="仿宋_GB2312" w:cs="仿宋_GB2312"/>
          <w:kern w:val="2"/>
          <w:sz w:val="32"/>
          <w:szCs w:val="32"/>
          <w:shd w:val="clear" w:color="auto" w:fill="FFFFFF"/>
        </w:rPr>
        <w:t>除事业单位在专业业务活动及其辅助活动之外开展非独立核算经营活动取得的收入。</w:t>
      </w:r>
    </w:p>
    <w:p>
      <w:pPr>
        <w:pStyle w:val="6"/>
        <w:widowControl/>
        <w:spacing w:line="560" w:lineRule="exact"/>
        <w:ind w:firstLine="643" w:firstLineChars="200"/>
        <w:rPr>
          <w:rFonts w:ascii="楷体_GB2312" w:hAnsi="楷体_GB2312" w:eastAsia="楷体_GB2312" w:cs="楷体_GB2312"/>
          <w:b/>
          <w:bCs/>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（五）其他收入：</w:t>
      </w:r>
      <w:r>
        <w:rPr>
          <w:rFonts w:hint="eastAsia" w:ascii="仿宋_GB2312" w:hAnsi="仿宋_GB2312" w:eastAsia="仿宋_GB2312" w:cs="仿宋_GB2312"/>
          <w:kern w:val="2"/>
          <w:sz w:val="32"/>
          <w:szCs w:val="32"/>
          <w:shd w:val="clear" w:color="auto" w:fill="FFFFFF"/>
        </w:rPr>
        <w:t>指除“一般公共预算拨款收入”、“事业收入”等以外的收入。主要是银行存款利息收入等。</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b/>
          <w:bCs/>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（六）行政运行：</w:t>
      </w:r>
      <w:r>
        <w:rPr>
          <w:rFonts w:hint="eastAsia" w:ascii="仿宋_GB2312" w:hAnsi="仿宋_GB2312" w:eastAsia="仿宋_GB2312" w:cs="仿宋_GB2312"/>
          <w:kern w:val="2"/>
          <w:sz w:val="32"/>
          <w:szCs w:val="32"/>
          <w:shd w:val="clear" w:color="auto" w:fill="FFFFFF"/>
        </w:rPr>
        <w:t>指机关及参照公务员法管理事业单位用于保障正常运行、开展日常工作的基本支出。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 xml:space="preserve"> （七）事业运行：</w:t>
      </w:r>
      <w:r>
        <w:rPr>
          <w:rFonts w:hint="eastAsia" w:ascii="仿宋_GB2312" w:hAnsi="仿宋_GB2312" w:eastAsia="仿宋_GB2312" w:cs="仿宋_GB2312"/>
          <w:kern w:val="2"/>
          <w:sz w:val="32"/>
          <w:szCs w:val="32"/>
          <w:shd w:val="clear" w:color="auto" w:fill="FFFFFF"/>
        </w:rPr>
        <w:t>指事业单位用于保障机构正常运行、开展日常工作的基本支出。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（八）机关事业单位基本养老保险缴费：</w:t>
      </w:r>
      <w:r>
        <w:rPr>
          <w:rFonts w:hint="eastAsia" w:ascii="仿宋_GB2312" w:hAnsi="仿宋_GB2312" w:eastAsia="仿宋_GB2312" w:cs="仿宋_GB2312"/>
          <w:kern w:val="2"/>
          <w:sz w:val="32"/>
          <w:szCs w:val="32"/>
          <w:shd w:val="clear" w:color="auto" w:fill="FFFFFF"/>
        </w:rPr>
        <w:t>指部门实施养老保险制度由单位缴纳的养老保险费的支出。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（九）行政单位医疗：</w:t>
      </w:r>
      <w:r>
        <w:rPr>
          <w:rFonts w:hint="eastAsia" w:ascii="仿宋_GB2312" w:hAnsi="仿宋_GB2312" w:eastAsia="仿宋_GB2312" w:cs="仿宋_GB2312"/>
          <w:kern w:val="2"/>
          <w:sz w:val="32"/>
          <w:szCs w:val="32"/>
          <w:shd w:val="clear" w:color="auto" w:fill="FFFFFF"/>
        </w:rPr>
        <w:t>指机关及参照公务员法管理事业单位用于缴纳单位基本医疗保险支出。</w:t>
      </w:r>
    </w:p>
    <w:p>
      <w:pPr>
        <w:pStyle w:val="6"/>
        <w:widowControl/>
        <w:spacing w:line="560" w:lineRule="exact"/>
        <w:ind w:firstLine="643" w:firstLineChars="200"/>
        <w:rPr>
          <w:rFonts w:ascii="仿宋_GB2312" w:hAnsi="仿宋_GB2312" w:eastAsia="仿宋_GB2312" w:cs="仿宋_GB2312"/>
          <w:b/>
          <w:bCs/>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（十）事业单位医疗：</w:t>
      </w:r>
      <w:r>
        <w:rPr>
          <w:rFonts w:hint="eastAsia" w:ascii="仿宋_GB2312" w:hAnsi="仿宋_GB2312" w:eastAsia="仿宋_GB2312" w:cs="仿宋_GB2312"/>
          <w:kern w:val="2"/>
          <w:sz w:val="32"/>
          <w:szCs w:val="32"/>
          <w:shd w:val="clear" w:color="auto" w:fill="FFFFFF"/>
        </w:rPr>
        <w:t>指事业单位用于缴纳单位基本医疗保险支出。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b/>
          <w:bCs/>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（十一）公务员医疗补助：</w:t>
      </w:r>
      <w:r>
        <w:rPr>
          <w:rFonts w:hint="eastAsia" w:ascii="仿宋_GB2312" w:hAnsi="仿宋_GB2312" w:eastAsia="仿宋_GB2312" w:cs="仿宋_GB2312"/>
          <w:kern w:val="2"/>
          <w:sz w:val="32"/>
          <w:szCs w:val="32"/>
          <w:shd w:val="clear" w:color="auto" w:fill="FFFFFF"/>
        </w:rPr>
        <w:t>指机关及参公管理事业单位用于集中缴纳公务员医疗补助支出。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b/>
          <w:bCs/>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 xml:space="preserve"> （十二）住房公积金：</w:t>
      </w:r>
      <w:r>
        <w:rPr>
          <w:rFonts w:hint="eastAsia" w:ascii="仿宋_GB2312" w:hAnsi="仿宋_GB2312" w:eastAsia="仿宋_GB2312" w:cs="仿宋_GB2312"/>
          <w:kern w:val="2"/>
          <w:sz w:val="32"/>
          <w:szCs w:val="32"/>
          <w:shd w:val="clear" w:color="auto" w:fill="FFFFFF"/>
        </w:rPr>
        <w:t>指按照《住房公积金管理条例》规定，由单位及其在职职工缴存的长期住房储金。</w:t>
      </w:r>
      <w:r>
        <w:rPr>
          <w:rFonts w:hint="eastAsia" w:ascii="仿宋_GB2312" w:hAnsi="仿宋_GB2312" w:eastAsia="仿宋_GB2312" w:cs="仿宋_GB2312"/>
          <w:b/>
          <w:bCs/>
          <w:kern w:val="2"/>
          <w:sz w:val="32"/>
          <w:szCs w:val="32"/>
          <w:shd w:val="clear" w:color="auto" w:fill="FFFFFF"/>
        </w:rPr>
        <w:t xml:space="preserve">   </w:t>
      </w:r>
    </w:p>
    <w:p>
      <w:pPr>
        <w:pStyle w:val="6"/>
        <w:widowControl/>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shd w:val="clear" w:color="auto" w:fill="FFFFFF"/>
        </w:rPr>
        <w:t>（十三）基本支出：</w:t>
      </w:r>
      <w:r>
        <w:rPr>
          <w:rFonts w:hint="eastAsia" w:ascii="仿宋_GB2312" w:hAnsi="仿宋_GB2312" w:eastAsia="仿宋_GB2312" w:cs="仿宋_GB2312"/>
          <w:kern w:val="2"/>
          <w:sz w:val="32"/>
          <w:szCs w:val="32"/>
          <w:shd w:val="clear" w:color="auto" w:fill="FFFFFF"/>
        </w:rPr>
        <w:t>指为保证机构正常运转，完成日常工作任务而发生的人员支出和公用支出。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b/>
          <w:bCs/>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（十四）项目支出：</w:t>
      </w:r>
      <w:r>
        <w:rPr>
          <w:rFonts w:hint="eastAsia" w:ascii="仿宋_GB2312" w:hAnsi="仿宋_GB2312" w:eastAsia="仿宋_GB2312" w:cs="仿宋_GB2312"/>
          <w:kern w:val="2"/>
          <w:sz w:val="32"/>
          <w:szCs w:val="32"/>
          <w:shd w:val="clear" w:color="auto" w:fill="FFFFFF"/>
        </w:rPr>
        <w:t>指在基本支出之外为完成特定行政任务和事业发展目标所发生的支出。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（十五）“三公”经费：</w:t>
      </w:r>
      <w:r>
        <w:rPr>
          <w:rFonts w:hint="eastAsia" w:ascii="仿宋_GB2312" w:hAnsi="仿宋_GB2312" w:eastAsia="仿宋_GB2312" w:cs="仿宋_GB2312"/>
          <w:kern w:val="2"/>
          <w:sz w:val="32"/>
          <w:szCs w:val="32"/>
          <w:shd w:val="clear" w:color="auto" w:fill="FFFFFF"/>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kern w:val="2"/>
          <w:sz w:val="32"/>
          <w:szCs w:val="32"/>
          <w:shd w:val="clear" w:color="auto" w:fill="FFFFFF"/>
        </w:rPr>
        <w:br w:type="textWrapping"/>
      </w: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（十六）日常公用经费：</w:t>
      </w:r>
      <w:r>
        <w:rPr>
          <w:rFonts w:hint="eastAsia" w:ascii="仿宋_GB2312" w:hAnsi="仿宋_GB2312" w:eastAsia="仿宋_GB2312" w:cs="仿宋_GB2312"/>
          <w:kern w:val="2"/>
          <w:sz w:val="32"/>
          <w:szCs w:val="32"/>
          <w:shd w:val="clear" w:color="auto" w:fill="FFFFFF"/>
        </w:rPr>
        <w:t>为保障部门运行用于购买货物和服务的各项资金。包括办公及印刷费、邮电费、差旅费、会议费、一般设备购置费等费用开支。</w:t>
      </w:r>
    </w:p>
    <w:p>
      <w:pPr>
        <w:spacing w:line="560" w:lineRule="exac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附件：1.部门收支总表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1-1.部门收入总表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1-2.部门支出总表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2.财政拨款收支预算总表</w:t>
      </w:r>
    </w:p>
    <w:p>
      <w:pPr>
        <w:widowControl/>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2-1.财政拨款支出预算表（部门经济分类科目）</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3.一般公共预算支出预算表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3-1.一般公共预算基本支出预算表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3-2.一般公共预算项目支出预算表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3-3.一般公共预算“三公”经费支出预算表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4.政府性基金预算支出预算表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4-1.政府性基金预算“三公”经费支出预算表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5.国有资本经营预算支出预算表</w:t>
      </w:r>
    </w:p>
    <w:p>
      <w:pPr>
        <w:widowControl/>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6.部门预算项目支出绩效目标表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7.部门整体支出绩效目标表</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451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wps:spPr>
                    <wps:txbx>
                      <w:txbxContent>
                        <w:p>
                          <w:pPr>
                            <w:pStyle w:val="4"/>
                            <w:rPr>
                              <w:rStyle w:val="10"/>
                              <w:sz w:val="28"/>
                              <w:szCs w:val="28"/>
                            </w:rPr>
                          </w:pPr>
                          <w:r>
                            <w:rPr>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6</w:t>
                          </w:r>
                          <w:r>
                            <w:rPr>
                              <w:sz w:val="28"/>
                              <w:szCs w:val="28"/>
                            </w:rPr>
                            <w:fldChar w:fldCharType="end"/>
                          </w:r>
                          <w:r>
                            <w:rPr>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35.05pt;mso-position-horizontal:right;mso-position-horizontal-relative:margin;mso-wrap-style:none;z-index:251659264;mso-width-relative:page;mso-height-relative:page;" filled="f" stroked="f" coordsize="21600,21600" o:gfxdata="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qlLr7RAAAAAwEAAA8AAAAAAAAAAQAgAAAAIgAAAGRycy9k&#10;b3ducmV2LnhtbFBLAQIUABQAAAAIAIdO4kAjSlGqCQIAAAIEAAAOAAAAAAAAAAEAIAAAACABAABk&#10;cnMvZTJvRG9jLnhtbFBLBQYAAAAABgAGAFkBAACbBQAAAAA=&#10;">
              <v:fill on="f" focussize="0,0"/>
              <v:stroke on="f"/>
              <v:imagedata o:title=""/>
              <o:lock v:ext="edit" aspectratio="f"/>
              <v:textbox inset="0mm,0mm,0mm,0mm" style="mso-fit-shape-to-text:t;">
                <w:txbxContent>
                  <w:p>
                    <w:pPr>
                      <w:pStyle w:val="4"/>
                      <w:rPr>
                        <w:rStyle w:val="10"/>
                        <w:sz w:val="28"/>
                        <w:szCs w:val="28"/>
                      </w:rPr>
                    </w:pPr>
                    <w:r>
                      <w:rPr>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6</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12DC0"/>
    <w:multiLevelType w:val="singleLevel"/>
    <w:tmpl w:val="86612DC0"/>
    <w:lvl w:ilvl="0" w:tentative="0">
      <w:start w:val="9"/>
      <w:numFmt w:val="chineseCounting"/>
      <w:suff w:val="nothing"/>
      <w:lvlText w:val="%1、"/>
      <w:lvlJc w:val="left"/>
      <w:rPr>
        <w:rFonts w:hint="eastAsia"/>
      </w:rPr>
    </w:lvl>
  </w:abstractNum>
  <w:abstractNum w:abstractNumId="1">
    <w:nsid w:val="99815D9A"/>
    <w:multiLevelType w:val="singleLevel"/>
    <w:tmpl w:val="99815D9A"/>
    <w:lvl w:ilvl="0" w:tentative="0">
      <w:start w:val="2"/>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ODdiNjAzODdhNjdiYWY1OGM1NDczN2IxOTAyNWQifQ=="/>
  </w:docVars>
  <w:rsids>
    <w:rsidRoot w:val="00E33F67"/>
    <w:rsid w:val="00011B97"/>
    <w:rsid w:val="000124C5"/>
    <w:rsid w:val="000135A4"/>
    <w:rsid w:val="00047958"/>
    <w:rsid w:val="00055E69"/>
    <w:rsid w:val="0007091A"/>
    <w:rsid w:val="00080A18"/>
    <w:rsid w:val="000827E1"/>
    <w:rsid w:val="000F4113"/>
    <w:rsid w:val="00101C0E"/>
    <w:rsid w:val="00105F34"/>
    <w:rsid w:val="00126985"/>
    <w:rsid w:val="00161EA8"/>
    <w:rsid w:val="0019097D"/>
    <w:rsid w:val="00194A33"/>
    <w:rsid w:val="001B32D1"/>
    <w:rsid w:val="001D0F0A"/>
    <w:rsid w:val="001D4CF6"/>
    <w:rsid w:val="001D59BD"/>
    <w:rsid w:val="001F5F72"/>
    <w:rsid w:val="001F6178"/>
    <w:rsid w:val="00222BF7"/>
    <w:rsid w:val="002363F6"/>
    <w:rsid w:val="00265BDA"/>
    <w:rsid w:val="00267FE4"/>
    <w:rsid w:val="002749D0"/>
    <w:rsid w:val="00284D0A"/>
    <w:rsid w:val="002C0DF5"/>
    <w:rsid w:val="002C4476"/>
    <w:rsid w:val="002C5173"/>
    <w:rsid w:val="002E3EAD"/>
    <w:rsid w:val="002F7755"/>
    <w:rsid w:val="003043FC"/>
    <w:rsid w:val="00313903"/>
    <w:rsid w:val="00322316"/>
    <w:rsid w:val="0033199B"/>
    <w:rsid w:val="00351A86"/>
    <w:rsid w:val="0036700B"/>
    <w:rsid w:val="003710F4"/>
    <w:rsid w:val="003A593F"/>
    <w:rsid w:val="003B5C84"/>
    <w:rsid w:val="003B6500"/>
    <w:rsid w:val="003C27ED"/>
    <w:rsid w:val="00415F89"/>
    <w:rsid w:val="004228D0"/>
    <w:rsid w:val="00452194"/>
    <w:rsid w:val="00462754"/>
    <w:rsid w:val="00464A0A"/>
    <w:rsid w:val="00484975"/>
    <w:rsid w:val="00494B84"/>
    <w:rsid w:val="004D66BF"/>
    <w:rsid w:val="004D6FF9"/>
    <w:rsid w:val="004E0793"/>
    <w:rsid w:val="004F14A3"/>
    <w:rsid w:val="004F3447"/>
    <w:rsid w:val="0050471A"/>
    <w:rsid w:val="00544BF6"/>
    <w:rsid w:val="00556496"/>
    <w:rsid w:val="0056221C"/>
    <w:rsid w:val="005720BE"/>
    <w:rsid w:val="00581F24"/>
    <w:rsid w:val="00595D37"/>
    <w:rsid w:val="005A661E"/>
    <w:rsid w:val="005B32DE"/>
    <w:rsid w:val="005D13D4"/>
    <w:rsid w:val="005D7372"/>
    <w:rsid w:val="005E2CD2"/>
    <w:rsid w:val="00607F27"/>
    <w:rsid w:val="00657DE8"/>
    <w:rsid w:val="00663B32"/>
    <w:rsid w:val="006708BC"/>
    <w:rsid w:val="00670E25"/>
    <w:rsid w:val="00697476"/>
    <w:rsid w:val="006A2CE4"/>
    <w:rsid w:val="006D120D"/>
    <w:rsid w:val="006E4DBE"/>
    <w:rsid w:val="006F4377"/>
    <w:rsid w:val="006F7817"/>
    <w:rsid w:val="00725173"/>
    <w:rsid w:val="00731385"/>
    <w:rsid w:val="0073513A"/>
    <w:rsid w:val="00737D0A"/>
    <w:rsid w:val="00772CAE"/>
    <w:rsid w:val="00775575"/>
    <w:rsid w:val="00780CE1"/>
    <w:rsid w:val="007B570A"/>
    <w:rsid w:val="007E7CE4"/>
    <w:rsid w:val="007F4986"/>
    <w:rsid w:val="008036DE"/>
    <w:rsid w:val="00822CA7"/>
    <w:rsid w:val="00830AD4"/>
    <w:rsid w:val="00854822"/>
    <w:rsid w:val="00861A42"/>
    <w:rsid w:val="00892760"/>
    <w:rsid w:val="008948C0"/>
    <w:rsid w:val="00894FD1"/>
    <w:rsid w:val="008A28EA"/>
    <w:rsid w:val="008B0F5E"/>
    <w:rsid w:val="008B585B"/>
    <w:rsid w:val="008B654B"/>
    <w:rsid w:val="008C5B35"/>
    <w:rsid w:val="008C7942"/>
    <w:rsid w:val="008D453C"/>
    <w:rsid w:val="008E74D4"/>
    <w:rsid w:val="009042F7"/>
    <w:rsid w:val="0091472C"/>
    <w:rsid w:val="0092036A"/>
    <w:rsid w:val="0092645A"/>
    <w:rsid w:val="00945788"/>
    <w:rsid w:val="00953EE9"/>
    <w:rsid w:val="0096069F"/>
    <w:rsid w:val="009649DE"/>
    <w:rsid w:val="0099613C"/>
    <w:rsid w:val="009C4378"/>
    <w:rsid w:val="009F5EB0"/>
    <w:rsid w:val="009F79F0"/>
    <w:rsid w:val="00A231B8"/>
    <w:rsid w:val="00A97A08"/>
    <w:rsid w:val="00AB0DAC"/>
    <w:rsid w:val="00AB3421"/>
    <w:rsid w:val="00AC0CB8"/>
    <w:rsid w:val="00AE5617"/>
    <w:rsid w:val="00AF57ED"/>
    <w:rsid w:val="00B01DA1"/>
    <w:rsid w:val="00B070F9"/>
    <w:rsid w:val="00B1005B"/>
    <w:rsid w:val="00B24248"/>
    <w:rsid w:val="00B259B0"/>
    <w:rsid w:val="00B3499E"/>
    <w:rsid w:val="00B362F4"/>
    <w:rsid w:val="00B41B53"/>
    <w:rsid w:val="00B62C89"/>
    <w:rsid w:val="00B813AE"/>
    <w:rsid w:val="00BB120D"/>
    <w:rsid w:val="00BB5BE9"/>
    <w:rsid w:val="00BC2AF5"/>
    <w:rsid w:val="00BC7D4B"/>
    <w:rsid w:val="00BD4171"/>
    <w:rsid w:val="00BE2982"/>
    <w:rsid w:val="00BE510C"/>
    <w:rsid w:val="00C11671"/>
    <w:rsid w:val="00C12ED3"/>
    <w:rsid w:val="00C57287"/>
    <w:rsid w:val="00C81780"/>
    <w:rsid w:val="00C91882"/>
    <w:rsid w:val="00CB5D8B"/>
    <w:rsid w:val="00CB6D4E"/>
    <w:rsid w:val="00CC187B"/>
    <w:rsid w:val="00CD1211"/>
    <w:rsid w:val="00CD1BBE"/>
    <w:rsid w:val="00CD798B"/>
    <w:rsid w:val="00CE2D1A"/>
    <w:rsid w:val="00CE3071"/>
    <w:rsid w:val="00D0135C"/>
    <w:rsid w:val="00D17BB9"/>
    <w:rsid w:val="00D609F3"/>
    <w:rsid w:val="00D65D0D"/>
    <w:rsid w:val="00D76D80"/>
    <w:rsid w:val="00D8269E"/>
    <w:rsid w:val="00D834F2"/>
    <w:rsid w:val="00DA31E8"/>
    <w:rsid w:val="00DB09E1"/>
    <w:rsid w:val="00DC2CAE"/>
    <w:rsid w:val="00E07EC5"/>
    <w:rsid w:val="00E22146"/>
    <w:rsid w:val="00E33F67"/>
    <w:rsid w:val="00E64DFC"/>
    <w:rsid w:val="00E75A11"/>
    <w:rsid w:val="00E76892"/>
    <w:rsid w:val="00E82616"/>
    <w:rsid w:val="00E83944"/>
    <w:rsid w:val="00E91001"/>
    <w:rsid w:val="00E91F20"/>
    <w:rsid w:val="00EB3522"/>
    <w:rsid w:val="00EC1A32"/>
    <w:rsid w:val="00ED40C2"/>
    <w:rsid w:val="00EE413B"/>
    <w:rsid w:val="00EF589B"/>
    <w:rsid w:val="00F04511"/>
    <w:rsid w:val="00F429A3"/>
    <w:rsid w:val="00F42BB3"/>
    <w:rsid w:val="00F4354E"/>
    <w:rsid w:val="00F44144"/>
    <w:rsid w:val="00F45F40"/>
    <w:rsid w:val="00F5161E"/>
    <w:rsid w:val="00F66F88"/>
    <w:rsid w:val="00F8776A"/>
    <w:rsid w:val="00F96C91"/>
    <w:rsid w:val="00FA09E1"/>
    <w:rsid w:val="00FC2E52"/>
    <w:rsid w:val="00FF6433"/>
    <w:rsid w:val="012805F2"/>
    <w:rsid w:val="01300A54"/>
    <w:rsid w:val="01602E31"/>
    <w:rsid w:val="01CD1E8E"/>
    <w:rsid w:val="02052EFE"/>
    <w:rsid w:val="02AC5043"/>
    <w:rsid w:val="02B5550D"/>
    <w:rsid w:val="02B72B34"/>
    <w:rsid w:val="02C716F2"/>
    <w:rsid w:val="02FA3C2A"/>
    <w:rsid w:val="034B0077"/>
    <w:rsid w:val="03696793"/>
    <w:rsid w:val="03A80776"/>
    <w:rsid w:val="03AE46A0"/>
    <w:rsid w:val="03DC55FE"/>
    <w:rsid w:val="03F37647"/>
    <w:rsid w:val="03F60689"/>
    <w:rsid w:val="04334AFD"/>
    <w:rsid w:val="044C3A2A"/>
    <w:rsid w:val="04BF47C6"/>
    <w:rsid w:val="050C007E"/>
    <w:rsid w:val="05283485"/>
    <w:rsid w:val="05303BEF"/>
    <w:rsid w:val="05833543"/>
    <w:rsid w:val="05A131E3"/>
    <w:rsid w:val="05A46F1D"/>
    <w:rsid w:val="079C307E"/>
    <w:rsid w:val="07A52791"/>
    <w:rsid w:val="07A92713"/>
    <w:rsid w:val="07CE688F"/>
    <w:rsid w:val="07DF6436"/>
    <w:rsid w:val="08354784"/>
    <w:rsid w:val="08384319"/>
    <w:rsid w:val="086B2B03"/>
    <w:rsid w:val="0879671D"/>
    <w:rsid w:val="08C55905"/>
    <w:rsid w:val="08D40E5B"/>
    <w:rsid w:val="09750C0F"/>
    <w:rsid w:val="097C114F"/>
    <w:rsid w:val="09940E3E"/>
    <w:rsid w:val="09A04337"/>
    <w:rsid w:val="09A6308D"/>
    <w:rsid w:val="09EE4616"/>
    <w:rsid w:val="09F5251B"/>
    <w:rsid w:val="0A0C3D25"/>
    <w:rsid w:val="0A3A0F83"/>
    <w:rsid w:val="0A552BBF"/>
    <w:rsid w:val="0AA37423"/>
    <w:rsid w:val="0B363EC4"/>
    <w:rsid w:val="0B386076"/>
    <w:rsid w:val="0B7D0DE7"/>
    <w:rsid w:val="0BC040C2"/>
    <w:rsid w:val="0BEC445A"/>
    <w:rsid w:val="0C016B3F"/>
    <w:rsid w:val="0C1B0B08"/>
    <w:rsid w:val="0C1C46D6"/>
    <w:rsid w:val="0CA35601"/>
    <w:rsid w:val="0CA836E0"/>
    <w:rsid w:val="0CAB7B69"/>
    <w:rsid w:val="0CCF75ED"/>
    <w:rsid w:val="0CDA2926"/>
    <w:rsid w:val="0CEA36C2"/>
    <w:rsid w:val="0CF855BA"/>
    <w:rsid w:val="0DF76A50"/>
    <w:rsid w:val="0E16722B"/>
    <w:rsid w:val="0E427A76"/>
    <w:rsid w:val="0E733D8C"/>
    <w:rsid w:val="0E8176D2"/>
    <w:rsid w:val="0E883192"/>
    <w:rsid w:val="0F096933"/>
    <w:rsid w:val="0F18213C"/>
    <w:rsid w:val="0F1A2951"/>
    <w:rsid w:val="0F1F3AF7"/>
    <w:rsid w:val="0F5C18FD"/>
    <w:rsid w:val="0F9148B0"/>
    <w:rsid w:val="0FB0647D"/>
    <w:rsid w:val="0FBA17E5"/>
    <w:rsid w:val="0FF07B89"/>
    <w:rsid w:val="10A54005"/>
    <w:rsid w:val="10BA7D72"/>
    <w:rsid w:val="10D05B16"/>
    <w:rsid w:val="10EB1134"/>
    <w:rsid w:val="10F44B0F"/>
    <w:rsid w:val="10FC1DA5"/>
    <w:rsid w:val="112717D8"/>
    <w:rsid w:val="113D146D"/>
    <w:rsid w:val="116A1D36"/>
    <w:rsid w:val="11973961"/>
    <w:rsid w:val="11BA23C6"/>
    <w:rsid w:val="11ED1475"/>
    <w:rsid w:val="12192A7F"/>
    <w:rsid w:val="131D2034"/>
    <w:rsid w:val="139601F4"/>
    <w:rsid w:val="13E82B9A"/>
    <w:rsid w:val="13F71F88"/>
    <w:rsid w:val="141259D8"/>
    <w:rsid w:val="14374B14"/>
    <w:rsid w:val="14446A46"/>
    <w:rsid w:val="14552650"/>
    <w:rsid w:val="145A3AAF"/>
    <w:rsid w:val="146F1FE4"/>
    <w:rsid w:val="14836805"/>
    <w:rsid w:val="14B10FEF"/>
    <w:rsid w:val="14C64A14"/>
    <w:rsid w:val="15011C07"/>
    <w:rsid w:val="152A7AD3"/>
    <w:rsid w:val="154D422A"/>
    <w:rsid w:val="15632263"/>
    <w:rsid w:val="156F5AD8"/>
    <w:rsid w:val="158105D1"/>
    <w:rsid w:val="15966DB3"/>
    <w:rsid w:val="159832F5"/>
    <w:rsid w:val="15CD5166"/>
    <w:rsid w:val="15D83071"/>
    <w:rsid w:val="15FF783B"/>
    <w:rsid w:val="16105EDA"/>
    <w:rsid w:val="169E7925"/>
    <w:rsid w:val="16A119D7"/>
    <w:rsid w:val="16AE28C5"/>
    <w:rsid w:val="16C06224"/>
    <w:rsid w:val="170F074D"/>
    <w:rsid w:val="171B2DF6"/>
    <w:rsid w:val="171D07E9"/>
    <w:rsid w:val="17335EBA"/>
    <w:rsid w:val="17417BBE"/>
    <w:rsid w:val="174D36C8"/>
    <w:rsid w:val="17CB1227"/>
    <w:rsid w:val="17FC507B"/>
    <w:rsid w:val="18D91EF4"/>
    <w:rsid w:val="192046FF"/>
    <w:rsid w:val="1953564C"/>
    <w:rsid w:val="19963FAE"/>
    <w:rsid w:val="19DC091C"/>
    <w:rsid w:val="1A0C3E57"/>
    <w:rsid w:val="1A564859"/>
    <w:rsid w:val="1A803AFD"/>
    <w:rsid w:val="1AAA1160"/>
    <w:rsid w:val="1B40123A"/>
    <w:rsid w:val="1B50009C"/>
    <w:rsid w:val="1B534647"/>
    <w:rsid w:val="1B5F5C68"/>
    <w:rsid w:val="1B962940"/>
    <w:rsid w:val="1C224C26"/>
    <w:rsid w:val="1C392D8D"/>
    <w:rsid w:val="1C8C2D30"/>
    <w:rsid w:val="1CB1504D"/>
    <w:rsid w:val="1D0B075C"/>
    <w:rsid w:val="1D57686A"/>
    <w:rsid w:val="1D951428"/>
    <w:rsid w:val="1E0F74D8"/>
    <w:rsid w:val="1EEA109F"/>
    <w:rsid w:val="1F8F0558"/>
    <w:rsid w:val="202C231D"/>
    <w:rsid w:val="20360B87"/>
    <w:rsid w:val="203767C6"/>
    <w:rsid w:val="206920A9"/>
    <w:rsid w:val="20880CD0"/>
    <w:rsid w:val="208D45F4"/>
    <w:rsid w:val="20C54825"/>
    <w:rsid w:val="20E36D2C"/>
    <w:rsid w:val="210424A6"/>
    <w:rsid w:val="21087652"/>
    <w:rsid w:val="214C58B1"/>
    <w:rsid w:val="215A670B"/>
    <w:rsid w:val="21AC58FD"/>
    <w:rsid w:val="21BD7776"/>
    <w:rsid w:val="21EE5526"/>
    <w:rsid w:val="22144A4D"/>
    <w:rsid w:val="228E1FE4"/>
    <w:rsid w:val="23394C56"/>
    <w:rsid w:val="23444F96"/>
    <w:rsid w:val="236C1F89"/>
    <w:rsid w:val="23723199"/>
    <w:rsid w:val="23E40A13"/>
    <w:rsid w:val="240B4AC2"/>
    <w:rsid w:val="24235570"/>
    <w:rsid w:val="244D1C30"/>
    <w:rsid w:val="24F0700B"/>
    <w:rsid w:val="25A14E0E"/>
    <w:rsid w:val="25BD63B8"/>
    <w:rsid w:val="25C87D3F"/>
    <w:rsid w:val="26701D5A"/>
    <w:rsid w:val="26F22526"/>
    <w:rsid w:val="27210AA7"/>
    <w:rsid w:val="27CC2316"/>
    <w:rsid w:val="27FD02F5"/>
    <w:rsid w:val="281B3F52"/>
    <w:rsid w:val="287B12F5"/>
    <w:rsid w:val="2885458A"/>
    <w:rsid w:val="28EA5B59"/>
    <w:rsid w:val="292D14EE"/>
    <w:rsid w:val="2A052083"/>
    <w:rsid w:val="2A297116"/>
    <w:rsid w:val="2A7664D0"/>
    <w:rsid w:val="2A9E0CC9"/>
    <w:rsid w:val="2A9F778E"/>
    <w:rsid w:val="2AA11725"/>
    <w:rsid w:val="2AD0439D"/>
    <w:rsid w:val="2B2F2088"/>
    <w:rsid w:val="2B8A11D7"/>
    <w:rsid w:val="2BEF6303"/>
    <w:rsid w:val="2C905A6F"/>
    <w:rsid w:val="2CDC1DD0"/>
    <w:rsid w:val="2CE81CEE"/>
    <w:rsid w:val="2DB5501F"/>
    <w:rsid w:val="2DB94F50"/>
    <w:rsid w:val="2DD26AC5"/>
    <w:rsid w:val="2E100D83"/>
    <w:rsid w:val="2E504556"/>
    <w:rsid w:val="2ECC4445"/>
    <w:rsid w:val="2ED253A1"/>
    <w:rsid w:val="2EDF69A7"/>
    <w:rsid w:val="2EE16762"/>
    <w:rsid w:val="2F1D6A55"/>
    <w:rsid w:val="2F2633BB"/>
    <w:rsid w:val="2F6C6772"/>
    <w:rsid w:val="2FC229A0"/>
    <w:rsid w:val="30167A19"/>
    <w:rsid w:val="305E0BEA"/>
    <w:rsid w:val="307A53F6"/>
    <w:rsid w:val="30823D52"/>
    <w:rsid w:val="30D53BBD"/>
    <w:rsid w:val="31664C67"/>
    <w:rsid w:val="31672A55"/>
    <w:rsid w:val="319E11D8"/>
    <w:rsid w:val="31D67064"/>
    <w:rsid w:val="32250871"/>
    <w:rsid w:val="325C463C"/>
    <w:rsid w:val="326C1F2D"/>
    <w:rsid w:val="32CD233D"/>
    <w:rsid w:val="32D528F6"/>
    <w:rsid w:val="32E177AD"/>
    <w:rsid w:val="33054C11"/>
    <w:rsid w:val="332424BA"/>
    <w:rsid w:val="3358276D"/>
    <w:rsid w:val="33857B1D"/>
    <w:rsid w:val="340029F9"/>
    <w:rsid w:val="347157D3"/>
    <w:rsid w:val="34772B57"/>
    <w:rsid w:val="348C746F"/>
    <w:rsid w:val="34964AD5"/>
    <w:rsid w:val="34C640C6"/>
    <w:rsid w:val="352A0649"/>
    <w:rsid w:val="354E770C"/>
    <w:rsid w:val="36A84068"/>
    <w:rsid w:val="36C457DD"/>
    <w:rsid w:val="370A4129"/>
    <w:rsid w:val="37517286"/>
    <w:rsid w:val="37701834"/>
    <w:rsid w:val="37A66730"/>
    <w:rsid w:val="37BE5CA1"/>
    <w:rsid w:val="38244D71"/>
    <w:rsid w:val="392B5BB8"/>
    <w:rsid w:val="39505CBA"/>
    <w:rsid w:val="395E0E17"/>
    <w:rsid w:val="39B13FFD"/>
    <w:rsid w:val="3AF2480A"/>
    <w:rsid w:val="3C44312D"/>
    <w:rsid w:val="3C5C33E5"/>
    <w:rsid w:val="3CBE2EC8"/>
    <w:rsid w:val="3CEA0D18"/>
    <w:rsid w:val="3CFA2F32"/>
    <w:rsid w:val="3D5C01A5"/>
    <w:rsid w:val="3D6C57B0"/>
    <w:rsid w:val="3D7D3B8B"/>
    <w:rsid w:val="3DC1600B"/>
    <w:rsid w:val="3DD82BC1"/>
    <w:rsid w:val="3DF8538F"/>
    <w:rsid w:val="3E607CB0"/>
    <w:rsid w:val="3ED850C2"/>
    <w:rsid w:val="3EE65CBF"/>
    <w:rsid w:val="3F0D6888"/>
    <w:rsid w:val="3F1E487C"/>
    <w:rsid w:val="3F1F50E2"/>
    <w:rsid w:val="3F30617F"/>
    <w:rsid w:val="3F636627"/>
    <w:rsid w:val="3F6B0D3E"/>
    <w:rsid w:val="3F6F0A83"/>
    <w:rsid w:val="3FE43CE8"/>
    <w:rsid w:val="40273C3E"/>
    <w:rsid w:val="404E4227"/>
    <w:rsid w:val="40635258"/>
    <w:rsid w:val="4078207E"/>
    <w:rsid w:val="408B24EB"/>
    <w:rsid w:val="40992662"/>
    <w:rsid w:val="40B016EB"/>
    <w:rsid w:val="40E350A8"/>
    <w:rsid w:val="40F64112"/>
    <w:rsid w:val="415E39A1"/>
    <w:rsid w:val="42CB0432"/>
    <w:rsid w:val="43171B3F"/>
    <w:rsid w:val="432A5FEB"/>
    <w:rsid w:val="433404FB"/>
    <w:rsid w:val="43732D41"/>
    <w:rsid w:val="438F38A1"/>
    <w:rsid w:val="43AE6E75"/>
    <w:rsid w:val="43D855B3"/>
    <w:rsid w:val="44362938"/>
    <w:rsid w:val="44A3011A"/>
    <w:rsid w:val="44DA58F6"/>
    <w:rsid w:val="44DF2224"/>
    <w:rsid w:val="456B3E64"/>
    <w:rsid w:val="456F2D99"/>
    <w:rsid w:val="45870C18"/>
    <w:rsid w:val="45CA31D1"/>
    <w:rsid w:val="46371F9A"/>
    <w:rsid w:val="474B3425"/>
    <w:rsid w:val="475D11F5"/>
    <w:rsid w:val="47C51446"/>
    <w:rsid w:val="48004E90"/>
    <w:rsid w:val="48037977"/>
    <w:rsid w:val="481D0BDA"/>
    <w:rsid w:val="488B3E90"/>
    <w:rsid w:val="489D100D"/>
    <w:rsid w:val="49327380"/>
    <w:rsid w:val="49367E73"/>
    <w:rsid w:val="49996F4C"/>
    <w:rsid w:val="499E328F"/>
    <w:rsid w:val="49C01DCC"/>
    <w:rsid w:val="49DF1A55"/>
    <w:rsid w:val="4A446C45"/>
    <w:rsid w:val="4A4E6A63"/>
    <w:rsid w:val="4A813037"/>
    <w:rsid w:val="4AA566BF"/>
    <w:rsid w:val="4AEC6328"/>
    <w:rsid w:val="4B196583"/>
    <w:rsid w:val="4B321FE3"/>
    <w:rsid w:val="4C0C5806"/>
    <w:rsid w:val="4C270821"/>
    <w:rsid w:val="4C710208"/>
    <w:rsid w:val="4C7A7C0E"/>
    <w:rsid w:val="4CA961D2"/>
    <w:rsid w:val="4CC82B81"/>
    <w:rsid w:val="4D6207CA"/>
    <w:rsid w:val="4D78026F"/>
    <w:rsid w:val="4D911B61"/>
    <w:rsid w:val="4DC224C9"/>
    <w:rsid w:val="4E73268D"/>
    <w:rsid w:val="4ED1320A"/>
    <w:rsid w:val="4EF46414"/>
    <w:rsid w:val="4F23227D"/>
    <w:rsid w:val="4F562E26"/>
    <w:rsid w:val="4F7C5BC1"/>
    <w:rsid w:val="50034542"/>
    <w:rsid w:val="500B4831"/>
    <w:rsid w:val="502827A0"/>
    <w:rsid w:val="5043374A"/>
    <w:rsid w:val="504D5F1B"/>
    <w:rsid w:val="50D85B10"/>
    <w:rsid w:val="50DF6AD4"/>
    <w:rsid w:val="510115F0"/>
    <w:rsid w:val="514C537E"/>
    <w:rsid w:val="514E1A7B"/>
    <w:rsid w:val="51776BFC"/>
    <w:rsid w:val="521605BB"/>
    <w:rsid w:val="521C7446"/>
    <w:rsid w:val="523A6A77"/>
    <w:rsid w:val="523B7729"/>
    <w:rsid w:val="525F3D4F"/>
    <w:rsid w:val="5284445D"/>
    <w:rsid w:val="52956FD1"/>
    <w:rsid w:val="52F46732"/>
    <w:rsid w:val="52F5392F"/>
    <w:rsid w:val="534978C5"/>
    <w:rsid w:val="53530390"/>
    <w:rsid w:val="53616772"/>
    <w:rsid w:val="53961D52"/>
    <w:rsid w:val="53B23765"/>
    <w:rsid w:val="53C12965"/>
    <w:rsid w:val="54C35EF2"/>
    <w:rsid w:val="54EB0D83"/>
    <w:rsid w:val="54F9493A"/>
    <w:rsid w:val="559E534F"/>
    <w:rsid w:val="55F75FF5"/>
    <w:rsid w:val="56263937"/>
    <w:rsid w:val="5666564E"/>
    <w:rsid w:val="566A6979"/>
    <w:rsid w:val="56967FD9"/>
    <w:rsid w:val="56BF4C31"/>
    <w:rsid w:val="56CC61A6"/>
    <w:rsid w:val="57301F5A"/>
    <w:rsid w:val="57C847BA"/>
    <w:rsid w:val="57CC7542"/>
    <w:rsid w:val="57EB796D"/>
    <w:rsid w:val="587F7C40"/>
    <w:rsid w:val="58852126"/>
    <w:rsid w:val="58C91430"/>
    <w:rsid w:val="58D16EB4"/>
    <w:rsid w:val="58D30D7D"/>
    <w:rsid w:val="58EF14C9"/>
    <w:rsid w:val="59456A28"/>
    <w:rsid w:val="59486D73"/>
    <w:rsid w:val="59680634"/>
    <w:rsid w:val="597E4324"/>
    <w:rsid w:val="59977AFC"/>
    <w:rsid w:val="599D2F68"/>
    <w:rsid w:val="59F45DE6"/>
    <w:rsid w:val="59F63FFA"/>
    <w:rsid w:val="5A025174"/>
    <w:rsid w:val="5A0A191F"/>
    <w:rsid w:val="5ABA3CA0"/>
    <w:rsid w:val="5B0D4349"/>
    <w:rsid w:val="5C2C74C3"/>
    <w:rsid w:val="5C9D2F6F"/>
    <w:rsid w:val="5CA42C57"/>
    <w:rsid w:val="5D9C58DF"/>
    <w:rsid w:val="5E2522A0"/>
    <w:rsid w:val="5E660BAD"/>
    <w:rsid w:val="5EC339D8"/>
    <w:rsid w:val="5EEC3265"/>
    <w:rsid w:val="5F0B79F1"/>
    <w:rsid w:val="5F561684"/>
    <w:rsid w:val="5F8663C5"/>
    <w:rsid w:val="5F905284"/>
    <w:rsid w:val="5FC92B2B"/>
    <w:rsid w:val="5FCE083C"/>
    <w:rsid w:val="5FD43BF7"/>
    <w:rsid w:val="60A4438C"/>
    <w:rsid w:val="60AC602B"/>
    <w:rsid w:val="616C43F0"/>
    <w:rsid w:val="619E016B"/>
    <w:rsid w:val="620F6BE9"/>
    <w:rsid w:val="622649F2"/>
    <w:rsid w:val="6286688D"/>
    <w:rsid w:val="629B51FA"/>
    <w:rsid w:val="62AF39BF"/>
    <w:rsid w:val="630C0423"/>
    <w:rsid w:val="63442359"/>
    <w:rsid w:val="634C6130"/>
    <w:rsid w:val="637938CB"/>
    <w:rsid w:val="639B7544"/>
    <w:rsid w:val="63DA774A"/>
    <w:rsid w:val="6446293F"/>
    <w:rsid w:val="64753A6A"/>
    <w:rsid w:val="64D826FB"/>
    <w:rsid w:val="651027B1"/>
    <w:rsid w:val="6537035C"/>
    <w:rsid w:val="657865DA"/>
    <w:rsid w:val="65F04403"/>
    <w:rsid w:val="664B3608"/>
    <w:rsid w:val="66B668E9"/>
    <w:rsid w:val="66E11A52"/>
    <w:rsid w:val="66E208BC"/>
    <w:rsid w:val="66E74A81"/>
    <w:rsid w:val="66EE05FD"/>
    <w:rsid w:val="67325AE7"/>
    <w:rsid w:val="673E7474"/>
    <w:rsid w:val="67521072"/>
    <w:rsid w:val="67894E0B"/>
    <w:rsid w:val="678E6299"/>
    <w:rsid w:val="67C17F9F"/>
    <w:rsid w:val="67DF3D9C"/>
    <w:rsid w:val="67FE4901"/>
    <w:rsid w:val="6809719D"/>
    <w:rsid w:val="68946DF6"/>
    <w:rsid w:val="68B612FB"/>
    <w:rsid w:val="68C830C1"/>
    <w:rsid w:val="690331A8"/>
    <w:rsid w:val="69155407"/>
    <w:rsid w:val="69224E2F"/>
    <w:rsid w:val="69252C2D"/>
    <w:rsid w:val="692F3DEC"/>
    <w:rsid w:val="696317A5"/>
    <w:rsid w:val="69661D66"/>
    <w:rsid w:val="69C568C0"/>
    <w:rsid w:val="6A1D3989"/>
    <w:rsid w:val="6A32609D"/>
    <w:rsid w:val="6A862F4C"/>
    <w:rsid w:val="6AB3071C"/>
    <w:rsid w:val="6ACE4F93"/>
    <w:rsid w:val="6AFD14EF"/>
    <w:rsid w:val="6B1E415E"/>
    <w:rsid w:val="6B38744E"/>
    <w:rsid w:val="6B3C1940"/>
    <w:rsid w:val="6B715A64"/>
    <w:rsid w:val="6B8B0C28"/>
    <w:rsid w:val="6BA229E8"/>
    <w:rsid w:val="6BC44432"/>
    <w:rsid w:val="6CEB6364"/>
    <w:rsid w:val="6CED5A6B"/>
    <w:rsid w:val="6D246148"/>
    <w:rsid w:val="6D382F3C"/>
    <w:rsid w:val="6D5910F7"/>
    <w:rsid w:val="6D9E2FAE"/>
    <w:rsid w:val="6DFF75FD"/>
    <w:rsid w:val="6E1B6472"/>
    <w:rsid w:val="6E7066F8"/>
    <w:rsid w:val="6F364F80"/>
    <w:rsid w:val="6F84060A"/>
    <w:rsid w:val="6FAC15DE"/>
    <w:rsid w:val="6FDB5CB3"/>
    <w:rsid w:val="701337DF"/>
    <w:rsid w:val="703B4AE4"/>
    <w:rsid w:val="70CF73FA"/>
    <w:rsid w:val="71091190"/>
    <w:rsid w:val="7117679A"/>
    <w:rsid w:val="71BC57F8"/>
    <w:rsid w:val="724E45F5"/>
    <w:rsid w:val="725A55AB"/>
    <w:rsid w:val="72845521"/>
    <w:rsid w:val="72A165D2"/>
    <w:rsid w:val="72A474AC"/>
    <w:rsid w:val="72A66883"/>
    <w:rsid w:val="72B22D47"/>
    <w:rsid w:val="72C5738D"/>
    <w:rsid w:val="730526C9"/>
    <w:rsid w:val="732673DE"/>
    <w:rsid w:val="73927DA8"/>
    <w:rsid w:val="73D054C5"/>
    <w:rsid w:val="74870065"/>
    <w:rsid w:val="74A55BA4"/>
    <w:rsid w:val="74EA0887"/>
    <w:rsid w:val="750E39D4"/>
    <w:rsid w:val="753F32E7"/>
    <w:rsid w:val="75AA012D"/>
    <w:rsid w:val="75AA39A4"/>
    <w:rsid w:val="75AE4C20"/>
    <w:rsid w:val="75DC67AA"/>
    <w:rsid w:val="76042F71"/>
    <w:rsid w:val="763C3A5F"/>
    <w:rsid w:val="764F0F26"/>
    <w:rsid w:val="766A0B1E"/>
    <w:rsid w:val="769128D3"/>
    <w:rsid w:val="76B30F4D"/>
    <w:rsid w:val="76C47A81"/>
    <w:rsid w:val="7738607B"/>
    <w:rsid w:val="775C3CBE"/>
    <w:rsid w:val="7761478A"/>
    <w:rsid w:val="776C6709"/>
    <w:rsid w:val="7783598A"/>
    <w:rsid w:val="77933457"/>
    <w:rsid w:val="77C30AEB"/>
    <w:rsid w:val="77D0774B"/>
    <w:rsid w:val="77F06BB5"/>
    <w:rsid w:val="781757B0"/>
    <w:rsid w:val="781758E2"/>
    <w:rsid w:val="782050AE"/>
    <w:rsid w:val="7842255E"/>
    <w:rsid w:val="784C008B"/>
    <w:rsid w:val="79050628"/>
    <w:rsid w:val="794B6368"/>
    <w:rsid w:val="795A3ADA"/>
    <w:rsid w:val="795C61F7"/>
    <w:rsid w:val="79EB01F5"/>
    <w:rsid w:val="79F86C6D"/>
    <w:rsid w:val="7A0643B5"/>
    <w:rsid w:val="7A074B71"/>
    <w:rsid w:val="7A1D074A"/>
    <w:rsid w:val="7A6E1F94"/>
    <w:rsid w:val="7AC027B5"/>
    <w:rsid w:val="7B556765"/>
    <w:rsid w:val="7B61485D"/>
    <w:rsid w:val="7B9052C5"/>
    <w:rsid w:val="7BC75408"/>
    <w:rsid w:val="7C2154D6"/>
    <w:rsid w:val="7C654F6D"/>
    <w:rsid w:val="7D1E3AD3"/>
    <w:rsid w:val="7D282638"/>
    <w:rsid w:val="7D45208A"/>
    <w:rsid w:val="7D596403"/>
    <w:rsid w:val="7D7B6E68"/>
    <w:rsid w:val="7DB543A2"/>
    <w:rsid w:val="7E056969"/>
    <w:rsid w:val="7E2A3713"/>
    <w:rsid w:val="7E517E03"/>
    <w:rsid w:val="7EEF1768"/>
    <w:rsid w:val="7F0B3D14"/>
    <w:rsid w:val="7F2E0940"/>
    <w:rsid w:val="7F561FF3"/>
    <w:rsid w:val="7F5D76A2"/>
    <w:rsid w:val="7F831653"/>
    <w:rsid w:val="7FF6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jc w:val="left"/>
    </w:pPr>
    <w:rPr>
      <w:kern w:val="0"/>
      <w:sz w:val="24"/>
    </w:rPr>
  </w:style>
  <w:style w:type="character" w:styleId="9">
    <w:name w:val="Strong"/>
    <w:qFormat/>
    <w:uiPriority w:val="0"/>
    <w:rPr>
      <w:b/>
    </w:rPr>
  </w:style>
  <w:style w:type="character" w:styleId="10">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3343</Words>
  <Characters>3613</Characters>
  <Lines>27</Lines>
  <Paragraphs>7</Paragraphs>
  <TotalTime>20</TotalTime>
  <ScaleCrop>false</ScaleCrop>
  <LinksUpToDate>false</LinksUpToDate>
  <CharactersWithSpaces>3745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2022-06-08T02:15:00Z</dcterms:created>
  <dc:creator>赵树子</dc:creator>
  <cp:lastModifiedBy>狂奔的蜗牛</cp:lastModifiedBy>
  <cp:lastPrinted>2022-06-08T02:43:00Z</cp:lastPrinted>
  <dcterms:modified xsi:type="dcterms:W3CDTF">2022-06-06T03:04:44Z</dcterms:modified>
  <dc:title>四川省财政厅2011年部门预算编制说明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4DB11BEEB65D435F85B34C587AF1DDE7</vt:lpwstr>
  </property>
</Properties>
</file>