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13545003"/>
      <w:bookmarkStart w:id="1" w:name="_Toc15306267"/>
      <w:r>
        <w:rPr>
          <w:rFonts w:hint="eastAsia" w:ascii="方正小标宋简体" w:hAnsi="宋体" w:eastAsia="方正小标宋简体"/>
          <w:color w:val="000000"/>
          <w:sz w:val="30"/>
          <w:szCs w:val="30"/>
        </w:rPr>
        <w:t>附件</w:t>
      </w:r>
      <w:r>
        <w:rPr>
          <w:rFonts w:ascii="方正小标宋简体" w:hAnsi="宋体" w:eastAsia="方正小标宋简体"/>
          <w:color w:val="000000"/>
          <w:sz w:val="30"/>
          <w:szCs w:val="30"/>
        </w:rPr>
        <w:t>4</w:t>
      </w:r>
      <w:bookmarkEnd w:id="0"/>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2" w:name="_Toc15396597"/>
      <w:bookmarkStart w:id="3" w:name="_Toc113545004"/>
      <w:bookmarkStart w:id="4" w:name="_Toc15377425"/>
      <w:bookmarkStart w:id="5" w:name="_Toc15378441"/>
      <w:bookmarkStart w:id="6" w:name="_Toc15377193"/>
      <w:bookmarkStart w:id="7" w:name="_Toc1539647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2"/>
      <w:bookmarkEnd w:id="3"/>
      <w:bookmarkEnd w:id="4"/>
      <w:bookmarkEnd w:id="5"/>
      <w:bookmarkEnd w:id="6"/>
      <w:bookmarkEnd w:id="7"/>
    </w:p>
    <w:bookmarkEnd w:id="1"/>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15306268"/>
      <w:bookmarkStart w:id="9" w:name="_Toc15396598"/>
      <w:bookmarkStart w:id="10" w:name="_Toc15377426"/>
      <w:bookmarkStart w:id="11" w:name="_Toc15396476"/>
      <w:bookmarkStart w:id="12" w:name="_Toc15377194"/>
      <w:bookmarkStart w:id="13" w:name="_Toc15378442"/>
      <w:bookmarkStart w:id="14" w:name="_Toc113545005"/>
      <w:r>
        <w:rPr>
          <w:rFonts w:hint="eastAsia" w:ascii="方正小标宋简体" w:hAnsi="宋体" w:eastAsia="方正小标宋简体"/>
          <w:color w:val="000000"/>
          <w:sz w:val="72"/>
          <w:szCs w:val="72"/>
        </w:rPr>
        <w:t>通江县公路养护</w:t>
      </w:r>
      <w:bookmarkEnd w:id="8"/>
      <w:bookmarkEnd w:id="9"/>
      <w:bookmarkEnd w:id="10"/>
      <w:bookmarkEnd w:id="11"/>
      <w:bookmarkEnd w:id="12"/>
      <w:bookmarkEnd w:id="13"/>
      <w:r>
        <w:rPr>
          <w:rFonts w:hint="eastAsia" w:ascii="方正小标宋简体" w:hAnsi="宋体" w:eastAsia="方正小标宋简体"/>
          <w:color w:val="000000"/>
          <w:sz w:val="72"/>
          <w:szCs w:val="72"/>
        </w:rPr>
        <w:t>管理段</w:t>
      </w:r>
      <w:bookmarkEnd w:id="14"/>
    </w:p>
    <w:p>
      <w:pPr>
        <w:adjustRightInd w:val="0"/>
        <w:snapToGrid w:val="0"/>
        <w:spacing w:line="360" w:lineRule="auto"/>
        <w:jc w:val="center"/>
        <w:outlineLvl w:val="0"/>
        <w:rPr>
          <w:rFonts w:ascii="方正小标宋简体" w:hAnsi="宋体" w:eastAsia="方正小标宋简体"/>
          <w:color w:val="000000"/>
          <w:sz w:val="72"/>
          <w:szCs w:val="72"/>
        </w:rPr>
      </w:pPr>
      <w:bookmarkStart w:id="15" w:name="_Toc113545006"/>
      <w:r>
        <w:rPr>
          <w:rFonts w:hint="eastAsia" w:ascii="方正小标宋简体" w:hAnsi="宋体" w:eastAsia="方正小标宋简体"/>
          <w:color w:val="000000"/>
          <w:sz w:val="72"/>
          <w:szCs w:val="72"/>
        </w:rPr>
        <w:t>单位决算</w:t>
      </w:r>
      <w:bookmarkEnd w:id="15"/>
    </w:p>
    <w:p>
      <w:pPr>
        <w:widowControl/>
        <w:rPr>
          <w:rFonts w:ascii="黑体" w:hAnsi="黑体" w:eastAsia="黑体"/>
          <w:color w:val="000000"/>
          <w:sz w:val="48"/>
          <w:szCs w:val="48"/>
        </w:rPr>
      </w:pPr>
      <w:r>
        <w:rPr>
          <w:rFonts w:ascii="方正小标宋简体" w:hAnsi="宋体" w:eastAsia="方正小标宋简体"/>
          <w:color w:val="000000"/>
          <w:sz w:val="36"/>
          <w:szCs w:val="36"/>
        </w:rPr>
        <w:br w:type="page"/>
      </w:r>
    </w:p>
    <w:sdt>
      <w:sdtPr>
        <w:rPr>
          <w:rFonts w:ascii="Times New Roman" w:hAnsi="Times New Roman" w:eastAsia="宋体" w:cs="Times New Roman"/>
          <w:b w:val="0"/>
          <w:bCs w:val="0"/>
          <w:color w:val="auto"/>
          <w:kern w:val="2"/>
          <w:sz w:val="21"/>
          <w:szCs w:val="24"/>
          <w:lang w:val="zh-CN"/>
        </w:rPr>
        <w:id w:val="-1143351695"/>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pPr>
            <w:pStyle w:val="32"/>
            <w:jc w:val="center"/>
            <w:rPr>
              <w:color w:val="auto"/>
              <w:sz w:val="40"/>
            </w:rPr>
          </w:pPr>
          <w:r>
            <w:rPr>
              <w:color w:val="auto"/>
              <w:sz w:val="40"/>
              <w:lang w:val="zh-CN"/>
            </w:rPr>
            <w:t>目录</w:t>
          </w:r>
        </w:p>
        <w:p>
          <w:pPr>
            <w:pStyle w:val="10"/>
          </w:pPr>
          <w:r>
            <w:rPr>
              <w:rFonts w:hint="eastAsia"/>
            </w:rPr>
            <w:t>公开时间：</w:t>
          </w:r>
          <w:r>
            <w:t>2021</w:t>
          </w:r>
          <w:r>
            <w:rPr>
              <w:rFonts w:hint="eastAsia"/>
            </w:rPr>
            <w:t>年10月15日</w:t>
          </w:r>
        </w:p>
        <w:p>
          <w:pPr>
            <w:pStyle w:val="10"/>
            <w:rPr>
              <w:rFonts w:asciiTheme="minorHAnsi" w:hAnsiTheme="minorHAnsi" w:eastAsiaTheme="minorEastAsia" w:cstheme="minorBidi"/>
              <w:sz w:val="21"/>
              <w:szCs w:val="22"/>
            </w:rPr>
          </w:pPr>
          <w:r>
            <w:fldChar w:fldCharType="begin"/>
          </w:r>
          <w:r>
            <w:instrText xml:space="preserve"> TOC \o "1-3" \h \z \u </w:instrText>
          </w:r>
          <w:r>
            <w:fldChar w:fldCharType="separate"/>
          </w:r>
        </w:p>
        <w:p>
          <w:pPr>
            <w:pStyle w:val="10"/>
            <w:rPr>
              <w:rFonts w:asciiTheme="minorHAnsi" w:hAnsiTheme="minorHAnsi" w:eastAsiaTheme="minorEastAsia" w:cstheme="minorBidi"/>
              <w:sz w:val="21"/>
              <w:szCs w:val="22"/>
            </w:rPr>
          </w:pPr>
          <w:r>
            <w:fldChar w:fldCharType="begin"/>
          </w:r>
          <w:r>
            <w:instrText xml:space="preserve"> HYPERLINK \l "_Toc113545007" </w:instrText>
          </w:r>
          <w:r>
            <w:fldChar w:fldCharType="separate"/>
          </w:r>
          <w:r>
            <w:rPr>
              <w:rStyle w:val="15"/>
              <w:rFonts w:hint="eastAsia" w:ascii="黑体" w:hAnsi="黑体" w:eastAsia="黑体"/>
            </w:rPr>
            <w:t>第一部分部门概况</w:t>
          </w:r>
          <w:r>
            <w:tab/>
          </w:r>
          <w:r>
            <w:fldChar w:fldCharType="begin"/>
          </w:r>
          <w:r>
            <w:instrText xml:space="preserve"> PAGEREF _Toc113545007 \h </w:instrText>
          </w:r>
          <w:r>
            <w:fldChar w:fldCharType="separate"/>
          </w:r>
          <w:r>
            <w:t>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"_Toc113545008" </w:instrText>
          </w:r>
          <w:r>
            <w:fldChar w:fldCharType="separate"/>
          </w:r>
          <w:r>
            <w:rPr>
              <w:rStyle w:val="15"/>
              <w:rFonts w:hint="eastAsia" w:ascii="黑体" w:hAnsi="黑体" w:eastAsia="黑体"/>
            </w:rPr>
            <w:t>一、基本职能及主要工作</w:t>
          </w:r>
          <w:r>
            <w:tab/>
          </w:r>
          <w:r>
            <w:fldChar w:fldCharType="begin"/>
          </w:r>
          <w:r>
            <w:instrText xml:space="preserve"> PAGEREF _Toc113545008 \h </w:instrText>
          </w:r>
          <w:r>
            <w:fldChar w:fldCharType="separate"/>
          </w:r>
          <w:r>
            <w:t>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"_Toc113545015" </w:instrText>
          </w:r>
          <w:r>
            <w:fldChar w:fldCharType="separate"/>
          </w:r>
          <w:r>
            <w:rPr>
              <w:rStyle w:val="15"/>
              <w:rFonts w:hint="eastAsia" w:ascii="黑体" w:eastAsia="黑体"/>
            </w:rPr>
            <w:t>二、</w:t>
          </w:r>
          <w:r>
            <w:rPr>
              <w:rStyle w:val="15"/>
              <w:rFonts w:hint="eastAsia" w:ascii="黑体" w:hAnsi="黑体" w:eastAsia="黑体"/>
            </w:rPr>
            <w:t>机构设置</w:t>
          </w:r>
          <w:r>
            <w:tab/>
          </w:r>
          <w:r>
            <w:fldChar w:fldCharType="begin"/>
          </w:r>
          <w:r>
            <w:instrText xml:space="preserve"> PAGEREF _Toc113545015 \h </w:instrText>
          </w:r>
          <w:r>
            <w:fldChar w:fldCharType="separate"/>
          </w:r>
          <w:r>
            <w:t>10</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"_Toc113545016" </w:instrText>
          </w:r>
          <w:r>
            <w:fldChar w:fldCharType="separate"/>
          </w:r>
          <w:r>
            <w:rPr>
              <w:rStyle w:val="15"/>
              <w:rFonts w:hint="eastAsia" w:ascii="黑体" w:hAnsi="黑体" w:eastAsia="黑体"/>
            </w:rPr>
            <w:t>第二部分</w:t>
          </w:r>
          <w:r>
            <w:rPr>
              <w:rStyle w:val="15"/>
              <w:rFonts w:ascii="黑体" w:hAnsi="黑体" w:eastAsia="黑体"/>
            </w:rPr>
            <w:t xml:space="preserve"> 2020</w:t>
          </w:r>
          <w:r>
            <w:rPr>
              <w:rStyle w:val="15"/>
              <w:rFonts w:hint="eastAsia" w:ascii="黑体" w:hAnsi="黑体" w:eastAsia="黑体"/>
            </w:rPr>
            <w:t>年度部门决算情况说明</w:t>
          </w:r>
          <w:r>
            <w:tab/>
          </w:r>
          <w:r>
            <w:fldChar w:fldCharType="begin"/>
          </w:r>
          <w:r>
            <w:instrText xml:space="preserve"> PAGEREF _Toc113545016 \h </w:instrText>
          </w:r>
          <w:r>
            <w:fldChar w:fldCharType="separate"/>
          </w:r>
          <w:r>
            <w:t>11</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"_Toc113545017" </w:instrText>
          </w:r>
          <w:r>
            <w:fldChar w:fldCharType="separate"/>
          </w:r>
          <w:r>
            <w:rPr>
              <w:rStyle w:val="15"/>
              <w:rFonts w:hint="eastAsia" w:ascii="黑体" w:hAnsi="黑体" w:eastAsia="黑体"/>
              <w:bCs/>
            </w:rPr>
            <w:t>一</w:t>
          </w:r>
          <w:r>
            <w:rPr>
              <w:rStyle w:val="15"/>
              <w:rFonts w:hint="eastAsia" w:ascii="黑体" w:hAnsi="黑体" w:eastAsia="黑体"/>
              <w:bCs/>
              <w:highlight w:val="none"/>
              <w:lang w:eastAsia="zh-CN"/>
            </w:rPr>
            <w:t>、</w:t>
          </w:r>
          <w:r>
            <w:rPr>
              <w:rStyle w:val="15"/>
              <w:rFonts w:hint="eastAsia" w:ascii="黑体" w:hAnsi="黑体" w:eastAsia="黑体"/>
            </w:rPr>
            <w:t>收</w:t>
          </w:r>
          <w:r>
            <w:rPr>
              <w:rStyle w:val="15"/>
              <w:rFonts w:hint="eastAsia" w:ascii="黑体" w:hAnsi="黑体" w:eastAsia="黑体"/>
              <w:bCs/>
            </w:rPr>
            <w:t>入支出决算总体情况说明</w:t>
          </w:r>
          <w:r>
            <w:tab/>
          </w:r>
          <w:r>
            <w:fldChar w:fldCharType="begin"/>
          </w:r>
          <w:r>
            <w:instrText xml:space="preserve"> PAGEREF _Toc113545017 \h </w:instrText>
          </w:r>
          <w:r>
            <w:fldChar w:fldCharType="separate"/>
          </w:r>
          <w:r>
            <w:t>11</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"_Toc113545018" </w:instrText>
          </w:r>
          <w:r>
            <w:fldChar w:fldCharType="separate"/>
          </w:r>
          <w:r>
            <w:rPr>
              <w:rStyle w:val="15"/>
              <w:rFonts w:hint="eastAsia" w:ascii="黑体" w:hAnsi="黑体" w:eastAsia="黑体"/>
              <w:bCs/>
            </w:rPr>
            <w:t>二</w:t>
          </w:r>
          <w:r>
            <w:rPr>
              <w:rStyle w:val="15"/>
              <w:rFonts w:hint="eastAsia" w:ascii="黑体" w:hAnsi="黑体" w:eastAsia="黑体"/>
              <w:bCs/>
              <w:highlight w:val="none"/>
              <w:lang w:eastAsia="zh-CN"/>
            </w:rPr>
            <w:t>、</w:t>
          </w:r>
          <w:r>
            <w:rPr>
              <w:rStyle w:val="15"/>
              <w:rFonts w:hint="eastAsia" w:ascii="黑体" w:hAnsi="黑体" w:eastAsia="黑体"/>
            </w:rPr>
            <w:t>收</w:t>
          </w:r>
          <w:r>
            <w:rPr>
              <w:rStyle w:val="15"/>
              <w:rFonts w:hint="eastAsia" w:ascii="黑体" w:hAnsi="黑体" w:eastAsia="黑体"/>
              <w:bCs/>
            </w:rPr>
            <w:t>入决算情况说明</w:t>
          </w:r>
          <w:r>
            <w:tab/>
          </w:r>
          <w:r>
            <w:fldChar w:fldCharType="begin"/>
          </w:r>
          <w:r>
            <w:instrText xml:space="preserve"> PAGEREF _Toc113545018 \h </w:instrText>
          </w:r>
          <w:r>
            <w:fldChar w:fldCharType="separate"/>
          </w:r>
          <w:r>
            <w:t>11</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"_Toc113545021" </w:instrText>
          </w:r>
          <w:r>
            <w:fldChar w:fldCharType="separate"/>
          </w:r>
          <w:r>
            <w:rPr>
              <w:rStyle w:val="15"/>
              <w:rFonts w:hint="eastAsia" w:ascii="黑体" w:hAnsi="黑体" w:eastAsia="黑体"/>
              <w:bCs/>
            </w:rPr>
            <w:t>三</w:t>
          </w:r>
          <w:r>
            <w:rPr>
              <w:rStyle w:val="15"/>
              <w:rFonts w:hint="eastAsia" w:ascii="黑体" w:hAnsi="黑体" w:eastAsia="黑体"/>
              <w:bCs/>
              <w:highlight w:val="none"/>
              <w:lang w:eastAsia="zh-CN"/>
            </w:rPr>
            <w:t>、</w:t>
          </w:r>
          <w:r>
            <w:rPr>
              <w:rStyle w:val="15"/>
              <w:rFonts w:hint="eastAsia" w:ascii="黑体" w:hAnsi="黑体" w:eastAsia="黑体"/>
            </w:rPr>
            <w:t>支</w:t>
          </w:r>
          <w:r>
            <w:rPr>
              <w:rStyle w:val="15"/>
              <w:rFonts w:hint="eastAsia" w:ascii="黑体" w:hAnsi="黑体" w:eastAsia="黑体"/>
              <w:bCs/>
            </w:rPr>
            <w:t>出决算情况说明</w:t>
          </w:r>
          <w:r>
            <w:tab/>
          </w:r>
          <w:r>
            <w:fldChar w:fldCharType="begin"/>
          </w:r>
          <w:r>
            <w:instrText xml:space="preserve"> PAGEREF _Toc113545021 \h </w:instrText>
          </w:r>
          <w:r>
            <w:fldChar w:fldCharType="separate"/>
          </w:r>
          <w:r>
            <w:t>11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"_Toc113545023" </w:instrText>
          </w:r>
          <w:r>
            <w:fldChar w:fldCharType="separate"/>
          </w:r>
          <w:r>
            <w:rPr>
              <w:rStyle w:val="15"/>
              <w:rFonts w:hint="eastAsia" w:ascii="黑体" w:hAnsi="黑体" w:eastAsia="黑体"/>
            </w:rPr>
            <w:t>四、财</w:t>
          </w:r>
          <w:r>
            <w:rPr>
              <w:rStyle w:val="15"/>
              <w:rFonts w:hint="eastAsia" w:ascii="黑体" w:hAnsi="黑体" w:eastAsia="黑体"/>
              <w:bCs/>
            </w:rPr>
            <w:t>政拨款收入支出决算总体情况说明</w:t>
          </w:r>
          <w:r>
            <w:tab/>
          </w:r>
          <w:r>
            <w:fldChar w:fldCharType="begin"/>
          </w:r>
          <w:r>
            <w:instrText xml:space="preserve"> PAGEREF _Toc113545023 \h </w:instrText>
          </w:r>
          <w:r>
            <w:fldChar w:fldCharType="separate"/>
          </w:r>
          <w:r>
            <w:t>12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"_Toc113545024" </w:instrText>
          </w:r>
          <w:r>
            <w:fldChar w:fldCharType="separate"/>
          </w:r>
          <w:r>
            <w:rPr>
              <w:rStyle w:val="15"/>
              <w:rFonts w:hint="eastAsia" w:ascii="黑体" w:hAnsi="黑体" w:eastAsia="黑体"/>
            </w:rPr>
            <w:t>五、</w:t>
          </w:r>
          <w:r>
            <w:rPr>
              <w:rStyle w:val="15"/>
              <w:rFonts w:hint="eastAsia" w:ascii="黑体" w:hAnsi="黑体" w:eastAsia="黑体"/>
              <w:b/>
            </w:rPr>
            <w:t>一</w:t>
          </w:r>
          <w:r>
            <w:rPr>
              <w:rStyle w:val="15"/>
              <w:rFonts w:hint="eastAsia" w:ascii="黑体" w:hAnsi="黑体" w:eastAsia="黑体"/>
              <w:bCs/>
            </w:rPr>
            <w:t>般公共预算财政拨款支出决算情况说明</w:t>
          </w:r>
          <w:r>
            <w:tab/>
          </w:r>
          <w:r>
            <w:fldChar w:fldCharType="begin"/>
          </w:r>
          <w:r>
            <w:instrText xml:space="preserve"> PAGEREF _Toc113545024 \h </w:instrText>
          </w:r>
          <w:r>
            <w:fldChar w:fldCharType="separate"/>
          </w:r>
          <w:r>
            <w:t>12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"_Toc113545030" </w:instrText>
          </w:r>
          <w:r>
            <w:fldChar w:fldCharType="separate"/>
          </w:r>
          <w:r>
            <w:rPr>
              <w:rStyle w:val="15"/>
              <w:rFonts w:hint="eastAsia" w:ascii="黑体" w:eastAsia="黑体"/>
            </w:rPr>
            <w:t>六</w:t>
          </w:r>
          <w:r>
            <w:rPr>
              <w:rStyle w:val="15"/>
              <w:rFonts w:hint="eastAsia" w:ascii="黑体" w:eastAsia="黑体"/>
              <w:b/>
            </w:rPr>
            <w:t>、</w:t>
          </w:r>
          <w:r>
            <w:rPr>
              <w:rStyle w:val="15"/>
              <w:rFonts w:hint="eastAsia" w:ascii="黑体" w:hAnsi="黑体" w:eastAsia="黑体"/>
              <w:b/>
            </w:rPr>
            <w:t>一</w:t>
          </w:r>
          <w:r>
            <w:rPr>
              <w:rStyle w:val="15"/>
              <w:rFonts w:hint="eastAsia" w:ascii="黑体" w:hAnsi="黑体" w:eastAsia="黑体"/>
              <w:bCs/>
            </w:rPr>
            <w:t>般公共预算财政拨款基本支出决算情况说明</w:t>
          </w:r>
          <w:r>
            <w:tab/>
          </w:r>
          <w:r>
            <w:fldChar w:fldCharType="begin"/>
          </w:r>
          <w:r>
            <w:instrText xml:space="preserve"> PAGEREF _Toc113545030 \h </w:instrText>
          </w:r>
          <w:r>
            <w:fldChar w:fldCharType="separate"/>
          </w:r>
          <w:r>
            <w:t>14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"_Toc113545031" </w:instrText>
          </w:r>
          <w:r>
            <w:fldChar w:fldCharType="separate"/>
          </w:r>
          <w:r>
            <w:rPr>
              <w:rStyle w:val="15"/>
              <w:rFonts w:hint="eastAsia" w:ascii="黑体" w:eastAsia="黑体"/>
            </w:rPr>
            <w:t>七、</w:t>
          </w:r>
          <w:r>
            <w:rPr>
              <w:rStyle w:val="15"/>
              <w:rFonts w:ascii="黑体" w:hAnsi="黑体" w:eastAsia="黑体"/>
              <w:b/>
              <w:bCs/>
            </w:rPr>
            <w:t>“</w:t>
          </w:r>
          <w:r>
            <w:rPr>
              <w:rStyle w:val="15"/>
              <w:rFonts w:hint="eastAsia" w:ascii="黑体" w:hAnsi="黑体" w:eastAsia="黑体"/>
              <w:bCs/>
            </w:rPr>
            <w:t>三公”经费财政拨款支出决算情况说明</w:t>
          </w:r>
          <w:r>
            <w:tab/>
          </w:r>
          <w:r>
            <w:fldChar w:fldCharType="begin"/>
          </w:r>
          <w:r>
            <w:instrText xml:space="preserve"> PAGEREF _Toc113545031 \h </w:instrText>
          </w:r>
          <w:r>
            <w:fldChar w:fldCharType="separate"/>
          </w:r>
          <w:r>
            <w:t>14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"_Toc113545034" </w:instrText>
          </w:r>
          <w:r>
            <w:fldChar w:fldCharType="separate"/>
          </w:r>
          <w:r>
            <w:rPr>
              <w:rStyle w:val="15"/>
              <w:rFonts w:hint="eastAsia" w:ascii="黑体" w:eastAsia="黑体"/>
            </w:rPr>
            <w:t>八、</w:t>
          </w:r>
          <w:r>
            <w:rPr>
              <w:rStyle w:val="15"/>
              <w:rFonts w:hint="eastAsia" w:ascii="黑体" w:hAnsi="黑体" w:eastAsia="黑体"/>
              <w:bCs/>
            </w:rPr>
            <w:t>政府性基金预算支出决算情况说明</w:t>
          </w:r>
          <w:r>
            <w:tab/>
          </w:r>
          <w:r>
            <w:fldChar w:fldCharType="begin"/>
          </w:r>
          <w:r>
            <w:instrText xml:space="preserve"> PAGEREF _Toc113545034 \h </w:instrText>
          </w:r>
          <w:r>
            <w:fldChar w:fldCharType="separate"/>
          </w:r>
          <w:r>
            <w:t>16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"_Toc113545035" </w:instrText>
          </w:r>
          <w:r>
            <w:fldChar w:fldCharType="separate"/>
          </w:r>
          <w:r>
            <w:rPr>
              <w:rStyle w:val="15"/>
              <w:rFonts w:hint="eastAsia" w:ascii="黑体" w:hAnsi="黑体" w:eastAsia="黑体"/>
              <w:bCs/>
            </w:rPr>
            <w:t>九、 国有资本经营预算支出决算情况说明</w:t>
          </w:r>
          <w:r>
            <w:tab/>
          </w:r>
          <w:r>
            <w:fldChar w:fldCharType="begin"/>
          </w:r>
          <w:r>
            <w:instrText xml:space="preserve"> PAGEREF _Toc113545035 \h </w:instrText>
          </w:r>
          <w:r>
            <w:fldChar w:fldCharType="separate"/>
          </w:r>
          <w:r>
            <w:t>16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"_Toc113545036" </w:instrText>
          </w:r>
          <w:r>
            <w:fldChar w:fldCharType="separate"/>
          </w:r>
          <w:r>
            <w:rPr>
              <w:rStyle w:val="15"/>
              <w:rFonts w:hint="eastAsia" w:ascii="黑体" w:hAnsi="黑体" w:eastAsia="黑体"/>
            </w:rPr>
            <w:t>十</w:t>
          </w:r>
          <w:r>
            <w:rPr>
              <w:rStyle w:val="15"/>
              <w:rFonts w:hint="eastAsia" w:ascii="黑体" w:hAnsi="黑体" w:eastAsia="黑体"/>
              <w:b/>
              <w:bCs/>
            </w:rPr>
            <w:t>、</w:t>
          </w:r>
          <w:r>
            <w:rPr>
              <w:rStyle w:val="15"/>
              <w:rFonts w:hint="eastAsia" w:ascii="黑体" w:hAnsi="黑体" w:eastAsia="黑体"/>
              <w:bCs/>
            </w:rPr>
            <w:t>其他重要事项的情况说明</w:t>
          </w:r>
          <w:r>
            <w:tab/>
          </w:r>
          <w:r>
            <w:fldChar w:fldCharType="begin"/>
          </w:r>
          <w:r>
            <w:instrText xml:space="preserve"> PAGEREF _Toc113545036 \h </w:instrText>
          </w:r>
          <w:r>
            <w:fldChar w:fldCharType="separate"/>
          </w:r>
          <w:r>
            <w:t>16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"_Toc113545041" </w:instrText>
          </w:r>
          <w:r>
            <w:fldChar w:fldCharType="separate"/>
          </w:r>
          <w:r>
            <w:rPr>
              <w:rStyle w:val="15"/>
              <w:rFonts w:hint="eastAsia" w:ascii="黑体" w:hAnsi="黑体" w:eastAsia="黑体"/>
              <w:bCs/>
              <w:kern w:val="44"/>
            </w:rPr>
            <w:t>第三部分</w:t>
          </w:r>
          <w:r>
            <w:rPr>
              <w:rStyle w:val="15"/>
              <w:rFonts w:hint="eastAsia" w:ascii="黑体" w:hAnsi="黑体" w:eastAsia="黑体"/>
            </w:rPr>
            <w:t xml:space="preserve"> 名</w:t>
          </w:r>
          <w:r>
            <w:rPr>
              <w:rStyle w:val="15"/>
              <w:rFonts w:hint="eastAsia" w:ascii="黑体" w:hAnsi="黑体" w:eastAsia="黑体"/>
              <w:bCs/>
              <w:kern w:val="44"/>
            </w:rPr>
            <w:t>词解释</w:t>
          </w:r>
          <w:r>
            <w:tab/>
          </w:r>
          <w:r>
            <w:fldChar w:fldCharType="begin"/>
          </w:r>
          <w:r>
            <w:instrText xml:space="preserve"> PAGEREF _Toc113545041 \h </w:instrText>
          </w:r>
          <w:r>
            <w:fldChar w:fldCharType="separate"/>
          </w:r>
          <w:r>
            <w:t>21</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"_Toc113545042" </w:instrText>
          </w:r>
          <w:r>
            <w:fldChar w:fldCharType="separate"/>
          </w:r>
          <w:r>
            <w:rPr>
              <w:rStyle w:val="15"/>
              <w:rFonts w:hint="eastAsia" w:ascii="黑体" w:hAnsi="黑体" w:eastAsia="黑体"/>
            </w:rPr>
            <w:t>第</w:t>
          </w:r>
          <w:r>
            <w:rPr>
              <w:rStyle w:val="15"/>
              <w:rFonts w:hint="eastAsia" w:ascii="黑体" w:hAnsi="黑体" w:eastAsia="黑体"/>
              <w:bCs/>
              <w:kern w:val="44"/>
            </w:rPr>
            <w:t>四部分附件</w:t>
          </w:r>
          <w:r>
            <w:tab/>
          </w:r>
          <w:r>
            <w:fldChar w:fldCharType="begin"/>
          </w:r>
          <w:r>
            <w:instrText xml:space="preserve"> PAGEREF _Toc113545042 \h </w:instrText>
          </w:r>
          <w:r>
            <w:fldChar w:fldCharType="separate"/>
          </w:r>
          <w:r>
            <w:t>23</w:t>
          </w:r>
          <w:r>
            <w:fldChar w:fldCharType="end"/>
          </w:r>
          <w:r>
            <w:fldChar w:fldCharType="end"/>
          </w:r>
        </w:p>
        <w:p>
          <w:pPr>
            <w:pStyle w:val="10"/>
            <w:rPr>
              <w:rStyle w:val="15"/>
            </w:rPr>
          </w:pPr>
          <w:r>
            <w:fldChar w:fldCharType="begin"/>
          </w:r>
          <w:r>
            <w:instrText xml:space="preserve"> HYPERLINK \l "_Toc113545043" </w:instrText>
          </w:r>
          <w:r>
            <w:fldChar w:fldCharType="separate"/>
          </w:r>
          <w:r>
            <w:rPr>
              <w:rStyle w:val="15"/>
              <w:rFonts w:hint="eastAsia" w:ascii="黑体" w:hAnsi="黑体" w:eastAsia="黑体" w:cs="黑体"/>
            </w:rPr>
            <w:t>附件</w:t>
          </w:r>
          <w:r>
            <w:rPr>
              <w:rStyle w:val="15"/>
              <w:rFonts w:ascii="黑体" w:hAnsi="黑体" w:eastAsia="黑体" w:cs="黑体"/>
            </w:rPr>
            <w:t>1</w:t>
          </w:r>
          <w:r>
            <w:tab/>
          </w:r>
          <w:r>
            <w:fldChar w:fldCharType="begin"/>
          </w:r>
          <w:r>
            <w:instrText xml:space="preserve"> PAGEREF _Toc113545043 \h </w:instrText>
          </w:r>
          <w:r>
            <w:fldChar w:fldCharType="separate"/>
          </w:r>
          <w:r>
            <w:t>23</w:t>
          </w:r>
          <w:r>
            <w:fldChar w:fldCharType="end"/>
          </w:r>
          <w:r>
            <w:fldChar w:fldCharType="end"/>
          </w:r>
        </w:p>
        <w:p>
          <w:pPr>
            <w:rPr>
              <w:rStyle w:val="15"/>
              <w:rFonts w:ascii="仿宋" w:hAnsi="仿宋" w:eastAsia="仿宋" w:cs="黑体"/>
              <w:color w:val="auto"/>
              <w:sz w:val="28"/>
              <w:szCs w:val="28"/>
              <w:u w:val="none"/>
            </w:rPr>
          </w:pPr>
          <w:r>
            <w:rPr>
              <w:rStyle w:val="15"/>
              <w:rFonts w:hint="eastAsia" w:ascii="黑体" w:hAnsi="黑体" w:eastAsia="黑体" w:cs="黑体"/>
              <w:color w:val="auto"/>
              <w:sz w:val="28"/>
              <w:szCs w:val="28"/>
              <w:u w:val="none"/>
            </w:rPr>
            <w:t>附件2</w:t>
          </w:r>
          <w:r>
            <w:rPr>
              <w:rStyle w:val="15"/>
              <w:rFonts w:ascii="仿宋" w:hAnsi="仿宋" w:eastAsia="仿宋" w:cs="黑体"/>
              <w:color w:val="auto"/>
              <w:sz w:val="28"/>
              <w:szCs w:val="28"/>
              <w:u w:val="none"/>
            </w:rPr>
            <w:t>……………………………………………………………………</w:t>
          </w:r>
          <w:r>
            <w:rPr>
              <w:rStyle w:val="15"/>
              <w:rFonts w:hint="eastAsia" w:ascii="仿宋" w:hAnsi="仿宋" w:eastAsia="仿宋" w:cs="黑体"/>
              <w:color w:val="auto"/>
              <w:sz w:val="28"/>
              <w:szCs w:val="28"/>
              <w:u w:val="none"/>
            </w:rPr>
            <w:t>26</w:t>
          </w:r>
        </w:p>
        <w:p>
          <w:pPr>
            <w:pStyle w:val="10"/>
            <w:rPr>
              <w:rFonts w:asciiTheme="minorHAnsi" w:hAnsiTheme="minorHAnsi" w:eastAsiaTheme="minorEastAsia" w:cstheme="minorBidi"/>
              <w:sz w:val="21"/>
              <w:szCs w:val="22"/>
            </w:rPr>
          </w:pPr>
          <w:r>
            <w:fldChar w:fldCharType="begin"/>
          </w:r>
          <w:r>
            <w:instrText xml:space="preserve"> HYPERLINK \l "_Toc113545044" </w:instrText>
          </w:r>
          <w:r>
            <w:fldChar w:fldCharType="separate"/>
          </w:r>
          <w:r>
            <w:rPr>
              <w:rStyle w:val="15"/>
              <w:rFonts w:hint="eastAsia" w:ascii="黑体" w:hAnsi="黑体" w:eastAsia="黑体"/>
            </w:rPr>
            <w:t>第</w:t>
          </w:r>
          <w:r>
            <w:rPr>
              <w:rStyle w:val="15"/>
              <w:rFonts w:hint="eastAsia" w:ascii="黑体" w:hAnsi="黑体" w:eastAsia="黑体"/>
              <w:bCs/>
              <w:kern w:val="44"/>
            </w:rPr>
            <w:t>五部分附表</w:t>
          </w:r>
          <w:r>
            <w:tab/>
          </w:r>
          <w:r>
            <w:fldChar w:fldCharType="begin"/>
          </w:r>
          <w:r>
            <w:instrText xml:space="preserve"> PAGEREF _Toc113545044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"_Toc113545045" </w:instrText>
          </w:r>
          <w:r>
            <w:fldChar w:fldCharType="separate"/>
          </w:r>
          <w:r>
            <w:rPr>
              <w:rStyle w:val="15"/>
              <w:rFonts w:hint="eastAsia" w:ascii="仿宋" w:hAnsi="仿宋" w:eastAsia="仿宋"/>
            </w:rPr>
            <w:t>一、收入支出决算总表</w:t>
          </w:r>
          <w:r>
            <w:tab/>
          </w:r>
          <w:r>
            <w:fldChar w:fldCharType="begin"/>
          </w:r>
          <w:r>
            <w:instrText xml:space="preserve"> PAGEREF _Toc113545045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"_Toc113545046" </w:instrText>
          </w:r>
          <w:r>
            <w:fldChar w:fldCharType="separate"/>
          </w:r>
          <w:r>
            <w:rPr>
              <w:rStyle w:val="15"/>
              <w:rFonts w:hint="eastAsia" w:ascii="仿宋" w:hAnsi="仿宋" w:eastAsia="仿宋"/>
            </w:rPr>
            <w:t>二、收入决算表</w:t>
          </w:r>
          <w:r>
            <w:tab/>
          </w:r>
          <w:r>
            <w:fldChar w:fldCharType="begin"/>
          </w:r>
          <w:r>
            <w:instrText xml:space="preserve"> PAGEREF _Toc113545046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"_Toc113545047" </w:instrText>
          </w:r>
          <w:r>
            <w:fldChar w:fldCharType="separate"/>
          </w:r>
          <w:r>
            <w:rPr>
              <w:rStyle w:val="15"/>
              <w:rFonts w:hint="eastAsia" w:ascii="仿宋" w:hAnsi="仿宋" w:eastAsia="仿宋"/>
            </w:rPr>
            <w:t>三、支出决算表</w:t>
          </w:r>
          <w:r>
            <w:tab/>
          </w:r>
          <w:r>
            <w:fldChar w:fldCharType="begin"/>
          </w:r>
          <w:r>
            <w:instrText xml:space="preserve"> PAGEREF _Toc113545047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"_Toc113545048" </w:instrText>
          </w:r>
          <w:r>
            <w:fldChar w:fldCharType="separate"/>
          </w:r>
          <w:r>
            <w:rPr>
              <w:rStyle w:val="15"/>
              <w:rFonts w:hint="eastAsia" w:ascii="仿宋" w:hAnsi="仿宋" w:eastAsia="仿宋"/>
            </w:rPr>
            <w:t>四、财政拨款收入支出决算总表</w:t>
          </w:r>
          <w:r>
            <w:tab/>
          </w:r>
          <w:r>
            <w:fldChar w:fldCharType="begin"/>
          </w:r>
          <w:r>
            <w:instrText xml:space="preserve"> PAGEREF _Toc113545048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"_Toc113545049" </w:instrText>
          </w:r>
          <w:r>
            <w:fldChar w:fldCharType="separate"/>
          </w:r>
          <w:r>
            <w:rPr>
              <w:rStyle w:val="15"/>
              <w:rFonts w:hint="eastAsia" w:ascii="仿宋" w:hAnsi="仿宋" w:eastAsia="仿宋"/>
            </w:rPr>
            <w:t>五、财政拨款支出决算明细表</w:t>
          </w:r>
          <w:r>
            <w:tab/>
          </w:r>
          <w:r>
            <w:fldChar w:fldCharType="begin"/>
          </w:r>
          <w:r>
            <w:instrText xml:space="preserve"> PAGEREF _Toc113545049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"_Toc113545050" </w:instrText>
          </w:r>
          <w:r>
            <w:fldChar w:fldCharType="separate"/>
          </w:r>
          <w:r>
            <w:rPr>
              <w:rStyle w:val="15"/>
              <w:rFonts w:hint="eastAsia" w:ascii="仿宋" w:hAnsi="仿宋" w:eastAsia="仿宋"/>
            </w:rPr>
            <w:t>六、一般公共预算财政拨款支出决算表</w:t>
          </w:r>
          <w:r>
            <w:tab/>
          </w:r>
          <w:r>
            <w:fldChar w:fldCharType="begin"/>
          </w:r>
          <w:r>
            <w:instrText xml:space="preserve"> PAGEREF _Toc113545050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"_Toc113545051" </w:instrText>
          </w:r>
          <w:r>
            <w:fldChar w:fldCharType="separate"/>
          </w:r>
          <w:r>
            <w:rPr>
              <w:rStyle w:val="15"/>
              <w:rFonts w:hint="eastAsia" w:ascii="仿宋" w:hAnsi="仿宋" w:eastAsia="仿宋"/>
            </w:rPr>
            <w:t>七、一般公共预算财政拨款支出决算明细表</w:t>
          </w:r>
          <w:r>
            <w:tab/>
          </w:r>
          <w:r>
            <w:fldChar w:fldCharType="begin"/>
          </w:r>
          <w:r>
            <w:instrText xml:space="preserve"> PAGEREF _Toc113545051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"_Toc113545052" </w:instrText>
          </w:r>
          <w:r>
            <w:fldChar w:fldCharType="separate"/>
          </w:r>
          <w:r>
            <w:rPr>
              <w:rStyle w:val="15"/>
              <w:rFonts w:hint="eastAsia" w:ascii="仿宋" w:hAnsi="仿宋" w:eastAsia="仿宋"/>
            </w:rPr>
            <w:t>八、一般公共预算财政拨款基本支出决算表</w:t>
          </w:r>
          <w:r>
            <w:tab/>
          </w:r>
          <w:r>
            <w:fldChar w:fldCharType="begin"/>
          </w:r>
          <w:r>
            <w:instrText xml:space="preserve"> PAGEREF _Toc113545052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"_Toc113545053" </w:instrText>
          </w:r>
          <w:r>
            <w:fldChar w:fldCharType="separate"/>
          </w:r>
          <w:r>
            <w:rPr>
              <w:rStyle w:val="15"/>
              <w:rFonts w:hint="eastAsia" w:ascii="仿宋" w:hAnsi="仿宋" w:eastAsia="仿宋"/>
            </w:rPr>
            <w:t>九、一般公共预算财政拨款项目支出决算表</w:t>
          </w:r>
          <w:r>
            <w:tab/>
          </w:r>
          <w:r>
            <w:fldChar w:fldCharType="begin"/>
          </w:r>
          <w:r>
            <w:instrText xml:space="preserve"> PAGEREF _Toc113545053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"_Toc113545054" </w:instrText>
          </w:r>
          <w:r>
            <w:fldChar w:fldCharType="separate"/>
          </w:r>
          <w:r>
            <w:rPr>
              <w:rStyle w:val="15"/>
              <w:rFonts w:hint="eastAsia" w:ascii="仿宋" w:hAnsi="仿宋" w:eastAsia="仿宋"/>
            </w:rPr>
            <w:t>十、一般公共预算财政拨款“三公”经费支出决算表</w:t>
          </w:r>
          <w:r>
            <w:tab/>
          </w:r>
          <w:r>
            <w:fldChar w:fldCharType="begin"/>
          </w:r>
          <w:r>
            <w:instrText xml:space="preserve"> PAGEREF _Toc113545054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"_Toc113545055" </w:instrText>
          </w:r>
          <w:r>
            <w:fldChar w:fldCharType="separate"/>
          </w:r>
          <w:r>
            <w:rPr>
              <w:rStyle w:val="15"/>
              <w:rFonts w:hint="eastAsia" w:ascii="仿宋" w:hAnsi="仿宋" w:eastAsia="仿宋"/>
            </w:rPr>
            <w:t>十一、政府性基金预算财政拨款收入支出决算表</w:t>
          </w:r>
          <w:r>
            <w:tab/>
          </w:r>
          <w:r>
            <w:fldChar w:fldCharType="begin"/>
          </w:r>
          <w:r>
            <w:instrText xml:space="preserve"> PAGEREF _Toc113545055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"_Toc113545056" </w:instrText>
          </w:r>
          <w:r>
            <w:fldChar w:fldCharType="separate"/>
          </w:r>
          <w:r>
            <w:rPr>
              <w:rStyle w:val="15"/>
              <w:rFonts w:hint="eastAsia" w:ascii="仿宋" w:hAnsi="仿宋" w:eastAsia="仿宋"/>
            </w:rPr>
            <w:t>十二、政府性基金预算财政拨款“三公”经费支出决算表</w:t>
          </w:r>
          <w:r>
            <w:tab/>
          </w:r>
          <w:r>
            <w:fldChar w:fldCharType="begin"/>
          </w:r>
          <w:r>
            <w:instrText xml:space="preserve"> PAGEREF _Toc113545056 \h </w:instrText>
          </w:r>
          <w:r>
            <w:fldChar w:fldCharType="separate"/>
          </w:r>
          <w:r>
            <w:t>30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"_Toc113545057" </w:instrText>
          </w:r>
          <w:r>
            <w:fldChar w:fldCharType="separate"/>
          </w:r>
          <w:r>
            <w:rPr>
              <w:rStyle w:val="15"/>
              <w:rFonts w:hint="eastAsia" w:ascii="仿宋" w:hAnsi="仿宋" w:eastAsia="仿宋"/>
            </w:rPr>
            <w:t>十三、国有资本经营预算财政拨款支出决算表</w:t>
          </w:r>
          <w:r>
            <w:tab/>
          </w:r>
          <w:r>
            <w:fldChar w:fldCharType="begin"/>
          </w:r>
          <w:r>
            <w:instrText xml:space="preserve"> PAGEREF _Toc113545057 \h </w:instrText>
          </w:r>
          <w:r>
            <w:fldChar w:fldCharType="separate"/>
          </w:r>
          <w:r>
            <w:t>30</w:t>
          </w:r>
          <w:r>
            <w:fldChar w:fldCharType="end"/>
          </w:r>
          <w:r>
            <w:fldChar w:fldCharType="end"/>
          </w:r>
        </w:p>
        <w:p>
          <w:pPr>
            <w:rPr>
              <w:b/>
              <w:bCs/>
              <w:lang w:val="zh-CN"/>
            </w:rPr>
          </w:pPr>
          <w:r>
            <w:rPr>
              <w:b/>
              <w:bCs/>
              <w:lang w:val="zh-CN"/>
            </w:rPr>
            <w:fldChar w:fldCharType="end"/>
          </w:r>
        </w:p>
      </w:sdtContent>
    </w:sdt>
    <w:p>
      <w:pPr>
        <w:widowControl/>
        <w:spacing w:line="440" w:lineRule="exact"/>
        <w:jc w:val="left"/>
        <w:rPr>
          <w:rFonts w:ascii="仿宋" w:hAnsi="仿宋" w:eastAsia="仿宋"/>
          <w:bCs/>
          <w:kern w:val="44"/>
          <w:sz w:val="24"/>
        </w:rPr>
      </w:pPr>
      <w:bookmarkStart w:id="16" w:name="_Toc15396599"/>
      <w:bookmarkStart w:id="17" w:name="_Toc15377196"/>
      <w:r>
        <w:rPr>
          <w:rFonts w:ascii="仿宋" w:hAnsi="仿宋" w:eastAsia="仿宋"/>
          <w:b/>
          <w:sz w:val="24"/>
        </w:rPr>
        <w:br w:type="page"/>
      </w:r>
    </w:p>
    <w:p>
      <w:pPr>
        <w:pStyle w:val="2"/>
        <w:jc w:val="center"/>
        <w:rPr>
          <w:rFonts w:ascii="黑体" w:hAnsi="黑体" w:eastAsia="黑体"/>
          <w:bCs w:val="0"/>
        </w:rPr>
      </w:pPr>
      <w:bookmarkStart w:id="18" w:name="_Toc113545007"/>
      <w:r>
        <w:rPr>
          <w:rFonts w:hint="eastAsia" w:ascii="黑体" w:hAnsi="黑体" w:eastAsia="黑体"/>
          <w:b w:val="0"/>
        </w:rPr>
        <w:t>第一部分</w:t>
      </w:r>
      <w:r>
        <w:rPr>
          <w:rStyle w:val="16"/>
          <w:rFonts w:hint="eastAsia" w:ascii="黑体" w:hAnsi="黑体" w:eastAsia="黑体"/>
          <w:b w:val="0"/>
          <w:bCs w:val="0"/>
        </w:rPr>
        <w:t>部门概况</w:t>
      </w:r>
      <w:bookmarkEnd w:id="16"/>
      <w:bookmarkEnd w:id="17"/>
      <w:bookmarkEnd w:id="18"/>
    </w:p>
    <w:p>
      <w:pPr>
        <w:pStyle w:val="3"/>
        <w:rPr>
          <w:rStyle w:val="17"/>
          <w:rFonts w:ascii="仿宋" w:hAnsi="仿宋" w:eastAsia="仿宋"/>
          <w:b w:val="0"/>
          <w:bCs w:val="0"/>
        </w:rPr>
      </w:pPr>
      <w:bookmarkStart w:id="19" w:name="_Toc15396600"/>
      <w:bookmarkStart w:id="20" w:name="_Toc113545008"/>
      <w:bookmarkStart w:id="21" w:name="_Toc15377197"/>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9"/>
      <w:bookmarkEnd w:id="20"/>
      <w:bookmarkEnd w:id="21"/>
    </w:p>
    <w:p>
      <w:pPr>
        <w:pStyle w:val="5"/>
        <w:adjustRightInd w:val="0"/>
        <w:snapToGrid w:val="0"/>
        <w:spacing w:before="93" w:line="600" w:lineRule="exact"/>
        <w:ind w:firstLine="672" w:firstLineChars="210"/>
        <w:outlineLvl w:val="2"/>
        <w:rPr>
          <w:rFonts w:ascii="仿宋" w:hAnsi="仿宋" w:eastAsia="仿宋"/>
          <w:bCs/>
          <w:color w:val="000000"/>
          <w:sz w:val="32"/>
          <w:szCs w:val="32"/>
          <w:lang w:eastAsia="zh-CN"/>
        </w:rPr>
      </w:pPr>
      <w:bookmarkStart w:id="22" w:name="_Toc15378445"/>
      <w:bookmarkStart w:id="23" w:name="_Toc15377198"/>
      <w:bookmarkStart w:id="24" w:name="_Toc113545009"/>
      <w:r>
        <w:rPr>
          <w:rFonts w:hint="eastAsia" w:ascii="仿宋" w:hAnsi="仿宋" w:eastAsia="仿宋"/>
          <w:bCs/>
          <w:color w:val="000000"/>
          <w:sz w:val="32"/>
          <w:szCs w:val="32"/>
        </w:rPr>
        <w:t>（一）主要职能</w:t>
      </w:r>
      <w:bookmarkEnd w:id="22"/>
      <w:bookmarkEnd w:id="23"/>
      <w:bookmarkEnd w:id="24"/>
      <w:bookmarkStart w:id="25" w:name="_Toc15377199"/>
      <w:bookmarkStart w:id="26" w:name="_Toc15378446"/>
    </w:p>
    <w:p>
      <w:pPr>
        <w:spacing w:line="520" w:lineRule="exact"/>
        <w:ind w:firstLine="640" w:firstLineChars="200"/>
        <w:rPr>
          <w:rFonts w:eastAsia="仿宋_GB2312"/>
          <w:sz w:val="32"/>
          <w:szCs w:val="32"/>
        </w:rPr>
      </w:pPr>
      <w:r>
        <w:rPr>
          <w:rFonts w:hint="eastAsia" w:eastAsia="仿宋_GB2312"/>
          <w:sz w:val="32"/>
          <w:szCs w:val="32"/>
        </w:rPr>
        <w:t>1.宣传和贯彻国家、省、市公路管理法律、法规和规章。 </w:t>
      </w:r>
    </w:p>
    <w:p>
      <w:pPr>
        <w:spacing w:line="520" w:lineRule="exact"/>
        <w:ind w:firstLine="640" w:firstLineChars="200"/>
        <w:rPr>
          <w:rFonts w:eastAsia="仿宋_GB2312"/>
          <w:sz w:val="32"/>
          <w:szCs w:val="32"/>
        </w:rPr>
      </w:pPr>
      <w:r>
        <w:rPr>
          <w:rFonts w:hint="eastAsia" w:eastAsia="仿宋_GB2312"/>
          <w:sz w:val="32"/>
          <w:szCs w:val="32"/>
        </w:rPr>
        <w:t>2.负责辖区内公路改建、大中修、小修保养年度计划编制及检查、监督与考核，严格按照国务院交通主管部门规定的技术规范和操作规程组织实施公路养护和改造。 </w:t>
      </w:r>
    </w:p>
    <w:p>
      <w:pPr>
        <w:spacing w:line="520" w:lineRule="exact"/>
        <w:ind w:firstLine="640" w:firstLineChars="200"/>
        <w:rPr>
          <w:rFonts w:eastAsia="仿宋_GB2312"/>
          <w:sz w:val="32"/>
          <w:szCs w:val="32"/>
        </w:rPr>
      </w:pPr>
      <w:r>
        <w:rPr>
          <w:rFonts w:hint="eastAsia" w:eastAsia="仿宋_GB2312"/>
          <w:sz w:val="32"/>
          <w:szCs w:val="32"/>
        </w:rPr>
        <w:t>3.负责辖区内公路因各种自然灾害受损设施的抢通与修复。 </w:t>
      </w:r>
    </w:p>
    <w:p>
      <w:pPr>
        <w:spacing w:line="520" w:lineRule="exact"/>
        <w:ind w:firstLine="640" w:firstLineChars="200"/>
        <w:rPr>
          <w:rFonts w:eastAsia="仿宋_GB2312"/>
          <w:sz w:val="32"/>
          <w:szCs w:val="32"/>
        </w:rPr>
      </w:pPr>
      <w:r>
        <w:rPr>
          <w:rFonts w:hint="eastAsia" w:eastAsia="仿宋_GB2312"/>
          <w:sz w:val="32"/>
          <w:szCs w:val="32"/>
        </w:rPr>
        <w:t>4.负责辖区内公路交通流量和公路路况调查。 </w:t>
      </w:r>
    </w:p>
    <w:p>
      <w:pPr>
        <w:spacing w:line="520" w:lineRule="exact"/>
        <w:ind w:firstLine="640" w:firstLineChars="200"/>
        <w:rPr>
          <w:rFonts w:eastAsia="仿宋_GB2312"/>
          <w:sz w:val="32"/>
          <w:szCs w:val="32"/>
        </w:rPr>
      </w:pPr>
      <w:r>
        <w:rPr>
          <w:rFonts w:hint="eastAsia" w:eastAsia="仿宋_GB2312"/>
          <w:sz w:val="32"/>
          <w:szCs w:val="32"/>
        </w:rPr>
        <w:t>5.承办上级主管部门交办的其他工作。 </w:t>
      </w:r>
    </w:p>
    <w:p>
      <w:pPr>
        <w:spacing w:line="520" w:lineRule="exact"/>
        <w:ind w:firstLine="640" w:firstLineChars="200"/>
        <w:rPr>
          <w:rFonts w:eastAsia="仿宋_GB2312"/>
          <w:sz w:val="32"/>
          <w:szCs w:val="32"/>
        </w:rPr>
      </w:pPr>
      <w:r>
        <w:rPr>
          <w:rFonts w:hint="eastAsia" w:eastAsia="仿宋_GB2312"/>
          <w:sz w:val="32"/>
          <w:szCs w:val="32"/>
        </w:rPr>
        <w:t>6.履行法律、法规规定的其他职责。</w:t>
      </w:r>
    </w:p>
    <w:p>
      <w:pPr>
        <w:pStyle w:val="5"/>
        <w:adjustRightInd w:val="0"/>
        <w:snapToGrid w:val="0"/>
        <w:spacing w:before="93" w:line="600" w:lineRule="exact"/>
        <w:ind w:firstLine="672" w:firstLineChars="210"/>
        <w:outlineLvl w:val="2"/>
        <w:rPr>
          <w:rFonts w:ascii="仿宋" w:hAnsi="仿宋" w:eastAsia="仿宋"/>
          <w:bCs/>
          <w:color w:val="000000"/>
          <w:sz w:val="32"/>
          <w:szCs w:val="32"/>
          <w:lang w:eastAsia="zh-CN"/>
        </w:rPr>
      </w:pPr>
      <w:bookmarkStart w:id="27" w:name="_Toc113545010"/>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5"/>
      <w:bookmarkEnd w:id="26"/>
      <w:bookmarkEnd w:id="27"/>
    </w:p>
    <w:p>
      <w:pPr>
        <w:pStyle w:val="30"/>
        <w:spacing w:line="360" w:lineRule="auto"/>
        <w:ind w:firstLine="643" w:firstLineChars="200"/>
        <w:outlineLvl w:val="0"/>
        <w:rPr>
          <w:rFonts w:ascii="仿宋_GB2312" w:hAnsi="宋体" w:eastAsia="仿宋_GB2312"/>
          <w:bCs/>
          <w:sz w:val="32"/>
          <w:szCs w:val="32"/>
        </w:rPr>
      </w:pPr>
      <w:bookmarkStart w:id="28" w:name="_Toc113545011"/>
      <w:r>
        <w:rPr>
          <w:rFonts w:hint="eastAsia" w:ascii="仿宋_GB2312" w:hAnsi="宋体" w:eastAsia="仿宋_GB2312"/>
          <w:b/>
          <w:bCs/>
          <w:sz w:val="32"/>
          <w:szCs w:val="32"/>
        </w:rPr>
        <w:t>1.养护生产抓得实。</w:t>
      </w:r>
      <w:r>
        <w:rPr>
          <w:rFonts w:hint="eastAsia" w:ascii="仿宋_GB2312" w:eastAsia="仿宋_GB2312"/>
          <w:sz w:val="32"/>
          <w:szCs w:val="32"/>
        </w:rPr>
        <w:t>年初我段修订了“公路养护目标责任制”的管理办法，即：与一线养护站职工签订养护管理目标责任书和安全责任书，定路段、定人员、定责任、定奖惩，养护质量和安全与绩效工资挂钩、年终评优选模挂钩。制定了切实可行的管理制度，制定月、季、年考核标准，以此为动力促进公路养护工作。认真执行桥梁养护管理制度，执行专职桥梁养护工程师监管，落实了桥梁监管和养护责任，规范和加强桥梁技术状况检查与评定，及时开展桥梁的经常性检查、定期检查，加强危病桥梁安全管理，加强监控和监测工作，及时掌握桥梁技术状况。加强公路安保设施管理，抓住重要国省县道干线、城市出入口、旅游线路标志、标牌的管理，规范了公路安保设施，做到了设置合理、内容准确、标示清晰、用语规范。全年</w:t>
      </w:r>
      <w:r>
        <w:rPr>
          <w:rFonts w:hint="eastAsia" w:ascii="仿宋_GB2312" w:hAnsi="宋体" w:eastAsia="仿宋_GB2312"/>
          <w:bCs/>
          <w:sz w:val="32"/>
          <w:szCs w:val="32"/>
        </w:rPr>
        <w:t>共清扫路面5亿多平方米，疏通涵洞456道，处理坑槽3005立方米，处理沉陷1503立方米，同时保证各级领导来我县检查工作的保通保畅工作，出动大量机械和人员。</w:t>
      </w:r>
      <w:bookmarkEnd w:id="28"/>
    </w:p>
    <w:p>
      <w:pPr>
        <w:pStyle w:val="30"/>
        <w:spacing w:line="360" w:lineRule="auto"/>
        <w:ind w:firstLine="640" w:firstLineChars="200"/>
        <w:outlineLvl w:val="0"/>
        <w:rPr>
          <w:rFonts w:ascii="仿宋_GB2312" w:eastAsia="仿宋_GB2312"/>
          <w:sz w:val="32"/>
          <w:szCs w:val="32"/>
        </w:rPr>
      </w:pPr>
      <w:bookmarkStart w:id="29" w:name="_Toc113545012"/>
      <w:r>
        <w:rPr>
          <w:rFonts w:hint="eastAsia" w:ascii="仿宋_GB2312" w:hAnsi="宋体" w:eastAsia="仿宋_GB2312"/>
          <w:bCs/>
          <w:sz w:val="32"/>
          <w:szCs w:val="32"/>
        </w:rPr>
        <w:t>按照上级要求，我段8月份启动实施火杨桥新建工程，目前工程已全面顺利竣工；为改善至诚、洪口两片区出行环境，对 X165罗通路小魏线路面铺补；10月对杨柏、龙溪沟两座养护站站房进行外观形象打造，现已完工接收验收；根据上级工作安排，12月对沙洪路进行改造，全长19公里，处理水沟15公里，处理坑槽1000多</w:t>
      </w:r>
      <w:r>
        <w:rPr>
          <w:rFonts w:hint="eastAsia" w:ascii="仿宋_GB2312" w:hAnsi="宋体" w:eastAsia="仿宋_GB2312"/>
          <w:bCs/>
          <w:sz w:val="32"/>
          <w:szCs w:val="32"/>
          <w:highlight w:val="none"/>
          <w:lang w:eastAsia="zh-CN"/>
        </w:rPr>
        <w:t>立方米</w:t>
      </w:r>
      <w:r>
        <w:rPr>
          <w:rFonts w:hint="eastAsia" w:ascii="仿宋_GB2312" w:hAnsi="宋体" w:eastAsia="仿宋_GB2312"/>
          <w:bCs/>
          <w:sz w:val="32"/>
          <w:szCs w:val="32"/>
        </w:rPr>
        <w:t>，挡墙100多立方米，涵洞2处，大大改善了至诚、洪口、沙溪片区的出行环境。</w:t>
      </w:r>
      <w:bookmarkEnd w:id="29"/>
    </w:p>
    <w:p>
      <w:pPr>
        <w:spacing w:line="560" w:lineRule="exact"/>
        <w:ind w:firstLine="643" w:firstLineChars="200"/>
        <w:rPr>
          <w:rFonts w:eastAsia="仿宋_GB2312"/>
          <w:bCs/>
          <w:sz w:val="32"/>
          <w:szCs w:val="32"/>
        </w:rPr>
      </w:pPr>
      <w:r>
        <w:rPr>
          <w:rFonts w:hint="eastAsia" w:ascii="仿宋_GB2312" w:hAnsi="宋体" w:eastAsia="仿宋_GB2312"/>
          <w:b/>
          <w:bCs/>
          <w:sz w:val="32"/>
          <w:szCs w:val="32"/>
        </w:rPr>
        <w:t>2.大中修工程稳推进。</w:t>
      </w:r>
      <w:r>
        <w:rPr>
          <w:rFonts w:hint="eastAsia" w:eastAsia="仿宋_GB2312"/>
          <w:sz w:val="32"/>
          <w:szCs w:val="32"/>
        </w:rPr>
        <w:t>按照上级统一安排部署，为改善我县交通环境、方便群众出行，县委、县政府决定</w:t>
      </w:r>
      <w:r>
        <w:rPr>
          <w:rFonts w:hint="eastAsia" w:eastAsia="仿宋_GB2312"/>
          <w:bCs/>
          <w:sz w:val="32"/>
          <w:szCs w:val="32"/>
        </w:rPr>
        <w:t>全面启动“十二五”国省干线公路养护管理迎部检工作</w:t>
      </w:r>
      <w:r>
        <w:rPr>
          <w:rFonts w:hint="eastAsia" w:eastAsia="仿宋_GB2312"/>
          <w:sz w:val="32"/>
          <w:szCs w:val="32"/>
        </w:rPr>
        <w:t>。这次干线公路大中修</w:t>
      </w:r>
      <w:r>
        <w:rPr>
          <w:rFonts w:eastAsia="仿宋_GB2312"/>
          <w:sz w:val="32"/>
          <w:szCs w:val="32"/>
        </w:rPr>
        <w:t>及桥梁维修</w:t>
      </w:r>
      <w:r>
        <w:rPr>
          <w:rFonts w:hint="eastAsia" w:eastAsia="仿宋_GB2312"/>
          <w:sz w:val="32"/>
          <w:szCs w:val="32"/>
        </w:rPr>
        <w:t>工程是</w:t>
      </w:r>
      <w:r>
        <w:rPr>
          <w:rFonts w:hint="eastAsia" w:eastAsia="仿宋_GB2312"/>
          <w:bCs/>
          <w:sz w:val="32"/>
          <w:szCs w:val="32"/>
        </w:rPr>
        <w:t>“十二五”国省干线公路养护管理迎部检工作的最关键组成部分，</w:t>
      </w:r>
      <w:r>
        <w:rPr>
          <w:rFonts w:hint="eastAsia" w:eastAsia="仿宋_GB2312"/>
          <w:sz w:val="32"/>
          <w:szCs w:val="32"/>
        </w:rPr>
        <w:t>共计干线公路路面273.485公里、桥梁6座，涉及16个乡镇。</w:t>
      </w:r>
      <w:r>
        <w:rPr>
          <w:rFonts w:hint="eastAsia" w:eastAsia="仿宋_GB2312"/>
          <w:color w:val="000000"/>
          <w:sz w:val="32"/>
          <w:szCs w:val="32"/>
        </w:rPr>
        <w:t>县委、县政府高度重视，</w:t>
      </w:r>
      <w:r>
        <w:rPr>
          <w:rFonts w:hint="eastAsia" w:eastAsia="仿宋_GB2312"/>
          <w:sz w:val="32"/>
          <w:szCs w:val="32"/>
        </w:rPr>
        <w:t>多次召开迎部检推进情况专题会议，要求务必</w:t>
      </w:r>
      <w:r>
        <w:rPr>
          <w:rFonts w:eastAsia="仿宋_GB2312"/>
          <w:bCs/>
          <w:sz w:val="32"/>
          <w:szCs w:val="32"/>
        </w:rPr>
        <w:t>全力做好迎</w:t>
      </w:r>
      <w:r>
        <w:rPr>
          <w:rFonts w:hint="eastAsia" w:eastAsia="仿宋_GB2312"/>
          <w:bCs/>
          <w:sz w:val="32"/>
          <w:szCs w:val="32"/>
        </w:rPr>
        <w:t>部</w:t>
      </w:r>
      <w:r>
        <w:rPr>
          <w:rFonts w:eastAsia="仿宋_GB2312"/>
          <w:bCs/>
          <w:sz w:val="32"/>
          <w:szCs w:val="32"/>
        </w:rPr>
        <w:t>检工作，全面集中整治路况，</w:t>
      </w:r>
      <w:r>
        <w:rPr>
          <w:rFonts w:hint="eastAsia" w:eastAsia="仿宋_GB2312"/>
          <w:bCs/>
          <w:sz w:val="32"/>
          <w:szCs w:val="32"/>
        </w:rPr>
        <w:t>并指定我段做业主。</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我段接到任务后，高度重视，迅速成立2015年国省干线公路大中修工程领导小组，划分为五个标段，各分管领导组建人员，成立项目管理办公室。自开工以来，市、县及主管局领导高度重视，多次前往一</w:t>
      </w:r>
      <w:r>
        <w:rPr>
          <w:rFonts w:hint="eastAsia" w:ascii="仿宋_GB2312" w:eastAsia="仿宋_GB2312"/>
          <w:bCs/>
          <w:sz w:val="32"/>
          <w:szCs w:val="32"/>
          <w:highlight w:val="none"/>
        </w:rPr>
        <w:t>线实地</w:t>
      </w:r>
      <w:r>
        <w:rPr>
          <w:rFonts w:hint="eastAsia" w:ascii="仿宋_GB2312" w:eastAsia="仿宋_GB2312"/>
          <w:bCs/>
          <w:sz w:val="32"/>
          <w:szCs w:val="32"/>
        </w:rPr>
        <w:t>检查指导，针对各种困难及矛盾</w:t>
      </w:r>
      <w:r>
        <w:rPr>
          <w:rFonts w:hint="eastAsia" w:ascii="仿宋_GB2312" w:eastAsia="仿宋_GB2312"/>
          <w:bCs/>
          <w:sz w:val="32"/>
          <w:szCs w:val="32"/>
          <w:highlight w:val="none"/>
          <w:lang w:eastAsia="zh-CN"/>
        </w:rPr>
        <w:t>作出指示</w:t>
      </w:r>
      <w:r>
        <w:rPr>
          <w:rFonts w:hint="eastAsia" w:ascii="仿宋_GB2312" w:eastAsia="仿宋_GB2312"/>
          <w:bCs/>
          <w:sz w:val="32"/>
          <w:szCs w:val="32"/>
        </w:rPr>
        <w:t>，全力保障国省干线大中修工程顺利进行。主管局为防止各参战人员在工程中滋生腐败行为，新任局长在警示约谈会上做了“低头看路、抬头修路、规矩走路”的警示谈话，要求各参战人员不要插手干预工程</w:t>
      </w:r>
      <w:r>
        <w:rPr>
          <w:rFonts w:hint="eastAsia" w:ascii="仿宋_GB2312" w:eastAsia="仿宋_GB2312"/>
          <w:bCs/>
          <w:sz w:val="32"/>
          <w:szCs w:val="32"/>
          <w:lang w:eastAsia="zh-CN"/>
        </w:rPr>
        <w:t>，</w:t>
      </w:r>
      <w:r>
        <w:rPr>
          <w:rFonts w:hint="eastAsia" w:ascii="仿宋_GB2312" w:eastAsia="仿宋_GB2312"/>
          <w:bCs/>
          <w:sz w:val="32"/>
          <w:szCs w:val="32"/>
        </w:rPr>
        <w:t>起到了警示教育作用。</w:t>
      </w:r>
    </w:p>
    <w:p>
      <w:pPr>
        <w:spacing w:line="560" w:lineRule="exact"/>
        <w:ind w:firstLine="640" w:firstLineChars="200"/>
        <w:rPr>
          <w:rFonts w:ascii="仿宋_GB2312" w:hAnsi="宋体" w:eastAsia="仿宋_GB2312" w:cs="宋体"/>
          <w:color w:val="000000"/>
          <w:sz w:val="32"/>
          <w:szCs w:val="32"/>
        </w:rPr>
      </w:pPr>
      <w:r>
        <w:rPr>
          <w:rFonts w:hint="eastAsia" w:ascii="仿宋_GB2312" w:eastAsia="仿宋_GB2312"/>
          <w:bCs/>
          <w:sz w:val="32"/>
          <w:szCs w:val="32"/>
          <w:highlight w:val="none"/>
          <w:lang w:eastAsia="zh-CN"/>
        </w:rPr>
        <w:t>截至目前</w:t>
      </w:r>
      <w:r>
        <w:rPr>
          <w:rFonts w:hint="eastAsia" w:ascii="仿宋_GB2312" w:eastAsia="仿宋_GB2312"/>
          <w:bCs/>
          <w:sz w:val="32"/>
          <w:szCs w:val="32"/>
        </w:rPr>
        <w:t>，因通竹路设计与施工现场有一定差异，现已按程序清理退场外，其余四个标段</w:t>
      </w:r>
      <w:r>
        <w:rPr>
          <w:rFonts w:hint="eastAsia" w:ascii="仿宋_GB2312" w:hAnsi="宋体" w:eastAsia="仿宋_GB2312" w:cs="宋体"/>
          <w:bCs/>
          <w:sz w:val="32"/>
          <w:szCs w:val="32"/>
        </w:rPr>
        <w:t>水沟、涵洞、挡墙、沥青混凝砼路面铺筑已全面结束，完成货币工程量约1.3亿，完成总工程量的82％。自开工建设以来，各标段无重大安全事故发生，无重大信访事件，无腐败行为出现，赢得了各级领导和沿线百姓的好评。</w:t>
      </w:r>
    </w:p>
    <w:p>
      <w:pPr>
        <w:spacing w:line="360" w:lineRule="auto"/>
        <w:ind w:firstLine="643" w:firstLineChars="200"/>
        <w:rPr>
          <w:rFonts w:ascii="仿宋_GB2312" w:eastAsia="仿宋_GB2312"/>
          <w:sz w:val="32"/>
          <w:szCs w:val="32"/>
        </w:rPr>
      </w:pPr>
      <w:r>
        <w:rPr>
          <w:rFonts w:hint="eastAsia" w:ascii="仿宋_GB2312" w:hAnsi="宋体" w:eastAsia="仿宋_GB2312"/>
          <w:b/>
          <w:bCs/>
          <w:sz w:val="32"/>
          <w:szCs w:val="32"/>
        </w:rPr>
        <w:t>3.安全工作抓得牢。</w:t>
      </w:r>
      <w:r>
        <w:rPr>
          <w:rFonts w:hint="eastAsia" w:ascii="仿宋_GB2312" w:hAnsi="宋体" w:eastAsia="仿宋_GB2312"/>
          <w:bCs/>
          <w:sz w:val="32"/>
          <w:szCs w:val="32"/>
        </w:rPr>
        <w:t>一</w:t>
      </w:r>
      <w:r>
        <w:rPr>
          <w:rFonts w:hint="eastAsia" w:ascii="仿宋_GB2312" w:eastAsia="仿宋_GB2312"/>
          <w:sz w:val="32"/>
          <w:szCs w:val="32"/>
        </w:rPr>
        <w:t>年来，段领导除抓日常安全管理工作外，坚持经常到养护生产第一线、施工工地检查安全。对查出的安全隐患，除当场提出批评建议外，并现场落实整改方案，限期整改。一年来，平时检查和专项检查（包括月检）185人次，整改了各类</w:t>
      </w:r>
      <w:r>
        <w:rPr>
          <w:rFonts w:hint="eastAsia" w:ascii="仿宋_GB2312" w:eastAsia="仿宋_GB2312"/>
          <w:sz w:val="32"/>
          <w:szCs w:val="32"/>
          <w:lang w:eastAsia="zh-CN"/>
        </w:rPr>
        <w:t>安全隐患</w:t>
      </w:r>
      <w:r>
        <w:rPr>
          <w:rFonts w:hint="eastAsia" w:ascii="仿宋_GB2312" w:eastAsia="仿宋_GB2312"/>
          <w:sz w:val="32"/>
          <w:szCs w:val="32"/>
        </w:rPr>
        <w:t>，不安全用电2处，公路障碍物75处，养护材料堆码不当7处，危险道路缺口、沉陷，软路基81处，危险、窄路、矿山、沉陷，傍山易坍塌等临时安全语言提示标志92处，排除危岩险段8处，召开安全专题例会33次，发放安全文件（包括通知、请示、报告）500余份，检查大、中、小、桥215座；清理水沟15830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切实加强职工的安全消防知识，7月30日请消防大队的领导和专业技术人才，在西城社区组织消防灭火实战应急演练活动，整个活动达到了预期目的。全段除制定切实可行的安全防范措施外，还通过专题会，查找存在的薄弱环节，补充制定了安全操作程序，安全标志服帽的穿戴，管理、使用等办法，从而使干部职工受到了教育，增强了安全意识，时刻保持清醒的头脑，为全年的安全工作打下了坚实的基础，起到了良好的促进作用。</w:t>
      </w:r>
    </w:p>
    <w:p>
      <w:pPr>
        <w:spacing w:line="360" w:lineRule="auto"/>
        <w:ind w:firstLine="643" w:firstLineChars="200"/>
        <w:rPr>
          <w:rFonts w:ascii="仿宋_GB2312" w:hAnsi="仿宋" w:eastAsia="仿宋_GB2312"/>
          <w:bCs/>
          <w:sz w:val="32"/>
          <w:szCs w:val="32"/>
        </w:rPr>
      </w:pPr>
      <w:r>
        <w:rPr>
          <w:rFonts w:hint="eastAsia" w:ascii="仿宋_GB2312" w:hAnsi="宋体" w:eastAsia="仿宋_GB2312"/>
          <w:b/>
          <w:bCs/>
          <w:sz w:val="32"/>
          <w:szCs w:val="32"/>
        </w:rPr>
        <w:t>4.党风廉政建设有力度。</w:t>
      </w:r>
      <w:r>
        <w:rPr>
          <w:rFonts w:hint="eastAsia" w:ascii="仿宋_GB2312" w:eastAsia="仿宋_GB2312"/>
          <w:sz w:val="32"/>
          <w:szCs w:val="32"/>
        </w:rPr>
        <w:t>一年来，我段坚持将党风廉政工作纳入目标管理，切实推进党建工作创新。</w:t>
      </w:r>
      <w:r>
        <w:rPr>
          <w:rFonts w:hint="eastAsia" w:ascii="仿宋_GB2312" w:eastAsia="仿宋_GB2312"/>
          <w:b/>
          <w:sz w:val="32"/>
          <w:szCs w:val="32"/>
        </w:rPr>
        <w:t>一是</w:t>
      </w:r>
      <w:r>
        <w:rPr>
          <w:rFonts w:hint="eastAsia" w:ascii="仿宋_GB2312" w:eastAsia="仿宋_GB2312"/>
          <w:sz w:val="32"/>
          <w:szCs w:val="32"/>
        </w:rPr>
        <w:t>制定了详细的工作和学习计划。做到了学习有记录、思想有提升；</w:t>
      </w:r>
      <w:r>
        <w:rPr>
          <w:rFonts w:hint="eastAsia" w:ascii="仿宋_GB2312" w:eastAsia="仿宋_GB2312"/>
          <w:b/>
          <w:sz w:val="32"/>
          <w:szCs w:val="32"/>
        </w:rPr>
        <w:t>二是</w:t>
      </w:r>
      <w:r>
        <w:rPr>
          <w:rFonts w:hint="eastAsia" w:ascii="仿宋_GB2312" w:eastAsia="仿宋_GB2312"/>
          <w:sz w:val="32"/>
          <w:szCs w:val="32"/>
        </w:rPr>
        <w:t>凸显反腐倡廉模范带头作用。以案说纪，警钟长鸣，充分运用社会上的典型案例，尤其是交通的案例进行深入剖析教育，全面加强干部职工的思想、组织、作风建设，筑牢拒腐防变的大堤；</w:t>
      </w:r>
      <w:r>
        <w:rPr>
          <w:rFonts w:hint="eastAsia" w:ascii="仿宋_GB2312" w:eastAsia="仿宋_GB2312"/>
          <w:b/>
          <w:sz w:val="32"/>
          <w:szCs w:val="32"/>
        </w:rPr>
        <w:t>三是</w:t>
      </w:r>
      <w:r>
        <w:rPr>
          <w:rFonts w:hint="eastAsia" w:ascii="仿宋_GB2312" w:eastAsia="仿宋_GB2312"/>
          <w:sz w:val="32"/>
          <w:szCs w:val="32"/>
        </w:rPr>
        <w:t>抓好权力观教育。结合市、县两级的学习活动，抓好党纪、政纪条规教育，预防了违法乱纪行为的发生，树立了公路系统廉洁、高效、为民的良好形象。有效开展专项活动，把“创先争优”活动纳入“一把手工程”结合我段实际突出争创重点，扎实开展“创先争优”活动。段党支部号召全体职工学习先进精神，锤炼优秀作风，按照强化功能抓党建，融入中心促发展，认真开展“创先争优”活动，切实履行公路养护、建设服务老区发展。</w:t>
      </w:r>
      <w:r>
        <w:rPr>
          <w:rFonts w:hint="eastAsia" w:ascii="仿宋_GB2312" w:eastAsia="仿宋_GB2312"/>
          <w:b/>
          <w:sz w:val="32"/>
          <w:szCs w:val="32"/>
        </w:rPr>
        <w:t>四是</w:t>
      </w:r>
      <w:r>
        <w:rPr>
          <w:rFonts w:hint="eastAsia" w:ascii="仿宋_GB2312" w:eastAsia="仿宋_GB2312"/>
          <w:sz w:val="32"/>
          <w:szCs w:val="32"/>
        </w:rPr>
        <w:t>严格执行廉洁自律各项规定。段机关与各股室人员层层签订承诺书，严禁违规操办升学宴、寿宴、乔迁宴、婚丧嫁娶等各类宴席。经群众举报，个别职工违规操办寿宴，给查实，段支部毫不手软，对违规人员作出严肃的处理并批评教育，起到了警示教育作用。</w:t>
      </w:r>
    </w:p>
    <w:p>
      <w:pPr>
        <w:pStyle w:val="30"/>
        <w:spacing w:line="360" w:lineRule="auto"/>
        <w:ind w:firstLine="643" w:firstLineChars="200"/>
        <w:outlineLvl w:val="0"/>
        <w:rPr>
          <w:rFonts w:ascii="仿宋_GB2312" w:hAnsi="宋体" w:eastAsia="仿宋_GB2312"/>
          <w:bCs/>
          <w:sz w:val="32"/>
          <w:szCs w:val="32"/>
        </w:rPr>
      </w:pPr>
      <w:bookmarkStart w:id="30" w:name="_Toc113545013"/>
      <w:r>
        <w:rPr>
          <w:rFonts w:hint="eastAsia" w:ascii="仿宋_GB2312" w:hAnsi="宋体" w:eastAsia="仿宋_GB2312"/>
          <w:b/>
          <w:bCs/>
          <w:sz w:val="32"/>
          <w:szCs w:val="32"/>
        </w:rPr>
        <w:t>5.精准扶贫见成效。</w:t>
      </w:r>
      <w:r>
        <w:rPr>
          <w:rFonts w:hint="eastAsia" w:ascii="仿宋_GB2312" w:hAnsi="宋体" w:eastAsia="仿宋_GB2312"/>
          <w:bCs/>
          <w:sz w:val="32"/>
          <w:szCs w:val="32"/>
        </w:rPr>
        <w:t>根据县委十二届十次全会精神要求，我段对口帮扶诺水河镇狮子口村，全村118户470人。针对狮子口村特殊的地理环境，我段从公业务费中挤出21万元，修复水毁9.8公里村道路，新修1.8公里林业资源开发路至矛坪山顶。今年4月开展“万名干部下基层”活动，单位职工沉下心、接地气、洗心灵、提境界，切身体会到边远落后贫困村群众生活的艰难</w:t>
      </w:r>
      <w:bookmarkStart w:id="127" w:name="_GoBack"/>
      <w:bookmarkEnd w:id="127"/>
      <w:r>
        <w:rPr>
          <w:rFonts w:hint="eastAsia" w:ascii="仿宋_GB2312" w:hAnsi="宋体" w:eastAsia="仿宋_GB2312"/>
          <w:bCs/>
          <w:sz w:val="32"/>
          <w:szCs w:val="32"/>
        </w:rPr>
        <w:t>，从内心深处认识到自己有责任帮助村民脱贫奔小康。</w:t>
      </w:r>
      <w:bookmarkEnd w:id="30"/>
    </w:p>
    <w:p>
      <w:pPr>
        <w:pStyle w:val="30"/>
        <w:spacing w:line="360" w:lineRule="auto"/>
        <w:ind w:firstLine="640" w:firstLineChars="200"/>
        <w:outlineLvl w:val="0"/>
        <w:rPr>
          <w:rFonts w:ascii="仿宋_GB2312" w:hAnsi="宋体" w:eastAsia="仿宋_GB2312"/>
          <w:bCs/>
          <w:sz w:val="32"/>
          <w:szCs w:val="32"/>
        </w:rPr>
      </w:pPr>
      <w:bookmarkStart w:id="31" w:name="_Toc113545014"/>
      <w:r>
        <w:rPr>
          <w:rFonts w:hint="eastAsia" w:ascii="仿宋_GB2312" w:hAnsi="宋体" w:eastAsia="仿宋_GB2312"/>
          <w:bCs/>
          <w:sz w:val="32"/>
          <w:szCs w:val="32"/>
        </w:rPr>
        <w:t>村民朱以锋、胡孝科居住在潮水街道，抓住旅游风景区的有利条件，扶贫队员鼓励他们新开农家乐，新增特色菜品和预约服务等方式经营餐饮，家庭收入将超过10万余元。一社村民张仕全肯吃苦，儿子张小林善于学习新技术，扶贫队员</w:t>
      </w:r>
      <w:r>
        <w:rPr>
          <w:rFonts w:hint="eastAsia" w:ascii="仿宋_GB2312" w:hAnsi="宋体" w:eastAsia="仿宋_GB2312"/>
          <w:bCs/>
          <w:sz w:val="32"/>
          <w:szCs w:val="32"/>
          <w:highlight w:val="none"/>
          <w:lang w:eastAsia="zh-CN"/>
        </w:rPr>
        <w:t>与</w:t>
      </w:r>
      <w:r>
        <w:rPr>
          <w:rFonts w:hint="eastAsia" w:ascii="仿宋_GB2312" w:hAnsi="宋体" w:eastAsia="仿宋_GB2312"/>
          <w:bCs/>
          <w:sz w:val="32"/>
          <w:szCs w:val="32"/>
        </w:rPr>
        <w:t>他们一道刻苦钻研银耳和食用菌生产技术，为他们购置食用菌和薄膜，预计年收入12万元。今年我段扶贫工作队做出了大量的工作，部分老百姓脱贫致富，这些典型的先进事例，被市、县电视台独家采访，并做《真情挂包帮、为民解困见实效》的宣传报道。</w:t>
      </w:r>
      <w:bookmarkEnd w:id="31"/>
    </w:p>
    <w:p>
      <w:pPr>
        <w:pStyle w:val="3"/>
        <w:rPr>
          <w:rStyle w:val="17"/>
          <w:b w:val="0"/>
          <w:bCs w:val="0"/>
        </w:rPr>
      </w:pPr>
      <w:bookmarkStart w:id="32" w:name="_Toc15377200"/>
      <w:bookmarkStart w:id="33" w:name="_Toc15396601"/>
      <w:bookmarkStart w:id="34" w:name="_Toc113545015"/>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32"/>
      <w:bookmarkEnd w:id="33"/>
      <w:bookmarkEnd w:id="34"/>
    </w:p>
    <w:p>
      <w:pPr>
        <w:ind w:firstLine="800" w:firstLineChars="250"/>
        <w:rPr>
          <w:rFonts w:ascii="仿宋" w:hAnsi="仿宋" w:eastAsia="仿宋"/>
          <w:sz w:val="32"/>
          <w:szCs w:val="32"/>
        </w:rPr>
      </w:pPr>
      <w:r>
        <w:rPr>
          <w:rFonts w:hint="eastAsia" w:ascii="仿宋" w:hAnsi="仿宋" w:eastAsia="仿宋"/>
          <w:sz w:val="32"/>
          <w:szCs w:val="32"/>
        </w:rPr>
        <w:t>通江县公路养护管理段下属二级单位0个，其中行政单位0个，参照公务员法管理的事业单位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35" w:name="_Toc15377204"/>
      <w:bookmarkStart w:id="36" w:name="_Toc113545016"/>
      <w:bookmarkStart w:id="37" w:name="_Toc15396602"/>
      <w:r>
        <w:rPr>
          <w:rFonts w:hint="eastAsia" w:ascii="黑体" w:hAnsi="黑体" w:eastAsia="黑体"/>
          <w:b w:val="0"/>
          <w:color w:val="000000"/>
        </w:rPr>
        <w:t>第二部分</w:t>
      </w:r>
      <w:r>
        <w:rPr>
          <w:rStyle w:val="16"/>
          <w:rFonts w:ascii="黑体" w:hAnsi="黑体" w:eastAsia="黑体"/>
          <w:b w:val="0"/>
          <w:bCs w:val="0"/>
        </w:rPr>
        <w:t>2020</w:t>
      </w:r>
      <w:r>
        <w:rPr>
          <w:rStyle w:val="16"/>
          <w:rFonts w:hint="eastAsia" w:ascii="黑体" w:hAnsi="黑体" w:eastAsia="黑体"/>
          <w:b w:val="0"/>
          <w:bCs w:val="0"/>
        </w:rPr>
        <w:t>年度部门决算情况说明</w:t>
      </w:r>
      <w:bookmarkEnd w:id="35"/>
      <w:bookmarkEnd w:id="36"/>
      <w:bookmarkEnd w:id="37"/>
    </w:p>
    <w:p/>
    <w:p>
      <w:pPr>
        <w:pStyle w:val="27"/>
        <w:numPr>
          <w:ilvl w:val="0"/>
          <w:numId w:val="1"/>
        </w:numPr>
        <w:spacing w:line="600" w:lineRule="exact"/>
        <w:ind w:firstLineChars="0"/>
        <w:outlineLvl w:val="1"/>
        <w:rPr>
          <w:rStyle w:val="17"/>
          <w:rFonts w:ascii="黑体" w:hAnsi="黑体" w:eastAsia="黑体"/>
          <w:b w:val="0"/>
        </w:rPr>
      </w:pPr>
      <w:bookmarkStart w:id="38" w:name="_Toc15396603"/>
      <w:bookmarkStart w:id="39" w:name="_Toc113545017"/>
      <w:bookmarkStart w:id="40"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38"/>
      <w:bookmarkEnd w:id="39"/>
      <w:bookmarkEnd w:id="4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年度收、支总计2994.53万元。与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年相比，收、支总计各增加366.86万元，增长13.96</w:t>
      </w:r>
      <w:r>
        <w:rPr>
          <w:rFonts w:ascii="仿宋" w:hAnsi="仿宋" w:eastAsia="仿宋"/>
          <w:color w:val="000000"/>
          <w:sz w:val="32"/>
          <w:szCs w:val="32"/>
        </w:rPr>
        <w:t>%</w:t>
      </w:r>
      <w:r>
        <w:rPr>
          <w:rFonts w:hint="eastAsia" w:ascii="仿宋" w:hAnsi="仿宋" w:eastAsia="仿宋"/>
          <w:color w:val="000000"/>
          <w:sz w:val="32"/>
          <w:szCs w:val="32"/>
        </w:rPr>
        <w:t>。主要变动原因是人员工资基数调整（调高）。</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7"/>
        <w:numPr>
          <w:ilvl w:val="0"/>
          <w:numId w:val="1"/>
        </w:numPr>
        <w:spacing w:line="600" w:lineRule="exact"/>
        <w:ind w:firstLineChars="0"/>
        <w:outlineLvl w:val="1"/>
        <w:rPr>
          <w:rStyle w:val="17"/>
          <w:rFonts w:ascii="黑体" w:hAnsi="黑体" w:eastAsia="黑体"/>
          <w:b w:val="0"/>
        </w:rPr>
      </w:pPr>
      <w:bookmarkStart w:id="41" w:name="_Toc15396604"/>
      <w:bookmarkStart w:id="42" w:name="_Toc113545018"/>
      <w:bookmarkStart w:id="43"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41"/>
      <w:bookmarkEnd w:id="42"/>
      <w:bookmarkEnd w:id="43"/>
    </w:p>
    <w:p>
      <w:pPr>
        <w:spacing w:line="600" w:lineRule="exact"/>
        <w:ind w:firstLine="640" w:firstLineChars="200"/>
        <w:outlineLvl w:val="1"/>
        <w:rPr>
          <w:rFonts w:ascii="仿宋" w:hAnsi="仿宋" w:eastAsia="仿宋"/>
          <w:color w:val="000000"/>
          <w:sz w:val="32"/>
          <w:szCs w:val="32"/>
        </w:rPr>
      </w:pPr>
      <w:bookmarkStart w:id="44" w:name="_Toc113545019"/>
      <w:r>
        <w:rPr>
          <w:rFonts w:ascii="仿宋" w:hAnsi="仿宋" w:eastAsia="仿宋"/>
          <w:color w:val="000000"/>
          <w:sz w:val="32"/>
          <w:szCs w:val="32"/>
        </w:rPr>
        <w:t>2020</w:t>
      </w:r>
      <w:r>
        <w:rPr>
          <w:rFonts w:hint="eastAsia" w:ascii="仿宋" w:hAnsi="仿宋" w:eastAsia="仿宋"/>
          <w:color w:val="000000"/>
          <w:sz w:val="32"/>
          <w:szCs w:val="32"/>
        </w:rPr>
        <w:t>年本年收入合计2994.53万元，其中：一般公共预算财政拨款收入2994.53万元，占100</w:t>
      </w:r>
      <w:r>
        <w:rPr>
          <w:rFonts w:ascii="仿宋" w:hAnsi="仿宋" w:eastAsia="仿宋"/>
          <w:color w:val="000000"/>
          <w:sz w:val="32"/>
          <w:szCs w:val="32"/>
        </w:rPr>
        <w:t>%</w:t>
      </w:r>
      <w:r>
        <w:rPr>
          <w:rFonts w:hint="eastAsia" w:ascii="仿宋" w:hAnsi="仿宋" w:eastAsia="仿宋"/>
          <w:color w:val="000000"/>
          <w:sz w:val="32"/>
          <w:szCs w:val="32"/>
        </w:rPr>
        <w:t>。</w:t>
      </w:r>
      <w:bookmarkEnd w:id="44"/>
    </w:p>
    <w:p>
      <w:pPr>
        <w:pStyle w:val="27"/>
        <w:numPr>
          <w:ilvl w:val="0"/>
          <w:numId w:val="1"/>
        </w:numPr>
        <w:spacing w:line="600" w:lineRule="exact"/>
        <w:ind w:firstLineChars="0"/>
        <w:outlineLvl w:val="1"/>
        <w:rPr>
          <w:rStyle w:val="17"/>
          <w:rFonts w:ascii="黑体" w:hAnsi="黑体" w:eastAsia="黑体"/>
          <w:b w:val="0"/>
        </w:rPr>
      </w:pPr>
      <w:bookmarkStart w:id="45" w:name="_Toc15396605"/>
      <w:bookmarkStart w:id="46" w:name="_Toc113545021"/>
      <w:bookmarkStart w:id="47"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45"/>
      <w:bookmarkEnd w:id="46"/>
      <w:bookmarkEnd w:id="47"/>
    </w:p>
    <w:p>
      <w:pPr>
        <w:spacing w:line="600" w:lineRule="exact"/>
        <w:ind w:firstLine="640" w:firstLineChars="200"/>
        <w:outlineLvl w:val="1"/>
        <w:rPr>
          <w:rFonts w:ascii="仿宋" w:hAnsi="仿宋" w:eastAsia="仿宋"/>
          <w:b/>
          <w:color w:val="FF0000"/>
          <w:sz w:val="32"/>
          <w:szCs w:val="32"/>
        </w:rPr>
      </w:pPr>
      <w:bookmarkStart w:id="48" w:name="_Toc113545022"/>
      <w:r>
        <w:rPr>
          <w:rFonts w:ascii="仿宋" w:hAnsi="仿宋" w:eastAsia="仿宋"/>
          <w:color w:val="000000"/>
          <w:sz w:val="32"/>
          <w:szCs w:val="32"/>
        </w:rPr>
        <w:t>2020</w:t>
      </w:r>
      <w:r>
        <w:rPr>
          <w:rFonts w:hint="eastAsia" w:ascii="仿宋" w:hAnsi="仿宋" w:eastAsia="仿宋"/>
          <w:color w:val="000000"/>
          <w:sz w:val="32"/>
          <w:szCs w:val="32"/>
        </w:rPr>
        <w:t>年本年支出合计2994.53万元，其中：基本支出2993.03万元，占99.95</w:t>
      </w:r>
      <w:r>
        <w:rPr>
          <w:rFonts w:ascii="仿宋" w:hAnsi="仿宋" w:eastAsia="仿宋"/>
          <w:color w:val="000000"/>
          <w:sz w:val="32"/>
          <w:szCs w:val="32"/>
        </w:rPr>
        <w:t>%</w:t>
      </w:r>
      <w:r>
        <w:rPr>
          <w:rFonts w:hint="eastAsia" w:ascii="仿宋" w:hAnsi="仿宋" w:eastAsia="仿宋"/>
          <w:color w:val="000000"/>
          <w:sz w:val="32"/>
          <w:szCs w:val="32"/>
        </w:rPr>
        <w:t>；项目支出1.5万元，占0.05</w:t>
      </w:r>
      <w:r>
        <w:rPr>
          <w:rFonts w:ascii="仿宋" w:hAnsi="仿宋" w:eastAsia="仿宋"/>
          <w:color w:val="000000"/>
          <w:sz w:val="32"/>
          <w:szCs w:val="32"/>
        </w:rPr>
        <w:t>%</w:t>
      </w:r>
      <w:r>
        <w:rPr>
          <w:rFonts w:hint="eastAsia" w:ascii="仿宋" w:hAnsi="仿宋" w:eastAsia="仿宋"/>
          <w:color w:val="000000"/>
          <w:sz w:val="32"/>
          <w:szCs w:val="32"/>
        </w:rPr>
        <w:t>。</w:t>
      </w:r>
      <w:bookmarkEnd w:id="48"/>
    </w:p>
    <w:p>
      <w:pPr>
        <w:spacing w:line="600" w:lineRule="exact"/>
        <w:ind w:firstLine="640" w:firstLineChars="200"/>
        <w:outlineLvl w:val="1"/>
        <w:rPr>
          <w:rStyle w:val="17"/>
          <w:rFonts w:ascii="黑体" w:hAnsi="黑体" w:eastAsia="黑体"/>
          <w:b w:val="0"/>
        </w:rPr>
      </w:pPr>
      <w:bookmarkStart w:id="49" w:name="_Toc113545023"/>
      <w:bookmarkStart w:id="50" w:name="_Toc15377208"/>
      <w:bookmarkStart w:id="51"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49"/>
      <w:bookmarkEnd w:id="50"/>
      <w:bookmarkEnd w:id="5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年财政拨款收、支总计2994.53万元。与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年相比，财政拨款收、支总计各增加366.86万元，增长13.96</w:t>
      </w:r>
      <w:r>
        <w:rPr>
          <w:rFonts w:ascii="仿宋" w:hAnsi="仿宋" w:eastAsia="仿宋"/>
          <w:color w:val="000000"/>
          <w:sz w:val="32"/>
          <w:szCs w:val="32"/>
        </w:rPr>
        <w:t>%</w:t>
      </w:r>
      <w:r>
        <w:rPr>
          <w:rFonts w:hint="eastAsia" w:ascii="仿宋" w:hAnsi="仿宋" w:eastAsia="仿宋"/>
          <w:color w:val="000000"/>
          <w:sz w:val="32"/>
          <w:szCs w:val="32"/>
        </w:rPr>
        <w:t>。主要变动原因是人员工资基数调整（调高）。</w:t>
      </w:r>
    </w:p>
    <w:p>
      <w:pPr>
        <w:spacing w:line="600" w:lineRule="exact"/>
        <w:ind w:firstLine="640" w:firstLineChars="200"/>
        <w:outlineLvl w:val="1"/>
        <w:rPr>
          <w:rStyle w:val="17"/>
          <w:rFonts w:ascii="黑体" w:hAnsi="黑体" w:eastAsia="黑体"/>
          <w:b w:val="0"/>
        </w:rPr>
      </w:pPr>
      <w:bookmarkStart w:id="52" w:name="_Toc113545024"/>
      <w:bookmarkStart w:id="53" w:name="_Toc15396607"/>
      <w:bookmarkStart w:id="5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52"/>
      <w:bookmarkEnd w:id="53"/>
      <w:bookmarkEnd w:id="54"/>
    </w:p>
    <w:p>
      <w:pPr>
        <w:spacing w:line="600" w:lineRule="exact"/>
        <w:ind w:firstLine="643" w:firstLineChars="200"/>
        <w:outlineLvl w:val="2"/>
        <w:rPr>
          <w:rFonts w:ascii="仿宋" w:hAnsi="仿宋" w:eastAsia="仿宋"/>
          <w:b/>
          <w:color w:val="000000"/>
          <w:sz w:val="32"/>
          <w:szCs w:val="32"/>
        </w:rPr>
      </w:pPr>
      <w:bookmarkStart w:id="55" w:name="_Toc15377210"/>
      <w:bookmarkStart w:id="56" w:name="_Toc113545025"/>
      <w:r>
        <w:rPr>
          <w:rFonts w:hint="eastAsia" w:ascii="仿宋" w:hAnsi="仿宋" w:eastAsia="仿宋"/>
          <w:b/>
          <w:color w:val="000000"/>
          <w:sz w:val="32"/>
          <w:szCs w:val="32"/>
        </w:rPr>
        <w:t>（一）一般公共预算财政拨款支出决算总体情况</w:t>
      </w:r>
      <w:bookmarkEnd w:id="55"/>
      <w:bookmarkEnd w:id="56"/>
    </w:p>
    <w:p>
      <w:pPr>
        <w:spacing w:line="600" w:lineRule="exact"/>
        <w:ind w:firstLine="640" w:firstLineChars="200"/>
        <w:outlineLvl w:val="1"/>
        <w:rPr>
          <w:rFonts w:ascii="仿宋" w:hAnsi="仿宋" w:eastAsia="仿宋"/>
          <w:color w:val="000000"/>
          <w:sz w:val="32"/>
          <w:szCs w:val="32"/>
        </w:rPr>
      </w:pPr>
      <w:bookmarkStart w:id="57" w:name="_Toc113545026"/>
      <w:r>
        <w:rPr>
          <w:rFonts w:ascii="仿宋" w:hAnsi="仿宋" w:eastAsia="仿宋"/>
          <w:color w:val="000000"/>
          <w:sz w:val="32"/>
          <w:szCs w:val="32"/>
        </w:rPr>
        <w:t>2020</w:t>
      </w:r>
      <w:r>
        <w:rPr>
          <w:rFonts w:hint="eastAsia" w:ascii="仿宋" w:hAnsi="仿宋" w:eastAsia="仿宋"/>
          <w:color w:val="000000"/>
          <w:sz w:val="32"/>
          <w:szCs w:val="32"/>
        </w:rPr>
        <w:t>年一般公共预算财政拨款支出2994.53万元，占本年支出合计的100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年相比，一般公共预算财政拨款增加366.86万元，增长13.96</w:t>
      </w:r>
      <w:r>
        <w:rPr>
          <w:rFonts w:ascii="仿宋" w:hAnsi="仿宋" w:eastAsia="仿宋"/>
          <w:color w:val="000000"/>
          <w:sz w:val="32"/>
          <w:szCs w:val="32"/>
        </w:rPr>
        <w:t>%</w:t>
      </w:r>
      <w:r>
        <w:rPr>
          <w:rFonts w:hint="eastAsia" w:ascii="仿宋" w:hAnsi="仿宋" w:eastAsia="仿宋"/>
          <w:color w:val="000000"/>
          <w:sz w:val="32"/>
          <w:szCs w:val="32"/>
        </w:rPr>
        <w:t>。主要是人员工资基数调整（调高）。</w:t>
      </w:r>
      <w:bookmarkEnd w:id="57"/>
    </w:p>
    <w:p>
      <w:pPr>
        <w:spacing w:line="600" w:lineRule="exact"/>
        <w:ind w:firstLine="643" w:firstLineChars="200"/>
        <w:outlineLvl w:val="2"/>
        <w:rPr>
          <w:rFonts w:ascii="仿宋" w:hAnsi="仿宋" w:eastAsia="仿宋"/>
          <w:b/>
          <w:color w:val="000000"/>
          <w:sz w:val="32"/>
          <w:szCs w:val="32"/>
        </w:rPr>
      </w:pPr>
      <w:bookmarkStart w:id="58" w:name="_Toc15377211"/>
      <w:bookmarkStart w:id="59" w:name="_Toc113545027"/>
      <w:r>
        <w:rPr>
          <w:rFonts w:hint="eastAsia" w:ascii="仿宋" w:hAnsi="仿宋" w:eastAsia="仿宋"/>
          <w:b/>
          <w:color w:val="000000"/>
          <w:sz w:val="32"/>
          <w:szCs w:val="32"/>
        </w:rPr>
        <w:t>（二）一般公共预算财政拨款支出决算结构情况</w:t>
      </w:r>
      <w:bookmarkEnd w:id="58"/>
      <w:bookmarkEnd w:id="5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年一般公共预算财政拨款支出2994.53万元，主要用于以下方面：</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支出1.5万元，占0.05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交通运输（类）</w:t>
      </w:r>
      <w:r>
        <w:rPr>
          <w:rFonts w:hint="eastAsia" w:ascii="仿宋" w:hAnsi="仿宋" w:eastAsia="仿宋"/>
          <w:color w:val="000000"/>
          <w:sz w:val="32"/>
          <w:szCs w:val="32"/>
        </w:rPr>
        <w:t>支出2493.96万元，占83.28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住房保障（类）支出</w:t>
      </w:r>
      <w:r>
        <w:rPr>
          <w:rFonts w:hint="eastAsia" w:ascii="仿宋" w:hAnsi="仿宋" w:eastAsia="仿宋"/>
          <w:color w:val="000000"/>
          <w:sz w:val="32"/>
          <w:szCs w:val="32"/>
        </w:rPr>
        <w:t>162.83万元</w:t>
      </w:r>
      <w:r>
        <w:rPr>
          <w:rFonts w:hint="eastAsia" w:ascii="仿宋" w:hAnsi="仿宋" w:eastAsia="仿宋"/>
          <w:b/>
          <w:bCs/>
          <w:color w:val="000000"/>
          <w:sz w:val="32"/>
          <w:szCs w:val="32"/>
        </w:rPr>
        <w:t>，</w:t>
      </w:r>
      <w:r>
        <w:rPr>
          <w:rFonts w:hint="eastAsia" w:ascii="仿宋" w:hAnsi="仿宋" w:eastAsia="仿宋"/>
          <w:color w:val="000000"/>
          <w:sz w:val="32"/>
          <w:szCs w:val="32"/>
        </w:rPr>
        <w:t>占5.44%；</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支出217.1万元，占7.25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119.14万元，占3.98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60" w:name="_Toc15377212"/>
      <w:bookmarkStart w:id="61" w:name="_Toc113545028"/>
      <w:r>
        <w:rPr>
          <w:rFonts w:hint="eastAsia" w:ascii="仿宋" w:hAnsi="仿宋" w:eastAsia="仿宋"/>
          <w:b/>
          <w:color w:val="000000"/>
          <w:sz w:val="32"/>
          <w:szCs w:val="32"/>
        </w:rPr>
        <w:t>（三）一般公共预算财政拨款支出决算具体情况</w:t>
      </w:r>
      <w:bookmarkEnd w:id="60"/>
      <w:bookmarkEnd w:id="61"/>
    </w:p>
    <w:p>
      <w:pPr>
        <w:spacing w:line="600" w:lineRule="exact"/>
        <w:ind w:firstLine="643" w:firstLineChars="200"/>
        <w:outlineLvl w:val="2"/>
        <w:rPr>
          <w:rFonts w:ascii="仿宋" w:hAnsi="仿宋" w:eastAsia="仿宋"/>
          <w:color w:val="FF0000"/>
          <w:sz w:val="32"/>
          <w:szCs w:val="32"/>
        </w:rPr>
      </w:pPr>
      <w:bookmarkStart w:id="62" w:name="_Toc15378460"/>
      <w:bookmarkStart w:id="63" w:name="_Toc113545029"/>
      <w:bookmarkStart w:id="64" w:name="_Toc15377444"/>
      <w:bookmarkStart w:id="65"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rPr>
        <w:t>2994.53，</w:t>
      </w:r>
      <w:r>
        <w:rPr>
          <w:rStyle w:val="14"/>
          <w:rFonts w:hint="eastAsia" w:ascii="仿宋" w:hAnsi="仿宋" w:eastAsia="仿宋"/>
          <w:bCs/>
          <w:color w:val="000000"/>
          <w:sz w:val="32"/>
          <w:szCs w:val="32"/>
        </w:rPr>
        <w:t>完成预算100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62"/>
      <w:bookmarkEnd w:id="63"/>
      <w:bookmarkEnd w:id="64"/>
      <w:bookmarkEnd w:id="65"/>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1.一般公共服务（类）</w:t>
      </w:r>
      <w:r>
        <w:rPr>
          <w:rFonts w:hint="eastAsia" w:ascii="仿宋" w:hAnsi="仿宋" w:eastAsia="仿宋"/>
          <w:bCs/>
          <w:color w:val="000000"/>
          <w:sz w:val="32"/>
          <w:szCs w:val="32"/>
        </w:rPr>
        <w:t>人力</w:t>
      </w:r>
      <w:r>
        <w:rPr>
          <w:rStyle w:val="31"/>
          <w:rFonts w:ascii="仿宋" w:hAnsi="仿宋" w:eastAsia="仿宋"/>
          <w:bCs/>
          <w:color w:val="000000"/>
          <w:sz w:val="32"/>
          <w:szCs w:val="32"/>
        </w:rPr>
        <w:t>资源事务</w:t>
      </w:r>
      <w:r>
        <w:rPr>
          <w:rStyle w:val="31"/>
          <w:rFonts w:hint="eastAsia" w:ascii="仿宋" w:hAnsi="仿宋" w:eastAsia="仿宋"/>
          <w:bCs/>
          <w:color w:val="000000"/>
          <w:sz w:val="32"/>
          <w:szCs w:val="32"/>
        </w:rPr>
        <w:t>（款）引进人才费用</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b w:val="0"/>
          <w:sz w:val="32"/>
        </w:rPr>
        <w:t>1.5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Cs/>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31"/>
          <w:rFonts w:hint="eastAsia" w:ascii="仿宋" w:hAnsi="仿宋" w:eastAsia="仿宋"/>
          <w:bCs/>
          <w:color w:val="000000"/>
          <w:sz w:val="32"/>
          <w:szCs w:val="32"/>
        </w:rPr>
        <w:t>行政</w:t>
      </w:r>
      <w:r>
        <w:rPr>
          <w:rStyle w:val="31"/>
          <w:rFonts w:ascii="仿宋" w:hAnsi="仿宋" w:eastAsia="仿宋"/>
          <w:bCs/>
          <w:color w:val="000000"/>
          <w:sz w:val="32"/>
          <w:szCs w:val="32"/>
        </w:rPr>
        <w:t>事业单位</w:t>
      </w:r>
      <w:r>
        <w:rPr>
          <w:rStyle w:val="31"/>
          <w:rFonts w:hint="eastAsia" w:ascii="仿宋" w:hAnsi="仿宋" w:eastAsia="仿宋"/>
          <w:bCs/>
          <w:color w:val="000000"/>
          <w:sz w:val="32"/>
          <w:szCs w:val="32"/>
        </w:rPr>
        <w:t>养老支出</w:t>
      </w:r>
      <w:r>
        <w:rPr>
          <w:rStyle w:val="14"/>
          <w:rFonts w:hint="eastAsia" w:ascii="仿宋" w:hAnsi="仿宋" w:eastAsia="仿宋"/>
          <w:bCs/>
          <w:color w:val="000000"/>
          <w:sz w:val="32"/>
          <w:szCs w:val="32"/>
        </w:rPr>
        <w:t>（款）</w:t>
      </w:r>
      <w:r>
        <w:rPr>
          <w:rStyle w:val="31"/>
          <w:rFonts w:hint="eastAsia" w:ascii="仿宋" w:hAnsi="仿宋" w:eastAsia="仿宋"/>
          <w:bCs/>
          <w:color w:val="000000"/>
          <w:sz w:val="32"/>
          <w:szCs w:val="32"/>
        </w:rPr>
        <w:t>机关</w:t>
      </w:r>
      <w:r>
        <w:rPr>
          <w:rStyle w:val="31"/>
          <w:rFonts w:ascii="仿宋" w:hAnsi="仿宋" w:eastAsia="仿宋"/>
          <w:bCs/>
          <w:color w:val="000000"/>
          <w:sz w:val="32"/>
          <w:szCs w:val="32"/>
        </w:rPr>
        <w:t>事业单位基本养老保险缴费支出</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w:t>
      </w:r>
      <w:r>
        <w:rPr>
          <w:rStyle w:val="31"/>
          <w:rFonts w:hint="eastAsia" w:ascii="仿宋" w:hAnsi="仿宋" w:eastAsia="仿宋"/>
          <w:b w:val="0"/>
          <w:bCs/>
          <w:color w:val="000000"/>
          <w:sz w:val="32"/>
          <w:szCs w:val="32"/>
        </w:rPr>
        <w:t>支出决算为217.10万元，完成预算100%，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w:t>
      </w:r>
      <w:r>
        <w:rPr>
          <w:rStyle w:val="31"/>
          <w:rFonts w:hint="eastAsia" w:ascii="仿宋" w:hAnsi="仿宋" w:eastAsia="仿宋"/>
          <w:bCs/>
          <w:color w:val="000000"/>
          <w:sz w:val="32"/>
          <w:szCs w:val="32"/>
        </w:rPr>
        <w:t>行政事业单位医疗</w:t>
      </w:r>
      <w:r>
        <w:rPr>
          <w:rStyle w:val="14"/>
          <w:rFonts w:hint="eastAsia" w:ascii="仿宋" w:hAnsi="仿宋" w:eastAsia="仿宋"/>
          <w:bCs/>
          <w:color w:val="000000"/>
          <w:sz w:val="32"/>
          <w:szCs w:val="32"/>
        </w:rPr>
        <w:t>（款）</w:t>
      </w:r>
      <w:r>
        <w:rPr>
          <w:rStyle w:val="31"/>
          <w:rFonts w:hint="eastAsia" w:ascii="仿宋" w:hAnsi="仿宋" w:eastAsia="仿宋"/>
          <w:bCs/>
          <w:color w:val="000000"/>
          <w:sz w:val="32"/>
          <w:szCs w:val="32"/>
        </w:rPr>
        <w:t>事业单位医疗</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w:t>
      </w:r>
      <w:r>
        <w:rPr>
          <w:rStyle w:val="31"/>
          <w:rFonts w:hint="eastAsia" w:ascii="仿宋" w:hAnsi="仿宋" w:eastAsia="仿宋"/>
          <w:b w:val="0"/>
          <w:bCs/>
          <w:color w:val="000000"/>
          <w:sz w:val="32"/>
          <w:szCs w:val="32"/>
        </w:rPr>
        <w:t>支出决算为119.14万元，完成预算100%，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31"/>
          <w:rFonts w:ascii="仿宋" w:hAnsi="仿宋" w:eastAsia="仿宋"/>
          <w:b w:val="0"/>
          <w:bCs/>
          <w:color w:val="000000"/>
          <w:sz w:val="32"/>
          <w:szCs w:val="32"/>
        </w:rPr>
      </w:pPr>
      <w:r>
        <w:rPr>
          <w:rStyle w:val="31"/>
          <w:rFonts w:hint="eastAsia" w:ascii="仿宋" w:hAnsi="仿宋" w:eastAsia="仿宋"/>
          <w:bCs/>
          <w:color w:val="000000"/>
          <w:sz w:val="32"/>
          <w:szCs w:val="32"/>
        </w:rPr>
        <w:t>4</w:t>
      </w:r>
      <w:r>
        <w:rPr>
          <w:rStyle w:val="31"/>
          <w:rFonts w:ascii="仿宋" w:hAnsi="仿宋" w:eastAsia="仿宋"/>
          <w:bCs/>
          <w:color w:val="000000"/>
          <w:sz w:val="32"/>
          <w:szCs w:val="32"/>
        </w:rPr>
        <w:t>.</w:t>
      </w:r>
      <w:r>
        <w:rPr>
          <w:rFonts w:hint="eastAsia" w:ascii="仿宋" w:hAnsi="仿宋" w:eastAsia="仿宋"/>
          <w:b/>
          <w:bCs/>
          <w:color w:val="000000"/>
          <w:sz w:val="32"/>
          <w:szCs w:val="32"/>
        </w:rPr>
        <w:t>交通运输支出</w:t>
      </w:r>
      <w:r>
        <w:rPr>
          <w:rStyle w:val="31"/>
          <w:rFonts w:hint="eastAsia" w:ascii="仿宋" w:hAnsi="仿宋" w:eastAsia="仿宋"/>
          <w:bCs/>
          <w:color w:val="000000"/>
          <w:sz w:val="32"/>
          <w:szCs w:val="32"/>
        </w:rPr>
        <w:t>（类）公路</w:t>
      </w:r>
      <w:r>
        <w:rPr>
          <w:rStyle w:val="31"/>
          <w:rFonts w:ascii="仿宋" w:hAnsi="仿宋" w:eastAsia="仿宋"/>
          <w:bCs/>
          <w:color w:val="000000"/>
          <w:sz w:val="32"/>
          <w:szCs w:val="32"/>
        </w:rPr>
        <w:t>水路运输</w:t>
      </w:r>
      <w:r>
        <w:rPr>
          <w:rStyle w:val="31"/>
          <w:rFonts w:hint="eastAsia" w:ascii="仿宋" w:hAnsi="仿宋" w:eastAsia="仿宋"/>
          <w:bCs/>
          <w:color w:val="000000"/>
          <w:sz w:val="32"/>
          <w:szCs w:val="32"/>
        </w:rPr>
        <w:t>（款）公路养护（项）</w:t>
      </w:r>
      <w:r>
        <w:rPr>
          <w:rStyle w:val="31"/>
          <w:rFonts w:hint="eastAsia" w:ascii="仿宋" w:hAnsi="仿宋" w:eastAsia="仿宋"/>
          <w:bCs/>
          <w:color w:val="000000"/>
          <w:sz w:val="32"/>
          <w:szCs w:val="32"/>
          <w:lang w:eastAsia="zh-CN"/>
        </w:rPr>
        <w:t>：</w:t>
      </w:r>
      <w:r>
        <w:rPr>
          <w:rStyle w:val="31"/>
          <w:rFonts w:hint="eastAsia" w:ascii="仿宋" w:hAnsi="仿宋" w:eastAsia="仿宋"/>
          <w:b w:val="0"/>
          <w:bCs/>
          <w:color w:val="000000"/>
          <w:sz w:val="32"/>
          <w:szCs w:val="32"/>
        </w:rPr>
        <w:t>支出决算为2493.96万元，完成预算100%。</w:t>
      </w:r>
    </w:p>
    <w:p>
      <w:pPr>
        <w:spacing w:line="600" w:lineRule="exact"/>
        <w:ind w:firstLine="643" w:firstLineChars="200"/>
        <w:rPr>
          <w:rFonts w:ascii="仿宋" w:hAnsi="仿宋" w:eastAsia="仿宋"/>
          <w:bCs/>
          <w:color w:val="000000"/>
          <w:sz w:val="32"/>
          <w:szCs w:val="32"/>
        </w:rPr>
      </w:pPr>
      <w:r>
        <w:rPr>
          <w:rStyle w:val="31"/>
          <w:rFonts w:hint="eastAsia" w:ascii="仿宋" w:hAnsi="仿宋" w:eastAsia="仿宋"/>
          <w:bCs/>
          <w:color w:val="000000"/>
          <w:sz w:val="32"/>
          <w:szCs w:val="32"/>
        </w:rPr>
        <w:t>5</w:t>
      </w:r>
      <w:r>
        <w:rPr>
          <w:rStyle w:val="31"/>
          <w:rFonts w:ascii="仿宋" w:hAnsi="仿宋" w:eastAsia="仿宋"/>
          <w:bCs/>
          <w:color w:val="000000"/>
          <w:sz w:val="32"/>
          <w:szCs w:val="32"/>
        </w:rPr>
        <w:t>.</w:t>
      </w:r>
      <w:r>
        <w:rPr>
          <w:rStyle w:val="31"/>
          <w:rFonts w:hint="eastAsia" w:ascii="仿宋" w:hAnsi="仿宋" w:eastAsia="仿宋"/>
          <w:bCs/>
          <w:color w:val="000000"/>
          <w:sz w:val="32"/>
          <w:szCs w:val="32"/>
        </w:rPr>
        <w:t>住房保障支出（类）住房改革支出（款）住房公积金（项）</w:t>
      </w:r>
      <w:r>
        <w:rPr>
          <w:rStyle w:val="31"/>
          <w:rFonts w:hint="eastAsia" w:ascii="仿宋" w:hAnsi="仿宋" w:eastAsia="仿宋"/>
          <w:bCs/>
          <w:color w:val="000000"/>
          <w:sz w:val="32"/>
          <w:szCs w:val="32"/>
          <w:lang w:eastAsia="zh-CN"/>
        </w:rPr>
        <w:t>：</w:t>
      </w:r>
      <w:r>
        <w:rPr>
          <w:rStyle w:val="31"/>
          <w:rFonts w:hint="eastAsia" w:ascii="仿宋" w:hAnsi="仿宋" w:eastAsia="仿宋"/>
          <w:b w:val="0"/>
          <w:bCs/>
          <w:color w:val="000000"/>
          <w:sz w:val="32"/>
          <w:szCs w:val="32"/>
        </w:rPr>
        <w:t>支出决算为162.83万元，完成预算100%。</w:t>
      </w:r>
    </w:p>
    <w:p>
      <w:pPr>
        <w:tabs>
          <w:tab w:val="right" w:pos="8306"/>
        </w:tabs>
        <w:spacing w:line="600" w:lineRule="exact"/>
        <w:ind w:firstLine="640"/>
        <w:outlineLvl w:val="1"/>
        <w:rPr>
          <w:rStyle w:val="17"/>
        </w:rPr>
      </w:pPr>
      <w:bookmarkStart w:id="66" w:name="_Toc113545030"/>
      <w:bookmarkStart w:id="67" w:name="_Toc15377214"/>
      <w:bookmarkStart w:id="68"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66"/>
      <w:bookmarkEnd w:id="67"/>
      <w:bookmarkEnd w:id="68"/>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年一般公共预算财政拨款基本支出2993.03万元，其中：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人员经费2732.23万元，主要包括：基本工资、津贴补贴、绩效工资、机关事业单位基本养老保险缴费、职业年金缴费、职工基本医疗保险缴费、其他社会保障缴费、住房公积金、生活补助。</w:t>
      </w:r>
      <w:r>
        <w:rPr>
          <w:rFonts w:ascii="仿宋" w:hAnsi="仿宋" w:eastAsia="仿宋"/>
          <w:color w:val="000000"/>
          <w:sz w:val="32"/>
          <w:szCs w:val="32"/>
        </w:rPr>
        <w:br w:type="textWrapping"/>
      </w:r>
      <w:r>
        <w:rPr>
          <w:rFonts w:hint="eastAsia" w:ascii="仿宋" w:hAnsi="仿宋" w:eastAsia="仿宋"/>
          <w:color w:val="000000"/>
          <w:sz w:val="32"/>
          <w:szCs w:val="32"/>
        </w:rPr>
        <w:t>　　日常公用经费260.80万元，主要包括：办公费、印刷费、咨询费、手续费、水费、电费、邮电费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rPr>
        <w:t>差旅费、维修（护）费、会议费、培训费、公务接待费、工会经费、福利费、公务用车运行维护费、其他商品和服务支出。</w:t>
      </w:r>
    </w:p>
    <w:p>
      <w:pPr>
        <w:spacing w:line="600" w:lineRule="exact"/>
        <w:ind w:firstLine="640"/>
        <w:outlineLvl w:val="1"/>
        <w:rPr>
          <w:rStyle w:val="17"/>
          <w:rFonts w:ascii="黑体" w:hAnsi="黑体" w:eastAsia="黑体"/>
          <w:b w:val="0"/>
        </w:rPr>
      </w:pPr>
      <w:bookmarkStart w:id="69" w:name="_Toc113545031"/>
      <w:bookmarkStart w:id="70" w:name="_Toc15377215"/>
      <w:bookmarkStart w:id="71"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69"/>
      <w:bookmarkEnd w:id="70"/>
      <w:bookmarkEnd w:id="71"/>
    </w:p>
    <w:p>
      <w:pPr>
        <w:spacing w:line="600" w:lineRule="exact"/>
        <w:ind w:firstLine="640"/>
        <w:outlineLvl w:val="2"/>
        <w:rPr>
          <w:rFonts w:ascii="仿宋" w:hAnsi="仿宋" w:eastAsia="仿宋"/>
          <w:b/>
          <w:color w:val="000000"/>
          <w:sz w:val="32"/>
          <w:szCs w:val="32"/>
        </w:rPr>
      </w:pPr>
      <w:bookmarkStart w:id="72" w:name="_Toc15377216"/>
      <w:bookmarkStart w:id="73" w:name="_Toc113545032"/>
      <w:r>
        <w:rPr>
          <w:rFonts w:hint="eastAsia" w:ascii="仿宋" w:hAnsi="仿宋" w:eastAsia="仿宋"/>
          <w:b/>
          <w:color w:val="000000"/>
          <w:sz w:val="32"/>
          <w:szCs w:val="32"/>
        </w:rPr>
        <w:t>（一）“三公”经费财政拨款支出决算总体情况说明</w:t>
      </w:r>
      <w:bookmarkEnd w:id="72"/>
      <w:bookmarkEnd w:id="7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年“三公”经费财政拨款支出决算为31.5万元，完成预算100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74" w:name="_Toc15377217"/>
      <w:bookmarkStart w:id="75" w:name="_Toc113545033"/>
      <w:r>
        <w:rPr>
          <w:rFonts w:hint="eastAsia" w:ascii="仿宋" w:hAnsi="仿宋" w:eastAsia="仿宋"/>
          <w:b/>
          <w:color w:val="000000"/>
          <w:sz w:val="32"/>
          <w:szCs w:val="32"/>
        </w:rPr>
        <w:t>（二）“三公”经费财政拨款支出决算具体情况说明</w:t>
      </w:r>
      <w:bookmarkEnd w:id="74"/>
      <w:bookmarkEnd w:id="7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；公务用车购置及运行维护费支出决算30万元，占95.24</w:t>
      </w:r>
      <w:r>
        <w:rPr>
          <w:rFonts w:ascii="仿宋" w:hAnsi="仿宋" w:eastAsia="仿宋"/>
          <w:color w:val="000000"/>
          <w:sz w:val="32"/>
          <w:szCs w:val="32"/>
        </w:rPr>
        <w:t>%</w:t>
      </w:r>
      <w:r>
        <w:rPr>
          <w:rFonts w:hint="eastAsia" w:ascii="仿宋" w:hAnsi="仿宋" w:eastAsia="仿宋"/>
          <w:color w:val="000000"/>
          <w:sz w:val="32"/>
          <w:szCs w:val="32"/>
        </w:rPr>
        <w:t>；公务接待费支出决算1.5万元，占4.76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0万元，主要原因是我单位无因公出国（境）情况。</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30万元</w:t>
      </w:r>
      <w:r>
        <w:rPr>
          <w:rFonts w:hint="eastAsia" w:ascii="仿宋_GB2312" w:eastAsia="仿宋_GB2312"/>
          <w:color w:val="000000"/>
          <w:sz w:val="32"/>
          <w:szCs w:val="32"/>
          <w:lang w:eastAsia="zh-CN"/>
        </w:rPr>
        <w:t>，</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8年减少5万元，下降14.29</w:t>
      </w:r>
      <w:r>
        <w:rPr>
          <w:rFonts w:ascii="仿宋_GB2312" w:eastAsia="仿宋_GB2312"/>
          <w:color w:val="000000"/>
          <w:sz w:val="32"/>
          <w:szCs w:val="32"/>
        </w:rPr>
        <w:t>%</w:t>
      </w:r>
      <w:r>
        <w:rPr>
          <w:rFonts w:hint="eastAsia" w:ascii="仿宋_GB2312" w:eastAsia="仿宋_GB2312"/>
          <w:color w:val="000000"/>
          <w:sz w:val="32"/>
          <w:szCs w:val="32"/>
        </w:rPr>
        <w:t>。主要原因是压缩公务用车运行维护费开支。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0万元，全年无公务用车购置支出。截至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月底，单位共有公务用车5辆，其中：越野车3辆、商务车1辆、皮卡车1辆。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30万元。主要用于公务用车所需的燃料费、维修费、过路过桥费、保险费等支出。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1.5万元，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年减少6万元，下降80</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。主要原因是公务接待次数减少，压缩三公经费开支。其中：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1.5</w:t>
      </w:r>
      <w:r>
        <w:rPr>
          <w:rFonts w:hint="eastAsia" w:ascii="仿宋_GB2312" w:eastAsia="仿宋_GB2312"/>
          <w:color w:val="000000"/>
          <w:sz w:val="32"/>
          <w:szCs w:val="32"/>
        </w:rPr>
        <w:t>万元，主要用于</w:t>
      </w:r>
      <w:r>
        <w:rPr>
          <w:rFonts w:hint="eastAsia" w:ascii="仿宋_GB2312" w:eastAsia="仿宋_GB2312"/>
          <w:sz w:val="32"/>
          <w:szCs w:val="32"/>
        </w:rPr>
        <w:t>普通国省干线应急抢险工作开支的交通费、住宿费、用餐费等</w:t>
      </w:r>
      <w:r>
        <w:rPr>
          <w:rFonts w:hint="eastAsia" w:ascii="仿宋_GB2312" w:eastAsia="仿宋_GB2312"/>
          <w:color w:val="000000"/>
          <w:sz w:val="32"/>
          <w:szCs w:val="32"/>
        </w:rPr>
        <w:t>。国内公务接待54批次，384人次（不包括陪同人员），共计支出1.5万元。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76" w:name="_Toc15396610"/>
      <w:bookmarkStart w:id="77" w:name="_Toc15377218"/>
    </w:p>
    <w:p>
      <w:pPr>
        <w:spacing w:line="600" w:lineRule="exact"/>
        <w:ind w:firstLine="640"/>
        <w:outlineLvl w:val="1"/>
        <w:rPr>
          <w:rStyle w:val="17"/>
          <w:rFonts w:ascii="黑体" w:hAnsi="黑体" w:eastAsia="黑体"/>
        </w:rPr>
      </w:pPr>
      <w:bookmarkStart w:id="78" w:name="_Toc113545034"/>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76"/>
      <w:bookmarkEnd w:id="77"/>
      <w:bookmarkEnd w:id="7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numPr>
          <w:ilvl w:val="0"/>
          <w:numId w:val="2"/>
        </w:numPr>
        <w:spacing w:line="600" w:lineRule="exact"/>
        <w:ind w:firstLine="640"/>
        <w:outlineLvl w:val="1"/>
        <w:rPr>
          <w:rStyle w:val="17"/>
          <w:rFonts w:ascii="黑体" w:hAnsi="黑体" w:eastAsia="黑体"/>
          <w:b w:val="0"/>
        </w:rPr>
      </w:pPr>
      <w:bookmarkStart w:id="79" w:name="_Toc15377219"/>
      <w:bookmarkStart w:id="80" w:name="_Toc15396611"/>
      <w:bookmarkStart w:id="81" w:name="_Toc113545035"/>
      <w:r>
        <w:rPr>
          <w:rStyle w:val="17"/>
          <w:rFonts w:hint="eastAsia" w:ascii="黑体" w:hAnsi="黑体" w:eastAsia="黑体"/>
          <w:b w:val="0"/>
        </w:rPr>
        <w:t>国有资本经营预算支出决算情况说明</w:t>
      </w:r>
      <w:bookmarkEnd w:id="79"/>
      <w:bookmarkEnd w:id="80"/>
      <w:bookmarkEnd w:id="8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800" w:firstLineChars="250"/>
        <w:outlineLvl w:val="1"/>
        <w:rPr>
          <w:rStyle w:val="17"/>
          <w:rFonts w:ascii="黑体" w:hAnsi="黑体" w:eastAsia="黑体"/>
        </w:rPr>
      </w:pPr>
      <w:bookmarkStart w:id="82" w:name="_Toc15396612"/>
      <w:bookmarkStart w:id="83" w:name="_Toc15377221"/>
      <w:bookmarkStart w:id="84" w:name="_Toc113545036"/>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82"/>
      <w:bookmarkEnd w:id="83"/>
      <w:bookmarkEnd w:id="84"/>
    </w:p>
    <w:p>
      <w:pPr>
        <w:spacing w:line="600" w:lineRule="exact"/>
        <w:ind w:firstLine="643" w:firstLineChars="200"/>
        <w:outlineLvl w:val="2"/>
        <w:rPr>
          <w:rFonts w:ascii="仿宋" w:hAnsi="仿宋" w:eastAsia="仿宋"/>
          <w:color w:val="000000"/>
          <w:sz w:val="32"/>
          <w:szCs w:val="32"/>
        </w:rPr>
      </w:pPr>
      <w:bookmarkStart w:id="85" w:name="_Toc113545037"/>
      <w:bookmarkStart w:id="86" w:name="_Toc15377222"/>
      <w:r>
        <w:rPr>
          <w:rFonts w:hint="eastAsia" w:ascii="仿宋" w:hAnsi="仿宋" w:eastAsia="仿宋"/>
          <w:b/>
          <w:color w:val="000000"/>
          <w:sz w:val="32"/>
          <w:szCs w:val="32"/>
        </w:rPr>
        <w:t>（一）机关运行经费支出情况</w:t>
      </w:r>
      <w:bookmarkEnd w:id="85"/>
      <w:bookmarkEnd w:id="86"/>
    </w:p>
    <w:p>
      <w:pPr>
        <w:spacing w:line="560" w:lineRule="exact"/>
        <w:ind w:firstLine="640" w:firstLineChars="200"/>
        <w:rPr>
          <w:rFonts w:ascii="仿宋_GB2312" w:eastAsia="仿宋_GB2312"/>
          <w:sz w:val="32"/>
          <w:szCs w:val="32"/>
        </w:rPr>
      </w:pPr>
      <w:r>
        <w:rPr>
          <w:rFonts w:ascii="仿宋_GB2312" w:eastAsia="仿宋_GB2312"/>
          <w:color w:val="000000"/>
          <w:sz w:val="32"/>
          <w:szCs w:val="32"/>
        </w:rPr>
        <w:t>2020</w:t>
      </w:r>
      <w:r>
        <w:rPr>
          <w:rFonts w:hint="eastAsia" w:ascii="仿宋_GB2312" w:eastAsia="仿宋_GB2312"/>
          <w:color w:val="000000"/>
          <w:sz w:val="32"/>
          <w:szCs w:val="32"/>
        </w:rPr>
        <w:t>年，通江县公路养护管理段机关运行经费支出39.5万元，比</w:t>
      </w:r>
      <w:r>
        <w:rPr>
          <w:rFonts w:ascii="仿宋_GB2312" w:eastAsia="仿宋_GB2312"/>
          <w:color w:val="000000"/>
          <w:sz w:val="32"/>
          <w:szCs w:val="32"/>
        </w:rPr>
        <w:t>2019</w:t>
      </w:r>
      <w:r>
        <w:rPr>
          <w:rFonts w:hint="eastAsia" w:ascii="仿宋_GB2312" w:eastAsia="仿宋_GB2312"/>
          <w:color w:val="000000"/>
          <w:sz w:val="32"/>
          <w:szCs w:val="32"/>
        </w:rPr>
        <w:t>年减少10万元，下降20.2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sz w:val="32"/>
          <w:szCs w:val="32"/>
        </w:rPr>
        <w:t>单位严格按照要求控制“三公”经费支出，使本年经费开支有所减少。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7" w:name="_Toc15377223"/>
      <w:bookmarkStart w:id="88" w:name="_Toc113545038"/>
      <w:r>
        <w:rPr>
          <w:rFonts w:hint="eastAsia" w:ascii="仿宋" w:hAnsi="仿宋" w:eastAsia="仿宋"/>
          <w:b/>
          <w:color w:val="000000"/>
          <w:sz w:val="32"/>
          <w:szCs w:val="32"/>
        </w:rPr>
        <w:t>（二）政府采购支出情况</w:t>
      </w:r>
      <w:bookmarkEnd w:id="87"/>
      <w:bookmarkEnd w:id="8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年，通江县公路养护管理段政府采购支出总额0万元，其中：政府采购货物支出0万元、政府采购工程支出0万元、政府采购服务支出0万元。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9" w:name="_Toc15377224"/>
      <w:bookmarkStart w:id="90" w:name="_Toc113545039"/>
      <w:r>
        <w:rPr>
          <w:rFonts w:hint="eastAsia" w:ascii="仿宋" w:hAnsi="仿宋" w:eastAsia="仿宋"/>
          <w:b/>
          <w:color w:val="000000"/>
          <w:sz w:val="32"/>
          <w:szCs w:val="32"/>
        </w:rPr>
        <w:t>（三）国有资产占有使用情况</w:t>
      </w:r>
      <w:bookmarkEnd w:id="89"/>
      <w:bookmarkEnd w:id="9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日，通江县公路养护管理段共有车辆5辆，其中：主要领导干部用车0辆、机要通信用车0辆、应急保障用车5辆、其他用车0辆。单价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1" w:name="_Toc113545040"/>
      <w:r>
        <w:rPr>
          <w:rFonts w:hint="eastAsia" w:ascii="仿宋" w:hAnsi="仿宋" w:eastAsia="仿宋"/>
          <w:b/>
          <w:color w:val="000000"/>
          <w:sz w:val="32"/>
          <w:szCs w:val="32"/>
        </w:rPr>
        <w:t>（四）预算绩效管理情况。</w:t>
      </w:r>
      <w:bookmarkEnd w:id="9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年部门整体支出绩效评价情况开展自评，《通江县公路养护管理段</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6"/>
          <w:rFonts w:ascii="黑体" w:hAnsi="黑体" w:eastAsia="黑体"/>
          <w:b w:val="0"/>
        </w:rPr>
      </w:pPr>
      <w:bookmarkStart w:id="92" w:name="_Toc15377225"/>
      <w:bookmarkStart w:id="93" w:name="_Toc15396613"/>
      <w:bookmarkStart w:id="94" w:name="_Toc113545041"/>
      <w:r>
        <w:rPr>
          <w:rFonts w:hint="eastAsia" w:ascii="黑体" w:hAnsi="黑体" w:eastAsia="黑体"/>
          <w:color w:val="000000"/>
          <w:sz w:val="44"/>
          <w:szCs w:val="44"/>
        </w:rPr>
        <w:t>名</w:t>
      </w:r>
      <w:r>
        <w:rPr>
          <w:rStyle w:val="16"/>
          <w:rFonts w:hint="eastAsia" w:ascii="黑体" w:hAnsi="黑体" w:eastAsia="黑体"/>
          <w:b w:val="0"/>
        </w:rPr>
        <w:t>词解释</w:t>
      </w:r>
      <w:bookmarkEnd w:id="92"/>
      <w:bookmarkEnd w:id="93"/>
      <w:bookmarkEnd w:id="94"/>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spacing w:line="560" w:lineRule="exact"/>
        <w:ind w:firstLine="640" w:firstLineChars="200"/>
        <w:rPr>
          <w:rFonts w:ascii="仿宋_GB2312" w:hAnsi="Cambria" w:eastAsia="仿宋_GB2312" w:cs="仿宋_GB2312"/>
          <w:kern w:val="0"/>
          <w:sz w:val="32"/>
          <w:szCs w:val="32"/>
          <w:lang w:val="zh-CN"/>
        </w:rPr>
      </w:pPr>
      <w:r>
        <w:rPr>
          <w:rFonts w:ascii="仿宋_GB2312" w:eastAsia="仿宋_GB2312"/>
          <w:sz w:val="32"/>
          <w:szCs w:val="32"/>
        </w:rPr>
        <w:t>2.</w:t>
      </w:r>
      <w:r>
        <w:rPr>
          <w:rFonts w:hint="eastAsia" w:ascii="仿宋_GB2312" w:hAnsi="Cambria" w:eastAsia="仿宋_GB2312" w:cs="仿宋_GB2312"/>
          <w:kern w:val="0"/>
          <w:sz w:val="32"/>
          <w:szCs w:val="32"/>
          <w:lang w:val="zh-CN"/>
        </w:rPr>
        <w:t>社会保障和</w:t>
      </w:r>
      <w:r>
        <w:rPr>
          <w:rFonts w:hint="eastAsia" w:ascii="仿宋_GB2312" w:hAnsi="Cambria" w:eastAsia="仿宋_GB2312" w:cs="仿宋_GB2312"/>
          <w:kern w:val="0"/>
          <w:sz w:val="32"/>
          <w:szCs w:val="32"/>
        </w:rPr>
        <w:t>就</w:t>
      </w:r>
      <w:r>
        <w:rPr>
          <w:rFonts w:hint="eastAsia" w:ascii="仿宋_GB2312" w:hAnsi="Cambria" w:eastAsia="仿宋_GB2312" w:cs="仿宋_GB2312"/>
          <w:kern w:val="0"/>
          <w:sz w:val="32"/>
          <w:szCs w:val="32"/>
          <w:lang w:val="zh-CN"/>
        </w:rPr>
        <w:t>业支出（类）人力资源和社会保障管理事务（款）引进人才费用（项）：指用于引进外国专家补助、引智成果推广等方面的支出。</w:t>
      </w:r>
    </w:p>
    <w:p>
      <w:pPr>
        <w:spacing w:line="560" w:lineRule="exact"/>
        <w:ind w:firstLine="640" w:firstLineChars="200"/>
        <w:rPr>
          <w:rFonts w:ascii="仿宋_GB2312" w:hAnsi="Cambria" w:eastAsia="仿宋_GB2312" w:cs="仿宋_GB2312"/>
          <w:kern w:val="0"/>
          <w:sz w:val="32"/>
          <w:szCs w:val="32"/>
          <w:lang w:val="zh-CN"/>
        </w:rPr>
      </w:pPr>
      <w:r>
        <w:rPr>
          <w:rFonts w:hint="eastAsia" w:ascii="仿宋_GB2312" w:eastAsia="仿宋_GB2312"/>
          <w:sz w:val="32"/>
          <w:szCs w:val="32"/>
        </w:rPr>
        <w:t>3.</w:t>
      </w:r>
      <w:r>
        <w:rPr>
          <w:rFonts w:hint="eastAsia" w:ascii="仿宋_GB2312" w:hAnsi="Cambria" w:eastAsia="仿宋_GB2312" w:cs="仿宋_GB2312"/>
          <w:kern w:val="0"/>
          <w:sz w:val="32"/>
          <w:szCs w:val="32"/>
          <w:lang w:val="zh-CN"/>
        </w:rPr>
        <w:t>社会保障和</w:t>
      </w:r>
      <w:r>
        <w:rPr>
          <w:rFonts w:hint="eastAsia" w:ascii="仿宋_GB2312" w:hAnsi="Cambria" w:eastAsia="仿宋_GB2312" w:cs="仿宋_GB2312"/>
          <w:kern w:val="0"/>
          <w:sz w:val="32"/>
          <w:szCs w:val="32"/>
        </w:rPr>
        <w:t>就</w:t>
      </w:r>
      <w:r>
        <w:rPr>
          <w:rFonts w:hint="eastAsia" w:ascii="仿宋_GB2312" w:hAnsi="Cambria" w:eastAsia="仿宋_GB2312" w:cs="仿宋_GB2312"/>
          <w:kern w:val="0"/>
          <w:sz w:val="32"/>
          <w:szCs w:val="32"/>
          <w:lang w:val="zh-CN"/>
        </w:rPr>
        <w:t>业支出（类）行政</w:t>
      </w:r>
      <w:r>
        <w:rPr>
          <w:rFonts w:hint="eastAsia" w:ascii="仿宋_GB2312" w:hAnsi="Cambria" w:eastAsia="仿宋_GB2312" w:cs="仿宋_GB2312"/>
          <w:kern w:val="0"/>
          <w:sz w:val="32"/>
          <w:szCs w:val="32"/>
        </w:rPr>
        <w:t>事业单位养老支出</w:t>
      </w:r>
      <w:r>
        <w:rPr>
          <w:rFonts w:hint="eastAsia" w:ascii="仿宋_GB2312" w:hAnsi="Cambria" w:eastAsia="仿宋_GB2312" w:cs="仿宋_GB2312"/>
          <w:kern w:val="0"/>
          <w:sz w:val="32"/>
          <w:szCs w:val="32"/>
          <w:lang w:val="zh-CN"/>
        </w:rPr>
        <w:t>（款）机关事业单位基本养老保险缴费支出、机关事业单位职业年金缴费支出（项）：指用于机关事业单位基本养老保险缴费支出；机关事业单位</w:t>
      </w:r>
      <w:r>
        <w:rPr>
          <w:rFonts w:hint="eastAsia" w:ascii="仿宋_GB2312" w:hAnsi="Cambria" w:eastAsia="仿宋_GB2312" w:cs="仿宋_GB2312"/>
          <w:kern w:val="0"/>
          <w:sz w:val="32"/>
          <w:szCs w:val="32"/>
        </w:rPr>
        <w:t>职业年金缴费</w:t>
      </w:r>
      <w:r>
        <w:rPr>
          <w:rFonts w:hint="eastAsia" w:ascii="仿宋_GB2312" w:hAnsi="Cambria" w:eastAsia="仿宋_GB2312" w:cs="仿宋_GB2312"/>
          <w:kern w:val="0"/>
          <w:sz w:val="32"/>
          <w:szCs w:val="32"/>
          <w:lang w:val="zh-CN"/>
        </w:rPr>
        <w:t>支出（项）：指用于机关事业单位</w:t>
      </w:r>
      <w:r>
        <w:rPr>
          <w:rFonts w:hint="eastAsia" w:ascii="仿宋_GB2312" w:hAnsi="Cambria" w:eastAsia="仿宋_GB2312" w:cs="仿宋_GB2312"/>
          <w:kern w:val="0"/>
          <w:sz w:val="32"/>
          <w:szCs w:val="32"/>
        </w:rPr>
        <w:t>职业年金缴费</w:t>
      </w:r>
      <w:r>
        <w:rPr>
          <w:rFonts w:hint="eastAsia" w:ascii="仿宋_GB2312" w:hAnsi="Cambria" w:eastAsia="仿宋_GB2312" w:cs="仿宋_GB2312"/>
          <w:kern w:val="0"/>
          <w:sz w:val="32"/>
          <w:szCs w:val="32"/>
          <w:lang w:val="zh-CN"/>
        </w:rPr>
        <w:t>支出。</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4.</w:t>
      </w:r>
      <w:r>
        <w:rPr>
          <w:rFonts w:hint="eastAsia" w:ascii="仿宋_GB2312" w:eastAsia="仿宋_GB2312"/>
          <w:color w:val="000000"/>
          <w:sz w:val="32"/>
          <w:szCs w:val="32"/>
        </w:rPr>
        <w:t>卫生健康（类）行政事业单位医疗（款）事业单位医疗（项）：指用于事业单位职工基本医疗保险缴费支出。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5.交通运输（类）公路水路运输（款）公路养护（项）：指公路养护支出。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6.住房保障（类）住房改革支出（款）住房公积金（项）：指单位按规定为职工缴纳的住房公积金。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7.农林水支出（类）扶贫（款）其他扶贫支出（项）：指用于巩固拓展脱贫攻坚成果同乡村振兴有效衔接方面的支出。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Style w:val="16"/>
          <w:rFonts w:ascii="仿宋_GB2312" w:hAnsi="Calibri" w:eastAsia="仿宋_GB2312" w:cs="仿宋"/>
          <w:b w:val="0"/>
          <w:bCs w:val="0"/>
          <w:kern w:val="0"/>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95" w:name="_Toc15377226"/>
      <w:r>
        <w:rPr>
          <w:rFonts w:ascii="宋体"/>
          <w:b/>
          <w:sz w:val="44"/>
          <w:szCs w:val="44"/>
        </w:rPr>
        <w:br w:type="page"/>
      </w:r>
      <w:bookmarkStart w:id="96" w:name="_Toc15396614"/>
      <w:bookmarkStart w:id="97" w:name="_Toc113545042"/>
      <w:r>
        <w:rPr>
          <w:rFonts w:hint="eastAsia" w:ascii="黑体" w:hAnsi="黑体" w:eastAsia="黑体"/>
          <w:sz w:val="44"/>
          <w:szCs w:val="44"/>
        </w:rPr>
        <w:t>第</w:t>
      </w:r>
      <w:r>
        <w:rPr>
          <w:rStyle w:val="16"/>
          <w:rFonts w:hint="eastAsia" w:ascii="黑体" w:hAnsi="黑体" w:eastAsia="黑体"/>
          <w:b w:val="0"/>
        </w:rPr>
        <w:t>四部分附件</w:t>
      </w:r>
      <w:bookmarkEnd w:id="96"/>
      <w:bookmarkEnd w:id="97"/>
    </w:p>
    <w:p>
      <w:pPr>
        <w:pStyle w:val="3"/>
        <w:rPr>
          <w:rFonts w:ascii="方正小标宋简体" w:hAnsi="方正小标宋简体" w:eastAsia="方正小标宋简体" w:cs="方正小标宋简体"/>
        </w:rPr>
      </w:pPr>
      <w:bookmarkStart w:id="98" w:name="_Toc113545043"/>
      <w:r>
        <w:rPr>
          <w:rFonts w:hint="eastAsia"/>
        </w:rPr>
        <w:t>附件</w:t>
      </w:r>
      <w:r>
        <w:t>1</w:t>
      </w:r>
      <w:bookmarkEnd w:id="98"/>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通江县公路养护管理段</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20" w:lineRule="exact"/>
        <w:ind w:firstLine="640" w:firstLineChars="200"/>
        <w:rPr>
          <w:rFonts w:ascii="仿宋_GB2312" w:hAnsi="宋体" w:eastAsia="仿宋_GB2312"/>
          <w:sz w:val="32"/>
          <w:szCs w:val="32"/>
          <w:lang w:val="zh-CN"/>
        </w:rPr>
      </w:pPr>
      <w:r>
        <w:rPr>
          <w:rFonts w:hint="eastAsia" w:ascii="仿宋_GB2312" w:hAnsi="宋体" w:eastAsia="仿宋_GB2312" w:cs="宋体"/>
          <w:color w:val="000000"/>
          <w:kern w:val="0"/>
          <w:sz w:val="32"/>
          <w:szCs w:val="32"/>
          <w:shd w:val="clear" w:color="auto" w:fill="FFFFFF"/>
          <w:lang w:val="zh-CN"/>
        </w:rPr>
        <w:t>通江县公路养护管理段于1995年由省养路段和县养路段合并，</w:t>
      </w:r>
      <w:r>
        <w:rPr>
          <w:rFonts w:hint="eastAsia" w:ascii="仿宋_GB2312" w:hAnsi="宋体" w:eastAsia="仿宋_GB2312"/>
          <w:sz w:val="32"/>
          <w:szCs w:val="32"/>
          <w:lang w:val="zh-CN"/>
        </w:rPr>
        <w:t>属公益一类财政全额拨款事业单位。</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承担全县国省干线490公里道路的管理与养护、公路绿化、应急保通保畅工作。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2020年末，在编人员202人（其中：管理岗位3人，专业技术人员55人，工勤岗位144人）。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全年财政拨款收入29945288.45元。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财政整体支出29945288.45元，其中：社会保障和就业支出2170983.00元，卫生健康支出1191444.00元，交通运输支出24939605.45元，住房保障支出1628256.00元。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我段严格按照财政预算分类进行，保证工资按时发放，按时缴纳各类保险，控制 “三公”经费支出，严格执行政府采购管理制度。准确编制年初预算和年末调整预算，公用经费使用按进度执行，分科目实施。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年末，段内开展财政资金使用评价，社会效应良好，公路路面性能使用指数PQI检测值92，获得省交通运输厅和市交通运输局好评，管养道路通畅，老百姓满意度极高。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评价结果：良好。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95"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是建设资金缺乏。我县实施交通项目较多，且无资金来源，特别是国省干线道路建设要求强烈，现实矛盾较突出。加之已建成交通项目欠账较多，而通江是国家级贫困县，财政收支矛盾突出，地方配套资金难，资金缺口大、到位难，项目推进缓慢。</w:t>
      </w:r>
    </w:p>
    <w:p>
      <w:pPr>
        <w:spacing w:line="595" w:lineRule="exact"/>
        <w:ind w:firstLine="640" w:firstLineChars="200"/>
        <w:rPr>
          <w:szCs w:val="32"/>
        </w:rPr>
      </w:pPr>
      <w:r>
        <w:rPr>
          <w:rFonts w:hint="eastAsia" w:ascii="仿宋_GB2312" w:hAnsi="宋体" w:eastAsia="仿宋_GB2312" w:cs="宋体"/>
          <w:color w:val="000000"/>
          <w:kern w:val="0"/>
          <w:sz w:val="32"/>
          <w:szCs w:val="32"/>
          <w:shd w:val="clear" w:color="auto" w:fill="FFFFFF"/>
          <w:lang w:val="zh-CN"/>
        </w:rPr>
        <w:t>二是建设材料缺乏。县域内砂石等建材短缺，全县公路项目多、里程长，外购运距远、运输成本高，部分项目因材料紧缺严重影响工程进度。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95"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由于我段管养里程长，人员配备严重不足，养护机械原始，养护扩难度大，养护经费严重不足，加之养护成本高，建议加大对养护资金的投入。</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16"/>
          <w:rFonts w:ascii="黑体" w:hAnsi="黑体" w:eastAsia="黑体"/>
          <w:b w:val="0"/>
        </w:rPr>
      </w:pPr>
    </w:p>
    <w:p>
      <w:pPr>
        <w:pageBreakBefore/>
        <w:spacing w:line="600" w:lineRule="exact"/>
        <w:jc w:val="center"/>
        <w:outlineLvl w:val="0"/>
        <w:rPr>
          <w:rStyle w:val="16"/>
          <w:rFonts w:ascii="黑体" w:hAnsi="黑体" w:eastAsia="黑体"/>
          <w:b w:val="0"/>
        </w:rPr>
      </w:pPr>
      <w:bookmarkStart w:id="99" w:name="_Toc113545044"/>
      <w:bookmarkStart w:id="100" w:name="_Toc15396618"/>
      <w:r>
        <w:rPr>
          <w:rFonts w:hint="eastAsia" w:ascii="黑体" w:hAnsi="黑体" w:eastAsia="黑体"/>
          <w:color w:val="000000"/>
          <w:sz w:val="44"/>
          <w:szCs w:val="44"/>
        </w:rPr>
        <w:t>第</w:t>
      </w:r>
      <w:r>
        <w:rPr>
          <w:rStyle w:val="16"/>
          <w:rFonts w:hint="eastAsia" w:ascii="黑体" w:hAnsi="黑体" w:eastAsia="黑体"/>
          <w:b w:val="0"/>
        </w:rPr>
        <w:t>五部分附表</w:t>
      </w:r>
      <w:bookmarkEnd w:id="95"/>
      <w:bookmarkEnd w:id="99"/>
      <w:bookmarkEnd w:id="10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101" w:name="_Toc15396619"/>
      <w:bookmarkStart w:id="102" w:name="_Toc113545045"/>
      <w:r>
        <w:rPr>
          <w:rFonts w:hint="eastAsia" w:ascii="仿宋" w:hAnsi="仿宋" w:eastAsia="仿宋"/>
          <w:b w:val="0"/>
          <w:color w:val="000000"/>
        </w:rPr>
        <w:t>一、收</w:t>
      </w:r>
      <w:r>
        <w:rPr>
          <w:rStyle w:val="17"/>
          <w:rFonts w:hint="eastAsia" w:ascii="仿宋" w:hAnsi="仿宋" w:eastAsia="仿宋"/>
          <w:b w:val="0"/>
          <w:bCs w:val="0"/>
        </w:rPr>
        <w:t>入支出决算总表</w:t>
      </w:r>
      <w:bookmarkEnd w:id="101"/>
      <w:bookmarkEnd w:id="102"/>
    </w:p>
    <w:p>
      <w:pPr>
        <w:pStyle w:val="3"/>
        <w:rPr>
          <w:rFonts w:ascii="仿宋" w:hAnsi="仿宋" w:eastAsia="仿宋"/>
          <w:color w:val="000000"/>
        </w:rPr>
      </w:pPr>
      <w:bookmarkStart w:id="103" w:name="_Toc15396620"/>
      <w:bookmarkStart w:id="104" w:name="_Toc113545046"/>
      <w:r>
        <w:rPr>
          <w:rFonts w:hint="eastAsia" w:ascii="仿宋" w:hAnsi="仿宋" w:eastAsia="仿宋"/>
          <w:b w:val="0"/>
          <w:color w:val="000000"/>
        </w:rPr>
        <w:t>二、收</w:t>
      </w:r>
      <w:r>
        <w:rPr>
          <w:rStyle w:val="17"/>
          <w:rFonts w:hint="eastAsia" w:ascii="仿宋" w:hAnsi="仿宋" w:eastAsia="仿宋"/>
          <w:b w:val="0"/>
          <w:bCs w:val="0"/>
        </w:rPr>
        <w:t>入决算表</w:t>
      </w:r>
      <w:bookmarkEnd w:id="103"/>
      <w:bookmarkEnd w:id="104"/>
    </w:p>
    <w:p>
      <w:pPr>
        <w:pStyle w:val="3"/>
        <w:rPr>
          <w:rFonts w:ascii="仿宋" w:hAnsi="仿宋" w:eastAsia="仿宋"/>
          <w:color w:val="000000"/>
        </w:rPr>
      </w:pPr>
      <w:bookmarkStart w:id="105" w:name="_Toc15396621"/>
      <w:bookmarkStart w:id="106" w:name="_Toc113545047"/>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105"/>
      <w:bookmarkEnd w:id="106"/>
    </w:p>
    <w:p>
      <w:pPr>
        <w:pStyle w:val="3"/>
        <w:rPr>
          <w:rFonts w:ascii="仿宋" w:hAnsi="仿宋" w:eastAsia="仿宋"/>
          <w:b w:val="0"/>
          <w:color w:val="000000"/>
        </w:rPr>
      </w:pPr>
      <w:bookmarkStart w:id="107" w:name="_Toc15396622"/>
      <w:bookmarkStart w:id="108" w:name="_Toc113545048"/>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107"/>
      <w:bookmarkEnd w:id="108"/>
    </w:p>
    <w:p>
      <w:pPr>
        <w:pStyle w:val="3"/>
        <w:rPr>
          <w:rStyle w:val="17"/>
          <w:rFonts w:ascii="仿宋" w:hAnsi="仿宋" w:eastAsia="仿宋"/>
          <w:b w:val="0"/>
          <w:bCs w:val="0"/>
        </w:rPr>
      </w:pPr>
      <w:bookmarkStart w:id="109" w:name="_Toc113545049"/>
      <w:bookmarkStart w:id="110"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109"/>
      <w:bookmarkEnd w:id="110"/>
      <w:bookmarkStart w:id="111" w:name="_Toc15396624"/>
    </w:p>
    <w:p>
      <w:pPr>
        <w:pStyle w:val="3"/>
        <w:rPr>
          <w:rFonts w:ascii="仿宋" w:hAnsi="仿宋" w:eastAsia="仿宋"/>
          <w:color w:val="000000"/>
        </w:rPr>
      </w:pPr>
      <w:bookmarkStart w:id="112" w:name="_Toc113545050"/>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111"/>
      <w:bookmarkEnd w:id="112"/>
    </w:p>
    <w:p>
      <w:pPr>
        <w:pStyle w:val="3"/>
        <w:rPr>
          <w:rFonts w:ascii="仿宋" w:hAnsi="仿宋" w:eastAsia="仿宋"/>
          <w:color w:val="000000"/>
        </w:rPr>
      </w:pPr>
      <w:bookmarkStart w:id="113" w:name="_Toc15396625"/>
      <w:bookmarkStart w:id="114" w:name="_Toc113545051"/>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113"/>
      <w:bookmarkEnd w:id="114"/>
    </w:p>
    <w:p>
      <w:pPr>
        <w:pStyle w:val="3"/>
        <w:rPr>
          <w:rFonts w:ascii="仿宋" w:hAnsi="仿宋" w:eastAsia="仿宋"/>
          <w:color w:val="000000"/>
        </w:rPr>
      </w:pPr>
      <w:bookmarkStart w:id="115" w:name="_Toc113545052"/>
      <w:bookmarkStart w:id="116"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115"/>
      <w:bookmarkEnd w:id="116"/>
    </w:p>
    <w:p>
      <w:pPr>
        <w:pStyle w:val="3"/>
        <w:rPr>
          <w:rFonts w:ascii="仿宋" w:hAnsi="仿宋" w:eastAsia="仿宋"/>
          <w:color w:val="000000"/>
        </w:rPr>
      </w:pPr>
      <w:bookmarkStart w:id="117" w:name="_Toc15396627"/>
      <w:bookmarkStart w:id="118" w:name="_Toc113545053"/>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117"/>
      <w:bookmarkEnd w:id="118"/>
    </w:p>
    <w:p>
      <w:pPr>
        <w:pStyle w:val="3"/>
        <w:rPr>
          <w:rFonts w:ascii="仿宋" w:hAnsi="仿宋" w:eastAsia="仿宋"/>
          <w:color w:val="000000"/>
        </w:rPr>
      </w:pPr>
      <w:bookmarkStart w:id="119" w:name="_Toc113545054"/>
      <w:bookmarkStart w:id="120"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119"/>
      <w:bookmarkEnd w:id="120"/>
    </w:p>
    <w:p>
      <w:pPr>
        <w:pStyle w:val="3"/>
        <w:rPr>
          <w:rFonts w:ascii="仿宋" w:hAnsi="仿宋" w:eastAsia="仿宋"/>
          <w:color w:val="000000"/>
        </w:rPr>
      </w:pPr>
      <w:bookmarkStart w:id="121" w:name="_Toc15396629"/>
      <w:bookmarkStart w:id="122" w:name="_Toc113545055"/>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121"/>
      <w:bookmarkEnd w:id="122"/>
    </w:p>
    <w:p>
      <w:pPr>
        <w:pStyle w:val="3"/>
        <w:rPr>
          <w:rFonts w:ascii="仿宋" w:hAnsi="仿宋" w:eastAsia="仿宋"/>
          <w:color w:val="000000"/>
        </w:rPr>
      </w:pPr>
      <w:bookmarkStart w:id="123" w:name="_Toc15396630"/>
      <w:bookmarkStart w:id="124" w:name="_Toc113545056"/>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123"/>
      <w:bookmarkEnd w:id="124"/>
    </w:p>
    <w:p>
      <w:pPr>
        <w:pStyle w:val="3"/>
        <w:rPr>
          <w:rFonts w:ascii="仿宋" w:hAnsi="仿宋" w:eastAsia="仿宋"/>
          <w:color w:val="000000"/>
        </w:rPr>
      </w:pPr>
      <w:bookmarkStart w:id="125" w:name="_Toc113545057"/>
      <w:bookmarkStart w:id="126"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有资本经营预算财政拨款支出决算表</w:t>
      </w:r>
      <w:bookmarkEnd w:id="125"/>
      <w:bookmarkEnd w:id="12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20</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yYTBhZThmOTU4YTliMjhiZDc4ZDk4MjhmMTAzN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9D8"/>
    <w:rsid w:val="000D1267"/>
    <w:rsid w:val="000D1D50"/>
    <w:rsid w:val="000D5782"/>
    <w:rsid w:val="000E6613"/>
    <w:rsid w:val="000E7119"/>
    <w:rsid w:val="000E7185"/>
    <w:rsid w:val="00114E9B"/>
    <w:rsid w:val="00115301"/>
    <w:rsid w:val="00121926"/>
    <w:rsid w:val="001319E1"/>
    <w:rsid w:val="00142216"/>
    <w:rsid w:val="00144D6A"/>
    <w:rsid w:val="0014729F"/>
    <w:rsid w:val="00157BAB"/>
    <w:rsid w:val="001654D1"/>
    <w:rsid w:val="00172FFC"/>
    <w:rsid w:val="00174518"/>
    <w:rsid w:val="0018106D"/>
    <w:rsid w:val="001877A7"/>
    <w:rsid w:val="00191536"/>
    <w:rsid w:val="00196687"/>
    <w:rsid w:val="001C0962"/>
    <w:rsid w:val="001D7531"/>
    <w:rsid w:val="001E5F52"/>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86D2E"/>
    <w:rsid w:val="00294DC9"/>
    <w:rsid w:val="00295495"/>
    <w:rsid w:val="002A31DE"/>
    <w:rsid w:val="002B2613"/>
    <w:rsid w:val="002C35D0"/>
    <w:rsid w:val="002D6D05"/>
    <w:rsid w:val="002F1818"/>
    <w:rsid w:val="002F4D6D"/>
    <w:rsid w:val="002F567B"/>
    <w:rsid w:val="003216A9"/>
    <w:rsid w:val="00335A74"/>
    <w:rsid w:val="0036561B"/>
    <w:rsid w:val="0037013F"/>
    <w:rsid w:val="00380C92"/>
    <w:rsid w:val="00381316"/>
    <w:rsid w:val="00386423"/>
    <w:rsid w:val="003A484F"/>
    <w:rsid w:val="003A4883"/>
    <w:rsid w:val="003B0BE0"/>
    <w:rsid w:val="003B0C1B"/>
    <w:rsid w:val="003B688C"/>
    <w:rsid w:val="003C0291"/>
    <w:rsid w:val="003C39AE"/>
    <w:rsid w:val="003C472A"/>
    <w:rsid w:val="003C7B60"/>
    <w:rsid w:val="003D0C0F"/>
    <w:rsid w:val="003D1FB2"/>
    <w:rsid w:val="003D66DA"/>
    <w:rsid w:val="003E1310"/>
    <w:rsid w:val="003E6F55"/>
    <w:rsid w:val="00406254"/>
    <w:rsid w:val="004223DE"/>
    <w:rsid w:val="004319DC"/>
    <w:rsid w:val="00434489"/>
    <w:rsid w:val="00437085"/>
    <w:rsid w:val="00443880"/>
    <w:rsid w:val="004464F4"/>
    <w:rsid w:val="00465E6B"/>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516F3"/>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6C1"/>
    <w:rsid w:val="00607E6C"/>
    <w:rsid w:val="006101B1"/>
    <w:rsid w:val="00614E44"/>
    <w:rsid w:val="0062270A"/>
    <w:rsid w:val="00622830"/>
    <w:rsid w:val="00623DA0"/>
    <w:rsid w:val="00625A86"/>
    <w:rsid w:val="00630AEF"/>
    <w:rsid w:val="006325F8"/>
    <w:rsid w:val="00633463"/>
    <w:rsid w:val="00634C9A"/>
    <w:rsid w:val="006440E4"/>
    <w:rsid w:val="00651B51"/>
    <w:rsid w:val="0066343B"/>
    <w:rsid w:val="00664777"/>
    <w:rsid w:val="006748A4"/>
    <w:rsid w:val="00681A31"/>
    <w:rsid w:val="00683E73"/>
    <w:rsid w:val="006A3141"/>
    <w:rsid w:val="006A5E34"/>
    <w:rsid w:val="006B2422"/>
    <w:rsid w:val="006B2B9A"/>
    <w:rsid w:val="006C1937"/>
    <w:rsid w:val="006F020C"/>
    <w:rsid w:val="00700370"/>
    <w:rsid w:val="007127B7"/>
    <w:rsid w:val="0071798E"/>
    <w:rsid w:val="0073404A"/>
    <w:rsid w:val="007416B6"/>
    <w:rsid w:val="00746F48"/>
    <w:rsid w:val="0075404D"/>
    <w:rsid w:val="0076182A"/>
    <w:rsid w:val="00767B7E"/>
    <w:rsid w:val="007770C3"/>
    <w:rsid w:val="00784D24"/>
    <w:rsid w:val="00785FBA"/>
    <w:rsid w:val="00786E4A"/>
    <w:rsid w:val="007875EB"/>
    <w:rsid w:val="0079426B"/>
    <w:rsid w:val="00794A2E"/>
    <w:rsid w:val="007D1682"/>
    <w:rsid w:val="007D312A"/>
    <w:rsid w:val="007D3F19"/>
    <w:rsid w:val="007E23B0"/>
    <w:rsid w:val="007E23E5"/>
    <w:rsid w:val="007F1991"/>
    <w:rsid w:val="007F2C2F"/>
    <w:rsid w:val="007F2F05"/>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55DD"/>
    <w:rsid w:val="008B768C"/>
    <w:rsid w:val="008C4DB1"/>
    <w:rsid w:val="008C4EAF"/>
    <w:rsid w:val="008C5176"/>
    <w:rsid w:val="008C7FD0"/>
    <w:rsid w:val="008D7B96"/>
    <w:rsid w:val="008E1DE7"/>
    <w:rsid w:val="008E707C"/>
    <w:rsid w:val="00900B08"/>
    <w:rsid w:val="00902155"/>
    <w:rsid w:val="00902FA3"/>
    <w:rsid w:val="00907D15"/>
    <w:rsid w:val="00923564"/>
    <w:rsid w:val="0092392E"/>
    <w:rsid w:val="009315F9"/>
    <w:rsid w:val="00933499"/>
    <w:rsid w:val="009334D8"/>
    <w:rsid w:val="00935C98"/>
    <w:rsid w:val="00935FAC"/>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4C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D436F"/>
    <w:rsid w:val="00BF5BD6"/>
    <w:rsid w:val="00C03E31"/>
    <w:rsid w:val="00C33E72"/>
    <w:rsid w:val="00C354B2"/>
    <w:rsid w:val="00C35554"/>
    <w:rsid w:val="00C42709"/>
    <w:rsid w:val="00C533CC"/>
    <w:rsid w:val="00C5751C"/>
    <w:rsid w:val="00C61BFC"/>
    <w:rsid w:val="00C62B85"/>
    <w:rsid w:val="00C65438"/>
    <w:rsid w:val="00C72338"/>
    <w:rsid w:val="00C87FD8"/>
    <w:rsid w:val="00C91381"/>
    <w:rsid w:val="00C91CBB"/>
    <w:rsid w:val="00CB4E70"/>
    <w:rsid w:val="00CC09B6"/>
    <w:rsid w:val="00CC666F"/>
    <w:rsid w:val="00CD1E3F"/>
    <w:rsid w:val="00CE44F6"/>
    <w:rsid w:val="00CE49DA"/>
    <w:rsid w:val="00CE7B61"/>
    <w:rsid w:val="00CF2CDB"/>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5ED5"/>
    <w:rsid w:val="00DC68CA"/>
    <w:rsid w:val="00DC7CBA"/>
    <w:rsid w:val="00DD73B7"/>
    <w:rsid w:val="00DF28BC"/>
    <w:rsid w:val="00DF34B9"/>
    <w:rsid w:val="00E01053"/>
    <w:rsid w:val="00E01421"/>
    <w:rsid w:val="00E07ACF"/>
    <w:rsid w:val="00E158E3"/>
    <w:rsid w:val="00E32CAD"/>
    <w:rsid w:val="00E331A1"/>
    <w:rsid w:val="00E33202"/>
    <w:rsid w:val="00E336A9"/>
    <w:rsid w:val="00E472B1"/>
    <w:rsid w:val="00E50624"/>
    <w:rsid w:val="00E568DF"/>
    <w:rsid w:val="00E64269"/>
    <w:rsid w:val="00E71F43"/>
    <w:rsid w:val="00E82267"/>
    <w:rsid w:val="00E853CE"/>
    <w:rsid w:val="00E867B6"/>
    <w:rsid w:val="00EA010F"/>
    <w:rsid w:val="00ED1B63"/>
    <w:rsid w:val="00ED3C1F"/>
    <w:rsid w:val="00ED4085"/>
    <w:rsid w:val="00ED420E"/>
    <w:rsid w:val="00ED4DFF"/>
    <w:rsid w:val="00ED4F48"/>
    <w:rsid w:val="00ED6FBE"/>
    <w:rsid w:val="00EE2F57"/>
    <w:rsid w:val="00EF4C34"/>
    <w:rsid w:val="00EF60EF"/>
    <w:rsid w:val="00EF77C6"/>
    <w:rsid w:val="00F05438"/>
    <w:rsid w:val="00F1361C"/>
    <w:rsid w:val="00F14BB5"/>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5A8D"/>
    <w:rsid w:val="00FD3CC1"/>
    <w:rsid w:val="00FF1E02"/>
    <w:rsid w:val="00FF30B4"/>
    <w:rsid w:val="0A2032A3"/>
    <w:rsid w:val="10C055FF"/>
    <w:rsid w:val="118107EC"/>
    <w:rsid w:val="16BB723D"/>
    <w:rsid w:val="1D155CEE"/>
    <w:rsid w:val="240371BF"/>
    <w:rsid w:val="2425339B"/>
    <w:rsid w:val="29FD04D3"/>
    <w:rsid w:val="319F7F4E"/>
    <w:rsid w:val="4ECE2238"/>
    <w:rsid w:val="65962795"/>
    <w:rsid w:val="6C4A05C8"/>
    <w:rsid w:val="72734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0"/>
    <w:semiHidden/>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qFormat/>
    <w:uiPriority w:val="99"/>
    <w:rPr>
      <w:rFonts w:cs="Times New Roman"/>
      <w:b/>
    </w:rPr>
  </w:style>
  <w:style w:type="character" w:styleId="15">
    <w:name w:val="Hyperlink"/>
    <w:unhideWhenUsed/>
    <w:qFormat/>
    <w:uiPriority w:val="99"/>
    <w:rPr>
      <w:rFonts w:cs="Times New Roman"/>
      <w:color w:val="0000FF"/>
      <w:u w:val="single"/>
    </w:rPr>
  </w:style>
  <w:style w:type="character" w:customStyle="1" w:styleId="16">
    <w:name w:val="标题 1 Char"/>
    <w:link w:val="2"/>
    <w:qFormat/>
    <w:locked/>
    <w:uiPriority w:val="9"/>
    <w:rPr>
      <w:rFonts w:ascii="Times New Roman" w:hAnsi="Times New Roman" w:cs="Times New Roman"/>
      <w:b/>
      <w:bCs/>
      <w:kern w:val="44"/>
      <w:sz w:val="44"/>
      <w:szCs w:val="44"/>
    </w:rPr>
  </w:style>
  <w:style w:type="character" w:customStyle="1" w:styleId="17">
    <w:name w:val="标题 2 Char"/>
    <w:link w:val="3"/>
    <w:qFormat/>
    <w:locked/>
    <w:uiPriority w:val="9"/>
    <w:rPr>
      <w:rFonts w:ascii="Cambria" w:hAnsi="Cambria" w:eastAsia="宋体" w:cs="Times New Roman"/>
      <w:b/>
      <w:bCs/>
      <w:kern w:val="2"/>
      <w:sz w:val="32"/>
      <w:szCs w:val="32"/>
    </w:rPr>
  </w:style>
  <w:style w:type="character" w:customStyle="1" w:styleId="18">
    <w:name w:val="标题 3 Char"/>
    <w:link w:val="4"/>
    <w:qFormat/>
    <w:locked/>
    <w:uiPriority w:val="9"/>
    <w:rPr>
      <w:rFonts w:ascii="Times New Roman" w:hAnsi="Times New Roman" w:cs="Times New Roman"/>
      <w:b/>
      <w:bCs/>
      <w:kern w:val="2"/>
      <w:sz w:val="32"/>
      <w:szCs w:val="32"/>
    </w:rPr>
  </w:style>
  <w:style w:type="character" w:customStyle="1" w:styleId="19">
    <w:name w:val="Body Text Char"/>
    <w:semiHidden/>
    <w:qFormat/>
    <w:uiPriority w:val="99"/>
    <w:rPr>
      <w:rFonts w:ascii="Times New Roman" w:hAnsi="Times New Roman" w:cs="Times New Roman"/>
      <w:sz w:val="24"/>
      <w:szCs w:val="24"/>
    </w:rPr>
  </w:style>
  <w:style w:type="character" w:customStyle="1" w:styleId="20">
    <w:name w:val="批注框文本 Char"/>
    <w:link w:val="7"/>
    <w:semiHidden/>
    <w:qFormat/>
    <w:locked/>
    <w:uiPriority w:val="99"/>
    <w:rPr>
      <w:rFonts w:ascii="Times New Roman" w:hAnsi="Times New Roman" w:cs="Times New Roman"/>
      <w:kern w:val="2"/>
      <w:sz w:val="18"/>
      <w:szCs w:val="18"/>
    </w:rPr>
  </w:style>
  <w:style w:type="character" w:customStyle="1" w:styleId="21">
    <w:name w:val="Footer Char"/>
    <w:semiHidden/>
    <w:qFormat/>
    <w:uiPriority w:val="99"/>
    <w:rPr>
      <w:rFonts w:ascii="Times New Roman" w:hAnsi="Times New Roman" w:cs="Times New Roman"/>
      <w:sz w:val="18"/>
      <w:szCs w:val="18"/>
    </w:rPr>
  </w:style>
  <w:style w:type="character" w:customStyle="1" w:styleId="22">
    <w:name w:val="Header Char"/>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列出段落1"/>
    <w:basedOn w:val="1"/>
    <w:qFormat/>
    <w:uiPriority w:val="34"/>
    <w:pPr>
      <w:ind w:firstLine="420" w:firstLineChars="200"/>
    </w:p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p0"/>
    <w:basedOn w:val="1"/>
    <w:uiPriority w:val="0"/>
    <w:pPr>
      <w:widowControl/>
    </w:pPr>
    <w:rPr>
      <w:kern w:val="0"/>
      <w:szCs w:val="21"/>
    </w:rPr>
  </w:style>
  <w:style w:type="character" w:customStyle="1" w:styleId="31">
    <w:name w:val="要点1"/>
    <w:qFormat/>
    <w:uiPriority w:val="99"/>
    <w:rPr>
      <w:rFonts w:cs="Times New Roman"/>
      <w:b/>
    </w:rPr>
  </w:style>
  <w:style w:type="paragraph" w:customStyle="1" w:styleId="3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7EDC-F1A9-4189-9ED2-32C8C0FBF3C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7035</Words>
  <Characters>7580</Characters>
  <Lines>69</Lines>
  <Paragraphs>19</Paragraphs>
  <TotalTime>94</TotalTime>
  <ScaleCrop>false</ScaleCrop>
  <LinksUpToDate>false</LinksUpToDate>
  <CharactersWithSpaces>7687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2022-09-08T03:57:00Z</dcterms:created>
  <dc:creator>曹颖</dc:creator>
  <cp:lastModifiedBy>狂奔的蜗牛</cp:lastModifiedBy>
  <cp:lastPrinted>2021-07-29T03:56:00Z</cp:lastPrinted>
  <dcterms:modified xsi:type="dcterms:W3CDTF">2022-09-10T07:25:26Z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68615FC5E02247F89BB551697E5DE608</vt:lpwstr>
  </property>
</Properties>
</file>