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drawings/drawing3.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hint="default" w:ascii="方正小标宋简体" w:hAnsi="宋体" w:eastAsia="方正小标宋简体"/>
          <w:color w:val="auto"/>
          <w:sz w:val="72"/>
          <w:szCs w:val="72"/>
          <w:highlight w:val="none"/>
          <w:lang w:val="en-US" w:eastAsia="zh-CN"/>
        </w:rPr>
      </w:pPr>
      <w:bookmarkStart w:id="0" w:name="_Toc15306267"/>
      <w:bookmarkStart w:id="1" w:name="_Toc15396597"/>
      <w:bookmarkStart w:id="2" w:name="_Toc15377425"/>
      <w:bookmarkStart w:id="3" w:name="_Toc15378441"/>
      <w:bookmarkStart w:id="4" w:name="_Toc15396475"/>
      <w:bookmarkStart w:id="5" w:name="_Toc15377193"/>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eastAsia="zh-CN"/>
        </w:rPr>
      </w:pPr>
      <w:bookmarkStart w:id="6" w:name="_Toc25461"/>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bookmarkEnd w:id="5"/>
      <w:bookmarkStart w:id="7" w:name="_Toc15396598"/>
      <w:bookmarkStart w:id="8" w:name="_Toc15306268"/>
      <w:bookmarkStart w:id="9" w:name="_Toc15378442"/>
      <w:bookmarkStart w:id="10" w:name="_Toc15377426"/>
      <w:bookmarkStart w:id="11" w:name="_Toc15377194"/>
      <w:bookmarkStart w:id="12" w:name="_Toc15396476"/>
      <w:r>
        <w:rPr>
          <w:rFonts w:hint="eastAsia" w:ascii="方正小标宋简体" w:hAnsi="方正小标宋简体" w:eastAsia="方正小标宋简体" w:cs="方正小标宋简体"/>
          <w:color w:val="auto"/>
          <w:sz w:val="72"/>
          <w:szCs w:val="72"/>
          <w:highlight w:val="none"/>
          <w:lang w:eastAsia="zh-CN"/>
        </w:rPr>
        <w:t>通江县</w:t>
      </w:r>
      <w:bookmarkEnd w:id="6"/>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eastAsia="zh-CN"/>
        </w:rPr>
      </w:pPr>
      <w:bookmarkStart w:id="13" w:name="_Toc9292"/>
      <w:r>
        <w:rPr>
          <w:rFonts w:hint="eastAsia" w:ascii="方正小标宋简体" w:hAnsi="方正小标宋简体" w:eastAsia="方正小标宋简体" w:cs="方正小标宋简体"/>
          <w:color w:val="auto"/>
          <w:sz w:val="72"/>
          <w:szCs w:val="72"/>
          <w:highlight w:val="none"/>
          <w:lang w:eastAsia="zh-CN"/>
        </w:rPr>
        <w:t>毛浴镇人民政府</w:t>
      </w:r>
      <w:bookmarkEnd w:id="13"/>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4" w:name="_Toc25456"/>
      <w:r>
        <w:rPr>
          <w:rFonts w:hint="eastAsia" w:ascii="方正小标宋简体" w:hAnsi="方正小标宋简体" w:eastAsia="方正小标宋简体" w:cs="方正小标宋简体"/>
          <w:color w:val="auto"/>
          <w:sz w:val="72"/>
          <w:szCs w:val="72"/>
          <w:highlight w:val="none"/>
        </w:rPr>
        <w:t>部门决算</w:t>
      </w:r>
      <w:bookmarkEnd w:id="7"/>
      <w:bookmarkEnd w:id="8"/>
      <w:bookmarkEnd w:id="9"/>
      <w:bookmarkEnd w:id="10"/>
      <w:bookmarkEnd w:id="11"/>
      <w:bookmarkEnd w:id="12"/>
      <w:bookmarkEnd w:id="14"/>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8</w:t>
      </w:r>
      <w:r>
        <w:rPr>
          <w:rFonts w:hint="eastAsia"/>
          <w:color w:val="auto"/>
          <w:highlight w:val="none"/>
        </w:rPr>
        <w:t>月</w:t>
      </w:r>
      <w:r>
        <w:rPr>
          <w:rFonts w:hint="eastAsia"/>
          <w:color w:val="auto"/>
          <w:highlight w:val="none"/>
          <w:lang w:val="en-US" w:eastAsia="zh-CN"/>
        </w:rPr>
        <w:t>25</w:t>
      </w:r>
      <w:r>
        <w:rPr>
          <w:rFonts w:hint="eastAsia"/>
          <w:color w:val="auto"/>
          <w:highlight w:val="none"/>
        </w:rPr>
        <w:t>日</w:t>
      </w:r>
    </w:p>
    <w:sdt>
      <w:sdtPr>
        <w:rPr>
          <w:rFonts w:ascii="宋体" w:hAnsi="宋体" w:eastAsia="宋体" w:cs="Times New Roman"/>
          <w:kern w:val="2"/>
          <w:sz w:val="21"/>
          <w:szCs w:val="24"/>
          <w:lang w:val="en-US" w:eastAsia="zh-CN" w:bidi="ar-SA"/>
        </w:rPr>
        <w:id w:val="147478459"/>
        <w15:color w:val="DBDBDB"/>
        <w:docPartObj>
          <w:docPartGallery w:val="Table of Contents"/>
          <w:docPartUnique/>
        </w:docPartObj>
      </w:sdtPr>
      <w:sdtEndPr>
        <w:rPr>
          <w:rFonts w:hint="eastAsia" w:ascii="仿宋" w:hAnsi="仿宋" w:eastAsia="仿宋" w:cs="仿宋"/>
          <w:b/>
          <w:color w:val="auto"/>
          <w:kern w:val="2"/>
          <w:sz w:val="21"/>
          <w:szCs w:val="24"/>
          <w:highlight w:val="none"/>
          <w:lang w:val="en-US" w:eastAsia="zh-CN" w:bidi="ar-SA"/>
        </w:rPr>
      </w:sdtEndPr>
      <w:sdtContent>
        <w:p>
          <w:pPr>
            <w:pStyle w:val="31"/>
            <w:tabs>
              <w:tab w:val="right" w:leader="dot" w:pos="8306"/>
            </w:tabs>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highlight w:val="none"/>
              <w:lang w:val="en-US" w:eastAsia="zh-CN"/>
            </w:rPr>
            <w:fldChar w:fldCharType="begin"/>
          </w:r>
          <w:r>
            <w:rPr>
              <w:rFonts w:hint="eastAsia" w:asciiTheme="minorEastAsia" w:hAnsiTheme="minorEastAsia" w:eastAsiaTheme="minorEastAsia" w:cstheme="minorEastAsia"/>
              <w:b w:val="0"/>
              <w:bCs w:val="0"/>
              <w:color w:val="auto"/>
              <w:sz w:val="21"/>
              <w:szCs w:val="21"/>
              <w:highlight w:val="none"/>
              <w:lang w:val="en-US" w:eastAsia="zh-CN"/>
            </w:rPr>
            <w:instrText xml:space="preserve">TOC \o "1-2" \h \u </w:instrText>
          </w:r>
          <w:r>
            <w:rPr>
              <w:rFonts w:hint="eastAsia" w:asciiTheme="minorEastAsia" w:hAnsiTheme="minorEastAsia" w:eastAsiaTheme="minorEastAsia" w:cstheme="minorEastAsia"/>
              <w:b w:val="0"/>
              <w:bCs w:val="0"/>
              <w:color w:val="auto"/>
              <w:sz w:val="21"/>
              <w:szCs w:val="21"/>
              <w:highlight w:val="none"/>
              <w:lang w:val="en-US" w:eastAsia="zh-CN"/>
            </w:rPr>
            <w:fldChar w:fldCharType="separate"/>
          </w:r>
        </w:p>
        <w:p>
          <w:pPr>
            <w:pStyle w:val="31"/>
            <w:tabs>
              <w:tab w:val="right" w:leader="dot" w:pos="8306"/>
            </w:tabs>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highlight w:val="none"/>
              <w:lang w:val="en-US" w:eastAsia="zh-CN"/>
            </w:rPr>
            <w:fldChar w:fldCharType="begin"/>
          </w:r>
          <w:r>
            <w:rPr>
              <w:rFonts w:hint="eastAsia" w:asciiTheme="minorEastAsia" w:hAnsiTheme="minorEastAsia" w:eastAsiaTheme="minorEastAsia" w:cstheme="minorEastAsia"/>
              <w:b w:val="0"/>
              <w:bCs w:val="0"/>
              <w:sz w:val="21"/>
              <w:szCs w:val="21"/>
              <w:highlight w:val="none"/>
              <w:lang w:val="en-US" w:eastAsia="zh-CN"/>
            </w:rPr>
            <w:instrText xml:space="preserve"> HYPERLINK \l _Toc22012 </w:instrText>
          </w:r>
          <w:r>
            <w:rPr>
              <w:rFonts w:hint="eastAsia" w:asciiTheme="minorEastAsia" w:hAnsiTheme="minorEastAsia" w:eastAsiaTheme="minorEastAsia" w:cstheme="minorEastAsia"/>
              <w:b w:val="0"/>
              <w:bCs w:val="0"/>
              <w:sz w:val="21"/>
              <w:szCs w:val="21"/>
              <w:highlight w:val="none"/>
              <w:lang w:val="en-US" w:eastAsia="zh-CN"/>
            </w:rPr>
            <w:fldChar w:fldCharType="separate"/>
          </w:r>
          <w:r>
            <w:rPr>
              <w:rFonts w:hint="eastAsia" w:asciiTheme="minorEastAsia" w:hAnsiTheme="minorEastAsia" w:eastAsiaTheme="minorEastAsia" w:cstheme="minorEastAsia"/>
              <w:b w:val="0"/>
              <w:bCs w:val="0"/>
              <w:sz w:val="21"/>
              <w:szCs w:val="21"/>
              <w:highlight w:val="none"/>
            </w:rPr>
            <w:t>第一部分 部门概况</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_Toc22012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4</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color w:val="auto"/>
              <w:sz w:val="21"/>
              <w:szCs w:val="21"/>
              <w:highlight w:val="none"/>
              <w:lang w:val="en-US" w:eastAsia="zh-CN"/>
            </w:rPr>
            <w:fldChar w:fldCharType="end"/>
          </w:r>
        </w:p>
        <w:p>
          <w:pPr>
            <w:pStyle w:val="32"/>
            <w:tabs>
              <w:tab w:val="right" w:leader="dot" w:pos="8306"/>
            </w:tabs>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highlight w:val="none"/>
              <w:lang w:val="en-US" w:eastAsia="zh-CN"/>
            </w:rPr>
            <w:fldChar w:fldCharType="begin"/>
          </w:r>
          <w:r>
            <w:rPr>
              <w:rFonts w:hint="eastAsia" w:asciiTheme="minorEastAsia" w:hAnsiTheme="minorEastAsia" w:eastAsiaTheme="minorEastAsia" w:cstheme="minorEastAsia"/>
              <w:b w:val="0"/>
              <w:bCs w:val="0"/>
              <w:sz w:val="21"/>
              <w:szCs w:val="21"/>
              <w:highlight w:val="none"/>
              <w:lang w:val="en-US" w:eastAsia="zh-CN"/>
            </w:rPr>
            <w:instrText xml:space="preserve"> HYPERLINK \l _Toc4004 </w:instrText>
          </w:r>
          <w:r>
            <w:rPr>
              <w:rFonts w:hint="eastAsia" w:asciiTheme="minorEastAsia" w:hAnsiTheme="minorEastAsia" w:eastAsiaTheme="minorEastAsia" w:cstheme="minorEastAsia"/>
              <w:b w:val="0"/>
              <w:bCs w:val="0"/>
              <w:sz w:val="21"/>
              <w:szCs w:val="21"/>
              <w:highlight w:val="none"/>
              <w:lang w:val="en-US" w:eastAsia="zh-CN"/>
            </w:rPr>
            <w:fldChar w:fldCharType="separate"/>
          </w:r>
          <w:r>
            <w:rPr>
              <w:rFonts w:hint="eastAsia" w:asciiTheme="minorEastAsia" w:hAnsiTheme="minorEastAsia" w:eastAsiaTheme="minorEastAsia" w:cstheme="minorEastAsia"/>
              <w:b w:val="0"/>
              <w:bCs w:val="0"/>
              <w:sz w:val="21"/>
              <w:szCs w:val="21"/>
              <w:highlight w:val="none"/>
            </w:rPr>
            <w:t>一、基本职能及主要工作</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_Toc4004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4</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color w:val="auto"/>
              <w:sz w:val="21"/>
              <w:szCs w:val="21"/>
              <w:highlight w:val="none"/>
              <w:lang w:val="en-US" w:eastAsia="zh-CN"/>
            </w:rPr>
            <w:fldChar w:fldCharType="end"/>
          </w:r>
        </w:p>
        <w:p>
          <w:pPr>
            <w:pStyle w:val="32"/>
            <w:tabs>
              <w:tab w:val="right" w:leader="dot" w:pos="8306"/>
            </w:tabs>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highlight w:val="none"/>
              <w:lang w:val="en-US" w:eastAsia="zh-CN"/>
            </w:rPr>
            <w:fldChar w:fldCharType="begin"/>
          </w:r>
          <w:r>
            <w:rPr>
              <w:rFonts w:hint="eastAsia" w:asciiTheme="minorEastAsia" w:hAnsiTheme="minorEastAsia" w:eastAsiaTheme="minorEastAsia" w:cstheme="minorEastAsia"/>
              <w:b w:val="0"/>
              <w:bCs w:val="0"/>
              <w:sz w:val="21"/>
              <w:szCs w:val="21"/>
              <w:highlight w:val="none"/>
              <w:lang w:val="en-US" w:eastAsia="zh-CN"/>
            </w:rPr>
            <w:instrText xml:space="preserve"> HYPERLINK \l _Toc2869 </w:instrText>
          </w:r>
          <w:r>
            <w:rPr>
              <w:rFonts w:hint="eastAsia" w:asciiTheme="minorEastAsia" w:hAnsiTheme="minorEastAsia" w:eastAsiaTheme="minorEastAsia" w:cstheme="minorEastAsia"/>
              <w:b w:val="0"/>
              <w:bCs w:val="0"/>
              <w:sz w:val="21"/>
              <w:szCs w:val="21"/>
              <w:highlight w:val="none"/>
              <w:lang w:val="en-US" w:eastAsia="zh-CN"/>
            </w:rPr>
            <w:fldChar w:fldCharType="separate"/>
          </w:r>
          <w:r>
            <w:rPr>
              <w:rFonts w:hint="eastAsia" w:asciiTheme="minorEastAsia" w:hAnsiTheme="minorEastAsia" w:eastAsiaTheme="minorEastAsia" w:cstheme="minorEastAsia"/>
              <w:b w:val="0"/>
              <w:bCs w:val="0"/>
              <w:sz w:val="21"/>
              <w:szCs w:val="21"/>
              <w:highlight w:val="none"/>
            </w:rPr>
            <w:t>二、机构设置</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_Toc2869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6</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color w:val="auto"/>
              <w:sz w:val="21"/>
              <w:szCs w:val="21"/>
              <w:highlight w:val="none"/>
              <w:lang w:val="en-US" w:eastAsia="zh-CN"/>
            </w:rPr>
            <w:fldChar w:fldCharType="end"/>
          </w:r>
        </w:p>
        <w:p>
          <w:pPr>
            <w:pStyle w:val="31"/>
            <w:tabs>
              <w:tab w:val="right" w:leader="dot" w:pos="8306"/>
            </w:tabs>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highlight w:val="none"/>
              <w:lang w:val="en-US" w:eastAsia="zh-CN"/>
            </w:rPr>
            <w:fldChar w:fldCharType="begin"/>
          </w:r>
          <w:r>
            <w:rPr>
              <w:rFonts w:hint="eastAsia" w:asciiTheme="minorEastAsia" w:hAnsiTheme="minorEastAsia" w:eastAsiaTheme="minorEastAsia" w:cstheme="minorEastAsia"/>
              <w:b w:val="0"/>
              <w:bCs w:val="0"/>
              <w:sz w:val="21"/>
              <w:szCs w:val="21"/>
              <w:highlight w:val="none"/>
              <w:lang w:val="en-US" w:eastAsia="zh-CN"/>
            </w:rPr>
            <w:instrText xml:space="preserve"> HYPERLINK \l _Toc18835 </w:instrText>
          </w:r>
          <w:r>
            <w:rPr>
              <w:rFonts w:hint="eastAsia" w:asciiTheme="minorEastAsia" w:hAnsiTheme="minorEastAsia" w:eastAsiaTheme="minorEastAsia" w:cstheme="minorEastAsia"/>
              <w:b w:val="0"/>
              <w:bCs w:val="0"/>
              <w:sz w:val="21"/>
              <w:szCs w:val="21"/>
              <w:highlight w:val="none"/>
              <w:lang w:val="en-US" w:eastAsia="zh-CN"/>
            </w:rPr>
            <w:fldChar w:fldCharType="separate"/>
          </w:r>
          <w:r>
            <w:rPr>
              <w:rFonts w:hint="eastAsia" w:asciiTheme="minorEastAsia" w:hAnsiTheme="minorEastAsia" w:eastAsiaTheme="minorEastAsia" w:cstheme="minorEastAsia"/>
              <w:b w:val="0"/>
              <w:bCs w:val="0"/>
              <w:sz w:val="21"/>
              <w:szCs w:val="21"/>
              <w:highlight w:val="none"/>
            </w:rPr>
            <w:t xml:space="preserve">第二部分 </w:t>
          </w:r>
          <w:r>
            <w:rPr>
              <w:rFonts w:hint="eastAsia" w:asciiTheme="minorEastAsia" w:hAnsiTheme="minorEastAsia" w:eastAsiaTheme="minorEastAsia" w:cstheme="minorEastAsia"/>
              <w:b w:val="0"/>
              <w:bCs w:val="0"/>
              <w:sz w:val="21"/>
              <w:szCs w:val="21"/>
              <w:highlight w:val="none"/>
              <w:lang w:val="en-US" w:eastAsia="zh-CN"/>
            </w:rPr>
            <w:t>2021年度</w:t>
          </w:r>
          <w:r>
            <w:rPr>
              <w:rFonts w:hint="eastAsia" w:asciiTheme="minorEastAsia" w:hAnsiTheme="minorEastAsia" w:eastAsiaTheme="minorEastAsia" w:cstheme="minorEastAsia"/>
              <w:b w:val="0"/>
              <w:bCs w:val="0"/>
              <w:sz w:val="21"/>
              <w:szCs w:val="21"/>
              <w:highlight w:val="none"/>
            </w:rPr>
            <w:t>部门决算情况说明</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_Toc18835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7</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color w:val="auto"/>
              <w:sz w:val="21"/>
              <w:szCs w:val="21"/>
              <w:highlight w:val="none"/>
              <w:lang w:val="en-US" w:eastAsia="zh-CN"/>
            </w:rPr>
            <w:fldChar w:fldCharType="end"/>
          </w:r>
        </w:p>
        <w:p>
          <w:pPr>
            <w:pStyle w:val="32"/>
            <w:tabs>
              <w:tab w:val="right" w:leader="dot" w:pos="8306"/>
            </w:tabs>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highlight w:val="none"/>
              <w:lang w:val="en-US" w:eastAsia="zh-CN"/>
            </w:rPr>
            <w:fldChar w:fldCharType="begin"/>
          </w:r>
          <w:r>
            <w:rPr>
              <w:rFonts w:hint="eastAsia" w:asciiTheme="minorEastAsia" w:hAnsiTheme="minorEastAsia" w:eastAsiaTheme="minorEastAsia" w:cstheme="minorEastAsia"/>
              <w:b w:val="0"/>
              <w:bCs w:val="0"/>
              <w:sz w:val="21"/>
              <w:szCs w:val="21"/>
              <w:highlight w:val="none"/>
              <w:lang w:val="en-US" w:eastAsia="zh-CN"/>
            </w:rPr>
            <w:instrText xml:space="preserve"> HYPERLINK \l _Toc15161 </w:instrText>
          </w:r>
          <w:r>
            <w:rPr>
              <w:rFonts w:hint="eastAsia" w:asciiTheme="minorEastAsia" w:hAnsiTheme="minorEastAsia" w:eastAsiaTheme="minorEastAsia" w:cstheme="minorEastAsia"/>
              <w:b w:val="0"/>
              <w:bCs w:val="0"/>
              <w:sz w:val="21"/>
              <w:szCs w:val="21"/>
              <w:highlight w:val="none"/>
              <w:lang w:val="en-US" w:eastAsia="zh-CN"/>
            </w:rPr>
            <w:fldChar w:fldCharType="separate"/>
          </w:r>
          <w:r>
            <w:rPr>
              <w:rFonts w:hint="eastAsia" w:asciiTheme="minorEastAsia" w:hAnsiTheme="minorEastAsia" w:eastAsiaTheme="minorEastAsia" w:cstheme="minorEastAsia"/>
              <w:b w:val="0"/>
              <w:bCs w:val="0"/>
              <w:sz w:val="21"/>
              <w:szCs w:val="21"/>
            </w:rPr>
            <w:t xml:space="preserve">一、 </w:t>
          </w:r>
          <w:r>
            <w:rPr>
              <w:rFonts w:hint="eastAsia" w:asciiTheme="minorEastAsia" w:hAnsiTheme="minorEastAsia" w:eastAsiaTheme="minorEastAsia" w:cstheme="minorEastAsia"/>
              <w:b w:val="0"/>
              <w:bCs w:val="0"/>
              <w:sz w:val="21"/>
              <w:szCs w:val="21"/>
              <w:highlight w:val="none"/>
            </w:rPr>
            <w:t>收入支出决算总体情况说明</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_Toc15161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7</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color w:val="auto"/>
              <w:sz w:val="21"/>
              <w:szCs w:val="21"/>
              <w:highlight w:val="none"/>
              <w:lang w:val="en-US" w:eastAsia="zh-CN"/>
            </w:rPr>
            <w:fldChar w:fldCharType="end"/>
          </w:r>
        </w:p>
        <w:p>
          <w:pPr>
            <w:pStyle w:val="32"/>
            <w:tabs>
              <w:tab w:val="right" w:leader="dot" w:pos="8306"/>
            </w:tabs>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highlight w:val="none"/>
              <w:lang w:val="en-US" w:eastAsia="zh-CN"/>
            </w:rPr>
            <w:fldChar w:fldCharType="begin"/>
          </w:r>
          <w:r>
            <w:rPr>
              <w:rFonts w:hint="eastAsia" w:asciiTheme="minorEastAsia" w:hAnsiTheme="minorEastAsia" w:eastAsiaTheme="minorEastAsia" w:cstheme="minorEastAsia"/>
              <w:b w:val="0"/>
              <w:bCs w:val="0"/>
              <w:sz w:val="21"/>
              <w:szCs w:val="21"/>
              <w:highlight w:val="none"/>
              <w:lang w:val="en-US" w:eastAsia="zh-CN"/>
            </w:rPr>
            <w:instrText xml:space="preserve"> HYPERLINK \l _Toc24625 </w:instrText>
          </w:r>
          <w:r>
            <w:rPr>
              <w:rFonts w:hint="eastAsia" w:asciiTheme="minorEastAsia" w:hAnsiTheme="minorEastAsia" w:eastAsiaTheme="minorEastAsia" w:cstheme="minorEastAsia"/>
              <w:b w:val="0"/>
              <w:bCs w:val="0"/>
              <w:sz w:val="21"/>
              <w:szCs w:val="21"/>
              <w:highlight w:val="none"/>
              <w:lang w:val="en-US" w:eastAsia="zh-CN"/>
            </w:rPr>
            <w:fldChar w:fldCharType="separate"/>
          </w:r>
          <w:r>
            <w:rPr>
              <w:rFonts w:hint="eastAsia" w:asciiTheme="minorEastAsia" w:hAnsiTheme="minorEastAsia" w:eastAsiaTheme="minorEastAsia" w:cstheme="minorEastAsia"/>
              <w:b w:val="0"/>
              <w:bCs w:val="0"/>
              <w:sz w:val="21"/>
              <w:szCs w:val="21"/>
            </w:rPr>
            <w:t xml:space="preserve">二、 </w:t>
          </w:r>
          <w:r>
            <w:rPr>
              <w:rFonts w:hint="eastAsia" w:asciiTheme="minorEastAsia" w:hAnsiTheme="minorEastAsia" w:eastAsiaTheme="minorEastAsia" w:cstheme="minorEastAsia"/>
              <w:b w:val="0"/>
              <w:bCs w:val="0"/>
              <w:sz w:val="21"/>
              <w:szCs w:val="21"/>
              <w:highlight w:val="none"/>
            </w:rPr>
            <w:t>收入决算情况说明</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_Toc24625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7</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color w:val="auto"/>
              <w:sz w:val="21"/>
              <w:szCs w:val="21"/>
              <w:highlight w:val="none"/>
              <w:lang w:val="en-US" w:eastAsia="zh-CN"/>
            </w:rPr>
            <w:fldChar w:fldCharType="end"/>
          </w:r>
        </w:p>
        <w:p>
          <w:pPr>
            <w:pStyle w:val="32"/>
            <w:tabs>
              <w:tab w:val="right" w:leader="dot" w:pos="8306"/>
            </w:tabs>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highlight w:val="none"/>
              <w:lang w:val="en-US" w:eastAsia="zh-CN"/>
            </w:rPr>
            <w:fldChar w:fldCharType="begin"/>
          </w:r>
          <w:r>
            <w:rPr>
              <w:rFonts w:hint="eastAsia" w:asciiTheme="minorEastAsia" w:hAnsiTheme="minorEastAsia" w:eastAsiaTheme="minorEastAsia" w:cstheme="minorEastAsia"/>
              <w:b w:val="0"/>
              <w:bCs w:val="0"/>
              <w:sz w:val="21"/>
              <w:szCs w:val="21"/>
              <w:highlight w:val="none"/>
              <w:lang w:val="en-US" w:eastAsia="zh-CN"/>
            </w:rPr>
            <w:instrText xml:space="preserve"> HYPERLINK \l _Toc10024 </w:instrText>
          </w:r>
          <w:r>
            <w:rPr>
              <w:rFonts w:hint="eastAsia" w:asciiTheme="minorEastAsia" w:hAnsiTheme="minorEastAsia" w:eastAsiaTheme="minorEastAsia" w:cstheme="minorEastAsia"/>
              <w:b w:val="0"/>
              <w:bCs w:val="0"/>
              <w:sz w:val="21"/>
              <w:szCs w:val="21"/>
              <w:highlight w:val="none"/>
              <w:lang w:val="en-US" w:eastAsia="zh-CN"/>
            </w:rPr>
            <w:fldChar w:fldCharType="separate"/>
          </w:r>
          <w:r>
            <w:rPr>
              <w:rFonts w:hint="eastAsia" w:asciiTheme="minorEastAsia" w:hAnsiTheme="minorEastAsia" w:eastAsiaTheme="minorEastAsia" w:cstheme="minorEastAsia"/>
              <w:b w:val="0"/>
              <w:bCs w:val="0"/>
              <w:sz w:val="21"/>
              <w:szCs w:val="21"/>
            </w:rPr>
            <w:t xml:space="preserve">三、 </w:t>
          </w:r>
          <w:r>
            <w:rPr>
              <w:rFonts w:hint="eastAsia" w:asciiTheme="minorEastAsia" w:hAnsiTheme="minorEastAsia" w:eastAsiaTheme="minorEastAsia" w:cstheme="minorEastAsia"/>
              <w:b w:val="0"/>
              <w:bCs w:val="0"/>
              <w:sz w:val="21"/>
              <w:szCs w:val="21"/>
              <w:highlight w:val="none"/>
            </w:rPr>
            <w:t>支出决算情况说明</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_Toc10024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8</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color w:val="auto"/>
              <w:sz w:val="21"/>
              <w:szCs w:val="21"/>
              <w:highlight w:val="none"/>
              <w:lang w:val="en-US" w:eastAsia="zh-CN"/>
            </w:rPr>
            <w:fldChar w:fldCharType="end"/>
          </w:r>
        </w:p>
        <w:p>
          <w:pPr>
            <w:pStyle w:val="32"/>
            <w:tabs>
              <w:tab w:val="right" w:leader="dot" w:pos="8306"/>
            </w:tabs>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highlight w:val="none"/>
              <w:lang w:val="en-US" w:eastAsia="zh-CN"/>
            </w:rPr>
            <w:fldChar w:fldCharType="begin"/>
          </w:r>
          <w:r>
            <w:rPr>
              <w:rFonts w:hint="eastAsia" w:asciiTheme="minorEastAsia" w:hAnsiTheme="minorEastAsia" w:eastAsiaTheme="minorEastAsia" w:cstheme="minorEastAsia"/>
              <w:b w:val="0"/>
              <w:bCs w:val="0"/>
              <w:sz w:val="21"/>
              <w:szCs w:val="21"/>
              <w:highlight w:val="none"/>
              <w:lang w:val="en-US" w:eastAsia="zh-CN"/>
            </w:rPr>
            <w:instrText xml:space="preserve"> HYPERLINK \l _Toc9516 </w:instrText>
          </w:r>
          <w:r>
            <w:rPr>
              <w:rFonts w:hint="eastAsia" w:asciiTheme="minorEastAsia" w:hAnsiTheme="minorEastAsia" w:eastAsiaTheme="minorEastAsia" w:cstheme="minorEastAsia"/>
              <w:b w:val="0"/>
              <w:bCs w:val="0"/>
              <w:sz w:val="21"/>
              <w:szCs w:val="21"/>
              <w:highlight w:val="none"/>
              <w:lang w:val="en-US" w:eastAsia="zh-CN"/>
            </w:rPr>
            <w:fldChar w:fldCharType="separate"/>
          </w:r>
          <w:r>
            <w:rPr>
              <w:rFonts w:hint="eastAsia" w:asciiTheme="minorEastAsia" w:hAnsiTheme="minorEastAsia" w:eastAsiaTheme="minorEastAsia" w:cstheme="minorEastAsia"/>
              <w:b w:val="0"/>
              <w:bCs w:val="0"/>
              <w:sz w:val="21"/>
              <w:szCs w:val="21"/>
              <w:highlight w:val="none"/>
            </w:rPr>
            <w:t>四、财政拨款收入支出决算总体情况说明</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_Toc9516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9</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color w:val="auto"/>
              <w:sz w:val="21"/>
              <w:szCs w:val="21"/>
              <w:highlight w:val="none"/>
              <w:lang w:val="en-US" w:eastAsia="zh-CN"/>
            </w:rPr>
            <w:fldChar w:fldCharType="end"/>
          </w:r>
        </w:p>
        <w:p>
          <w:pPr>
            <w:pStyle w:val="32"/>
            <w:tabs>
              <w:tab w:val="right" w:leader="dot" w:pos="8306"/>
            </w:tabs>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highlight w:val="none"/>
              <w:lang w:val="en-US" w:eastAsia="zh-CN"/>
            </w:rPr>
            <w:fldChar w:fldCharType="begin"/>
          </w:r>
          <w:r>
            <w:rPr>
              <w:rFonts w:hint="eastAsia" w:asciiTheme="minorEastAsia" w:hAnsiTheme="minorEastAsia" w:eastAsiaTheme="minorEastAsia" w:cstheme="minorEastAsia"/>
              <w:b w:val="0"/>
              <w:bCs w:val="0"/>
              <w:sz w:val="21"/>
              <w:szCs w:val="21"/>
              <w:highlight w:val="none"/>
              <w:lang w:val="en-US" w:eastAsia="zh-CN"/>
            </w:rPr>
            <w:instrText xml:space="preserve"> HYPERLINK \l _Toc2374 </w:instrText>
          </w:r>
          <w:r>
            <w:rPr>
              <w:rFonts w:hint="eastAsia" w:asciiTheme="minorEastAsia" w:hAnsiTheme="minorEastAsia" w:eastAsiaTheme="minorEastAsia" w:cstheme="minorEastAsia"/>
              <w:b w:val="0"/>
              <w:bCs w:val="0"/>
              <w:sz w:val="21"/>
              <w:szCs w:val="21"/>
              <w:highlight w:val="none"/>
              <w:lang w:val="en-US" w:eastAsia="zh-CN"/>
            </w:rPr>
            <w:fldChar w:fldCharType="separate"/>
          </w:r>
          <w:r>
            <w:rPr>
              <w:rFonts w:hint="eastAsia" w:asciiTheme="minorEastAsia" w:hAnsiTheme="minorEastAsia" w:eastAsiaTheme="minorEastAsia" w:cstheme="minorEastAsia"/>
              <w:b w:val="0"/>
              <w:bCs w:val="0"/>
              <w:sz w:val="21"/>
              <w:szCs w:val="21"/>
              <w:highlight w:val="none"/>
            </w:rPr>
            <w:t>五、一般公共预算财政拨款支出决算情况说明</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_Toc2374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9</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color w:val="auto"/>
              <w:sz w:val="21"/>
              <w:szCs w:val="21"/>
              <w:highlight w:val="none"/>
              <w:lang w:val="en-US" w:eastAsia="zh-CN"/>
            </w:rPr>
            <w:fldChar w:fldCharType="end"/>
          </w:r>
        </w:p>
        <w:p>
          <w:pPr>
            <w:pStyle w:val="32"/>
            <w:tabs>
              <w:tab w:val="right" w:leader="dot" w:pos="8306"/>
            </w:tabs>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highlight w:val="none"/>
              <w:lang w:val="en-US" w:eastAsia="zh-CN"/>
            </w:rPr>
            <w:fldChar w:fldCharType="begin"/>
          </w:r>
          <w:r>
            <w:rPr>
              <w:rFonts w:hint="eastAsia" w:asciiTheme="minorEastAsia" w:hAnsiTheme="minorEastAsia" w:eastAsiaTheme="minorEastAsia" w:cstheme="minorEastAsia"/>
              <w:b w:val="0"/>
              <w:bCs w:val="0"/>
              <w:sz w:val="21"/>
              <w:szCs w:val="21"/>
              <w:highlight w:val="none"/>
              <w:lang w:val="en-US" w:eastAsia="zh-CN"/>
            </w:rPr>
            <w:instrText xml:space="preserve"> HYPERLINK \l _Toc31207 </w:instrText>
          </w:r>
          <w:r>
            <w:rPr>
              <w:rFonts w:hint="eastAsia" w:asciiTheme="minorEastAsia" w:hAnsiTheme="minorEastAsia" w:eastAsiaTheme="minorEastAsia" w:cstheme="minorEastAsia"/>
              <w:b w:val="0"/>
              <w:bCs w:val="0"/>
              <w:sz w:val="21"/>
              <w:szCs w:val="21"/>
              <w:highlight w:val="none"/>
              <w:lang w:val="en-US" w:eastAsia="zh-CN"/>
            </w:rPr>
            <w:fldChar w:fldCharType="separate"/>
          </w:r>
          <w:r>
            <w:rPr>
              <w:rFonts w:hint="eastAsia" w:asciiTheme="minorEastAsia" w:hAnsiTheme="minorEastAsia" w:eastAsiaTheme="minorEastAsia" w:cstheme="minorEastAsia"/>
              <w:b w:val="0"/>
              <w:bCs w:val="0"/>
              <w:sz w:val="21"/>
              <w:szCs w:val="21"/>
              <w:highlight w:val="none"/>
            </w:rPr>
            <w:t>六、一般公共预算财政拨款基本支出决算情况说明</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_Toc31207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16</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color w:val="auto"/>
              <w:sz w:val="21"/>
              <w:szCs w:val="21"/>
              <w:highlight w:val="none"/>
              <w:lang w:val="en-US" w:eastAsia="zh-CN"/>
            </w:rPr>
            <w:fldChar w:fldCharType="end"/>
          </w:r>
        </w:p>
        <w:p>
          <w:pPr>
            <w:pStyle w:val="32"/>
            <w:tabs>
              <w:tab w:val="right" w:leader="dot" w:pos="8306"/>
            </w:tabs>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highlight w:val="none"/>
              <w:lang w:val="en-US" w:eastAsia="zh-CN"/>
            </w:rPr>
            <w:fldChar w:fldCharType="begin"/>
          </w:r>
          <w:r>
            <w:rPr>
              <w:rFonts w:hint="eastAsia" w:asciiTheme="minorEastAsia" w:hAnsiTheme="minorEastAsia" w:eastAsiaTheme="minorEastAsia" w:cstheme="minorEastAsia"/>
              <w:b w:val="0"/>
              <w:bCs w:val="0"/>
              <w:sz w:val="21"/>
              <w:szCs w:val="21"/>
              <w:highlight w:val="none"/>
              <w:lang w:val="en-US" w:eastAsia="zh-CN"/>
            </w:rPr>
            <w:instrText xml:space="preserve"> HYPERLINK \l _Toc30499 </w:instrText>
          </w:r>
          <w:r>
            <w:rPr>
              <w:rFonts w:hint="eastAsia" w:asciiTheme="minorEastAsia" w:hAnsiTheme="minorEastAsia" w:eastAsiaTheme="minorEastAsia" w:cstheme="minorEastAsia"/>
              <w:b w:val="0"/>
              <w:bCs w:val="0"/>
              <w:sz w:val="21"/>
              <w:szCs w:val="21"/>
              <w:highlight w:val="none"/>
              <w:lang w:val="en-US" w:eastAsia="zh-CN"/>
            </w:rPr>
            <w:fldChar w:fldCharType="separate"/>
          </w:r>
          <w:r>
            <w:rPr>
              <w:rFonts w:hint="eastAsia" w:asciiTheme="minorEastAsia" w:hAnsiTheme="minorEastAsia" w:eastAsiaTheme="minorEastAsia" w:cstheme="minorEastAsia"/>
              <w:b w:val="0"/>
              <w:bCs w:val="0"/>
              <w:sz w:val="21"/>
              <w:szCs w:val="21"/>
              <w:highlight w:val="none"/>
            </w:rPr>
            <w:t>七、“三公”经费财政拨款支出决算情况说明</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_Toc30499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16</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color w:val="auto"/>
              <w:sz w:val="21"/>
              <w:szCs w:val="21"/>
              <w:highlight w:val="none"/>
              <w:lang w:val="en-US" w:eastAsia="zh-CN"/>
            </w:rPr>
            <w:fldChar w:fldCharType="end"/>
          </w:r>
        </w:p>
        <w:p>
          <w:pPr>
            <w:pStyle w:val="32"/>
            <w:tabs>
              <w:tab w:val="right" w:leader="dot" w:pos="8306"/>
            </w:tabs>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highlight w:val="none"/>
              <w:lang w:val="en-US" w:eastAsia="zh-CN"/>
            </w:rPr>
            <w:fldChar w:fldCharType="begin"/>
          </w:r>
          <w:r>
            <w:rPr>
              <w:rFonts w:hint="eastAsia" w:asciiTheme="minorEastAsia" w:hAnsiTheme="minorEastAsia" w:eastAsiaTheme="minorEastAsia" w:cstheme="minorEastAsia"/>
              <w:b w:val="0"/>
              <w:bCs w:val="0"/>
              <w:sz w:val="21"/>
              <w:szCs w:val="21"/>
              <w:highlight w:val="none"/>
              <w:lang w:val="en-US" w:eastAsia="zh-CN"/>
            </w:rPr>
            <w:instrText xml:space="preserve"> HYPERLINK \l _Toc24646 </w:instrText>
          </w:r>
          <w:r>
            <w:rPr>
              <w:rFonts w:hint="eastAsia" w:asciiTheme="minorEastAsia" w:hAnsiTheme="minorEastAsia" w:eastAsiaTheme="minorEastAsia" w:cstheme="minorEastAsia"/>
              <w:b w:val="0"/>
              <w:bCs w:val="0"/>
              <w:sz w:val="21"/>
              <w:szCs w:val="21"/>
              <w:highlight w:val="none"/>
              <w:lang w:val="en-US" w:eastAsia="zh-CN"/>
            </w:rPr>
            <w:fldChar w:fldCharType="separate"/>
          </w:r>
          <w:r>
            <w:rPr>
              <w:rFonts w:hint="eastAsia" w:asciiTheme="minorEastAsia" w:hAnsiTheme="minorEastAsia" w:eastAsiaTheme="minorEastAsia" w:cstheme="minorEastAsia"/>
              <w:b w:val="0"/>
              <w:bCs w:val="0"/>
              <w:sz w:val="21"/>
              <w:szCs w:val="21"/>
              <w:highlight w:val="none"/>
            </w:rPr>
            <w:t>八、政府性基金预算支出决算情况说明</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_Toc24646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18</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color w:val="auto"/>
              <w:sz w:val="21"/>
              <w:szCs w:val="21"/>
              <w:highlight w:val="none"/>
              <w:lang w:val="en-US" w:eastAsia="zh-CN"/>
            </w:rPr>
            <w:fldChar w:fldCharType="end"/>
          </w:r>
        </w:p>
        <w:p>
          <w:pPr>
            <w:pStyle w:val="32"/>
            <w:tabs>
              <w:tab w:val="right" w:leader="dot" w:pos="8306"/>
            </w:tabs>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highlight w:val="none"/>
              <w:lang w:val="en-US" w:eastAsia="zh-CN"/>
            </w:rPr>
            <w:fldChar w:fldCharType="begin"/>
          </w:r>
          <w:r>
            <w:rPr>
              <w:rFonts w:hint="eastAsia" w:asciiTheme="minorEastAsia" w:hAnsiTheme="minorEastAsia" w:eastAsiaTheme="minorEastAsia" w:cstheme="minorEastAsia"/>
              <w:b w:val="0"/>
              <w:bCs w:val="0"/>
              <w:sz w:val="21"/>
              <w:szCs w:val="21"/>
              <w:highlight w:val="none"/>
              <w:lang w:val="en-US" w:eastAsia="zh-CN"/>
            </w:rPr>
            <w:instrText xml:space="preserve"> HYPERLINK \l _Toc22472 </w:instrText>
          </w:r>
          <w:r>
            <w:rPr>
              <w:rFonts w:hint="eastAsia" w:asciiTheme="minorEastAsia" w:hAnsiTheme="minorEastAsia" w:eastAsiaTheme="minorEastAsia" w:cstheme="minorEastAsia"/>
              <w:b w:val="0"/>
              <w:bCs w:val="0"/>
              <w:sz w:val="21"/>
              <w:szCs w:val="21"/>
              <w:highlight w:val="none"/>
              <w:lang w:val="en-US" w:eastAsia="zh-CN"/>
            </w:rPr>
            <w:fldChar w:fldCharType="separate"/>
          </w:r>
          <w:r>
            <w:rPr>
              <w:rFonts w:hint="eastAsia" w:asciiTheme="minorEastAsia" w:hAnsiTheme="minorEastAsia" w:eastAsiaTheme="minorEastAsia" w:cstheme="minorEastAsia"/>
              <w:b w:val="0"/>
              <w:bCs w:val="0"/>
              <w:sz w:val="21"/>
              <w:szCs w:val="21"/>
            </w:rPr>
            <w:t xml:space="preserve">九、 </w:t>
          </w:r>
          <w:r>
            <w:rPr>
              <w:rFonts w:hint="eastAsia" w:asciiTheme="minorEastAsia" w:hAnsiTheme="minorEastAsia" w:eastAsiaTheme="minorEastAsia" w:cstheme="minorEastAsia"/>
              <w:b w:val="0"/>
              <w:bCs w:val="0"/>
              <w:sz w:val="21"/>
              <w:szCs w:val="21"/>
              <w:highlight w:val="none"/>
            </w:rPr>
            <w:t>国有资本经营预算支出决算情况说明</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_Toc22472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18</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color w:val="auto"/>
              <w:sz w:val="21"/>
              <w:szCs w:val="21"/>
              <w:highlight w:val="none"/>
              <w:lang w:val="en-US" w:eastAsia="zh-CN"/>
            </w:rPr>
            <w:fldChar w:fldCharType="end"/>
          </w:r>
        </w:p>
        <w:p>
          <w:pPr>
            <w:pStyle w:val="32"/>
            <w:tabs>
              <w:tab w:val="right" w:leader="dot" w:pos="8306"/>
            </w:tabs>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highlight w:val="none"/>
              <w:lang w:val="en-US" w:eastAsia="zh-CN"/>
            </w:rPr>
            <w:fldChar w:fldCharType="begin"/>
          </w:r>
          <w:r>
            <w:rPr>
              <w:rFonts w:hint="eastAsia" w:asciiTheme="minorEastAsia" w:hAnsiTheme="minorEastAsia" w:eastAsiaTheme="minorEastAsia" w:cstheme="minorEastAsia"/>
              <w:b w:val="0"/>
              <w:bCs w:val="0"/>
              <w:sz w:val="21"/>
              <w:szCs w:val="21"/>
              <w:highlight w:val="none"/>
              <w:lang w:val="en-US" w:eastAsia="zh-CN"/>
            </w:rPr>
            <w:instrText xml:space="preserve"> HYPERLINK \l _Toc6191 </w:instrText>
          </w:r>
          <w:r>
            <w:rPr>
              <w:rFonts w:hint="eastAsia" w:asciiTheme="minorEastAsia" w:hAnsiTheme="minorEastAsia" w:eastAsiaTheme="minorEastAsia" w:cstheme="minorEastAsia"/>
              <w:b w:val="0"/>
              <w:bCs w:val="0"/>
              <w:sz w:val="21"/>
              <w:szCs w:val="21"/>
              <w:highlight w:val="none"/>
              <w:lang w:val="en-US" w:eastAsia="zh-CN"/>
            </w:rPr>
            <w:fldChar w:fldCharType="separate"/>
          </w:r>
          <w:r>
            <w:rPr>
              <w:rFonts w:hint="eastAsia" w:asciiTheme="minorEastAsia" w:hAnsiTheme="minorEastAsia" w:eastAsiaTheme="minorEastAsia" w:cstheme="minorEastAsia"/>
              <w:b w:val="0"/>
              <w:bCs w:val="0"/>
              <w:sz w:val="21"/>
              <w:szCs w:val="21"/>
            </w:rPr>
            <w:t xml:space="preserve">十、 </w:t>
          </w:r>
          <w:r>
            <w:rPr>
              <w:rFonts w:hint="eastAsia" w:asciiTheme="minorEastAsia" w:hAnsiTheme="minorEastAsia" w:eastAsiaTheme="minorEastAsia" w:cstheme="minorEastAsia"/>
              <w:b w:val="0"/>
              <w:bCs w:val="0"/>
              <w:sz w:val="21"/>
              <w:szCs w:val="21"/>
              <w:highlight w:val="none"/>
            </w:rPr>
            <w:t>其他重要事项的情况说明</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_Toc6191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18</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color w:val="auto"/>
              <w:sz w:val="21"/>
              <w:szCs w:val="21"/>
              <w:highlight w:val="none"/>
              <w:lang w:val="en-US" w:eastAsia="zh-CN"/>
            </w:rPr>
            <w:fldChar w:fldCharType="end"/>
          </w:r>
        </w:p>
        <w:p>
          <w:pPr>
            <w:pStyle w:val="31"/>
            <w:tabs>
              <w:tab w:val="right" w:leader="dot" w:pos="8306"/>
            </w:tabs>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highlight w:val="none"/>
              <w:lang w:val="en-US" w:eastAsia="zh-CN"/>
            </w:rPr>
            <w:fldChar w:fldCharType="begin"/>
          </w:r>
          <w:r>
            <w:rPr>
              <w:rFonts w:hint="eastAsia" w:asciiTheme="minorEastAsia" w:hAnsiTheme="minorEastAsia" w:eastAsiaTheme="minorEastAsia" w:cstheme="minorEastAsia"/>
              <w:b w:val="0"/>
              <w:bCs w:val="0"/>
              <w:sz w:val="21"/>
              <w:szCs w:val="21"/>
              <w:highlight w:val="none"/>
              <w:lang w:val="en-US" w:eastAsia="zh-CN"/>
            </w:rPr>
            <w:instrText xml:space="preserve"> HYPERLINK \l _Toc25383 </w:instrText>
          </w:r>
          <w:r>
            <w:rPr>
              <w:rFonts w:hint="eastAsia" w:asciiTheme="minorEastAsia" w:hAnsiTheme="minorEastAsia" w:eastAsiaTheme="minorEastAsia" w:cstheme="minorEastAsia"/>
              <w:b w:val="0"/>
              <w:bCs w:val="0"/>
              <w:sz w:val="21"/>
              <w:szCs w:val="21"/>
              <w:highlight w:val="none"/>
              <w:lang w:val="en-US" w:eastAsia="zh-CN"/>
            </w:rPr>
            <w:fldChar w:fldCharType="separate"/>
          </w:r>
          <w:r>
            <w:rPr>
              <w:rFonts w:hint="eastAsia" w:asciiTheme="minorEastAsia" w:hAnsiTheme="minorEastAsia" w:eastAsiaTheme="minorEastAsia" w:cstheme="minorEastAsia"/>
              <w:b w:val="0"/>
              <w:bCs w:val="0"/>
              <w:sz w:val="21"/>
              <w:szCs w:val="21"/>
            </w:rPr>
            <w:t xml:space="preserve">第三部分 </w:t>
          </w:r>
          <w:r>
            <w:rPr>
              <w:rFonts w:hint="eastAsia" w:asciiTheme="minorEastAsia" w:hAnsiTheme="minorEastAsia" w:eastAsiaTheme="minorEastAsia" w:cstheme="minorEastAsia"/>
              <w:b w:val="0"/>
              <w:bCs w:val="0"/>
              <w:sz w:val="21"/>
              <w:szCs w:val="21"/>
              <w:highlight w:val="none"/>
            </w:rPr>
            <w:t>名词解释</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_Toc25383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21</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color w:val="auto"/>
              <w:sz w:val="21"/>
              <w:szCs w:val="21"/>
              <w:highlight w:val="none"/>
              <w:lang w:val="en-US" w:eastAsia="zh-CN"/>
            </w:rPr>
            <w:fldChar w:fldCharType="end"/>
          </w:r>
        </w:p>
        <w:p>
          <w:pPr>
            <w:pStyle w:val="31"/>
            <w:tabs>
              <w:tab w:val="right" w:leader="dot" w:pos="8306"/>
            </w:tabs>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highlight w:val="none"/>
              <w:lang w:val="en-US" w:eastAsia="zh-CN"/>
            </w:rPr>
            <w:fldChar w:fldCharType="begin"/>
          </w:r>
          <w:r>
            <w:rPr>
              <w:rFonts w:hint="eastAsia" w:asciiTheme="minorEastAsia" w:hAnsiTheme="minorEastAsia" w:eastAsiaTheme="minorEastAsia" w:cstheme="minorEastAsia"/>
              <w:b w:val="0"/>
              <w:bCs w:val="0"/>
              <w:sz w:val="21"/>
              <w:szCs w:val="21"/>
              <w:highlight w:val="none"/>
              <w:lang w:val="en-US" w:eastAsia="zh-CN"/>
            </w:rPr>
            <w:instrText xml:space="preserve"> HYPERLINK \l _Toc6887 </w:instrText>
          </w:r>
          <w:r>
            <w:rPr>
              <w:rFonts w:hint="eastAsia" w:asciiTheme="minorEastAsia" w:hAnsiTheme="minorEastAsia" w:eastAsiaTheme="minorEastAsia" w:cstheme="minorEastAsia"/>
              <w:b w:val="0"/>
              <w:bCs w:val="0"/>
              <w:sz w:val="21"/>
              <w:szCs w:val="21"/>
              <w:highlight w:val="none"/>
              <w:lang w:val="en-US" w:eastAsia="zh-CN"/>
            </w:rPr>
            <w:fldChar w:fldCharType="separate"/>
          </w:r>
          <w:r>
            <w:rPr>
              <w:rFonts w:hint="eastAsia" w:asciiTheme="minorEastAsia" w:hAnsiTheme="minorEastAsia" w:eastAsiaTheme="minorEastAsia" w:cstheme="minorEastAsia"/>
              <w:b w:val="0"/>
              <w:bCs w:val="0"/>
              <w:sz w:val="21"/>
              <w:szCs w:val="21"/>
              <w:highlight w:val="none"/>
            </w:rPr>
            <w:t>第四部分 附件</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_Toc6887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26</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color w:val="auto"/>
              <w:sz w:val="21"/>
              <w:szCs w:val="21"/>
              <w:highlight w:val="none"/>
              <w:lang w:val="en-US" w:eastAsia="zh-CN"/>
            </w:rPr>
            <w:fldChar w:fldCharType="end"/>
          </w:r>
        </w:p>
        <w:p>
          <w:pPr>
            <w:pStyle w:val="31"/>
            <w:tabs>
              <w:tab w:val="right" w:leader="dot" w:pos="8306"/>
            </w:tabs>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highlight w:val="none"/>
              <w:lang w:val="en-US" w:eastAsia="zh-CN"/>
            </w:rPr>
            <w:fldChar w:fldCharType="begin"/>
          </w:r>
          <w:r>
            <w:rPr>
              <w:rFonts w:hint="eastAsia" w:asciiTheme="minorEastAsia" w:hAnsiTheme="minorEastAsia" w:eastAsiaTheme="minorEastAsia" w:cstheme="minorEastAsia"/>
              <w:b w:val="0"/>
              <w:bCs w:val="0"/>
              <w:sz w:val="21"/>
              <w:szCs w:val="21"/>
              <w:highlight w:val="none"/>
              <w:lang w:val="en-US" w:eastAsia="zh-CN"/>
            </w:rPr>
            <w:instrText xml:space="preserve"> HYPERLINK \l _Toc12834 </w:instrText>
          </w:r>
          <w:r>
            <w:rPr>
              <w:rFonts w:hint="eastAsia" w:asciiTheme="minorEastAsia" w:hAnsiTheme="minorEastAsia" w:eastAsiaTheme="minorEastAsia" w:cstheme="minorEastAsia"/>
              <w:b w:val="0"/>
              <w:bCs w:val="0"/>
              <w:sz w:val="21"/>
              <w:szCs w:val="21"/>
              <w:highlight w:val="none"/>
              <w:lang w:val="en-US" w:eastAsia="zh-CN"/>
            </w:rPr>
            <w:fldChar w:fldCharType="separate"/>
          </w:r>
          <w:r>
            <w:rPr>
              <w:rFonts w:hint="eastAsia" w:asciiTheme="minorEastAsia" w:hAnsiTheme="minorEastAsia" w:eastAsiaTheme="minorEastAsia" w:cstheme="minorEastAsia"/>
              <w:b w:val="0"/>
              <w:bCs w:val="0"/>
              <w:sz w:val="21"/>
              <w:szCs w:val="21"/>
              <w:highlight w:val="none"/>
            </w:rPr>
            <w:t>附件</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_Toc12834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26</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color w:val="auto"/>
              <w:sz w:val="21"/>
              <w:szCs w:val="21"/>
              <w:highlight w:val="none"/>
              <w:lang w:val="en-US" w:eastAsia="zh-CN"/>
            </w:rPr>
            <w:fldChar w:fldCharType="end"/>
          </w:r>
        </w:p>
        <w:p>
          <w:pPr>
            <w:pStyle w:val="31"/>
            <w:tabs>
              <w:tab w:val="right" w:leader="dot" w:pos="8306"/>
            </w:tabs>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highlight w:val="none"/>
              <w:lang w:val="en-US" w:eastAsia="zh-CN"/>
            </w:rPr>
            <w:fldChar w:fldCharType="begin"/>
          </w:r>
          <w:r>
            <w:rPr>
              <w:rFonts w:hint="eastAsia" w:asciiTheme="minorEastAsia" w:hAnsiTheme="minorEastAsia" w:eastAsiaTheme="minorEastAsia" w:cstheme="minorEastAsia"/>
              <w:b w:val="0"/>
              <w:bCs w:val="0"/>
              <w:sz w:val="21"/>
              <w:szCs w:val="21"/>
              <w:highlight w:val="none"/>
              <w:lang w:val="en-US" w:eastAsia="zh-CN"/>
            </w:rPr>
            <w:instrText xml:space="preserve"> HYPERLINK \l _Toc22451 </w:instrText>
          </w:r>
          <w:r>
            <w:rPr>
              <w:rFonts w:hint="eastAsia" w:asciiTheme="minorEastAsia" w:hAnsiTheme="minorEastAsia" w:eastAsiaTheme="minorEastAsia" w:cstheme="minorEastAsia"/>
              <w:b w:val="0"/>
              <w:bCs w:val="0"/>
              <w:sz w:val="21"/>
              <w:szCs w:val="21"/>
              <w:highlight w:val="none"/>
              <w:lang w:val="en-US" w:eastAsia="zh-CN"/>
            </w:rPr>
            <w:fldChar w:fldCharType="separate"/>
          </w:r>
          <w:r>
            <w:rPr>
              <w:rFonts w:hint="eastAsia" w:asciiTheme="minorEastAsia" w:hAnsiTheme="minorEastAsia" w:eastAsiaTheme="minorEastAsia" w:cstheme="minorEastAsia"/>
              <w:b w:val="0"/>
              <w:bCs w:val="0"/>
              <w:sz w:val="21"/>
              <w:szCs w:val="21"/>
              <w:highlight w:val="none"/>
            </w:rPr>
            <w:t>第五部分 附表</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_Toc22451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31</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color w:val="auto"/>
              <w:sz w:val="21"/>
              <w:szCs w:val="21"/>
              <w:highlight w:val="none"/>
              <w:lang w:val="en-US" w:eastAsia="zh-CN"/>
            </w:rPr>
            <w:fldChar w:fldCharType="end"/>
          </w:r>
        </w:p>
        <w:p>
          <w:pPr>
            <w:pStyle w:val="32"/>
            <w:tabs>
              <w:tab w:val="right" w:leader="dot" w:pos="8306"/>
            </w:tabs>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highlight w:val="none"/>
              <w:lang w:val="en-US" w:eastAsia="zh-CN"/>
            </w:rPr>
            <w:fldChar w:fldCharType="begin"/>
          </w:r>
          <w:r>
            <w:rPr>
              <w:rFonts w:hint="eastAsia" w:asciiTheme="minorEastAsia" w:hAnsiTheme="minorEastAsia" w:eastAsiaTheme="minorEastAsia" w:cstheme="minorEastAsia"/>
              <w:b w:val="0"/>
              <w:bCs w:val="0"/>
              <w:sz w:val="21"/>
              <w:szCs w:val="21"/>
              <w:highlight w:val="none"/>
              <w:lang w:val="en-US" w:eastAsia="zh-CN"/>
            </w:rPr>
            <w:instrText xml:space="preserve"> HYPERLINK \l _Toc28969 </w:instrText>
          </w:r>
          <w:r>
            <w:rPr>
              <w:rFonts w:hint="eastAsia" w:asciiTheme="minorEastAsia" w:hAnsiTheme="minorEastAsia" w:eastAsiaTheme="minorEastAsia" w:cstheme="minorEastAsia"/>
              <w:b w:val="0"/>
              <w:bCs w:val="0"/>
              <w:sz w:val="21"/>
              <w:szCs w:val="21"/>
              <w:highlight w:val="none"/>
              <w:lang w:val="en-US" w:eastAsia="zh-CN"/>
            </w:rPr>
            <w:fldChar w:fldCharType="separate"/>
          </w:r>
          <w:r>
            <w:rPr>
              <w:rFonts w:hint="eastAsia" w:asciiTheme="minorEastAsia" w:hAnsiTheme="minorEastAsia" w:eastAsiaTheme="minorEastAsia" w:cstheme="minorEastAsia"/>
              <w:b w:val="0"/>
              <w:bCs w:val="0"/>
              <w:sz w:val="21"/>
              <w:szCs w:val="21"/>
              <w:highlight w:val="none"/>
            </w:rPr>
            <w:t>一、收入支出决算总表</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_Toc28969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31</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color w:val="auto"/>
              <w:sz w:val="21"/>
              <w:szCs w:val="21"/>
              <w:highlight w:val="none"/>
              <w:lang w:val="en-US" w:eastAsia="zh-CN"/>
            </w:rPr>
            <w:fldChar w:fldCharType="end"/>
          </w:r>
        </w:p>
        <w:p>
          <w:pPr>
            <w:pStyle w:val="32"/>
            <w:tabs>
              <w:tab w:val="right" w:leader="dot" w:pos="8306"/>
            </w:tabs>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highlight w:val="none"/>
              <w:lang w:val="en-US" w:eastAsia="zh-CN"/>
            </w:rPr>
            <w:fldChar w:fldCharType="begin"/>
          </w:r>
          <w:r>
            <w:rPr>
              <w:rFonts w:hint="eastAsia" w:asciiTheme="minorEastAsia" w:hAnsiTheme="minorEastAsia" w:eastAsiaTheme="minorEastAsia" w:cstheme="minorEastAsia"/>
              <w:b w:val="0"/>
              <w:bCs w:val="0"/>
              <w:sz w:val="21"/>
              <w:szCs w:val="21"/>
              <w:highlight w:val="none"/>
              <w:lang w:val="en-US" w:eastAsia="zh-CN"/>
            </w:rPr>
            <w:instrText xml:space="preserve"> HYPERLINK \l _Toc25210 </w:instrText>
          </w:r>
          <w:r>
            <w:rPr>
              <w:rFonts w:hint="eastAsia" w:asciiTheme="minorEastAsia" w:hAnsiTheme="minorEastAsia" w:eastAsiaTheme="minorEastAsia" w:cstheme="minorEastAsia"/>
              <w:b w:val="0"/>
              <w:bCs w:val="0"/>
              <w:sz w:val="21"/>
              <w:szCs w:val="21"/>
              <w:highlight w:val="none"/>
              <w:lang w:val="en-US" w:eastAsia="zh-CN"/>
            </w:rPr>
            <w:fldChar w:fldCharType="separate"/>
          </w:r>
          <w:r>
            <w:rPr>
              <w:rFonts w:hint="eastAsia" w:asciiTheme="minorEastAsia" w:hAnsiTheme="minorEastAsia" w:eastAsiaTheme="minorEastAsia" w:cstheme="minorEastAsia"/>
              <w:b w:val="0"/>
              <w:bCs w:val="0"/>
              <w:sz w:val="21"/>
              <w:szCs w:val="21"/>
            </w:rPr>
            <w:t xml:space="preserve">二、 </w:t>
          </w:r>
          <w:r>
            <w:rPr>
              <w:rFonts w:hint="eastAsia" w:asciiTheme="minorEastAsia" w:hAnsiTheme="minorEastAsia" w:eastAsiaTheme="minorEastAsia" w:cstheme="minorEastAsia"/>
              <w:b w:val="0"/>
              <w:bCs w:val="0"/>
              <w:sz w:val="21"/>
              <w:szCs w:val="21"/>
              <w:highlight w:val="none"/>
            </w:rPr>
            <w:t>收入决算表</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_Toc25210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32</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color w:val="auto"/>
              <w:sz w:val="21"/>
              <w:szCs w:val="21"/>
              <w:highlight w:val="none"/>
              <w:lang w:val="en-US" w:eastAsia="zh-CN"/>
            </w:rPr>
            <w:fldChar w:fldCharType="end"/>
          </w:r>
        </w:p>
        <w:p>
          <w:pPr>
            <w:pStyle w:val="32"/>
            <w:tabs>
              <w:tab w:val="right" w:leader="dot" w:pos="8306"/>
            </w:tabs>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highlight w:val="none"/>
              <w:lang w:val="en-US" w:eastAsia="zh-CN"/>
            </w:rPr>
            <w:fldChar w:fldCharType="begin"/>
          </w:r>
          <w:r>
            <w:rPr>
              <w:rFonts w:hint="eastAsia" w:asciiTheme="minorEastAsia" w:hAnsiTheme="minorEastAsia" w:eastAsiaTheme="minorEastAsia" w:cstheme="minorEastAsia"/>
              <w:b w:val="0"/>
              <w:bCs w:val="0"/>
              <w:sz w:val="21"/>
              <w:szCs w:val="21"/>
              <w:highlight w:val="none"/>
              <w:lang w:val="en-US" w:eastAsia="zh-CN"/>
            </w:rPr>
            <w:instrText xml:space="preserve"> HYPERLINK \l _Toc218 </w:instrText>
          </w:r>
          <w:r>
            <w:rPr>
              <w:rFonts w:hint="eastAsia" w:asciiTheme="minorEastAsia" w:hAnsiTheme="minorEastAsia" w:eastAsiaTheme="minorEastAsia" w:cstheme="minorEastAsia"/>
              <w:b w:val="0"/>
              <w:bCs w:val="0"/>
              <w:sz w:val="21"/>
              <w:szCs w:val="21"/>
              <w:highlight w:val="none"/>
              <w:lang w:val="en-US" w:eastAsia="zh-CN"/>
            </w:rPr>
            <w:fldChar w:fldCharType="separate"/>
          </w:r>
          <w:r>
            <w:rPr>
              <w:rFonts w:hint="eastAsia" w:asciiTheme="minorEastAsia" w:hAnsiTheme="minorEastAsia" w:eastAsiaTheme="minorEastAsia" w:cstheme="minorEastAsia"/>
              <w:b w:val="0"/>
              <w:bCs w:val="0"/>
              <w:sz w:val="21"/>
              <w:szCs w:val="21"/>
              <w:highlight w:val="none"/>
            </w:rPr>
            <w:t>三、支出决算表</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_Toc218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34</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color w:val="auto"/>
              <w:sz w:val="21"/>
              <w:szCs w:val="21"/>
              <w:highlight w:val="none"/>
              <w:lang w:val="en-US" w:eastAsia="zh-CN"/>
            </w:rPr>
            <w:fldChar w:fldCharType="end"/>
          </w:r>
        </w:p>
        <w:p>
          <w:pPr>
            <w:pStyle w:val="32"/>
            <w:tabs>
              <w:tab w:val="right" w:leader="dot" w:pos="8306"/>
            </w:tabs>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highlight w:val="none"/>
              <w:lang w:val="en-US" w:eastAsia="zh-CN"/>
            </w:rPr>
            <w:fldChar w:fldCharType="begin"/>
          </w:r>
          <w:r>
            <w:rPr>
              <w:rFonts w:hint="eastAsia" w:asciiTheme="minorEastAsia" w:hAnsiTheme="minorEastAsia" w:eastAsiaTheme="minorEastAsia" w:cstheme="minorEastAsia"/>
              <w:b w:val="0"/>
              <w:bCs w:val="0"/>
              <w:sz w:val="21"/>
              <w:szCs w:val="21"/>
              <w:highlight w:val="none"/>
              <w:lang w:val="en-US" w:eastAsia="zh-CN"/>
            </w:rPr>
            <w:instrText xml:space="preserve"> HYPERLINK \l _Toc3184 </w:instrText>
          </w:r>
          <w:r>
            <w:rPr>
              <w:rFonts w:hint="eastAsia" w:asciiTheme="minorEastAsia" w:hAnsiTheme="minorEastAsia" w:eastAsiaTheme="minorEastAsia" w:cstheme="minorEastAsia"/>
              <w:b w:val="0"/>
              <w:bCs w:val="0"/>
              <w:sz w:val="21"/>
              <w:szCs w:val="21"/>
              <w:highlight w:val="none"/>
              <w:lang w:val="en-US" w:eastAsia="zh-CN"/>
            </w:rPr>
            <w:fldChar w:fldCharType="separate"/>
          </w:r>
          <w:r>
            <w:rPr>
              <w:rFonts w:hint="eastAsia" w:asciiTheme="minorEastAsia" w:hAnsiTheme="minorEastAsia" w:eastAsiaTheme="minorEastAsia" w:cstheme="minorEastAsia"/>
              <w:b w:val="0"/>
              <w:bCs w:val="0"/>
              <w:sz w:val="21"/>
              <w:szCs w:val="21"/>
              <w:highlight w:val="none"/>
            </w:rPr>
            <w:t>四、财政拨款收入支出决算总表</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_Toc3184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36</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color w:val="auto"/>
              <w:sz w:val="21"/>
              <w:szCs w:val="21"/>
              <w:highlight w:val="none"/>
              <w:lang w:val="en-US" w:eastAsia="zh-CN"/>
            </w:rPr>
            <w:fldChar w:fldCharType="end"/>
          </w:r>
        </w:p>
        <w:p>
          <w:pPr>
            <w:pStyle w:val="32"/>
            <w:tabs>
              <w:tab w:val="right" w:leader="dot" w:pos="8306"/>
            </w:tabs>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highlight w:val="none"/>
              <w:lang w:val="en-US" w:eastAsia="zh-CN"/>
            </w:rPr>
            <w:fldChar w:fldCharType="begin"/>
          </w:r>
          <w:r>
            <w:rPr>
              <w:rFonts w:hint="eastAsia" w:asciiTheme="minorEastAsia" w:hAnsiTheme="minorEastAsia" w:eastAsiaTheme="minorEastAsia" w:cstheme="minorEastAsia"/>
              <w:b w:val="0"/>
              <w:bCs w:val="0"/>
              <w:sz w:val="21"/>
              <w:szCs w:val="21"/>
              <w:highlight w:val="none"/>
              <w:lang w:val="en-US" w:eastAsia="zh-CN"/>
            </w:rPr>
            <w:instrText xml:space="preserve"> HYPERLINK \l _Toc15488 </w:instrText>
          </w:r>
          <w:r>
            <w:rPr>
              <w:rFonts w:hint="eastAsia" w:asciiTheme="minorEastAsia" w:hAnsiTheme="minorEastAsia" w:eastAsiaTheme="minorEastAsia" w:cstheme="minorEastAsia"/>
              <w:b w:val="0"/>
              <w:bCs w:val="0"/>
              <w:sz w:val="21"/>
              <w:szCs w:val="21"/>
              <w:highlight w:val="none"/>
              <w:lang w:val="en-US" w:eastAsia="zh-CN"/>
            </w:rPr>
            <w:fldChar w:fldCharType="separate"/>
          </w:r>
          <w:r>
            <w:rPr>
              <w:rFonts w:hint="eastAsia" w:asciiTheme="minorEastAsia" w:hAnsiTheme="minorEastAsia" w:eastAsiaTheme="minorEastAsia" w:cstheme="minorEastAsia"/>
              <w:b w:val="0"/>
              <w:bCs w:val="0"/>
              <w:sz w:val="21"/>
              <w:szCs w:val="21"/>
              <w:highlight w:val="none"/>
            </w:rPr>
            <w:t>五、财政拨款支出决算明细表</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_Toc15488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37</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color w:val="auto"/>
              <w:sz w:val="21"/>
              <w:szCs w:val="21"/>
              <w:highlight w:val="none"/>
              <w:lang w:val="en-US" w:eastAsia="zh-CN"/>
            </w:rPr>
            <w:fldChar w:fldCharType="end"/>
          </w:r>
        </w:p>
        <w:p>
          <w:pPr>
            <w:pStyle w:val="32"/>
            <w:tabs>
              <w:tab w:val="right" w:leader="dot" w:pos="8306"/>
            </w:tabs>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highlight w:val="none"/>
              <w:lang w:val="en-US" w:eastAsia="zh-CN"/>
            </w:rPr>
            <w:fldChar w:fldCharType="begin"/>
          </w:r>
          <w:r>
            <w:rPr>
              <w:rFonts w:hint="eastAsia" w:asciiTheme="minorEastAsia" w:hAnsiTheme="minorEastAsia" w:eastAsiaTheme="minorEastAsia" w:cstheme="minorEastAsia"/>
              <w:b w:val="0"/>
              <w:bCs w:val="0"/>
              <w:sz w:val="21"/>
              <w:szCs w:val="21"/>
              <w:highlight w:val="none"/>
              <w:lang w:val="en-US" w:eastAsia="zh-CN"/>
            </w:rPr>
            <w:instrText xml:space="preserve"> HYPERLINK \l _Toc24332 </w:instrText>
          </w:r>
          <w:r>
            <w:rPr>
              <w:rFonts w:hint="eastAsia" w:asciiTheme="minorEastAsia" w:hAnsiTheme="minorEastAsia" w:eastAsiaTheme="minorEastAsia" w:cstheme="minorEastAsia"/>
              <w:b w:val="0"/>
              <w:bCs w:val="0"/>
              <w:sz w:val="21"/>
              <w:szCs w:val="21"/>
              <w:highlight w:val="none"/>
              <w:lang w:val="en-US" w:eastAsia="zh-CN"/>
            </w:rPr>
            <w:fldChar w:fldCharType="separate"/>
          </w:r>
          <w:r>
            <w:rPr>
              <w:rFonts w:hint="eastAsia" w:asciiTheme="minorEastAsia" w:hAnsiTheme="minorEastAsia" w:eastAsiaTheme="minorEastAsia" w:cstheme="minorEastAsia"/>
              <w:b w:val="0"/>
              <w:bCs w:val="0"/>
              <w:sz w:val="21"/>
              <w:szCs w:val="21"/>
              <w:highlight w:val="none"/>
            </w:rPr>
            <w:t>六、一般公共预算财政拨款支出决算表</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_Toc24332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40</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color w:val="auto"/>
              <w:sz w:val="21"/>
              <w:szCs w:val="21"/>
              <w:highlight w:val="none"/>
              <w:lang w:val="en-US" w:eastAsia="zh-CN"/>
            </w:rPr>
            <w:fldChar w:fldCharType="end"/>
          </w:r>
        </w:p>
        <w:p>
          <w:pPr>
            <w:pStyle w:val="32"/>
            <w:tabs>
              <w:tab w:val="right" w:leader="dot" w:pos="8306"/>
            </w:tabs>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highlight w:val="none"/>
              <w:lang w:val="en-US" w:eastAsia="zh-CN"/>
            </w:rPr>
            <w:fldChar w:fldCharType="begin"/>
          </w:r>
          <w:r>
            <w:rPr>
              <w:rFonts w:hint="eastAsia" w:asciiTheme="minorEastAsia" w:hAnsiTheme="minorEastAsia" w:eastAsiaTheme="minorEastAsia" w:cstheme="minorEastAsia"/>
              <w:b w:val="0"/>
              <w:bCs w:val="0"/>
              <w:sz w:val="21"/>
              <w:szCs w:val="21"/>
              <w:highlight w:val="none"/>
              <w:lang w:val="en-US" w:eastAsia="zh-CN"/>
            </w:rPr>
            <w:instrText xml:space="preserve"> HYPERLINK \l _Toc7586 </w:instrText>
          </w:r>
          <w:r>
            <w:rPr>
              <w:rFonts w:hint="eastAsia" w:asciiTheme="minorEastAsia" w:hAnsiTheme="minorEastAsia" w:eastAsiaTheme="minorEastAsia" w:cstheme="minorEastAsia"/>
              <w:b w:val="0"/>
              <w:bCs w:val="0"/>
              <w:sz w:val="21"/>
              <w:szCs w:val="21"/>
              <w:highlight w:val="none"/>
              <w:lang w:val="en-US" w:eastAsia="zh-CN"/>
            </w:rPr>
            <w:fldChar w:fldCharType="separate"/>
          </w:r>
          <w:r>
            <w:rPr>
              <w:rFonts w:hint="eastAsia" w:asciiTheme="minorEastAsia" w:hAnsiTheme="minorEastAsia" w:eastAsiaTheme="minorEastAsia" w:cstheme="minorEastAsia"/>
              <w:b w:val="0"/>
              <w:bCs w:val="0"/>
              <w:sz w:val="21"/>
              <w:szCs w:val="21"/>
              <w:highlight w:val="none"/>
            </w:rPr>
            <w:t>七、一般公共预算财政拨款支出决算明细表</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_Toc7586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42</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color w:val="auto"/>
              <w:sz w:val="21"/>
              <w:szCs w:val="21"/>
              <w:highlight w:val="none"/>
              <w:lang w:val="en-US" w:eastAsia="zh-CN"/>
            </w:rPr>
            <w:fldChar w:fldCharType="end"/>
          </w:r>
        </w:p>
        <w:p>
          <w:pPr>
            <w:pStyle w:val="32"/>
            <w:tabs>
              <w:tab w:val="right" w:leader="dot" w:pos="8306"/>
            </w:tabs>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highlight w:val="none"/>
              <w:lang w:val="en-US" w:eastAsia="zh-CN"/>
            </w:rPr>
            <w:fldChar w:fldCharType="begin"/>
          </w:r>
          <w:r>
            <w:rPr>
              <w:rFonts w:hint="eastAsia" w:asciiTheme="minorEastAsia" w:hAnsiTheme="minorEastAsia" w:eastAsiaTheme="minorEastAsia" w:cstheme="minorEastAsia"/>
              <w:b w:val="0"/>
              <w:bCs w:val="0"/>
              <w:sz w:val="21"/>
              <w:szCs w:val="21"/>
              <w:highlight w:val="none"/>
              <w:lang w:val="en-US" w:eastAsia="zh-CN"/>
            </w:rPr>
            <w:instrText xml:space="preserve"> HYPERLINK \l _Toc29666 </w:instrText>
          </w:r>
          <w:r>
            <w:rPr>
              <w:rFonts w:hint="eastAsia" w:asciiTheme="minorEastAsia" w:hAnsiTheme="minorEastAsia" w:eastAsiaTheme="minorEastAsia" w:cstheme="minorEastAsia"/>
              <w:b w:val="0"/>
              <w:bCs w:val="0"/>
              <w:sz w:val="21"/>
              <w:szCs w:val="21"/>
              <w:highlight w:val="none"/>
              <w:lang w:val="en-US" w:eastAsia="zh-CN"/>
            </w:rPr>
            <w:fldChar w:fldCharType="separate"/>
          </w:r>
          <w:r>
            <w:rPr>
              <w:rFonts w:hint="eastAsia" w:asciiTheme="minorEastAsia" w:hAnsiTheme="minorEastAsia" w:eastAsiaTheme="minorEastAsia" w:cstheme="minorEastAsia"/>
              <w:b w:val="0"/>
              <w:bCs w:val="0"/>
              <w:sz w:val="21"/>
              <w:szCs w:val="21"/>
              <w:highlight w:val="none"/>
            </w:rPr>
            <w:t>八、一般公共预算财政拨款基本支出决算表</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_Toc29666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48</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color w:val="auto"/>
              <w:sz w:val="21"/>
              <w:szCs w:val="21"/>
              <w:highlight w:val="none"/>
              <w:lang w:val="en-US" w:eastAsia="zh-CN"/>
            </w:rPr>
            <w:fldChar w:fldCharType="end"/>
          </w:r>
        </w:p>
        <w:p>
          <w:pPr>
            <w:pStyle w:val="32"/>
            <w:tabs>
              <w:tab w:val="right" w:leader="dot" w:pos="8306"/>
            </w:tabs>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highlight w:val="none"/>
              <w:lang w:val="en-US" w:eastAsia="zh-CN"/>
            </w:rPr>
            <w:fldChar w:fldCharType="begin"/>
          </w:r>
          <w:r>
            <w:rPr>
              <w:rFonts w:hint="eastAsia" w:asciiTheme="minorEastAsia" w:hAnsiTheme="minorEastAsia" w:eastAsiaTheme="minorEastAsia" w:cstheme="minorEastAsia"/>
              <w:b w:val="0"/>
              <w:bCs w:val="0"/>
              <w:sz w:val="21"/>
              <w:szCs w:val="21"/>
              <w:highlight w:val="none"/>
              <w:lang w:val="en-US" w:eastAsia="zh-CN"/>
            </w:rPr>
            <w:instrText xml:space="preserve"> HYPERLINK \l _Toc27913 </w:instrText>
          </w:r>
          <w:r>
            <w:rPr>
              <w:rFonts w:hint="eastAsia" w:asciiTheme="minorEastAsia" w:hAnsiTheme="minorEastAsia" w:eastAsiaTheme="minorEastAsia" w:cstheme="minorEastAsia"/>
              <w:b w:val="0"/>
              <w:bCs w:val="0"/>
              <w:sz w:val="21"/>
              <w:szCs w:val="21"/>
              <w:highlight w:val="none"/>
              <w:lang w:val="en-US" w:eastAsia="zh-CN"/>
            </w:rPr>
            <w:fldChar w:fldCharType="separate"/>
          </w:r>
          <w:r>
            <w:rPr>
              <w:rFonts w:hint="eastAsia" w:asciiTheme="minorEastAsia" w:hAnsiTheme="minorEastAsia" w:eastAsiaTheme="minorEastAsia" w:cstheme="minorEastAsia"/>
              <w:b w:val="0"/>
              <w:bCs w:val="0"/>
              <w:sz w:val="21"/>
              <w:szCs w:val="21"/>
              <w:highlight w:val="none"/>
            </w:rPr>
            <w:t>九、一般公共预算财政拨款项目支出决算表</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_Toc27913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49</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color w:val="auto"/>
              <w:sz w:val="21"/>
              <w:szCs w:val="21"/>
              <w:highlight w:val="none"/>
              <w:lang w:val="en-US" w:eastAsia="zh-CN"/>
            </w:rPr>
            <w:fldChar w:fldCharType="end"/>
          </w:r>
        </w:p>
        <w:p>
          <w:pPr>
            <w:pStyle w:val="32"/>
            <w:tabs>
              <w:tab w:val="right" w:leader="dot" w:pos="8306"/>
            </w:tabs>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highlight w:val="none"/>
              <w:lang w:val="en-US" w:eastAsia="zh-CN"/>
            </w:rPr>
            <w:fldChar w:fldCharType="begin"/>
          </w:r>
          <w:r>
            <w:rPr>
              <w:rFonts w:hint="eastAsia" w:asciiTheme="minorEastAsia" w:hAnsiTheme="minorEastAsia" w:eastAsiaTheme="minorEastAsia" w:cstheme="minorEastAsia"/>
              <w:b w:val="0"/>
              <w:bCs w:val="0"/>
              <w:sz w:val="21"/>
              <w:szCs w:val="21"/>
              <w:highlight w:val="none"/>
              <w:lang w:val="en-US" w:eastAsia="zh-CN"/>
            </w:rPr>
            <w:instrText xml:space="preserve"> HYPERLINK \l _Toc14357 </w:instrText>
          </w:r>
          <w:r>
            <w:rPr>
              <w:rFonts w:hint="eastAsia" w:asciiTheme="minorEastAsia" w:hAnsiTheme="minorEastAsia" w:eastAsiaTheme="minorEastAsia" w:cstheme="minorEastAsia"/>
              <w:b w:val="0"/>
              <w:bCs w:val="0"/>
              <w:sz w:val="21"/>
              <w:szCs w:val="21"/>
              <w:highlight w:val="none"/>
              <w:lang w:val="en-US" w:eastAsia="zh-CN"/>
            </w:rPr>
            <w:fldChar w:fldCharType="separate"/>
          </w:r>
          <w:r>
            <w:rPr>
              <w:rFonts w:hint="eastAsia" w:asciiTheme="minorEastAsia" w:hAnsiTheme="minorEastAsia" w:eastAsiaTheme="minorEastAsia" w:cstheme="minorEastAsia"/>
              <w:b w:val="0"/>
              <w:bCs w:val="0"/>
              <w:sz w:val="21"/>
              <w:szCs w:val="21"/>
              <w:highlight w:val="none"/>
            </w:rPr>
            <w:t>十、一般公共预算财政拨款“三公”经费支出决算表</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_Toc14357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50</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color w:val="auto"/>
              <w:sz w:val="21"/>
              <w:szCs w:val="21"/>
              <w:highlight w:val="none"/>
              <w:lang w:val="en-US" w:eastAsia="zh-CN"/>
            </w:rPr>
            <w:fldChar w:fldCharType="end"/>
          </w:r>
        </w:p>
        <w:p>
          <w:pPr>
            <w:pStyle w:val="32"/>
            <w:tabs>
              <w:tab w:val="right" w:leader="dot" w:pos="8306"/>
            </w:tabs>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highlight w:val="none"/>
              <w:lang w:val="en-US" w:eastAsia="zh-CN"/>
            </w:rPr>
            <w:fldChar w:fldCharType="begin"/>
          </w:r>
          <w:r>
            <w:rPr>
              <w:rFonts w:hint="eastAsia" w:asciiTheme="minorEastAsia" w:hAnsiTheme="minorEastAsia" w:eastAsiaTheme="minorEastAsia" w:cstheme="minorEastAsia"/>
              <w:b w:val="0"/>
              <w:bCs w:val="0"/>
              <w:sz w:val="21"/>
              <w:szCs w:val="21"/>
              <w:highlight w:val="none"/>
              <w:lang w:val="en-US" w:eastAsia="zh-CN"/>
            </w:rPr>
            <w:instrText xml:space="preserve"> HYPERLINK \l _Toc29915 </w:instrText>
          </w:r>
          <w:r>
            <w:rPr>
              <w:rFonts w:hint="eastAsia" w:asciiTheme="minorEastAsia" w:hAnsiTheme="minorEastAsia" w:eastAsiaTheme="minorEastAsia" w:cstheme="minorEastAsia"/>
              <w:b w:val="0"/>
              <w:bCs w:val="0"/>
              <w:sz w:val="21"/>
              <w:szCs w:val="21"/>
              <w:highlight w:val="none"/>
              <w:lang w:val="en-US" w:eastAsia="zh-CN"/>
            </w:rPr>
            <w:fldChar w:fldCharType="separate"/>
          </w:r>
          <w:r>
            <w:rPr>
              <w:rFonts w:hint="eastAsia" w:asciiTheme="minorEastAsia" w:hAnsiTheme="minorEastAsia" w:eastAsiaTheme="minorEastAsia" w:cstheme="minorEastAsia"/>
              <w:b w:val="0"/>
              <w:bCs w:val="0"/>
              <w:sz w:val="21"/>
              <w:szCs w:val="21"/>
              <w:highlight w:val="none"/>
            </w:rPr>
            <w:t>十一、政府性基金预算财政拨款收入支出决算表</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_Toc29915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50</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color w:val="auto"/>
              <w:sz w:val="21"/>
              <w:szCs w:val="21"/>
              <w:highlight w:val="none"/>
              <w:lang w:val="en-US" w:eastAsia="zh-CN"/>
            </w:rPr>
            <w:fldChar w:fldCharType="end"/>
          </w:r>
        </w:p>
        <w:p>
          <w:pPr>
            <w:pStyle w:val="32"/>
            <w:tabs>
              <w:tab w:val="right" w:leader="dot" w:pos="8306"/>
            </w:tabs>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highlight w:val="none"/>
              <w:lang w:val="en-US" w:eastAsia="zh-CN"/>
            </w:rPr>
            <w:fldChar w:fldCharType="begin"/>
          </w:r>
          <w:r>
            <w:rPr>
              <w:rFonts w:hint="eastAsia" w:asciiTheme="minorEastAsia" w:hAnsiTheme="minorEastAsia" w:eastAsiaTheme="minorEastAsia" w:cstheme="minorEastAsia"/>
              <w:b w:val="0"/>
              <w:bCs w:val="0"/>
              <w:sz w:val="21"/>
              <w:szCs w:val="21"/>
              <w:highlight w:val="none"/>
              <w:lang w:val="en-US" w:eastAsia="zh-CN"/>
            </w:rPr>
            <w:instrText xml:space="preserve"> HYPERLINK \l _Toc24695 </w:instrText>
          </w:r>
          <w:r>
            <w:rPr>
              <w:rFonts w:hint="eastAsia" w:asciiTheme="minorEastAsia" w:hAnsiTheme="minorEastAsia" w:eastAsiaTheme="minorEastAsia" w:cstheme="minorEastAsia"/>
              <w:b w:val="0"/>
              <w:bCs w:val="0"/>
              <w:sz w:val="21"/>
              <w:szCs w:val="21"/>
              <w:highlight w:val="none"/>
              <w:lang w:val="en-US" w:eastAsia="zh-CN"/>
            </w:rPr>
            <w:fldChar w:fldCharType="separate"/>
          </w:r>
          <w:r>
            <w:rPr>
              <w:rFonts w:hint="eastAsia" w:asciiTheme="minorEastAsia" w:hAnsiTheme="minorEastAsia" w:eastAsiaTheme="minorEastAsia" w:cstheme="minorEastAsia"/>
              <w:b w:val="0"/>
              <w:bCs w:val="0"/>
              <w:sz w:val="21"/>
              <w:szCs w:val="21"/>
              <w:highlight w:val="none"/>
            </w:rPr>
            <w:t>十二、政府性基金预算财政拨款“三公”经费支出决算表</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_Toc24695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50</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color w:val="auto"/>
              <w:sz w:val="21"/>
              <w:szCs w:val="21"/>
              <w:highlight w:val="none"/>
              <w:lang w:val="en-US" w:eastAsia="zh-CN"/>
            </w:rPr>
            <w:fldChar w:fldCharType="end"/>
          </w:r>
        </w:p>
        <w:p>
          <w:pPr>
            <w:pStyle w:val="32"/>
            <w:tabs>
              <w:tab w:val="right" w:leader="dot" w:pos="8306"/>
            </w:tabs>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highlight w:val="none"/>
              <w:lang w:val="en-US" w:eastAsia="zh-CN"/>
            </w:rPr>
            <w:fldChar w:fldCharType="begin"/>
          </w:r>
          <w:r>
            <w:rPr>
              <w:rFonts w:hint="eastAsia" w:asciiTheme="minorEastAsia" w:hAnsiTheme="minorEastAsia" w:eastAsiaTheme="minorEastAsia" w:cstheme="minorEastAsia"/>
              <w:b w:val="0"/>
              <w:bCs w:val="0"/>
              <w:sz w:val="21"/>
              <w:szCs w:val="21"/>
              <w:highlight w:val="none"/>
              <w:lang w:val="en-US" w:eastAsia="zh-CN"/>
            </w:rPr>
            <w:instrText xml:space="preserve"> HYPERLINK \l _Toc1225 </w:instrText>
          </w:r>
          <w:r>
            <w:rPr>
              <w:rFonts w:hint="eastAsia" w:asciiTheme="minorEastAsia" w:hAnsiTheme="minorEastAsia" w:eastAsiaTheme="minorEastAsia" w:cstheme="minorEastAsia"/>
              <w:b w:val="0"/>
              <w:bCs w:val="0"/>
              <w:sz w:val="21"/>
              <w:szCs w:val="21"/>
              <w:highlight w:val="none"/>
              <w:lang w:val="en-US" w:eastAsia="zh-CN"/>
            </w:rPr>
            <w:fldChar w:fldCharType="separate"/>
          </w:r>
          <w:r>
            <w:rPr>
              <w:rFonts w:hint="eastAsia" w:asciiTheme="minorEastAsia" w:hAnsiTheme="minorEastAsia" w:eastAsiaTheme="minorEastAsia" w:cstheme="minorEastAsia"/>
              <w:b w:val="0"/>
              <w:bCs w:val="0"/>
              <w:sz w:val="21"/>
              <w:szCs w:val="21"/>
              <w:highlight w:val="none"/>
            </w:rPr>
            <w:t>十三、国有资本经营预算</w:t>
          </w:r>
          <w:r>
            <w:rPr>
              <w:rFonts w:hint="eastAsia" w:asciiTheme="minorEastAsia" w:hAnsiTheme="minorEastAsia" w:eastAsiaTheme="minorEastAsia" w:cstheme="minorEastAsia"/>
              <w:b w:val="0"/>
              <w:bCs w:val="0"/>
              <w:sz w:val="21"/>
              <w:szCs w:val="21"/>
              <w:highlight w:val="none"/>
              <w:lang w:eastAsia="zh-CN"/>
            </w:rPr>
            <w:t>财政拨款收入</w:t>
          </w:r>
          <w:r>
            <w:rPr>
              <w:rFonts w:hint="eastAsia" w:asciiTheme="minorEastAsia" w:hAnsiTheme="minorEastAsia" w:eastAsiaTheme="minorEastAsia" w:cstheme="minorEastAsia"/>
              <w:b w:val="0"/>
              <w:bCs w:val="0"/>
              <w:sz w:val="21"/>
              <w:szCs w:val="21"/>
              <w:highlight w:val="none"/>
            </w:rPr>
            <w:t>支出决算表</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_Toc1225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51</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color w:val="auto"/>
              <w:sz w:val="21"/>
              <w:szCs w:val="21"/>
              <w:highlight w:val="none"/>
              <w:lang w:val="en-US" w:eastAsia="zh-CN"/>
            </w:rPr>
            <w:fldChar w:fldCharType="end"/>
          </w:r>
        </w:p>
        <w:p>
          <w:pPr>
            <w:pStyle w:val="32"/>
            <w:tabs>
              <w:tab w:val="right" w:leader="dot" w:pos="8306"/>
            </w:tabs>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highlight w:val="none"/>
              <w:lang w:val="en-US" w:eastAsia="zh-CN"/>
            </w:rPr>
            <w:fldChar w:fldCharType="begin"/>
          </w:r>
          <w:r>
            <w:rPr>
              <w:rFonts w:hint="eastAsia" w:asciiTheme="minorEastAsia" w:hAnsiTheme="minorEastAsia" w:eastAsiaTheme="minorEastAsia" w:cstheme="minorEastAsia"/>
              <w:b w:val="0"/>
              <w:bCs w:val="0"/>
              <w:sz w:val="21"/>
              <w:szCs w:val="21"/>
              <w:highlight w:val="none"/>
              <w:lang w:val="en-US" w:eastAsia="zh-CN"/>
            </w:rPr>
            <w:instrText xml:space="preserve"> HYPERLINK \l _Toc15253 </w:instrText>
          </w:r>
          <w:r>
            <w:rPr>
              <w:rFonts w:hint="eastAsia" w:asciiTheme="minorEastAsia" w:hAnsiTheme="minorEastAsia" w:eastAsiaTheme="minorEastAsia" w:cstheme="minorEastAsia"/>
              <w:b w:val="0"/>
              <w:bCs w:val="0"/>
              <w:sz w:val="21"/>
              <w:szCs w:val="21"/>
              <w:highlight w:val="none"/>
              <w:lang w:val="en-US" w:eastAsia="zh-CN"/>
            </w:rPr>
            <w:fldChar w:fldCharType="separate"/>
          </w:r>
          <w:r>
            <w:rPr>
              <w:rFonts w:hint="eastAsia" w:asciiTheme="minorEastAsia" w:hAnsiTheme="minorEastAsia" w:eastAsiaTheme="minorEastAsia" w:cstheme="minorEastAsia"/>
              <w:b w:val="0"/>
              <w:bCs w:val="0"/>
              <w:sz w:val="21"/>
              <w:szCs w:val="21"/>
              <w:highlight w:val="none"/>
              <w:lang w:eastAsia="zh-CN"/>
            </w:rPr>
            <w:t>十四、国有资本经营预算财政拨款支出决算表</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_Toc15253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51</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color w:val="auto"/>
              <w:sz w:val="21"/>
              <w:szCs w:val="21"/>
              <w:highlight w:val="none"/>
              <w:lang w:val="en-US" w:eastAsia="zh-CN"/>
            </w:rPr>
            <w:fldChar w:fldCharType="end"/>
          </w:r>
        </w:p>
        <w:p>
          <w:pPr>
            <w:pStyle w:val="11"/>
            <w:adjustRightInd w:val="0"/>
            <w:snapToGrid w:val="0"/>
            <w:spacing w:line="440" w:lineRule="exact"/>
            <w:jc w:val="left"/>
            <w:rPr>
              <w:rFonts w:hint="eastAsia" w:ascii="仿宋" w:hAnsi="仿宋" w:eastAsia="仿宋" w:cs="仿宋"/>
              <w:color w:val="auto"/>
              <w:sz w:val="24"/>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fldChar w:fldCharType="end"/>
          </w:r>
        </w:p>
      </w:sdtContent>
    </w:sdt>
    <w:p>
      <w:pPr>
        <w:pStyle w:val="3"/>
        <w:keepNext/>
        <w:keepLines/>
        <w:pageBreakBefore/>
        <w:widowControl w:val="0"/>
        <w:kinsoku/>
        <w:wordWrap/>
        <w:overflowPunct/>
        <w:topLinePunct w:val="0"/>
        <w:autoSpaceDE/>
        <w:autoSpaceDN/>
        <w:bidi w:val="0"/>
        <w:adjustRightInd/>
        <w:snapToGrid/>
        <w:spacing w:line="579" w:lineRule="auto"/>
        <w:jc w:val="center"/>
        <w:textAlignment w:val="auto"/>
        <w:rPr>
          <w:rStyle w:val="24"/>
          <w:rFonts w:ascii="黑体" w:hAnsi="黑体" w:eastAsia="黑体"/>
          <w:b/>
          <w:bCs w:val="0"/>
          <w:color w:val="auto"/>
          <w:highlight w:val="none"/>
        </w:rPr>
      </w:pPr>
      <w:bookmarkStart w:id="15" w:name="_Toc15396599"/>
      <w:bookmarkStart w:id="16" w:name="_Toc15377196"/>
      <w:bookmarkStart w:id="17" w:name="_Toc22012"/>
      <w:r>
        <w:rPr>
          <w:rFonts w:hint="eastAsia" w:ascii="黑体" w:hAnsi="黑体" w:eastAsia="黑体"/>
          <w:b w:val="0"/>
          <w:color w:val="auto"/>
          <w:highlight w:val="none"/>
        </w:rPr>
        <w:t xml:space="preserve">第一部分 </w:t>
      </w:r>
      <w:r>
        <w:rPr>
          <w:rStyle w:val="24"/>
          <w:rFonts w:hint="eastAsia" w:ascii="黑体" w:hAnsi="黑体" w:eastAsia="黑体"/>
          <w:b w:val="0"/>
          <w:bCs w:val="0"/>
          <w:color w:val="auto"/>
          <w:highlight w:val="none"/>
        </w:rPr>
        <w:t>部门概况</w:t>
      </w:r>
      <w:bookmarkEnd w:id="15"/>
      <w:bookmarkEnd w:id="16"/>
      <w:bookmarkEnd w:id="17"/>
    </w:p>
    <w:p>
      <w:pPr>
        <w:widowControl/>
        <w:jc w:val="left"/>
        <w:rPr>
          <w:rFonts w:ascii="黑体" w:eastAsia="黑体"/>
          <w:color w:val="auto"/>
          <w:sz w:val="32"/>
          <w:szCs w:val="32"/>
          <w:highlight w:val="none"/>
        </w:rPr>
      </w:pPr>
    </w:p>
    <w:p>
      <w:pPr>
        <w:pStyle w:val="4"/>
        <w:rPr>
          <w:rStyle w:val="25"/>
          <w:rFonts w:ascii="仿宋" w:hAnsi="仿宋" w:eastAsia="仿宋"/>
          <w:b w:val="0"/>
          <w:bCs w:val="0"/>
          <w:color w:val="auto"/>
          <w:highlight w:val="none"/>
        </w:rPr>
      </w:pPr>
      <w:bookmarkStart w:id="18" w:name="_Toc15377197"/>
      <w:bookmarkStart w:id="19" w:name="_Toc15396600"/>
      <w:bookmarkStart w:id="20" w:name="_Toc4004"/>
      <w:r>
        <w:rPr>
          <w:rFonts w:hint="eastAsia" w:ascii="黑体" w:hAnsi="黑体" w:eastAsia="黑体"/>
          <w:b w:val="0"/>
          <w:color w:val="auto"/>
          <w:highlight w:val="none"/>
        </w:rPr>
        <w:t>一、基</w:t>
      </w:r>
      <w:r>
        <w:rPr>
          <w:rStyle w:val="25"/>
          <w:rFonts w:hint="eastAsia" w:ascii="黑体" w:hAnsi="黑体" w:eastAsia="黑体"/>
          <w:b w:val="0"/>
          <w:bCs w:val="0"/>
          <w:color w:val="auto"/>
          <w:highlight w:val="none"/>
        </w:rPr>
        <w:t>本职能及主要工作</w:t>
      </w:r>
      <w:bookmarkEnd w:id="18"/>
      <w:bookmarkEnd w:id="19"/>
      <w:bookmarkEnd w:id="20"/>
    </w:p>
    <w:p>
      <w:pPr>
        <w:pStyle w:val="2"/>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bookmarkStart w:id="21" w:name="_Toc15378445"/>
      <w:bookmarkStart w:id="22" w:name="_Toc15377198"/>
      <w:r>
        <w:rPr>
          <w:rFonts w:hint="eastAsia" w:ascii="仿宋" w:hAnsi="仿宋" w:eastAsia="仿宋"/>
          <w:bCs/>
          <w:color w:val="auto"/>
          <w:sz w:val="32"/>
          <w:szCs w:val="32"/>
          <w:highlight w:val="none"/>
        </w:rPr>
        <w:t>（一）主要职能。</w:t>
      </w:r>
    </w:p>
    <w:p>
      <w:pPr>
        <w:widowControl/>
        <w:shd w:val="clear" w:color="auto" w:fill="FFFFFF"/>
        <w:ind w:firstLine="560"/>
        <w:jc w:val="left"/>
        <w:rPr>
          <w:rFonts w:ascii="仿宋" w:hAnsi="仿宋" w:eastAsia="仿宋" w:cs="宋体"/>
          <w:color w:val="000000"/>
          <w:kern w:val="0"/>
          <w:szCs w:val="21"/>
        </w:rPr>
      </w:pPr>
      <w:r>
        <w:rPr>
          <w:rFonts w:hint="eastAsia" w:ascii="仿宋" w:hAnsi="仿宋" w:eastAsia="仿宋" w:cs="宋体"/>
          <w:color w:val="000000"/>
          <w:kern w:val="0"/>
          <w:sz w:val="28"/>
          <w:szCs w:val="28"/>
        </w:rPr>
        <w:t>落实国家政策，严格依法行政，发挥经济管理职能，加强政策引导，制定发展规划，服务市场主体和营造发展环境，搞好市场监管，大力促进社会事业发展，发展镇村经济、文化和社会事业，提供公共服务，维护社会稳定，构建社会主义和谐社会。</w:t>
      </w:r>
    </w:p>
    <w:p>
      <w:pPr>
        <w:widowControl/>
        <w:shd w:val="clear" w:color="auto" w:fill="FFFFFF"/>
        <w:ind w:firstLine="560" w:firstLineChars="200"/>
        <w:jc w:val="left"/>
        <w:rPr>
          <w:rFonts w:hint="eastAsia" w:ascii="仿宋" w:hAnsi="仿宋" w:eastAsia="仿宋"/>
          <w:color w:val="000000"/>
          <w:sz w:val="28"/>
          <w:szCs w:val="28"/>
        </w:rPr>
      </w:pPr>
      <w:r>
        <w:rPr>
          <w:rFonts w:ascii="仿宋" w:hAnsi="仿宋" w:eastAsia="仿宋" w:cs="宋体"/>
          <w:color w:val="000000"/>
          <w:kern w:val="0"/>
          <w:sz w:val="28"/>
          <w:szCs w:val="28"/>
        </w:rPr>
        <w:t>1</w:t>
      </w:r>
      <w:r>
        <w:rPr>
          <w:rFonts w:hint="eastAsia" w:ascii="仿宋" w:hAnsi="仿宋" w:eastAsia="仿宋" w:cs="宋体"/>
          <w:color w:val="000000"/>
          <w:kern w:val="0"/>
          <w:sz w:val="28"/>
          <w:szCs w:val="28"/>
        </w:rPr>
        <w:t>、执行本级人民代表大会的决议和上级国家行政机关的决定和命令，发布决定和命令</w:t>
      </w:r>
      <w:r>
        <w:rPr>
          <w:rFonts w:hint="eastAsia" w:ascii="仿宋" w:hAnsi="仿宋" w:eastAsia="仿宋" w:cs="宋体"/>
          <w:color w:val="000000"/>
          <w:kern w:val="0"/>
          <w:sz w:val="28"/>
          <w:szCs w:val="28"/>
          <w:lang w:eastAsia="zh-CN"/>
        </w:rPr>
        <w:t>；</w:t>
      </w:r>
      <w:r>
        <w:rPr>
          <w:rFonts w:ascii="仿宋" w:hAnsi="仿宋" w:eastAsia="仿宋" w:cs="宋体"/>
          <w:color w:val="000000"/>
          <w:kern w:val="0"/>
          <w:sz w:val="28"/>
          <w:szCs w:val="28"/>
        </w:rPr>
        <w:t>2</w:t>
      </w:r>
      <w:r>
        <w:rPr>
          <w:rFonts w:hint="eastAsia" w:ascii="仿宋" w:hAnsi="仿宋" w:eastAsia="仿宋" w:cs="宋体"/>
          <w:color w:val="000000"/>
          <w:kern w:val="0"/>
          <w:sz w:val="28"/>
          <w:szCs w:val="28"/>
        </w:rPr>
        <w:t>、执行本行政区域内的经济和社会发展计划、预算，管理本行政区域内的经济、教育、科学、文化、卫生、体育事业和财政、民政、公安、司法行政、计划生育等行政工作</w:t>
      </w:r>
      <w:r>
        <w:rPr>
          <w:rFonts w:hint="eastAsia" w:ascii="仿宋" w:hAnsi="仿宋" w:eastAsia="仿宋" w:cs="宋体"/>
          <w:color w:val="000000"/>
          <w:kern w:val="0"/>
          <w:sz w:val="28"/>
          <w:szCs w:val="28"/>
          <w:lang w:eastAsia="zh-CN"/>
        </w:rPr>
        <w:t>；</w:t>
      </w:r>
      <w:r>
        <w:rPr>
          <w:rFonts w:ascii="仿宋" w:hAnsi="仿宋" w:eastAsia="仿宋" w:cs="宋体"/>
          <w:color w:val="000000"/>
          <w:kern w:val="0"/>
          <w:sz w:val="28"/>
          <w:szCs w:val="28"/>
        </w:rPr>
        <w:t>3</w:t>
      </w:r>
      <w:r>
        <w:rPr>
          <w:rFonts w:hint="eastAsia" w:ascii="仿宋" w:hAnsi="仿宋" w:eastAsia="仿宋" w:cs="宋体"/>
          <w:color w:val="000000"/>
          <w:kern w:val="0"/>
          <w:sz w:val="28"/>
          <w:szCs w:val="28"/>
        </w:rPr>
        <w:t>、保护社会主义的全民所有的财产和劳动群众集体所有的财产，保护公民私人所有的合法财产，维护社会秩序，保障公民的人身权利、民权利和其他权利</w:t>
      </w:r>
      <w:r>
        <w:rPr>
          <w:rFonts w:hint="eastAsia" w:ascii="仿宋" w:hAnsi="仿宋" w:eastAsia="仿宋" w:cs="宋体"/>
          <w:color w:val="000000"/>
          <w:kern w:val="0"/>
          <w:sz w:val="28"/>
          <w:szCs w:val="28"/>
          <w:lang w:eastAsia="zh-CN"/>
        </w:rPr>
        <w:t>；</w:t>
      </w:r>
      <w:r>
        <w:rPr>
          <w:rFonts w:ascii="仿宋" w:hAnsi="仿宋" w:eastAsia="仿宋" w:cs="宋体"/>
          <w:color w:val="000000"/>
          <w:kern w:val="0"/>
          <w:sz w:val="28"/>
          <w:szCs w:val="28"/>
        </w:rPr>
        <w:t>4</w:t>
      </w:r>
      <w:r>
        <w:rPr>
          <w:rFonts w:hint="eastAsia" w:ascii="仿宋" w:hAnsi="仿宋" w:eastAsia="仿宋" w:cs="宋体"/>
          <w:color w:val="000000"/>
          <w:kern w:val="0"/>
          <w:sz w:val="28"/>
          <w:szCs w:val="28"/>
        </w:rPr>
        <w:t>、保护各种经济组织的合法权益</w:t>
      </w:r>
      <w:r>
        <w:rPr>
          <w:rFonts w:hint="eastAsia" w:ascii="仿宋" w:hAnsi="仿宋" w:eastAsia="仿宋" w:cs="宋体"/>
          <w:color w:val="000000"/>
          <w:kern w:val="0"/>
          <w:sz w:val="28"/>
          <w:szCs w:val="28"/>
          <w:lang w:eastAsia="zh-CN"/>
        </w:rPr>
        <w:t>；</w:t>
      </w:r>
      <w:r>
        <w:rPr>
          <w:rFonts w:ascii="仿宋" w:hAnsi="仿宋" w:eastAsia="仿宋" w:cs="宋体"/>
          <w:color w:val="000000"/>
          <w:kern w:val="0"/>
          <w:sz w:val="28"/>
          <w:szCs w:val="28"/>
        </w:rPr>
        <w:t>5</w:t>
      </w:r>
      <w:r>
        <w:rPr>
          <w:rFonts w:hint="eastAsia" w:ascii="仿宋" w:hAnsi="仿宋" w:eastAsia="仿宋" w:cs="宋体"/>
          <w:color w:val="000000"/>
          <w:kern w:val="0"/>
          <w:sz w:val="28"/>
          <w:szCs w:val="28"/>
        </w:rPr>
        <w:t>、保障少数民族的权利和尊重少数民族的风俗习惯</w:t>
      </w:r>
      <w:r>
        <w:rPr>
          <w:rFonts w:hint="eastAsia" w:ascii="仿宋" w:hAnsi="仿宋" w:eastAsia="仿宋" w:cs="宋体"/>
          <w:color w:val="000000"/>
          <w:kern w:val="0"/>
          <w:sz w:val="28"/>
          <w:szCs w:val="28"/>
          <w:lang w:eastAsia="zh-CN"/>
        </w:rPr>
        <w:t>；</w:t>
      </w:r>
      <w:r>
        <w:rPr>
          <w:rFonts w:ascii="仿宋" w:hAnsi="仿宋" w:eastAsia="仿宋"/>
          <w:color w:val="000000"/>
          <w:sz w:val="28"/>
          <w:szCs w:val="28"/>
        </w:rPr>
        <w:t>6</w:t>
      </w:r>
      <w:r>
        <w:rPr>
          <w:rFonts w:hint="eastAsia" w:ascii="仿宋" w:hAnsi="仿宋" w:eastAsia="仿宋"/>
          <w:color w:val="000000"/>
          <w:sz w:val="28"/>
          <w:szCs w:val="28"/>
        </w:rPr>
        <w:t>、办理上级县委、县政</w:t>
      </w:r>
      <w:r>
        <w:rPr>
          <w:rFonts w:hint="eastAsia" w:ascii="仿宋" w:hAnsi="仿宋" w:eastAsia="仿宋"/>
          <w:color w:val="000000"/>
          <w:sz w:val="28"/>
          <w:szCs w:val="28"/>
          <w:lang w:eastAsia="zh-CN"/>
        </w:rPr>
        <w:t>府</w:t>
      </w:r>
      <w:bookmarkEnd w:id="21"/>
      <w:bookmarkEnd w:id="22"/>
      <w:bookmarkStart w:id="23" w:name="_Toc15378446"/>
      <w:bookmarkStart w:id="24" w:name="_Toc15377199"/>
    </w:p>
    <w:p>
      <w:pPr>
        <w:pStyle w:val="2"/>
        <w:adjustRightInd w:val="0"/>
        <w:snapToGrid w:val="0"/>
        <w:spacing w:before="93" w:line="600" w:lineRule="exact"/>
        <w:ind w:firstLine="672" w:firstLineChars="210"/>
        <w:outlineLvl w:val="2"/>
        <w:rPr>
          <w:rFonts w:hint="eastAsia" w:ascii="仿宋" w:hAnsi="仿宋" w:eastAsia="仿宋"/>
          <w:b w:val="0"/>
          <w:bCs/>
          <w:color w:val="auto"/>
          <w:sz w:val="32"/>
          <w:szCs w:val="32"/>
          <w:highlight w:val="none"/>
        </w:rPr>
      </w:pPr>
      <w:r>
        <w:rPr>
          <w:rFonts w:hint="eastAsia" w:ascii="仿宋" w:hAnsi="仿宋" w:eastAsia="仿宋"/>
          <w:bCs/>
          <w:color w:val="auto"/>
          <w:sz w:val="32"/>
          <w:szCs w:val="32"/>
          <w:highlight w:val="none"/>
        </w:rPr>
        <w:t>（二）</w:t>
      </w:r>
      <w:r>
        <w:rPr>
          <w:rFonts w:ascii="仿宋" w:hAnsi="仿宋" w:eastAsia="仿宋"/>
          <w:b w:val="0"/>
          <w:bCs/>
          <w:color w:val="auto"/>
          <w:sz w:val="32"/>
          <w:szCs w:val="32"/>
          <w:highlight w:val="none"/>
        </w:rPr>
        <w:t>20</w:t>
      </w:r>
      <w:r>
        <w:rPr>
          <w:rFonts w:hint="eastAsia" w:ascii="仿宋" w:hAnsi="仿宋" w:eastAsia="仿宋"/>
          <w:b w:val="0"/>
          <w:bCs/>
          <w:color w:val="auto"/>
          <w:sz w:val="32"/>
          <w:szCs w:val="32"/>
          <w:highlight w:val="none"/>
          <w:lang w:val="en-US" w:eastAsia="zh-CN"/>
        </w:rPr>
        <w:t>21</w:t>
      </w:r>
      <w:r>
        <w:rPr>
          <w:rFonts w:hint="eastAsia" w:ascii="仿宋" w:hAnsi="仿宋" w:eastAsia="仿宋"/>
          <w:b w:val="0"/>
          <w:bCs/>
          <w:color w:val="auto"/>
          <w:sz w:val="32"/>
          <w:szCs w:val="32"/>
          <w:highlight w:val="none"/>
        </w:rPr>
        <w:t>年重点工作完成情况。</w:t>
      </w:r>
      <w:bookmarkEnd w:id="23"/>
      <w:bookmarkEnd w:id="24"/>
    </w:p>
    <w:p>
      <w:pPr>
        <w:keepNext w:val="0"/>
        <w:keepLines w:val="0"/>
        <w:pageBreakBefore w:val="0"/>
        <w:numPr>
          <w:ilvl w:val="0"/>
          <w:numId w:val="0"/>
        </w:numPr>
        <w:kinsoku/>
        <w:wordWrap/>
        <w:overflowPunct/>
        <w:topLinePunct w:val="0"/>
        <w:autoSpaceDN/>
        <w:bidi w:val="0"/>
        <w:adjustRightInd/>
        <w:snapToGrid/>
        <w:spacing w:line="560" w:lineRule="exact"/>
        <w:ind w:firstLine="640" w:firstLineChars="200"/>
        <w:jc w:val="both"/>
        <w:textAlignment w:val="auto"/>
        <w:rPr>
          <w:rFonts w:hint="eastAsia" w:ascii="仿宋" w:hAnsi="仿宋" w:eastAsia="仿宋" w:cs="仿宋"/>
          <w:b w:val="0"/>
          <w:bCs/>
          <w:snapToGrid w:val="0"/>
          <w:color w:val="000000"/>
          <w:kern w:val="0"/>
          <w:sz w:val="32"/>
          <w:szCs w:val="32"/>
          <w:lang w:val="en-US" w:eastAsia="zh-CN" w:bidi="ar-SA"/>
        </w:rPr>
      </w:pPr>
      <w:r>
        <w:rPr>
          <w:rFonts w:hint="eastAsia" w:ascii="仿宋" w:hAnsi="仿宋" w:eastAsia="仿宋" w:cs="仿宋"/>
          <w:b w:val="0"/>
          <w:bCs/>
          <w:snapToGrid w:val="0"/>
          <w:color w:val="000000"/>
          <w:kern w:val="0"/>
          <w:sz w:val="32"/>
          <w:szCs w:val="32"/>
          <w:lang w:val="en-US" w:eastAsia="zh-CN"/>
        </w:rPr>
        <w:t>1.</w:t>
      </w:r>
      <w:r>
        <w:rPr>
          <w:rFonts w:hint="eastAsia" w:ascii="仿宋" w:hAnsi="仿宋" w:eastAsia="仿宋" w:cs="仿宋"/>
          <w:b w:val="0"/>
          <w:bCs/>
          <w:snapToGrid w:val="0"/>
          <w:color w:val="000000"/>
          <w:kern w:val="0"/>
          <w:sz w:val="32"/>
          <w:szCs w:val="32"/>
          <w:lang w:eastAsia="zh-CN"/>
        </w:rPr>
        <w:t>抓</w:t>
      </w:r>
      <w:r>
        <w:rPr>
          <w:rFonts w:hint="eastAsia" w:ascii="仿宋" w:hAnsi="仿宋" w:eastAsia="仿宋" w:cs="仿宋"/>
          <w:b w:val="0"/>
          <w:bCs/>
          <w:snapToGrid w:val="0"/>
          <w:color w:val="000000"/>
          <w:kern w:val="0"/>
          <w:sz w:val="32"/>
          <w:szCs w:val="32"/>
        </w:rPr>
        <w:t>疫情防控</w:t>
      </w:r>
      <w:r>
        <w:rPr>
          <w:rFonts w:hint="eastAsia" w:ascii="仿宋" w:hAnsi="仿宋" w:eastAsia="仿宋" w:cs="仿宋"/>
          <w:b w:val="0"/>
          <w:bCs/>
          <w:snapToGrid w:val="0"/>
          <w:color w:val="000000"/>
          <w:kern w:val="0"/>
          <w:sz w:val="32"/>
          <w:szCs w:val="32"/>
          <w:lang w:eastAsia="zh-CN"/>
        </w:rPr>
        <w:t>，有序推进产业发展</w:t>
      </w:r>
      <w:r>
        <w:rPr>
          <w:rFonts w:hint="eastAsia" w:ascii="仿宋" w:hAnsi="仿宋" w:eastAsia="仿宋" w:cs="仿宋"/>
          <w:b w:val="0"/>
          <w:bCs/>
          <w:snapToGrid w:val="0"/>
          <w:color w:val="000000"/>
          <w:kern w:val="0"/>
          <w:sz w:val="32"/>
          <w:szCs w:val="32"/>
        </w:rPr>
        <w:t>。</w:t>
      </w:r>
      <w:r>
        <w:rPr>
          <w:rFonts w:hint="eastAsia" w:ascii="仿宋" w:hAnsi="仿宋" w:eastAsia="仿宋" w:cs="仿宋"/>
          <w:b w:val="0"/>
          <w:bCs/>
          <w:snapToGrid w:val="0"/>
          <w:color w:val="000000"/>
          <w:kern w:val="0"/>
          <w:sz w:val="32"/>
          <w:szCs w:val="32"/>
          <w:lang w:val="en-US" w:eastAsia="zh-CN" w:bidi="ar-SA"/>
        </w:rPr>
        <w:t>2021年排查中、高风险返通人员22人，建立了3本台账，已接种疫苗11940人次，接种率达到96%，全镇无一例确诊或疑似新冠肺炎患者。融合一、二、三产业，强化产业结构调整，建立密李特色产业园500亩、银耳种植专业村1个、中药材1748亩、青花椒2187亩；通过引进回乡创业人才25人，新增6家种植养殖专业合作社和3家家庭农（牧）场。</w:t>
      </w:r>
    </w:p>
    <w:p>
      <w:pPr>
        <w:keepNext w:val="0"/>
        <w:keepLines w:val="0"/>
        <w:pageBreakBefore w:val="0"/>
        <w:numPr>
          <w:ilvl w:val="0"/>
          <w:numId w:val="0"/>
        </w:numPr>
        <w:kinsoku/>
        <w:wordWrap/>
        <w:overflowPunct/>
        <w:topLinePunct w:val="0"/>
        <w:autoSpaceDN/>
        <w:bidi w:val="0"/>
        <w:adjustRightInd/>
        <w:snapToGrid/>
        <w:spacing w:line="560" w:lineRule="exact"/>
        <w:jc w:val="both"/>
        <w:textAlignment w:val="auto"/>
        <w:rPr>
          <w:rFonts w:hint="eastAsia" w:ascii="仿宋" w:hAnsi="仿宋" w:eastAsia="仿宋" w:cs="仿宋"/>
          <w:b w:val="0"/>
          <w:bCs/>
          <w:snapToGrid w:val="0"/>
          <w:color w:val="000000"/>
          <w:kern w:val="0"/>
          <w:sz w:val="32"/>
          <w:szCs w:val="32"/>
          <w:lang w:val="en-US" w:eastAsia="zh-CN" w:bidi="ar-SA"/>
        </w:rPr>
      </w:pPr>
      <w:r>
        <w:rPr>
          <w:rFonts w:hint="eastAsia" w:ascii="仿宋" w:hAnsi="仿宋" w:eastAsia="仿宋" w:cs="仿宋"/>
          <w:b w:val="0"/>
          <w:bCs/>
          <w:i w:val="0"/>
          <w:caps w:val="0"/>
          <w:color w:val="000000"/>
          <w:spacing w:val="0"/>
          <w:sz w:val="32"/>
          <w:szCs w:val="32"/>
          <w:shd w:val="clear" w:color="auto" w:fill="FFFFFF"/>
          <w:lang w:val="en-US" w:eastAsia="zh-CN"/>
        </w:rPr>
        <w:t xml:space="preserve">   2.</w:t>
      </w:r>
      <w:r>
        <w:rPr>
          <w:rFonts w:hint="eastAsia" w:ascii="仿宋" w:hAnsi="仿宋" w:eastAsia="仿宋" w:cs="仿宋"/>
          <w:b w:val="0"/>
          <w:bCs/>
          <w:snapToGrid w:val="0"/>
          <w:color w:val="000000"/>
          <w:kern w:val="0"/>
          <w:sz w:val="32"/>
          <w:szCs w:val="32"/>
          <w:lang w:val="en-US" w:eastAsia="zh-CN"/>
        </w:rPr>
        <w:t>抓镇村换届，夯实“后半篇”文章。</w:t>
      </w:r>
      <w:r>
        <w:rPr>
          <w:rFonts w:hint="eastAsia" w:ascii="仿宋" w:hAnsi="仿宋" w:eastAsia="仿宋" w:cs="仿宋"/>
          <w:b w:val="0"/>
          <w:bCs/>
          <w:snapToGrid w:val="0"/>
          <w:color w:val="000000"/>
          <w:kern w:val="0"/>
          <w:sz w:val="32"/>
          <w:szCs w:val="32"/>
          <w:lang w:val="en-US" w:eastAsia="zh-CN" w:bidi="ar-SA"/>
        </w:rPr>
        <w:t>3—10月完成镇村换届工作，制定完善“后半篇”文章机制，清理集体资产经营性资产2525万元，公益性资产4398万元，资源性资产2.1万亩，获得股权人数15365人。</w:t>
      </w:r>
    </w:p>
    <w:p>
      <w:pPr>
        <w:keepNext w:val="0"/>
        <w:keepLines w:val="0"/>
        <w:pageBreakBefore w:val="0"/>
        <w:numPr>
          <w:ilvl w:val="0"/>
          <w:numId w:val="0"/>
        </w:numPr>
        <w:kinsoku/>
        <w:wordWrap/>
        <w:overflowPunct/>
        <w:topLinePunct w:val="0"/>
        <w:autoSpaceDN/>
        <w:bidi w:val="0"/>
        <w:adjustRightInd/>
        <w:snapToGrid/>
        <w:spacing w:line="560" w:lineRule="exact"/>
        <w:ind w:firstLine="560"/>
        <w:jc w:val="both"/>
        <w:textAlignment w:val="auto"/>
        <w:rPr>
          <w:rFonts w:hint="eastAsia" w:ascii="仿宋" w:hAnsi="仿宋" w:eastAsia="仿宋" w:cs="仿宋"/>
          <w:b w:val="0"/>
          <w:bCs w:val="0"/>
          <w:snapToGrid w:val="0"/>
          <w:color w:val="000000"/>
          <w:kern w:val="0"/>
          <w:sz w:val="32"/>
          <w:szCs w:val="32"/>
          <w:lang w:val="en-US" w:eastAsia="zh-CN" w:bidi="ar-SA"/>
        </w:rPr>
      </w:pPr>
      <w:r>
        <w:rPr>
          <w:rFonts w:hint="eastAsia" w:ascii="仿宋" w:hAnsi="仿宋" w:eastAsia="仿宋" w:cs="仿宋"/>
          <w:b w:val="0"/>
          <w:bCs/>
          <w:snapToGrid w:val="0"/>
          <w:color w:val="000000"/>
          <w:kern w:val="0"/>
          <w:sz w:val="32"/>
          <w:szCs w:val="32"/>
          <w:lang w:val="en-US" w:eastAsia="zh-CN"/>
        </w:rPr>
        <w:t>3.抓成效巩固，强化乡村振兴衔接。</w:t>
      </w:r>
      <w:r>
        <w:rPr>
          <w:rFonts w:hint="eastAsia" w:ascii="仿宋" w:hAnsi="仿宋" w:eastAsia="仿宋" w:cs="仿宋"/>
          <w:b w:val="0"/>
          <w:bCs/>
          <w:snapToGrid w:val="0"/>
          <w:color w:val="000000"/>
          <w:kern w:val="0"/>
          <w:sz w:val="32"/>
          <w:szCs w:val="32"/>
          <w:lang w:val="en-US" w:eastAsia="zh-CN" w:bidi="ar-SA"/>
        </w:rPr>
        <w:t>按照</w:t>
      </w:r>
      <w:r>
        <w:rPr>
          <w:rFonts w:hint="eastAsia" w:ascii="仿宋" w:hAnsi="仿宋" w:eastAsia="仿宋" w:cs="仿宋"/>
          <w:snapToGrid w:val="0"/>
          <w:color w:val="000000"/>
          <w:kern w:val="0"/>
          <w:sz w:val="32"/>
          <w:szCs w:val="32"/>
          <w:lang w:val="en-US" w:eastAsia="zh-CN" w:bidi="ar-SA"/>
        </w:rPr>
        <w:t>“四不摘”的要求，安排7名第一书记、21名驻村工作队员加强脱贫攻坚成效巩固工作，完成了21户监测户帮扶和18户掉边掉角户住房的建设，开展3次排查整改“回头看”，发现和整改问题12个，宣传政策30场次。坚持耕地红线底线，完成200亩撂</w:t>
      </w:r>
      <w:r>
        <w:rPr>
          <w:rFonts w:hint="eastAsia" w:ascii="仿宋" w:hAnsi="仿宋" w:eastAsia="仿宋" w:cs="仿宋"/>
          <w:b w:val="0"/>
          <w:bCs w:val="0"/>
          <w:snapToGrid w:val="0"/>
          <w:color w:val="000000"/>
          <w:kern w:val="0"/>
          <w:sz w:val="32"/>
          <w:szCs w:val="32"/>
          <w:lang w:val="en-US" w:eastAsia="zh-CN" w:bidi="ar-SA"/>
        </w:rPr>
        <w:t>荒土地处置。</w:t>
      </w:r>
    </w:p>
    <w:p>
      <w:pPr>
        <w:keepNext w:val="0"/>
        <w:keepLines w:val="0"/>
        <w:pageBreakBefore w:val="0"/>
        <w:numPr>
          <w:ilvl w:val="0"/>
          <w:numId w:val="0"/>
        </w:numPr>
        <w:kinsoku/>
        <w:wordWrap/>
        <w:overflowPunct/>
        <w:topLinePunct w:val="0"/>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仿宋" w:hAnsi="仿宋" w:eastAsia="仿宋" w:cs="仿宋"/>
          <w:b w:val="0"/>
          <w:bCs w:val="0"/>
          <w:i w:val="0"/>
          <w:caps w:val="0"/>
          <w:color w:val="000000"/>
          <w:spacing w:val="0"/>
          <w:sz w:val="32"/>
          <w:szCs w:val="32"/>
          <w:lang w:val="en-US" w:eastAsia="zh-CN"/>
        </w:rPr>
        <w:t>4.抓基层整治，强化乡村治理。</w:t>
      </w:r>
      <w:r>
        <w:rPr>
          <w:rFonts w:hint="eastAsia" w:ascii="仿宋" w:hAnsi="仿宋" w:eastAsia="仿宋" w:cs="仿宋"/>
          <w:b w:val="0"/>
          <w:bCs w:val="0"/>
          <w:snapToGrid w:val="0"/>
          <w:color w:val="000000"/>
          <w:kern w:val="0"/>
          <w:sz w:val="32"/>
          <w:szCs w:val="32"/>
          <w:lang w:val="en-US" w:eastAsia="zh-CN" w:bidi="ar-SA"/>
        </w:rPr>
        <w:t>运用“四议四调四评”和新型“枫桥经验”工作法，完善“院户长”治理模式，化解矛盾纠纷50余件，处理信访3</w:t>
      </w:r>
      <w:r>
        <w:rPr>
          <w:rFonts w:hint="eastAsia" w:ascii="仿宋" w:hAnsi="仿宋" w:eastAsia="仿宋" w:cs="仿宋"/>
          <w:snapToGrid w:val="0"/>
          <w:color w:val="000000"/>
          <w:kern w:val="0"/>
          <w:sz w:val="32"/>
          <w:szCs w:val="32"/>
          <w:lang w:val="en-US" w:eastAsia="zh-CN" w:bidi="ar-SA"/>
        </w:rPr>
        <w:t>1余件次；开展环境整治20次，河道整治4次，规范了车辆停放和场镇秩序，完善了安全生产、森林防灭火、防灾抢险的管理。</w:t>
      </w:r>
    </w:p>
    <w:p>
      <w:pPr>
        <w:pStyle w:val="4"/>
        <w:rPr>
          <w:rStyle w:val="25"/>
          <w:b w:val="0"/>
          <w:bCs w:val="0"/>
          <w:color w:val="auto"/>
          <w:highlight w:val="none"/>
        </w:rPr>
      </w:pPr>
      <w:bookmarkStart w:id="25" w:name="_Toc15396601"/>
      <w:bookmarkStart w:id="26" w:name="_Toc15377200"/>
      <w:bookmarkStart w:id="27" w:name="_Toc2869"/>
      <w:r>
        <w:rPr>
          <w:rFonts w:hint="eastAsia" w:ascii="黑体" w:eastAsia="黑体"/>
          <w:b w:val="0"/>
          <w:color w:val="auto"/>
          <w:highlight w:val="none"/>
        </w:rPr>
        <w:t>二、</w:t>
      </w:r>
      <w:r>
        <w:rPr>
          <w:rFonts w:hint="eastAsia" w:ascii="黑体" w:hAnsi="黑体" w:eastAsia="黑体"/>
          <w:b w:val="0"/>
          <w:color w:val="auto"/>
          <w:highlight w:val="none"/>
        </w:rPr>
        <w:t>机</w:t>
      </w:r>
      <w:r>
        <w:rPr>
          <w:rStyle w:val="25"/>
          <w:rFonts w:hint="eastAsia" w:ascii="黑体" w:hAnsi="黑体" w:eastAsia="黑体"/>
          <w:b w:val="0"/>
          <w:bCs w:val="0"/>
          <w:color w:val="auto"/>
          <w:highlight w:val="none"/>
        </w:rPr>
        <w:t>构设置</w:t>
      </w:r>
      <w:bookmarkEnd w:id="25"/>
      <w:bookmarkEnd w:id="26"/>
      <w:bookmarkEnd w:id="27"/>
    </w:p>
    <w:p>
      <w:pPr>
        <w:ind w:firstLine="800" w:firstLineChars="25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通江县毛浴镇人民政府</w:t>
      </w:r>
      <w:r>
        <w:rPr>
          <w:rFonts w:hint="eastAsia" w:ascii="仿宋" w:hAnsi="仿宋" w:eastAsia="仿宋"/>
          <w:color w:val="auto"/>
          <w:sz w:val="32"/>
          <w:szCs w:val="32"/>
          <w:highlight w:val="none"/>
        </w:rPr>
        <w:t>下属二级单位</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个，其中行政单位</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rPr>
        <w:t>个，参照公务员法管理的事业单位</w:t>
      </w:r>
      <w:r>
        <w:rPr>
          <w:rFonts w:hint="eastAsia" w:ascii="仿宋" w:hAnsi="仿宋" w:eastAsia="仿宋"/>
          <w:bCs/>
          <w:color w:val="auto"/>
          <w:sz w:val="32"/>
          <w:szCs w:val="32"/>
          <w:highlight w:val="none"/>
          <w:lang w:val="en-US" w:eastAsia="zh-CN"/>
        </w:rPr>
        <w:t>0</w:t>
      </w:r>
      <w:r>
        <w:rPr>
          <w:rFonts w:hint="eastAsia" w:ascii="仿宋" w:hAnsi="仿宋" w:eastAsia="仿宋"/>
          <w:color w:val="auto"/>
          <w:sz w:val="32"/>
          <w:szCs w:val="32"/>
          <w:highlight w:val="none"/>
        </w:rPr>
        <w:t>个，其他事业单位</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个。</w:t>
      </w:r>
    </w:p>
    <w:p>
      <w:pPr>
        <w:pStyle w:val="2"/>
        <w:adjustRightInd w:val="0"/>
        <w:snapToGrid w:val="0"/>
        <w:spacing w:before="93" w:line="600" w:lineRule="exact"/>
        <w:ind w:firstLine="672" w:firstLineChars="210"/>
        <w:rPr>
          <w:rFonts w:ascii="仿宋" w:hAnsi="仿宋" w:eastAsia="仿宋"/>
          <w:color w:val="auto"/>
          <w:sz w:val="32"/>
          <w:szCs w:val="32"/>
          <w:highlight w:val="none"/>
        </w:rPr>
      </w:pPr>
      <w:r>
        <w:rPr>
          <w:rFonts w:hint="eastAsia" w:ascii="仿宋" w:hAnsi="仿宋" w:eastAsia="仿宋"/>
          <w:color w:val="auto"/>
          <w:sz w:val="32"/>
          <w:szCs w:val="32"/>
          <w:highlight w:val="none"/>
        </w:rPr>
        <w:t>纳入</w:t>
      </w:r>
      <w:r>
        <w:rPr>
          <w:rFonts w:hint="eastAsia" w:ascii="仿宋" w:hAnsi="仿宋" w:eastAsia="仿宋"/>
          <w:color w:val="auto"/>
          <w:sz w:val="32"/>
          <w:szCs w:val="32"/>
          <w:highlight w:val="none"/>
          <w:lang w:eastAsia="zh-CN"/>
        </w:rPr>
        <w:t>通江县毛浴镇</w:t>
      </w: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年度部门决算编制范围的二级预算单位包括：</w:t>
      </w:r>
    </w:p>
    <w:p>
      <w:pPr>
        <w:pStyle w:val="2"/>
        <w:numPr>
          <w:ilvl w:val="0"/>
          <w:numId w:val="1"/>
        </w:numPr>
        <w:adjustRightInd w:val="0"/>
        <w:snapToGrid w:val="0"/>
        <w:spacing w:before="93" w:line="600" w:lineRule="exact"/>
        <w:outlineLvl w:val="2"/>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通江县毛浴镇人民政府（本级）</w:t>
      </w:r>
    </w:p>
    <w:p>
      <w:pPr>
        <w:pStyle w:val="2"/>
        <w:numPr>
          <w:ilvl w:val="0"/>
          <w:numId w:val="1"/>
        </w:numPr>
        <w:adjustRightInd w:val="0"/>
        <w:snapToGrid w:val="0"/>
        <w:spacing w:before="93" w:line="600" w:lineRule="exact"/>
        <w:outlineLvl w:val="2"/>
        <w:rPr>
          <w:rFonts w:ascii="仿宋" w:hAnsi="仿宋" w:eastAsia="仿宋"/>
          <w:color w:val="auto"/>
          <w:sz w:val="32"/>
          <w:szCs w:val="32"/>
          <w:highlight w:val="none"/>
        </w:rPr>
      </w:pPr>
      <w:bookmarkStart w:id="28" w:name="_Toc15377434"/>
      <w:bookmarkStart w:id="29" w:name="_Toc15377203"/>
      <w:bookmarkStart w:id="30" w:name="_Toc15306277"/>
      <w:bookmarkStart w:id="31" w:name="_Toc15378450"/>
      <w:r>
        <w:rPr>
          <w:rFonts w:hint="eastAsia" w:ascii="仿宋" w:hAnsi="仿宋" w:eastAsia="仿宋"/>
          <w:color w:val="auto"/>
          <w:sz w:val="32"/>
          <w:szCs w:val="32"/>
          <w:highlight w:val="none"/>
          <w:lang w:eastAsia="zh-CN"/>
        </w:rPr>
        <w:t>通江县列宁小学</w:t>
      </w:r>
      <w:bookmarkEnd w:id="28"/>
      <w:bookmarkEnd w:id="29"/>
      <w:bookmarkEnd w:id="30"/>
      <w:bookmarkEnd w:id="31"/>
    </w:p>
    <w:p>
      <w:pPr>
        <w:pStyle w:val="2"/>
        <w:numPr>
          <w:ilvl w:val="0"/>
          <w:numId w:val="1"/>
        </w:numPr>
        <w:adjustRightInd w:val="0"/>
        <w:snapToGrid w:val="0"/>
        <w:spacing w:before="93" w:line="600" w:lineRule="exact"/>
        <w:outlineLvl w:val="2"/>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通江县毛浴镇药铺小学</w:t>
      </w:r>
    </w:p>
    <w:p>
      <w:pPr>
        <w:pStyle w:val="2"/>
        <w:numPr>
          <w:ilvl w:val="0"/>
          <w:numId w:val="1"/>
        </w:numPr>
        <w:adjustRightInd w:val="0"/>
        <w:snapToGrid w:val="0"/>
        <w:spacing w:before="93" w:line="600" w:lineRule="exact"/>
        <w:outlineLvl w:val="2"/>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通江县毛浴镇卫生院</w:t>
      </w: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ind w:right="440"/>
        <w:jc w:val="center"/>
        <w:rPr>
          <w:rStyle w:val="24"/>
          <w:rFonts w:ascii="黑体" w:hAnsi="黑体" w:eastAsia="黑体"/>
          <w:b w:val="0"/>
          <w:bCs/>
          <w:color w:val="auto"/>
          <w:highlight w:val="none"/>
        </w:rPr>
      </w:pPr>
      <w:bookmarkStart w:id="32" w:name="_Toc15396602"/>
      <w:bookmarkStart w:id="33" w:name="_Toc15377204"/>
      <w:bookmarkStart w:id="34" w:name="_Toc18835"/>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4"/>
          <w:rFonts w:hint="eastAsia" w:ascii="黑体" w:hAnsi="黑体" w:eastAsia="黑体"/>
          <w:b w:val="0"/>
          <w:bCs/>
          <w:color w:val="auto"/>
          <w:highlight w:val="none"/>
        </w:rPr>
        <w:t>部门决算情况说明</w:t>
      </w:r>
      <w:bookmarkEnd w:id="32"/>
      <w:bookmarkEnd w:id="33"/>
      <w:bookmarkEnd w:id="34"/>
    </w:p>
    <w:p>
      <w:pPr>
        <w:rPr>
          <w:color w:val="auto"/>
          <w:highlight w:val="none"/>
        </w:rPr>
      </w:pP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35" w:name="_Toc15377205"/>
      <w:bookmarkStart w:id="36" w:name="_Toc15396603"/>
      <w:bookmarkStart w:id="37" w:name="_Toc15161"/>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35"/>
      <w:bookmarkEnd w:id="36"/>
      <w:bookmarkEnd w:id="37"/>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3875.18</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1059.72</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37.64</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脱贫攻坚后续及乡村振兴。</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仿宋_GB2312" w:eastAsia="仿宋_GB2312"/>
          <w:color w:val="auto"/>
          <w:sz w:val="32"/>
          <w:szCs w:val="32"/>
          <w:highlight w:val="none"/>
        </w:rPr>
      </w:pPr>
      <w:r>
        <w:drawing>
          <wp:inline distT="0" distB="0" distL="114300" distR="114300">
            <wp:extent cx="4572000" cy="2743200"/>
            <wp:effectExtent l="4445" t="4445" r="14605" b="1460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38" w:name="_Toc15377206"/>
      <w:bookmarkStart w:id="39" w:name="_Toc15396604"/>
      <w:bookmarkStart w:id="40" w:name="_Toc24625"/>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38"/>
      <w:bookmarkEnd w:id="39"/>
      <w:bookmarkEnd w:id="40"/>
    </w:p>
    <w:p>
      <w:pPr>
        <w:spacing w:line="600" w:lineRule="exact"/>
        <w:ind w:firstLine="640" w:firstLineChars="200"/>
        <w:outlineLvl w:val="1"/>
        <w:rPr>
          <w:rFonts w:ascii="仿宋" w:hAnsi="仿宋" w:eastAsia="仿宋"/>
          <w:color w:val="auto"/>
          <w:sz w:val="32"/>
          <w:szCs w:val="32"/>
          <w:highlight w:val="none"/>
        </w:rPr>
      </w:pPr>
      <w:bookmarkStart w:id="41" w:name="_Toc17151"/>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3875.18</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3733.22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96.34</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79.93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2.06</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62.03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41"/>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（图2：收入决算结构图）（饼状图）</w:t>
      </w:r>
    </w:p>
    <w:p>
      <w:pPr>
        <w:pStyle w:val="2"/>
        <w:keepNext w:val="0"/>
        <w:keepLines w:val="0"/>
        <w:pageBreakBefore w:val="0"/>
        <w:widowControl w:val="0"/>
        <w:kinsoku/>
        <w:wordWrap/>
        <w:overflowPunct/>
        <w:topLinePunct w:val="0"/>
        <w:autoSpaceDE/>
        <w:autoSpaceDN/>
        <w:bidi w:val="0"/>
        <w:adjustRightInd/>
        <w:snapToGrid/>
        <w:textAlignment w:val="auto"/>
      </w:pPr>
      <w:r>
        <w:drawing>
          <wp:inline distT="0" distB="0" distL="114300" distR="114300">
            <wp:extent cx="4572000" cy="2914650"/>
            <wp:effectExtent l="4445" t="4445" r="14605" b="1460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rPr>
          <w:rFonts w:ascii="仿宋_GB2312" w:eastAsia="仿宋_GB2312"/>
          <w:color w:val="auto"/>
          <w:sz w:val="32"/>
          <w:szCs w:val="32"/>
          <w:highlight w:val="none"/>
        </w:rPr>
      </w:pP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42" w:name="_Toc15396605"/>
      <w:bookmarkStart w:id="43" w:name="_Toc10024"/>
      <w:bookmarkStart w:id="44" w:name="_Toc15377207"/>
      <w:r>
        <w:rPr>
          <w:rFonts w:hint="eastAsia" w:ascii="黑体" w:hAnsi="黑体" w:eastAsia="黑体"/>
          <w:color w:val="auto"/>
          <w:sz w:val="32"/>
          <w:szCs w:val="32"/>
          <w:highlight w:val="none"/>
        </w:rPr>
        <w:t>支</w:t>
      </w:r>
      <w:r>
        <w:rPr>
          <w:rStyle w:val="25"/>
          <w:rFonts w:hint="eastAsia" w:ascii="黑体" w:hAnsi="黑体" w:eastAsia="黑体"/>
          <w:b w:val="0"/>
          <w:color w:val="auto"/>
          <w:highlight w:val="none"/>
        </w:rPr>
        <w:t>出决算情况说明</w:t>
      </w:r>
      <w:bookmarkEnd w:id="42"/>
      <w:bookmarkEnd w:id="43"/>
      <w:bookmarkEnd w:id="44"/>
    </w:p>
    <w:p>
      <w:pPr>
        <w:spacing w:line="600" w:lineRule="exact"/>
        <w:ind w:firstLine="640" w:firstLineChars="200"/>
        <w:outlineLvl w:val="1"/>
        <w:rPr>
          <w:rFonts w:ascii="仿宋" w:hAnsi="仿宋" w:eastAsia="仿宋"/>
          <w:color w:val="auto"/>
          <w:sz w:val="32"/>
          <w:szCs w:val="32"/>
          <w:highlight w:val="none"/>
        </w:rPr>
      </w:pPr>
      <w:bookmarkStart w:id="45" w:name="_Toc4070"/>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3875.18</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2221.92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57.34</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1653.28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42.66</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45"/>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（图3：支出决算结构图）（饼状图）</w:t>
      </w:r>
    </w:p>
    <w:p>
      <w:pPr>
        <w:keepNext w:val="0"/>
        <w:keepLines w:val="0"/>
        <w:pageBreakBefore w:val="0"/>
        <w:widowControl w:val="0"/>
        <w:kinsoku/>
        <w:wordWrap/>
        <w:overflowPunct/>
        <w:topLinePunct w:val="0"/>
        <w:autoSpaceDE/>
        <w:autoSpaceDN/>
        <w:bidi w:val="0"/>
        <w:adjustRightInd/>
        <w:snapToGrid/>
        <w:spacing w:line="3600" w:lineRule="auto"/>
        <w:ind w:firstLine="420" w:firstLineChars="200"/>
        <w:textAlignment w:val="auto"/>
        <w:rPr>
          <w:rFonts w:ascii="仿宋_GB2312" w:eastAsia="仿宋_GB2312"/>
          <w:color w:val="auto"/>
          <w:sz w:val="32"/>
          <w:szCs w:val="32"/>
          <w:highlight w:val="none"/>
        </w:rPr>
      </w:pPr>
      <w:r>
        <w:drawing>
          <wp:inline distT="0" distB="0" distL="114300" distR="114300">
            <wp:extent cx="4572000" cy="2914650"/>
            <wp:effectExtent l="4445" t="4445" r="14605" b="14605"/>
            <wp:docPr id="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25"/>
          <w:rFonts w:ascii="黑体" w:hAnsi="黑体" w:eastAsia="黑体"/>
          <w:b w:val="0"/>
          <w:color w:val="auto"/>
          <w:highlight w:val="none"/>
        </w:rPr>
      </w:pPr>
      <w:bookmarkStart w:id="46" w:name="_Toc15377208"/>
      <w:bookmarkStart w:id="47" w:name="_Toc15396606"/>
      <w:bookmarkStart w:id="48" w:name="_Toc9516"/>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bookmarkEnd w:id="46"/>
      <w:bookmarkEnd w:id="47"/>
      <w:bookmarkEnd w:id="48"/>
    </w:p>
    <w:p>
      <w:pPr>
        <w:spacing w:line="600" w:lineRule="exact"/>
        <w:ind w:firstLine="640" w:firstLineChars="20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3733.22</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1022.87</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37.74</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脱贫攻坚后续及乡村振兴。</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pStyle w:val="2"/>
        <w:keepNext w:val="0"/>
        <w:keepLines w:val="0"/>
        <w:pageBreakBefore w:val="0"/>
        <w:widowControl w:val="0"/>
        <w:kinsoku/>
        <w:wordWrap/>
        <w:overflowPunct/>
        <w:topLinePunct w:val="0"/>
        <w:autoSpaceDE/>
        <w:autoSpaceDN/>
        <w:bidi w:val="0"/>
        <w:adjustRightInd/>
        <w:snapToGrid/>
        <w:textAlignment w:val="auto"/>
      </w:pPr>
      <w:r>
        <w:drawing>
          <wp:inline distT="0" distB="0" distL="114300" distR="114300">
            <wp:extent cx="4572000" cy="2743200"/>
            <wp:effectExtent l="4445" t="4445" r="14605" b="14605"/>
            <wp:docPr id="2"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rPr>
          <w:rFonts w:ascii="仿宋" w:hAnsi="仿宋" w:eastAsia="仿宋"/>
          <w:b/>
          <w:color w:val="auto"/>
          <w:sz w:val="32"/>
          <w:szCs w:val="32"/>
          <w:highlight w:val="none"/>
        </w:rPr>
      </w:pPr>
    </w:p>
    <w:p>
      <w:pPr>
        <w:spacing w:line="600" w:lineRule="exact"/>
        <w:ind w:firstLine="640" w:firstLineChars="200"/>
        <w:outlineLvl w:val="1"/>
        <w:rPr>
          <w:rStyle w:val="25"/>
          <w:rFonts w:ascii="黑体" w:hAnsi="黑体" w:eastAsia="黑体"/>
          <w:b w:val="0"/>
          <w:color w:val="auto"/>
          <w:highlight w:val="none"/>
        </w:rPr>
      </w:pPr>
      <w:bookmarkStart w:id="49" w:name="_Toc15396607"/>
      <w:bookmarkStart w:id="50" w:name="_Toc15377209"/>
      <w:bookmarkStart w:id="51" w:name="_Toc2374"/>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49"/>
      <w:bookmarkEnd w:id="50"/>
      <w:bookmarkEnd w:id="51"/>
    </w:p>
    <w:p>
      <w:pPr>
        <w:spacing w:line="600" w:lineRule="exact"/>
        <w:ind w:firstLine="643" w:firstLineChars="200"/>
        <w:outlineLvl w:val="2"/>
        <w:rPr>
          <w:rFonts w:ascii="仿宋" w:hAnsi="仿宋" w:eastAsia="仿宋"/>
          <w:b/>
          <w:color w:val="auto"/>
          <w:sz w:val="32"/>
          <w:szCs w:val="32"/>
          <w:highlight w:val="none"/>
        </w:rPr>
      </w:pPr>
      <w:bookmarkStart w:id="52" w:name="_Toc15377210"/>
      <w:r>
        <w:rPr>
          <w:rFonts w:hint="eastAsia" w:ascii="仿宋" w:hAnsi="仿宋" w:eastAsia="仿宋"/>
          <w:b/>
          <w:color w:val="auto"/>
          <w:sz w:val="32"/>
          <w:szCs w:val="32"/>
          <w:highlight w:val="none"/>
        </w:rPr>
        <w:t>（一）一般公共预算财政拨款支出决算总体情况</w:t>
      </w:r>
      <w:bookmarkEnd w:id="52"/>
    </w:p>
    <w:p>
      <w:pPr>
        <w:spacing w:line="600" w:lineRule="exact"/>
        <w:ind w:firstLine="640" w:firstLineChars="20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3733.22</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96.34</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1022.87</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37.74</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脱贫攻坚后续及乡村振兴。</w:t>
      </w:r>
    </w:p>
    <w:p>
      <w:pPr>
        <w:spacing w:line="600" w:lineRule="exact"/>
        <w:ind w:firstLine="640" w:firstLineChars="200"/>
        <w:rPr>
          <w:rFonts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仿宋" w:hAnsi="仿宋" w:eastAsia="仿宋"/>
          <w:color w:val="auto"/>
          <w:sz w:val="32"/>
          <w:szCs w:val="32"/>
          <w:highlight w:val="none"/>
        </w:rPr>
      </w:pPr>
      <w:r>
        <w:drawing>
          <wp:inline distT="0" distB="0" distL="114300" distR="114300">
            <wp:extent cx="4572000" cy="2017395"/>
            <wp:effectExtent l="4445" t="4445" r="14605" b="16510"/>
            <wp:docPr id="3"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3" w:firstLineChars="200"/>
        <w:outlineLvl w:val="2"/>
        <w:rPr>
          <w:rFonts w:ascii="仿宋" w:hAnsi="仿宋" w:eastAsia="仿宋"/>
          <w:b/>
          <w:color w:val="auto"/>
          <w:sz w:val="32"/>
          <w:szCs w:val="32"/>
          <w:highlight w:val="none"/>
        </w:rPr>
      </w:pPr>
      <w:bookmarkStart w:id="53" w:name="_Toc15377211"/>
      <w:r>
        <w:rPr>
          <w:rFonts w:hint="eastAsia" w:ascii="仿宋" w:hAnsi="仿宋" w:eastAsia="仿宋"/>
          <w:b/>
          <w:color w:val="auto"/>
          <w:sz w:val="32"/>
          <w:szCs w:val="32"/>
          <w:highlight w:val="none"/>
        </w:rPr>
        <w:t>（二）一般公共预算财政拨款支出决算结构情况</w:t>
      </w:r>
      <w:bookmarkEnd w:id="53"/>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w:t>
      </w:r>
      <w:r>
        <w:rPr>
          <w:rFonts w:hint="eastAsia" w:ascii="仿宋" w:hAnsi="仿宋" w:eastAsia="仿宋"/>
          <w:b w:val="0"/>
          <w:bCs w:val="0"/>
          <w:color w:val="auto"/>
          <w:sz w:val="32"/>
          <w:szCs w:val="32"/>
          <w:highlight w:val="none"/>
        </w:rPr>
        <w:t>算财政拨款支出</w:t>
      </w:r>
      <w:r>
        <w:rPr>
          <w:rFonts w:hint="eastAsia" w:ascii="仿宋" w:hAnsi="仿宋" w:eastAsia="仿宋"/>
          <w:b w:val="0"/>
          <w:bCs w:val="0"/>
          <w:color w:val="auto"/>
          <w:sz w:val="32"/>
          <w:szCs w:val="32"/>
          <w:highlight w:val="none"/>
          <w:lang w:val="en-US" w:eastAsia="zh-CN"/>
        </w:rPr>
        <w:t>3733.22</w:t>
      </w:r>
      <w:r>
        <w:rPr>
          <w:rFonts w:hint="eastAsia" w:ascii="仿宋" w:hAnsi="仿宋" w:eastAsia="仿宋"/>
          <w:b w:val="0"/>
          <w:bCs w:val="0"/>
          <w:color w:val="auto"/>
          <w:sz w:val="32"/>
          <w:szCs w:val="32"/>
          <w:highlight w:val="none"/>
        </w:rPr>
        <w:t>万元，主要用于以下方面</w:t>
      </w:r>
      <w:r>
        <w:rPr>
          <w:rFonts w:hint="eastAsia" w:ascii="仿宋" w:hAnsi="仿宋" w:eastAsia="仿宋"/>
          <w:b w:val="0"/>
          <w:bCs w:val="0"/>
          <w:color w:val="auto"/>
          <w:sz w:val="32"/>
          <w:szCs w:val="32"/>
          <w:highlight w:val="none"/>
          <w:lang w:eastAsia="zh-CN"/>
        </w:rPr>
        <w:t>：</w:t>
      </w:r>
      <w:r>
        <w:rPr>
          <w:rFonts w:hint="eastAsia" w:ascii="仿宋" w:hAnsi="仿宋" w:eastAsia="仿宋"/>
          <w:b/>
          <w:color w:val="auto"/>
          <w:sz w:val="32"/>
          <w:szCs w:val="32"/>
          <w:highlight w:val="none"/>
        </w:rPr>
        <w:t>一般公共服务（类</w:t>
      </w:r>
      <w:r>
        <w:rPr>
          <w:rFonts w:hint="eastAsia" w:ascii="仿宋" w:hAnsi="仿宋" w:eastAsia="仿宋"/>
          <w:b w:val="0"/>
          <w:bCs w:val="0"/>
          <w:color w:val="auto"/>
          <w:sz w:val="32"/>
          <w:szCs w:val="32"/>
          <w:highlight w:val="none"/>
        </w:rPr>
        <w:t>）支出</w:t>
      </w:r>
      <w:r>
        <w:rPr>
          <w:rFonts w:hint="eastAsia" w:ascii="仿宋" w:hAnsi="仿宋" w:eastAsia="仿宋"/>
          <w:b w:val="0"/>
          <w:bCs w:val="0"/>
          <w:color w:val="auto"/>
          <w:sz w:val="32"/>
          <w:szCs w:val="32"/>
          <w:highlight w:val="none"/>
          <w:lang w:val="en-US" w:eastAsia="zh-CN"/>
        </w:rPr>
        <w:t>500.42</w:t>
      </w:r>
      <w:r>
        <w:rPr>
          <w:rFonts w:hint="eastAsia" w:ascii="仿宋" w:hAnsi="仿宋" w:eastAsia="仿宋"/>
          <w:b w:val="0"/>
          <w:bCs w:val="0"/>
          <w:color w:val="auto"/>
          <w:sz w:val="32"/>
          <w:szCs w:val="32"/>
          <w:highlight w:val="none"/>
        </w:rPr>
        <w:t>万元，占</w:t>
      </w:r>
      <w:r>
        <w:rPr>
          <w:rFonts w:hint="eastAsia" w:ascii="仿宋" w:hAnsi="仿宋" w:eastAsia="仿宋"/>
          <w:b w:val="0"/>
          <w:bCs w:val="0"/>
          <w:color w:val="auto"/>
          <w:sz w:val="32"/>
          <w:szCs w:val="32"/>
          <w:highlight w:val="none"/>
          <w:lang w:val="en-US" w:eastAsia="zh-CN"/>
        </w:rPr>
        <w:t>13.4</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；教育支出（类）</w:t>
      </w:r>
      <w:r>
        <w:rPr>
          <w:rFonts w:hint="eastAsia" w:ascii="仿宋" w:hAnsi="仿宋" w:eastAsia="仿宋"/>
          <w:b w:val="0"/>
          <w:bCs w:val="0"/>
          <w:color w:val="auto"/>
          <w:sz w:val="32"/>
          <w:szCs w:val="32"/>
          <w:highlight w:val="none"/>
          <w:lang w:val="en-US" w:eastAsia="zh-CN"/>
        </w:rPr>
        <w:t>979.72</w:t>
      </w:r>
      <w:r>
        <w:rPr>
          <w:rFonts w:hint="eastAsia" w:ascii="仿宋" w:hAnsi="仿宋" w:eastAsia="仿宋"/>
          <w:b w:val="0"/>
          <w:bCs w:val="0"/>
          <w:color w:val="auto"/>
          <w:sz w:val="32"/>
          <w:szCs w:val="32"/>
          <w:highlight w:val="none"/>
        </w:rPr>
        <w:t>万元，占</w:t>
      </w:r>
      <w:r>
        <w:rPr>
          <w:rFonts w:hint="eastAsia" w:ascii="仿宋" w:hAnsi="仿宋" w:eastAsia="仿宋"/>
          <w:b w:val="0"/>
          <w:bCs w:val="0"/>
          <w:color w:val="auto"/>
          <w:sz w:val="32"/>
          <w:szCs w:val="32"/>
          <w:highlight w:val="none"/>
          <w:lang w:val="en-US" w:eastAsia="zh-CN"/>
        </w:rPr>
        <w:t>26.24</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；文化旅游体育与传媒（类）支出</w:t>
      </w:r>
      <w:r>
        <w:rPr>
          <w:rFonts w:hint="eastAsia" w:ascii="仿宋" w:hAnsi="仿宋" w:eastAsia="仿宋"/>
          <w:b w:val="0"/>
          <w:bCs w:val="0"/>
          <w:color w:val="auto"/>
          <w:sz w:val="32"/>
          <w:szCs w:val="32"/>
          <w:highlight w:val="none"/>
          <w:lang w:val="en-US" w:eastAsia="zh-CN"/>
        </w:rPr>
        <w:t>25.75</w:t>
      </w:r>
      <w:r>
        <w:rPr>
          <w:rFonts w:hint="eastAsia" w:ascii="仿宋" w:hAnsi="仿宋" w:eastAsia="仿宋"/>
          <w:b w:val="0"/>
          <w:bCs w:val="0"/>
          <w:color w:val="auto"/>
          <w:sz w:val="32"/>
          <w:szCs w:val="32"/>
          <w:highlight w:val="none"/>
        </w:rPr>
        <w:t>万元，占</w:t>
      </w:r>
      <w:r>
        <w:rPr>
          <w:rFonts w:hint="eastAsia" w:ascii="仿宋" w:hAnsi="仿宋" w:eastAsia="仿宋"/>
          <w:b w:val="0"/>
          <w:bCs w:val="0"/>
          <w:color w:val="auto"/>
          <w:sz w:val="32"/>
          <w:szCs w:val="32"/>
          <w:highlight w:val="none"/>
          <w:lang w:val="en-US" w:eastAsia="zh-CN"/>
        </w:rPr>
        <w:t>0.69</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；社会保障和就业（类）支出</w:t>
      </w:r>
      <w:r>
        <w:rPr>
          <w:rFonts w:hint="eastAsia" w:ascii="仿宋" w:hAnsi="仿宋" w:eastAsia="仿宋"/>
          <w:b w:val="0"/>
          <w:bCs w:val="0"/>
          <w:color w:val="auto"/>
          <w:sz w:val="32"/>
          <w:szCs w:val="32"/>
          <w:highlight w:val="none"/>
          <w:lang w:val="en-US" w:eastAsia="zh-CN"/>
        </w:rPr>
        <w:t>202.42</w:t>
      </w:r>
      <w:r>
        <w:rPr>
          <w:rFonts w:hint="eastAsia" w:ascii="仿宋" w:hAnsi="仿宋" w:eastAsia="仿宋"/>
          <w:b w:val="0"/>
          <w:bCs w:val="0"/>
          <w:color w:val="auto"/>
          <w:sz w:val="32"/>
          <w:szCs w:val="32"/>
          <w:highlight w:val="none"/>
        </w:rPr>
        <w:t>万元，占</w:t>
      </w:r>
      <w:r>
        <w:rPr>
          <w:rFonts w:hint="eastAsia" w:ascii="仿宋" w:hAnsi="仿宋" w:eastAsia="仿宋"/>
          <w:b w:val="0"/>
          <w:bCs w:val="0"/>
          <w:color w:val="auto"/>
          <w:sz w:val="32"/>
          <w:szCs w:val="32"/>
          <w:highlight w:val="none"/>
          <w:lang w:val="en-US" w:eastAsia="zh-CN"/>
        </w:rPr>
        <w:t>5.42</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；卫生健康支出</w:t>
      </w:r>
      <w:r>
        <w:rPr>
          <w:rFonts w:hint="eastAsia" w:ascii="仿宋" w:hAnsi="仿宋" w:eastAsia="仿宋"/>
          <w:b w:val="0"/>
          <w:bCs w:val="0"/>
          <w:color w:val="auto"/>
          <w:sz w:val="32"/>
          <w:szCs w:val="32"/>
          <w:highlight w:val="none"/>
          <w:lang w:val="en-US" w:eastAsia="zh-CN"/>
        </w:rPr>
        <w:t>252.87</w:t>
      </w:r>
      <w:r>
        <w:rPr>
          <w:rFonts w:hint="eastAsia" w:ascii="仿宋" w:hAnsi="仿宋" w:eastAsia="仿宋"/>
          <w:b w:val="0"/>
          <w:bCs w:val="0"/>
          <w:color w:val="auto"/>
          <w:sz w:val="32"/>
          <w:szCs w:val="32"/>
          <w:highlight w:val="none"/>
        </w:rPr>
        <w:t>万元，占</w:t>
      </w:r>
      <w:r>
        <w:rPr>
          <w:rFonts w:hint="eastAsia" w:ascii="仿宋" w:hAnsi="仿宋" w:eastAsia="仿宋"/>
          <w:b w:val="0"/>
          <w:bCs w:val="0"/>
          <w:color w:val="auto"/>
          <w:sz w:val="32"/>
          <w:szCs w:val="32"/>
          <w:highlight w:val="none"/>
          <w:lang w:val="en-US" w:eastAsia="zh-CN"/>
        </w:rPr>
        <w:t>6.77</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lang w:eastAsia="zh-CN"/>
        </w:rPr>
        <w:t>城乡社区支出</w:t>
      </w:r>
      <w:r>
        <w:rPr>
          <w:rFonts w:hint="eastAsia" w:ascii="仿宋" w:hAnsi="仿宋" w:eastAsia="仿宋"/>
          <w:b w:val="0"/>
          <w:bCs w:val="0"/>
          <w:color w:val="auto"/>
          <w:sz w:val="32"/>
          <w:szCs w:val="32"/>
          <w:highlight w:val="none"/>
          <w:lang w:val="en-US" w:eastAsia="zh-CN"/>
        </w:rPr>
        <w:t>6.18万元，占0.17%；农林水支出1132.97万元，占30.35%；交通运输支出16.1</w:t>
      </w:r>
      <w:r>
        <w:rPr>
          <w:rFonts w:hint="eastAsia" w:ascii="仿宋" w:hAnsi="仿宋" w:eastAsia="仿宋"/>
          <w:color w:val="auto"/>
          <w:sz w:val="32"/>
          <w:szCs w:val="32"/>
          <w:highlight w:val="none"/>
          <w:lang w:val="en-US" w:eastAsia="zh-CN"/>
        </w:rPr>
        <w:t>3万元，占0.43%；</w:t>
      </w:r>
      <w:r>
        <w:rPr>
          <w:rFonts w:hint="eastAsia" w:ascii="仿宋" w:hAnsi="仿宋" w:eastAsia="仿宋"/>
          <w:color w:val="auto"/>
          <w:sz w:val="32"/>
          <w:szCs w:val="32"/>
          <w:highlight w:val="none"/>
        </w:rPr>
        <w:t>住房保障支出</w:t>
      </w:r>
      <w:r>
        <w:rPr>
          <w:rFonts w:hint="eastAsia" w:ascii="仿宋" w:hAnsi="仿宋" w:eastAsia="仿宋"/>
          <w:color w:val="auto"/>
          <w:sz w:val="32"/>
          <w:szCs w:val="32"/>
          <w:highlight w:val="none"/>
          <w:lang w:val="en-US" w:eastAsia="zh-CN"/>
        </w:rPr>
        <w:t>616.77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16.52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p>
    <w:p>
      <w:pPr>
        <w:pStyle w:val="2"/>
      </w:pPr>
      <w:r>
        <w:drawing>
          <wp:inline distT="0" distB="0" distL="114300" distR="114300">
            <wp:extent cx="4732020" cy="2595245"/>
            <wp:effectExtent l="4445" t="4445" r="6985" b="1016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54" w:name="_Toc15377212"/>
      <w:r>
        <w:rPr>
          <w:rFonts w:hint="eastAsia" w:ascii="仿宋" w:hAnsi="仿宋" w:eastAsia="仿宋"/>
          <w:b/>
          <w:color w:val="auto"/>
          <w:sz w:val="32"/>
          <w:szCs w:val="32"/>
          <w:highlight w:val="none"/>
        </w:rPr>
        <w:t>（三）一般公共预算财政拨款支出决算具体情况</w:t>
      </w:r>
      <w:bookmarkEnd w:id="54"/>
    </w:p>
    <w:p>
      <w:pPr>
        <w:spacing w:line="600" w:lineRule="exact"/>
        <w:ind w:firstLine="643" w:firstLineChars="200"/>
        <w:outlineLvl w:val="2"/>
        <w:rPr>
          <w:rFonts w:ascii="仿宋" w:hAnsi="仿宋" w:eastAsia="仿宋"/>
          <w:color w:val="auto"/>
          <w:sz w:val="32"/>
          <w:szCs w:val="32"/>
          <w:highlight w:val="none"/>
        </w:rPr>
      </w:pPr>
      <w:bookmarkStart w:id="55" w:name="_Toc15378460"/>
      <w:bookmarkStart w:id="56" w:name="_Toc15377444"/>
      <w:bookmarkStart w:id="57" w:name="_Toc15377213"/>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3733.22万元</w:t>
      </w:r>
      <w:r>
        <w:rPr>
          <w:rFonts w:hint="eastAsia" w:ascii="仿宋" w:hAnsi="仿宋" w:eastAsia="仿宋"/>
          <w:color w:val="auto"/>
          <w:sz w:val="32"/>
          <w:szCs w:val="32"/>
          <w:highlight w:val="none"/>
        </w:rPr>
        <w:t>，</w:t>
      </w:r>
      <w:r>
        <w:rPr>
          <w:rStyle w:val="14"/>
          <w:rFonts w:hint="eastAsia" w:ascii="仿宋" w:hAnsi="仿宋" w:eastAsia="仿宋"/>
          <w:bCs/>
          <w:color w:val="auto"/>
          <w:sz w:val="32"/>
          <w:szCs w:val="32"/>
          <w:highlight w:val="none"/>
        </w:rPr>
        <w:t>完成预算</w:t>
      </w:r>
      <w:r>
        <w:rPr>
          <w:rStyle w:val="14"/>
          <w:rFonts w:hint="eastAsia" w:ascii="仿宋" w:hAnsi="仿宋" w:eastAsia="仿宋"/>
          <w:bCs/>
          <w:color w:val="auto"/>
          <w:sz w:val="32"/>
          <w:szCs w:val="32"/>
          <w:highlight w:val="none"/>
          <w:lang w:val="en-US" w:eastAsia="zh-CN"/>
        </w:rPr>
        <w:t>100</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。其中：</w:t>
      </w:r>
      <w:bookmarkEnd w:id="55"/>
      <w:bookmarkEnd w:id="56"/>
      <w:bookmarkEnd w:id="57"/>
    </w:p>
    <w:p>
      <w:pPr>
        <w:numPr>
          <w:ilvl w:val="0"/>
          <w:numId w:val="3"/>
        </w:numPr>
        <w:spacing w:line="600" w:lineRule="exact"/>
        <w:ind w:firstLine="640" w:firstLineChars="200"/>
        <w:rPr>
          <w:rStyle w:val="14"/>
          <w:rFonts w:hint="eastAsia" w:ascii="仿宋" w:hAnsi="仿宋" w:eastAsia="仿宋" w:cs="仿宋"/>
          <w:b w:val="0"/>
          <w:bCs w:val="0"/>
          <w:color w:val="auto"/>
          <w:sz w:val="32"/>
          <w:szCs w:val="32"/>
          <w:highlight w:val="none"/>
        </w:rPr>
      </w:pPr>
      <w:r>
        <w:rPr>
          <w:rStyle w:val="14"/>
          <w:rFonts w:hint="eastAsia" w:ascii="仿宋" w:hAnsi="仿宋" w:eastAsia="仿宋" w:cs="仿宋"/>
          <w:b w:val="0"/>
          <w:bCs w:val="0"/>
          <w:color w:val="auto"/>
          <w:sz w:val="32"/>
          <w:szCs w:val="32"/>
          <w:highlight w:val="none"/>
        </w:rPr>
        <w:t>一般公共服务（类）</w:t>
      </w:r>
      <w:r>
        <w:rPr>
          <w:rStyle w:val="14"/>
          <w:rFonts w:hint="eastAsia" w:ascii="仿宋" w:hAnsi="仿宋" w:eastAsia="仿宋" w:cs="仿宋"/>
          <w:b w:val="0"/>
          <w:bCs w:val="0"/>
          <w:color w:val="auto"/>
          <w:sz w:val="32"/>
          <w:szCs w:val="32"/>
          <w:highlight w:val="none"/>
          <w:lang w:eastAsia="zh-CN"/>
        </w:rPr>
        <w:t>人大事务</w:t>
      </w:r>
      <w:r>
        <w:rPr>
          <w:rStyle w:val="14"/>
          <w:rFonts w:hint="eastAsia" w:ascii="仿宋" w:hAnsi="仿宋" w:eastAsia="仿宋" w:cs="仿宋"/>
          <w:b w:val="0"/>
          <w:bCs w:val="0"/>
          <w:color w:val="auto"/>
          <w:sz w:val="32"/>
          <w:szCs w:val="32"/>
          <w:highlight w:val="none"/>
        </w:rPr>
        <w:t>（款）</w:t>
      </w:r>
      <w:r>
        <w:rPr>
          <w:rStyle w:val="14"/>
          <w:rFonts w:hint="eastAsia" w:ascii="仿宋" w:hAnsi="仿宋" w:eastAsia="仿宋" w:cs="仿宋"/>
          <w:b w:val="0"/>
          <w:bCs w:val="0"/>
          <w:color w:val="auto"/>
          <w:sz w:val="32"/>
          <w:szCs w:val="32"/>
          <w:highlight w:val="none"/>
          <w:lang w:eastAsia="zh-CN"/>
        </w:rPr>
        <w:t>行政运行</w:t>
      </w:r>
      <w:r>
        <w:rPr>
          <w:rStyle w:val="14"/>
          <w:rFonts w:hint="eastAsia" w:ascii="仿宋" w:hAnsi="仿宋" w:eastAsia="仿宋" w:cs="仿宋"/>
          <w:b w:val="0"/>
          <w:bCs w:val="0"/>
          <w:color w:val="auto"/>
          <w:sz w:val="32"/>
          <w:szCs w:val="32"/>
          <w:highlight w:val="none"/>
        </w:rPr>
        <w:t>（项）: 支出决算为</w:t>
      </w:r>
      <w:r>
        <w:rPr>
          <w:rStyle w:val="14"/>
          <w:rFonts w:hint="eastAsia" w:ascii="仿宋" w:hAnsi="仿宋" w:eastAsia="仿宋" w:cs="仿宋"/>
          <w:b w:val="0"/>
          <w:bCs w:val="0"/>
          <w:color w:val="auto"/>
          <w:sz w:val="32"/>
          <w:szCs w:val="32"/>
          <w:highlight w:val="none"/>
          <w:lang w:val="en-US" w:eastAsia="zh-CN"/>
        </w:rPr>
        <w:t>8</w:t>
      </w:r>
      <w:r>
        <w:rPr>
          <w:rStyle w:val="14"/>
          <w:rFonts w:hint="eastAsia" w:ascii="仿宋" w:hAnsi="仿宋" w:eastAsia="仿宋" w:cs="仿宋"/>
          <w:b w:val="0"/>
          <w:bCs w:val="0"/>
          <w:color w:val="auto"/>
          <w:sz w:val="32"/>
          <w:szCs w:val="32"/>
          <w:highlight w:val="none"/>
        </w:rPr>
        <w:t>万元，完成预算</w:t>
      </w:r>
      <w:r>
        <w:rPr>
          <w:rStyle w:val="14"/>
          <w:rFonts w:hint="eastAsia" w:ascii="仿宋" w:hAnsi="仿宋" w:eastAsia="仿宋" w:cs="仿宋"/>
          <w:b w:val="0"/>
          <w:bCs w:val="0"/>
          <w:color w:val="auto"/>
          <w:sz w:val="32"/>
          <w:szCs w:val="32"/>
          <w:highlight w:val="none"/>
          <w:lang w:val="en-US" w:eastAsia="zh-CN"/>
        </w:rPr>
        <w:t>100</w:t>
      </w:r>
      <w:r>
        <w:rPr>
          <w:rStyle w:val="14"/>
          <w:rFonts w:hint="eastAsia" w:ascii="仿宋" w:hAnsi="仿宋" w:eastAsia="仿宋" w:cs="仿宋"/>
          <w:b w:val="0"/>
          <w:bCs w:val="0"/>
          <w:color w:val="auto"/>
          <w:sz w:val="32"/>
          <w:szCs w:val="32"/>
          <w:highlight w:val="none"/>
        </w:rPr>
        <w:t>%，决算数等于预算数。</w:t>
      </w:r>
    </w:p>
    <w:p>
      <w:pPr>
        <w:pStyle w:val="2"/>
        <w:numPr>
          <w:ilvl w:val="0"/>
          <w:numId w:val="3"/>
        </w:numPr>
        <w:ind w:left="0" w:leftChars="0" w:firstLine="600" w:firstLineChars="200"/>
        <w:rPr>
          <w:rFonts w:hint="eastAsia" w:ascii="仿宋" w:hAnsi="仿宋" w:eastAsia="仿宋" w:cs="仿宋"/>
          <w:b w:val="0"/>
          <w:bCs w:val="0"/>
          <w:lang w:val="en-US" w:eastAsia="zh-CN"/>
        </w:rPr>
      </w:pPr>
      <w:r>
        <w:rPr>
          <w:rFonts w:hint="eastAsia" w:ascii="仿宋" w:hAnsi="仿宋" w:eastAsia="仿宋" w:cs="仿宋"/>
          <w:b w:val="0"/>
          <w:bCs w:val="0"/>
          <w:lang w:val="en-US" w:eastAsia="zh-CN"/>
        </w:rPr>
        <w:t>一般公共服务（类）政府办公厅（室）及相关机构事务（款）行政运行（项）：支出决算为399.24万元，完成预算100%，决算数等于预算数。</w:t>
      </w:r>
    </w:p>
    <w:p>
      <w:pPr>
        <w:pStyle w:val="2"/>
        <w:numPr>
          <w:ilvl w:val="0"/>
          <w:numId w:val="3"/>
        </w:numPr>
        <w:ind w:left="0" w:leftChars="0" w:firstLine="600" w:firstLineChars="200"/>
        <w:rPr>
          <w:rFonts w:hint="eastAsia" w:ascii="仿宋" w:hAnsi="仿宋" w:eastAsia="仿宋" w:cs="仿宋"/>
          <w:b w:val="0"/>
          <w:bCs w:val="0"/>
          <w:lang w:val="en-US" w:eastAsia="zh-CN"/>
        </w:rPr>
      </w:pPr>
      <w:r>
        <w:rPr>
          <w:rFonts w:hint="eastAsia" w:ascii="仿宋" w:hAnsi="仿宋" w:eastAsia="仿宋" w:cs="仿宋"/>
          <w:b w:val="0"/>
          <w:bCs w:val="0"/>
          <w:lang w:val="en-US" w:eastAsia="zh-CN"/>
        </w:rPr>
        <w:t>一般公共服务（类）政府办公厅（室）及相关机构事务（款）信访事务（项）：支出决算为5万元，完成预算100%，决算数等于预算数。</w:t>
      </w:r>
    </w:p>
    <w:p>
      <w:pPr>
        <w:pStyle w:val="2"/>
        <w:numPr>
          <w:ilvl w:val="0"/>
          <w:numId w:val="3"/>
        </w:numPr>
        <w:ind w:left="0" w:leftChars="0" w:firstLine="600" w:firstLineChars="200"/>
        <w:rPr>
          <w:rFonts w:hint="eastAsia" w:ascii="仿宋" w:hAnsi="仿宋" w:eastAsia="仿宋" w:cs="仿宋"/>
          <w:b w:val="0"/>
          <w:bCs w:val="0"/>
          <w:lang w:val="en-US" w:eastAsia="zh-CN"/>
        </w:rPr>
      </w:pPr>
      <w:r>
        <w:rPr>
          <w:rFonts w:hint="eastAsia" w:ascii="仿宋" w:hAnsi="仿宋" w:eastAsia="仿宋" w:cs="仿宋"/>
          <w:b w:val="0"/>
          <w:bCs w:val="0"/>
          <w:lang w:val="en-US" w:eastAsia="zh-CN"/>
        </w:rPr>
        <w:t>一般公共服务（类）政府办公厅（室）及相关机构事务（款）事业运行（项）：支出决算为15.9万元，完成预算100%，决算数等于预算数。</w:t>
      </w:r>
    </w:p>
    <w:p>
      <w:pPr>
        <w:pStyle w:val="2"/>
        <w:numPr>
          <w:ilvl w:val="0"/>
          <w:numId w:val="3"/>
        </w:numPr>
        <w:ind w:left="0" w:leftChars="0" w:firstLine="600" w:firstLineChars="200"/>
        <w:rPr>
          <w:rFonts w:hint="eastAsia" w:ascii="仿宋" w:hAnsi="仿宋" w:eastAsia="仿宋" w:cs="仿宋"/>
          <w:b w:val="0"/>
          <w:bCs w:val="0"/>
          <w:lang w:val="en-US" w:eastAsia="zh-CN"/>
        </w:rPr>
      </w:pPr>
      <w:r>
        <w:rPr>
          <w:rFonts w:hint="eastAsia" w:ascii="仿宋" w:hAnsi="仿宋" w:eastAsia="仿宋" w:cs="仿宋"/>
          <w:b w:val="0"/>
          <w:bCs w:val="0"/>
          <w:lang w:val="en-US" w:eastAsia="zh-CN"/>
        </w:rPr>
        <w:t>一般公共服务（类）财政事务（款）行政运行（项）：支出决算为21.53万元，完成预算100%，决算数等于预算数。</w:t>
      </w:r>
    </w:p>
    <w:p>
      <w:pPr>
        <w:pStyle w:val="2"/>
        <w:numPr>
          <w:ilvl w:val="0"/>
          <w:numId w:val="3"/>
        </w:numPr>
        <w:ind w:left="0" w:leftChars="0" w:firstLine="600" w:firstLineChars="200"/>
        <w:rPr>
          <w:rFonts w:hint="eastAsia" w:ascii="仿宋" w:hAnsi="仿宋" w:eastAsia="仿宋" w:cs="仿宋"/>
          <w:b w:val="0"/>
          <w:bCs w:val="0"/>
          <w:lang w:val="en-US" w:eastAsia="zh-CN"/>
        </w:rPr>
      </w:pPr>
      <w:r>
        <w:rPr>
          <w:rFonts w:hint="eastAsia" w:ascii="仿宋" w:hAnsi="仿宋" w:eastAsia="仿宋" w:cs="仿宋"/>
          <w:b w:val="0"/>
          <w:bCs w:val="0"/>
          <w:lang w:val="en-US" w:eastAsia="zh-CN"/>
        </w:rPr>
        <w:t>一般公共服务（类）财政事务（款）事业运行（项）：支出决算为12.06万元，完成预算100%，决算数等于预算数。</w:t>
      </w:r>
    </w:p>
    <w:p>
      <w:pPr>
        <w:pStyle w:val="2"/>
        <w:numPr>
          <w:ilvl w:val="0"/>
          <w:numId w:val="3"/>
        </w:numPr>
        <w:ind w:left="0" w:leftChars="0" w:firstLine="600" w:firstLineChars="200"/>
        <w:rPr>
          <w:rFonts w:hint="eastAsia" w:ascii="仿宋" w:hAnsi="仿宋" w:eastAsia="仿宋" w:cs="仿宋"/>
          <w:b w:val="0"/>
          <w:bCs w:val="0"/>
          <w:lang w:val="en-US" w:eastAsia="zh-CN"/>
        </w:rPr>
      </w:pPr>
      <w:r>
        <w:rPr>
          <w:rFonts w:hint="eastAsia" w:ascii="仿宋" w:hAnsi="仿宋" w:eastAsia="仿宋" w:cs="仿宋"/>
          <w:b w:val="0"/>
          <w:bCs w:val="0"/>
          <w:lang w:val="en-US" w:eastAsia="zh-CN"/>
        </w:rPr>
        <w:t>一般公共服务（类）纪检监察事务（款）行政运行（项）：支出决算为14.34万元，完成预算100%，决算数等于预算数。</w:t>
      </w:r>
    </w:p>
    <w:p>
      <w:pPr>
        <w:pStyle w:val="2"/>
        <w:numPr>
          <w:ilvl w:val="0"/>
          <w:numId w:val="3"/>
        </w:numPr>
        <w:ind w:left="0" w:leftChars="0" w:firstLine="600" w:firstLineChars="200"/>
        <w:rPr>
          <w:rFonts w:hint="eastAsia" w:ascii="仿宋" w:hAnsi="仿宋" w:eastAsia="仿宋" w:cs="仿宋"/>
          <w:b w:val="0"/>
          <w:bCs w:val="0"/>
          <w:lang w:val="en-US" w:eastAsia="zh-CN"/>
        </w:rPr>
      </w:pPr>
      <w:r>
        <w:rPr>
          <w:rFonts w:hint="eastAsia" w:ascii="仿宋" w:hAnsi="仿宋" w:eastAsia="仿宋" w:cs="仿宋"/>
          <w:b w:val="0"/>
          <w:bCs w:val="0"/>
          <w:lang w:val="en-US" w:eastAsia="zh-CN"/>
        </w:rPr>
        <w:t>一般公共服务（类）党委办公厅（室）及相关机构事务（款）行政运行（项）：支出决算为15.64万元，完成预算100%，决算数等于预算数。</w:t>
      </w:r>
    </w:p>
    <w:p>
      <w:pPr>
        <w:pStyle w:val="2"/>
        <w:numPr>
          <w:ilvl w:val="0"/>
          <w:numId w:val="3"/>
        </w:numPr>
        <w:ind w:left="0" w:leftChars="0" w:firstLine="600" w:firstLineChars="200"/>
        <w:rPr>
          <w:rFonts w:hint="eastAsia" w:ascii="仿宋" w:hAnsi="仿宋" w:eastAsia="仿宋" w:cs="仿宋"/>
          <w:b w:val="0"/>
          <w:bCs w:val="0"/>
          <w:lang w:val="en-US" w:eastAsia="zh-CN"/>
        </w:rPr>
      </w:pPr>
      <w:r>
        <w:rPr>
          <w:rFonts w:hint="eastAsia" w:ascii="仿宋" w:hAnsi="仿宋" w:eastAsia="仿宋" w:cs="仿宋"/>
          <w:b w:val="0"/>
          <w:bCs w:val="0"/>
          <w:lang w:val="en-US" w:eastAsia="zh-CN"/>
        </w:rPr>
        <w:t>一般公共服务（类）市场监督管理事务（款）事业运行（项）：支出决算为7.71万元，完成预算100%，决算数等于预算数。</w:t>
      </w:r>
    </w:p>
    <w:p>
      <w:pPr>
        <w:pStyle w:val="2"/>
        <w:numPr>
          <w:ilvl w:val="0"/>
          <w:numId w:val="3"/>
        </w:numPr>
        <w:ind w:left="0" w:leftChars="0" w:firstLine="600" w:firstLineChars="200"/>
        <w:rPr>
          <w:rFonts w:hint="eastAsia" w:ascii="仿宋" w:hAnsi="仿宋" w:eastAsia="仿宋" w:cs="仿宋"/>
          <w:b w:val="0"/>
          <w:bCs w:val="0"/>
          <w:lang w:val="en-US" w:eastAsia="zh-CN"/>
        </w:rPr>
      </w:pPr>
      <w:r>
        <w:rPr>
          <w:rFonts w:hint="eastAsia" w:ascii="仿宋" w:hAnsi="仿宋" w:eastAsia="仿宋" w:cs="仿宋"/>
          <w:b w:val="0"/>
          <w:bCs w:val="0"/>
          <w:lang w:val="en-US" w:eastAsia="zh-CN"/>
        </w:rPr>
        <w:t>一般公共服务（类）其他一般公共服务（款）其他一般公共服务（项）：支出决算为1万元，完成预算100%，决算数等于预算数。</w:t>
      </w:r>
    </w:p>
    <w:p>
      <w:pPr>
        <w:numPr>
          <w:ilvl w:val="0"/>
          <w:numId w:val="3"/>
        </w:numPr>
        <w:spacing w:line="600" w:lineRule="exact"/>
        <w:ind w:left="0" w:leftChars="0" w:firstLine="640" w:firstLineChars="200"/>
        <w:rPr>
          <w:rStyle w:val="14"/>
          <w:rFonts w:hint="eastAsia" w:ascii="仿宋" w:hAnsi="仿宋" w:eastAsia="仿宋" w:cs="仿宋"/>
          <w:b w:val="0"/>
          <w:bCs w:val="0"/>
          <w:color w:val="auto"/>
          <w:sz w:val="32"/>
          <w:szCs w:val="32"/>
          <w:highlight w:val="none"/>
        </w:rPr>
      </w:pPr>
      <w:r>
        <w:rPr>
          <w:rStyle w:val="14"/>
          <w:rFonts w:hint="eastAsia" w:ascii="仿宋" w:hAnsi="仿宋" w:eastAsia="仿宋" w:cs="仿宋"/>
          <w:b w:val="0"/>
          <w:bCs w:val="0"/>
          <w:color w:val="auto"/>
          <w:sz w:val="32"/>
          <w:szCs w:val="32"/>
          <w:highlight w:val="none"/>
        </w:rPr>
        <w:t>教育（类）</w:t>
      </w:r>
      <w:r>
        <w:rPr>
          <w:rStyle w:val="14"/>
          <w:rFonts w:hint="eastAsia" w:ascii="仿宋" w:hAnsi="仿宋" w:eastAsia="仿宋" w:cs="仿宋"/>
          <w:b w:val="0"/>
          <w:bCs w:val="0"/>
          <w:color w:val="auto"/>
          <w:sz w:val="32"/>
          <w:szCs w:val="32"/>
          <w:highlight w:val="none"/>
          <w:lang w:eastAsia="zh-CN"/>
        </w:rPr>
        <w:t>普通教育</w:t>
      </w:r>
      <w:r>
        <w:rPr>
          <w:rStyle w:val="14"/>
          <w:rFonts w:hint="eastAsia" w:ascii="仿宋" w:hAnsi="仿宋" w:eastAsia="仿宋" w:cs="仿宋"/>
          <w:b w:val="0"/>
          <w:bCs w:val="0"/>
          <w:color w:val="auto"/>
          <w:sz w:val="32"/>
          <w:szCs w:val="32"/>
          <w:highlight w:val="none"/>
        </w:rPr>
        <w:t>（款）</w:t>
      </w:r>
      <w:r>
        <w:rPr>
          <w:rStyle w:val="14"/>
          <w:rFonts w:hint="eastAsia" w:ascii="仿宋" w:hAnsi="仿宋" w:eastAsia="仿宋" w:cs="仿宋"/>
          <w:b w:val="0"/>
          <w:bCs w:val="0"/>
          <w:color w:val="auto"/>
          <w:sz w:val="32"/>
          <w:szCs w:val="32"/>
          <w:highlight w:val="none"/>
          <w:lang w:eastAsia="zh-CN"/>
        </w:rPr>
        <w:t>学前教育</w:t>
      </w:r>
      <w:r>
        <w:rPr>
          <w:rStyle w:val="14"/>
          <w:rFonts w:hint="eastAsia" w:ascii="仿宋" w:hAnsi="仿宋" w:eastAsia="仿宋" w:cs="仿宋"/>
          <w:b w:val="0"/>
          <w:bCs w:val="0"/>
          <w:color w:val="auto"/>
          <w:sz w:val="32"/>
          <w:szCs w:val="32"/>
          <w:highlight w:val="none"/>
        </w:rPr>
        <w:t>（项）: 支出决算为</w:t>
      </w:r>
      <w:r>
        <w:rPr>
          <w:rStyle w:val="14"/>
          <w:rFonts w:hint="eastAsia" w:ascii="仿宋" w:hAnsi="仿宋" w:eastAsia="仿宋" w:cs="仿宋"/>
          <w:b w:val="0"/>
          <w:bCs w:val="0"/>
          <w:color w:val="auto"/>
          <w:sz w:val="32"/>
          <w:szCs w:val="32"/>
          <w:highlight w:val="none"/>
          <w:lang w:val="en-US" w:eastAsia="zh-CN"/>
        </w:rPr>
        <w:t>2.19</w:t>
      </w:r>
      <w:r>
        <w:rPr>
          <w:rStyle w:val="14"/>
          <w:rFonts w:hint="eastAsia" w:ascii="仿宋" w:hAnsi="仿宋" w:eastAsia="仿宋" w:cs="仿宋"/>
          <w:b w:val="0"/>
          <w:bCs w:val="0"/>
          <w:color w:val="auto"/>
          <w:sz w:val="32"/>
          <w:szCs w:val="32"/>
          <w:highlight w:val="none"/>
        </w:rPr>
        <w:t>万元，完成预算</w:t>
      </w:r>
      <w:r>
        <w:rPr>
          <w:rStyle w:val="14"/>
          <w:rFonts w:hint="eastAsia" w:ascii="仿宋" w:hAnsi="仿宋" w:eastAsia="仿宋" w:cs="仿宋"/>
          <w:b w:val="0"/>
          <w:bCs w:val="0"/>
          <w:color w:val="auto"/>
          <w:sz w:val="32"/>
          <w:szCs w:val="32"/>
          <w:highlight w:val="none"/>
          <w:lang w:val="en-US" w:eastAsia="zh-CN"/>
        </w:rPr>
        <w:t>100</w:t>
      </w:r>
      <w:r>
        <w:rPr>
          <w:rStyle w:val="14"/>
          <w:rFonts w:hint="eastAsia" w:ascii="仿宋" w:hAnsi="仿宋" w:eastAsia="仿宋" w:cs="仿宋"/>
          <w:b w:val="0"/>
          <w:bCs w:val="0"/>
          <w:color w:val="auto"/>
          <w:sz w:val="32"/>
          <w:szCs w:val="32"/>
          <w:highlight w:val="none"/>
        </w:rPr>
        <w:t>%，决算数等于预算数。</w:t>
      </w:r>
    </w:p>
    <w:p>
      <w:pPr>
        <w:numPr>
          <w:ilvl w:val="0"/>
          <w:numId w:val="3"/>
        </w:numPr>
        <w:spacing w:line="600" w:lineRule="exact"/>
        <w:ind w:left="0" w:leftChars="0" w:firstLine="640" w:firstLineChars="200"/>
        <w:rPr>
          <w:rStyle w:val="14"/>
          <w:rFonts w:hint="eastAsia" w:ascii="仿宋" w:hAnsi="仿宋" w:eastAsia="仿宋" w:cs="仿宋"/>
          <w:b w:val="0"/>
          <w:bCs w:val="0"/>
          <w:color w:val="auto"/>
          <w:sz w:val="32"/>
          <w:szCs w:val="32"/>
          <w:highlight w:val="none"/>
        </w:rPr>
      </w:pPr>
      <w:r>
        <w:rPr>
          <w:rStyle w:val="14"/>
          <w:rFonts w:hint="eastAsia" w:ascii="仿宋" w:hAnsi="仿宋" w:eastAsia="仿宋" w:cs="仿宋"/>
          <w:b w:val="0"/>
          <w:bCs w:val="0"/>
          <w:color w:val="auto"/>
          <w:sz w:val="32"/>
          <w:szCs w:val="32"/>
          <w:highlight w:val="none"/>
        </w:rPr>
        <w:t>教育（类）</w:t>
      </w:r>
      <w:r>
        <w:rPr>
          <w:rStyle w:val="14"/>
          <w:rFonts w:hint="eastAsia" w:ascii="仿宋" w:hAnsi="仿宋" w:eastAsia="仿宋" w:cs="仿宋"/>
          <w:b w:val="0"/>
          <w:bCs w:val="0"/>
          <w:color w:val="auto"/>
          <w:sz w:val="32"/>
          <w:szCs w:val="32"/>
          <w:highlight w:val="none"/>
          <w:lang w:eastAsia="zh-CN"/>
        </w:rPr>
        <w:t>普通教育</w:t>
      </w:r>
      <w:r>
        <w:rPr>
          <w:rStyle w:val="14"/>
          <w:rFonts w:hint="eastAsia" w:ascii="仿宋" w:hAnsi="仿宋" w:eastAsia="仿宋" w:cs="仿宋"/>
          <w:b w:val="0"/>
          <w:bCs w:val="0"/>
          <w:color w:val="auto"/>
          <w:sz w:val="32"/>
          <w:szCs w:val="32"/>
          <w:highlight w:val="none"/>
        </w:rPr>
        <w:t>（款）</w:t>
      </w:r>
      <w:r>
        <w:rPr>
          <w:rStyle w:val="14"/>
          <w:rFonts w:hint="eastAsia" w:ascii="仿宋" w:hAnsi="仿宋" w:eastAsia="仿宋" w:cs="仿宋"/>
          <w:b w:val="0"/>
          <w:bCs w:val="0"/>
          <w:color w:val="auto"/>
          <w:sz w:val="32"/>
          <w:szCs w:val="32"/>
          <w:highlight w:val="none"/>
          <w:lang w:eastAsia="zh-CN"/>
        </w:rPr>
        <w:t>小学教育</w:t>
      </w:r>
      <w:r>
        <w:rPr>
          <w:rStyle w:val="14"/>
          <w:rFonts w:hint="eastAsia" w:ascii="仿宋" w:hAnsi="仿宋" w:eastAsia="仿宋" w:cs="仿宋"/>
          <w:b w:val="0"/>
          <w:bCs w:val="0"/>
          <w:color w:val="auto"/>
          <w:sz w:val="32"/>
          <w:szCs w:val="32"/>
          <w:highlight w:val="none"/>
        </w:rPr>
        <w:t>（项）: 支出决算为</w:t>
      </w:r>
      <w:r>
        <w:rPr>
          <w:rStyle w:val="14"/>
          <w:rFonts w:hint="eastAsia" w:ascii="仿宋" w:hAnsi="仿宋" w:eastAsia="仿宋" w:cs="仿宋"/>
          <w:b w:val="0"/>
          <w:bCs w:val="0"/>
          <w:color w:val="auto"/>
          <w:sz w:val="32"/>
          <w:szCs w:val="32"/>
          <w:highlight w:val="none"/>
          <w:lang w:val="en-US" w:eastAsia="zh-CN"/>
        </w:rPr>
        <w:t>945.1</w:t>
      </w:r>
      <w:r>
        <w:rPr>
          <w:rStyle w:val="14"/>
          <w:rFonts w:hint="eastAsia" w:ascii="仿宋" w:hAnsi="仿宋" w:eastAsia="仿宋" w:cs="仿宋"/>
          <w:b w:val="0"/>
          <w:bCs w:val="0"/>
          <w:color w:val="auto"/>
          <w:sz w:val="32"/>
          <w:szCs w:val="32"/>
          <w:highlight w:val="none"/>
        </w:rPr>
        <w:t>万元，完成预算</w:t>
      </w:r>
      <w:r>
        <w:rPr>
          <w:rStyle w:val="14"/>
          <w:rFonts w:hint="eastAsia" w:ascii="仿宋" w:hAnsi="仿宋" w:eastAsia="仿宋" w:cs="仿宋"/>
          <w:b w:val="0"/>
          <w:bCs w:val="0"/>
          <w:color w:val="auto"/>
          <w:sz w:val="32"/>
          <w:szCs w:val="32"/>
          <w:highlight w:val="none"/>
          <w:lang w:val="en-US" w:eastAsia="zh-CN"/>
        </w:rPr>
        <w:t>100</w:t>
      </w:r>
      <w:r>
        <w:rPr>
          <w:rStyle w:val="14"/>
          <w:rFonts w:hint="eastAsia" w:ascii="仿宋" w:hAnsi="仿宋" w:eastAsia="仿宋" w:cs="仿宋"/>
          <w:b w:val="0"/>
          <w:bCs w:val="0"/>
          <w:color w:val="auto"/>
          <w:sz w:val="32"/>
          <w:szCs w:val="32"/>
          <w:highlight w:val="none"/>
        </w:rPr>
        <w:t>%，决算数等于预算数。</w:t>
      </w:r>
    </w:p>
    <w:p>
      <w:pPr>
        <w:pStyle w:val="2"/>
        <w:numPr>
          <w:ilvl w:val="0"/>
          <w:numId w:val="3"/>
        </w:numPr>
        <w:ind w:left="0" w:leftChars="0" w:firstLine="640" w:firstLineChars="200"/>
        <w:rPr>
          <w:rFonts w:hint="eastAsia" w:ascii="仿宋" w:hAnsi="仿宋" w:eastAsia="仿宋" w:cs="仿宋"/>
          <w:b w:val="0"/>
          <w:bCs w:val="0"/>
        </w:rPr>
      </w:pPr>
      <w:r>
        <w:rPr>
          <w:rStyle w:val="14"/>
          <w:rFonts w:hint="eastAsia" w:ascii="仿宋" w:hAnsi="仿宋" w:eastAsia="仿宋" w:cs="仿宋"/>
          <w:b w:val="0"/>
          <w:bCs w:val="0"/>
          <w:color w:val="auto"/>
          <w:sz w:val="32"/>
          <w:szCs w:val="32"/>
          <w:highlight w:val="none"/>
        </w:rPr>
        <w:t>教育（类）</w:t>
      </w:r>
      <w:r>
        <w:rPr>
          <w:rStyle w:val="14"/>
          <w:rFonts w:hint="eastAsia" w:ascii="仿宋" w:hAnsi="仿宋" w:eastAsia="仿宋" w:cs="仿宋"/>
          <w:b w:val="0"/>
          <w:bCs w:val="0"/>
          <w:color w:val="auto"/>
          <w:sz w:val="32"/>
          <w:szCs w:val="32"/>
          <w:highlight w:val="none"/>
          <w:lang w:eastAsia="zh-CN"/>
        </w:rPr>
        <w:t>普通教育</w:t>
      </w:r>
      <w:r>
        <w:rPr>
          <w:rStyle w:val="14"/>
          <w:rFonts w:hint="eastAsia" w:ascii="仿宋" w:hAnsi="仿宋" w:eastAsia="仿宋" w:cs="仿宋"/>
          <w:b w:val="0"/>
          <w:bCs w:val="0"/>
          <w:color w:val="auto"/>
          <w:sz w:val="32"/>
          <w:szCs w:val="32"/>
          <w:highlight w:val="none"/>
        </w:rPr>
        <w:t>（款）</w:t>
      </w:r>
      <w:r>
        <w:rPr>
          <w:rStyle w:val="14"/>
          <w:rFonts w:hint="eastAsia" w:ascii="仿宋" w:hAnsi="仿宋" w:eastAsia="仿宋" w:cs="仿宋"/>
          <w:b w:val="0"/>
          <w:bCs w:val="0"/>
          <w:color w:val="auto"/>
          <w:sz w:val="32"/>
          <w:szCs w:val="32"/>
          <w:highlight w:val="none"/>
          <w:lang w:eastAsia="zh-CN"/>
        </w:rPr>
        <w:t>其他普通教育</w:t>
      </w:r>
      <w:r>
        <w:rPr>
          <w:rStyle w:val="14"/>
          <w:rFonts w:hint="eastAsia" w:ascii="仿宋" w:hAnsi="仿宋" w:eastAsia="仿宋" w:cs="仿宋"/>
          <w:b w:val="0"/>
          <w:bCs w:val="0"/>
          <w:color w:val="auto"/>
          <w:sz w:val="32"/>
          <w:szCs w:val="32"/>
          <w:highlight w:val="none"/>
        </w:rPr>
        <w:t>（项）: 支出决算为</w:t>
      </w:r>
      <w:r>
        <w:rPr>
          <w:rStyle w:val="14"/>
          <w:rFonts w:hint="eastAsia" w:ascii="仿宋" w:hAnsi="仿宋" w:eastAsia="仿宋" w:cs="仿宋"/>
          <w:b w:val="0"/>
          <w:bCs w:val="0"/>
          <w:color w:val="auto"/>
          <w:sz w:val="32"/>
          <w:szCs w:val="32"/>
          <w:highlight w:val="none"/>
          <w:lang w:val="en-US" w:eastAsia="zh-CN"/>
        </w:rPr>
        <w:t>32.43</w:t>
      </w:r>
      <w:r>
        <w:rPr>
          <w:rStyle w:val="14"/>
          <w:rFonts w:hint="eastAsia" w:ascii="仿宋" w:hAnsi="仿宋" w:eastAsia="仿宋" w:cs="仿宋"/>
          <w:b w:val="0"/>
          <w:bCs w:val="0"/>
          <w:color w:val="auto"/>
          <w:sz w:val="32"/>
          <w:szCs w:val="32"/>
          <w:highlight w:val="none"/>
        </w:rPr>
        <w:t>万元，完成预算</w:t>
      </w:r>
      <w:r>
        <w:rPr>
          <w:rStyle w:val="14"/>
          <w:rFonts w:hint="eastAsia" w:ascii="仿宋" w:hAnsi="仿宋" w:eastAsia="仿宋" w:cs="仿宋"/>
          <w:b w:val="0"/>
          <w:bCs w:val="0"/>
          <w:color w:val="auto"/>
          <w:sz w:val="32"/>
          <w:szCs w:val="32"/>
          <w:highlight w:val="none"/>
          <w:lang w:val="en-US" w:eastAsia="zh-CN"/>
        </w:rPr>
        <w:t>100</w:t>
      </w:r>
      <w:r>
        <w:rPr>
          <w:rStyle w:val="14"/>
          <w:rFonts w:hint="eastAsia" w:ascii="仿宋" w:hAnsi="仿宋" w:eastAsia="仿宋" w:cs="仿宋"/>
          <w:b w:val="0"/>
          <w:bCs w:val="0"/>
          <w:color w:val="auto"/>
          <w:sz w:val="32"/>
          <w:szCs w:val="32"/>
          <w:highlight w:val="none"/>
        </w:rPr>
        <w:t>%，决算数等于预算数。</w:t>
      </w:r>
    </w:p>
    <w:p>
      <w:pPr>
        <w:numPr>
          <w:ilvl w:val="0"/>
          <w:numId w:val="3"/>
        </w:numPr>
        <w:spacing w:line="600" w:lineRule="exact"/>
        <w:ind w:left="0" w:leftChars="0" w:firstLine="640" w:firstLineChars="200"/>
        <w:rPr>
          <w:rStyle w:val="14"/>
          <w:rFonts w:hint="eastAsia" w:ascii="仿宋" w:hAnsi="仿宋" w:eastAsia="仿宋" w:cs="仿宋"/>
          <w:b w:val="0"/>
          <w:bCs w:val="0"/>
          <w:color w:val="auto"/>
          <w:sz w:val="32"/>
          <w:szCs w:val="32"/>
          <w:highlight w:val="none"/>
        </w:rPr>
      </w:pPr>
      <w:r>
        <w:rPr>
          <w:rStyle w:val="14"/>
          <w:rFonts w:hint="eastAsia" w:ascii="仿宋" w:hAnsi="仿宋" w:eastAsia="仿宋" w:cs="仿宋"/>
          <w:b w:val="0"/>
          <w:bCs w:val="0"/>
          <w:color w:val="auto"/>
          <w:sz w:val="32"/>
          <w:szCs w:val="32"/>
          <w:highlight w:val="none"/>
        </w:rPr>
        <w:t>文化旅游体育与传媒（类）</w:t>
      </w:r>
      <w:r>
        <w:rPr>
          <w:rStyle w:val="14"/>
          <w:rFonts w:hint="eastAsia" w:ascii="仿宋" w:hAnsi="仿宋" w:eastAsia="仿宋" w:cs="仿宋"/>
          <w:b w:val="0"/>
          <w:bCs w:val="0"/>
          <w:color w:val="auto"/>
          <w:sz w:val="32"/>
          <w:szCs w:val="32"/>
          <w:highlight w:val="none"/>
          <w:lang w:eastAsia="zh-CN"/>
        </w:rPr>
        <w:t>文化和旅游</w:t>
      </w:r>
      <w:r>
        <w:rPr>
          <w:rStyle w:val="14"/>
          <w:rFonts w:hint="eastAsia" w:ascii="仿宋" w:hAnsi="仿宋" w:eastAsia="仿宋" w:cs="仿宋"/>
          <w:b w:val="0"/>
          <w:bCs w:val="0"/>
          <w:color w:val="auto"/>
          <w:sz w:val="32"/>
          <w:szCs w:val="32"/>
          <w:highlight w:val="none"/>
        </w:rPr>
        <w:t>（款）</w:t>
      </w:r>
      <w:r>
        <w:rPr>
          <w:rStyle w:val="14"/>
          <w:rFonts w:hint="eastAsia" w:ascii="仿宋" w:hAnsi="仿宋" w:eastAsia="仿宋" w:cs="仿宋"/>
          <w:b w:val="0"/>
          <w:bCs w:val="0"/>
          <w:color w:val="auto"/>
          <w:sz w:val="32"/>
          <w:szCs w:val="32"/>
          <w:highlight w:val="none"/>
          <w:lang w:eastAsia="zh-CN"/>
        </w:rPr>
        <w:t>群众文化</w:t>
      </w:r>
      <w:r>
        <w:rPr>
          <w:rStyle w:val="14"/>
          <w:rFonts w:hint="eastAsia" w:ascii="仿宋" w:hAnsi="仿宋" w:eastAsia="仿宋" w:cs="仿宋"/>
          <w:b w:val="0"/>
          <w:bCs w:val="0"/>
          <w:color w:val="auto"/>
          <w:sz w:val="32"/>
          <w:szCs w:val="32"/>
          <w:highlight w:val="none"/>
        </w:rPr>
        <w:t>（项）: 支出决算为</w:t>
      </w:r>
      <w:r>
        <w:rPr>
          <w:rStyle w:val="14"/>
          <w:rFonts w:hint="eastAsia" w:ascii="仿宋" w:hAnsi="仿宋" w:eastAsia="仿宋" w:cs="仿宋"/>
          <w:b w:val="0"/>
          <w:bCs w:val="0"/>
          <w:color w:val="auto"/>
          <w:sz w:val="32"/>
          <w:szCs w:val="32"/>
          <w:highlight w:val="none"/>
          <w:lang w:val="en-US" w:eastAsia="zh-CN"/>
        </w:rPr>
        <w:t>15.75</w:t>
      </w:r>
      <w:r>
        <w:rPr>
          <w:rStyle w:val="14"/>
          <w:rFonts w:hint="eastAsia" w:ascii="仿宋" w:hAnsi="仿宋" w:eastAsia="仿宋" w:cs="仿宋"/>
          <w:b w:val="0"/>
          <w:bCs w:val="0"/>
          <w:color w:val="auto"/>
          <w:sz w:val="32"/>
          <w:szCs w:val="32"/>
          <w:highlight w:val="none"/>
        </w:rPr>
        <w:t>万元，完成预算</w:t>
      </w:r>
      <w:r>
        <w:rPr>
          <w:rStyle w:val="14"/>
          <w:rFonts w:hint="eastAsia" w:ascii="仿宋" w:hAnsi="仿宋" w:eastAsia="仿宋" w:cs="仿宋"/>
          <w:b w:val="0"/>
          <w:bCs w:val="0"/>
          <w:color w:val="auto"/>
          <w:sz w:val="32"/>
          <w:szCs w:val="32"/>
          <w:highlight w:val="none"/>
          <w:lang w:val="en-US" w:eastAsia="zh-CN"/>
        </w:rPr>
        <w:t>100</w:t>
      </w:r>
      <w:r>
        <w:rPr>
          <w:rStyle w:val="14"/>
          <w:rFonts w:hint="eastAsia" w:ascii="仿宋" w:hAnsi="仿宋" w:eastAsia="仿宋" w:cs="仿宋"/>
          <w:b w:val="0"/>
          <w:bCs w:val="0"/>
          <w:color w:val="auto"/>
          <w:sz w:val="32"/>
          <w:szCs w:val="32"/>
          <w:highlight w:val="none"/>
        </w:rPr>
        <w:t>%，决算数等于预算数。</w:t>
      </w:r>
    </w:p>
    <w:p>
      <w:pPr>
        <w:pStyle w:val="2"/>
        <w:numPr>
          <w:ilvl w:val="0"/>
          <w:numId w:val="3"/>
        </w:numPr>
        <w:ind w:left="0" w:leftChars="0" w:firstLine="640" w:firstLineChars="200"/>
        <w:rPr>
          <w:rFonts w:hint="eastAsia" w:ascii="仿宋" w:hAnsi="仿宋" w:eastAsia="仿宋" w:cs="仿宋"/>
          <w:b w:val="0"/>
          <w:bCs w:val="0"/>
        </w:rPr>
      </w:pPr>
      <w:r>
        <w:rPr>
          <w:rStyle w:val="14"/>
          <w:rFonts w:hint="eastAsia" w:ascii="仿宋" w:hAnsi="仿宋" w:eastAsia="仿宋" w:cs="仿宋"/>
          <w:b w:val="0"/>
          <w:bCs w:val="0"/>
          <w:color w:val="auto"/>
          <w:sz w:val="32"/>
          <w:szCs w:val="32"/>
          <w:highlight w:val="none"/>
        </w:rPr>
        <w:t>文化旅游体育与传媒（类）</w:t>
      </w:r>
      <w:r>
        <w:rPr>
          <w:rStyle w:val="14"/>
          <w:rFonts w:hint="eastAsia" w:ascii="仿宋" w:hAnsi="仿宋" w:eastAsia="仿宋" w:cs="仿宋"/>
          <w:b w:val="0"/>
          <w:bCs w:val="0"/>
          <w:color w:val="auto"/>
          <w:sz w:val="32"/>
          <w:szCs w:val="32"/>
          <w:highlight w:val="none"/>
          <w:lang w:eastAsia="zh-CN"/>
        </w:rPr>
        <w:t>文化和旅游</w:t>
      </w:r>
      <w:r>
        <w:rPr>
          <w:rStyle w:val="14"/>
          <w:rFonts w:hint="eastAsia" w:ascii="仿宋" w:hAnsi="仿宋" w:eastAsia="仿宋" w:cs="仿宋"/>
          <w:b w:val="0"/>
          <w:bCs w:val="0"/>
          <w:color w:val="auto"/>
          <w:sz w:val="32"/>
          <w:szCs w:val="32"/>
          <w:highlight w:val="none"/>
        </w:rPr>
        <w:t>（款）</w:t>
      </w:r>
      <w:r>
        <w:rPr>
          <w:rStyle w:val="14"/>
          <w:rFonts w:hint="eastAsia" w:ascii="仿宋" w:hAnsi="仿宋" w:eastAsia="仿宋" w:cs="仿宋"/>
          <w:b w:val="0"/>
          <w:bCs w:val="0"/>
          <w:color w:val="auto"/>
          <w:sz w:val="32"/>
          <w:szCs w:val="32"/>
          <w:highlight w:val="none"/>
          <w:lang w:eastAsia="zh-CN"/>
        </w:rPr>
        <w:t>其他文化和旅游</w:t>
      </w:r>
      <w:r>
        <w:rPr>
          <w:rStyle w:val="14"/>
          <w:rFonts w:hint="eastAsia" w:ascii="仿宋" w:hAnsi="仿宋" w:eastAsia="仿宋" w:cs="仿宋"/>
          <w:b w:val="0"/>
          <w:bCs w:val="0"/>
          <w:color w:val="auto"/>
          <w:sz w:val="32"/>
          <w:szCs w:val="32"/>
          <w:highlight w:val="none"/>
        </w:rPr>
        <w:t>（项）: 支出决算为</w:t>
      </w:r>
      <w:r>
        <w:rPr>
          <w:rStyle w:val="14"/>
          <w:rFonts w:hint="eastAsia" w:ascii="仿宋" w:hAnsi="仿宋" w:eastAsia="仿宋" w:cs="仿宋"/>
          <w:b w:val="0"/>
          <w:bCs w:val="0"/>
          <w:color w:val="auto"/>
          <w:sz w:val="32"/>
          <w:szCs w:val="32"/>
          <w:highlight w:val="none"/>
          <w:lang w:val="en-US" w:eastAsia="zh-CN"/>
        </w:rPr>
        <w:t>10</w:t>
      </w:r>
      <w:r>
        <w:rPr>
          <w:rStyle w:val="14"/>
          <w:rFonts w:hint="eastAsia" w:ascii="仿宋" w:hAnsi="仿宋" w:eastAsia="仿宋" w:cs="仿宋"/>
          <w:b w:val="0"/>
          <w:bCs w:val="0"/>
          <w:color w:val="auto"/>
          <w:sz w:val="32"/>
          <w:szCs w:val="32"/>
          <w:highlight w:val="none"/>
        </w:rPr>
        <w:t>万元，完成预算</w:t>
      </w:r>
      <w:r>
        <w:rPr>
          <w:rStyle w:val="14"/>
          <w:rFonts w:hint="eastAsia" w:ascii="仿宋" w:hAnsi="仿宋" w:eastAsia="仿宋" w:cs="仿宋"/>
          <w:b w:val="0"/>
          <w:bCs w:val="0"/>
          <w:color w:val="auto"/>
          <w:sz w:val="32"/>
          <w:szCs w:val="32"/>
          <w:highlight w:val="none"/>
          <w:lang w:val="en-US" w:eastAsia="zh-CN"/>
        </w:rPr>
        <w:t>100</w:t>
      </w:r>
      <w:r>
        <w:rPr>
          <w:rStyle w:val="14"/>
          <w:rFonts w:hint="eastAsia" w:ascii="仿宋" w:hAnsi="仿宋" w:eastAsia="仿宋" w:cs="仿宋"/>
          <w:b w:val="0"/>
          <w:bCs w:val="0"/>
          <w:color w:val="auto"/>
          <w:sz w:val="32"/>
          <w:szCs w:val="32"/>
          <w:highlight w:val="none"/>
        </w:rPr>
        <w:t>%，决算数等于预算数。</w:t>
      </w:r>
    </w:p>
    <w:p>
      <w:pPr>
        <w:numPr>
          <w:ilvl w:val="0"/>
          <w:numId w:val="3"/>
        </w:numPr>
        <w:spacing w:line="600" w:lineRule="exact"/>
        <w:ind w:left="0" w:leftChars="0" w:firstLine="640" w:firstLineChars="200"/>
        <w:rPr>
          <w:rStyle w:val="14"/>
          <w:rFonts w:hint="eastAsia" w:ascii="仿宋" w:hAnsi="仿宋" w:eastAsia="仿宋" w:cs="仿宋"/>
          <w:b w:val="0"/>
          <w:bCs w:val="0"/>
          <w:color w:val="auto"/>
          <w:sz w:val="32"/>
          <w:szCs w:val="32"/>
          <w:highlight w:val="none"/>
        </w:rPr>
      </w:pPr>
      <w:r>
        <w:rPr>
          <w:rStyle w:val="14"/>
          <w:rFonts w:hint="eastAsia" w:ascii="仿宋" w:hAnsi="仿宋" w:eastAsia="仿宋" w:cs="仿宋"/>
          <w:b w:val="0"/>
          <w:bCs w:val="0"/>
          <w:color w:val="auto"/>
          <w:sz w:val="32"/>
          <w:szCs w:val="32"/>
          <w:highlight w:val="none"/>
        </w:rPr>
        <w:t>社会保障和就业（类）</w:t>
      </w:r>
      <w:r>
        <w:rPr>
          <w:rStyle w:val="14"/>
          <w:rFonts w:hint="eastAsia" w:ascii="仿宋" w:hAnsi="仿宋" w:eastAsia="仿宋" w:cs="仿宋"/>
          <w:b w:val="0"/>
          <w:bCs w:val="0"/>
          <w:color w:val="auto"/>
          <w:sz w:val="32"/>
          <w:szCs w:val="32"/>
          <w:highlight w:val="none"/>
          <w:lang w:eastAsia="zh-CN"/>
        </w:rPr>
        <w:t>人力资源和社会保障管理事务</w:t>
      </w:r>
      <w:r>
        <w:rPr>
          <w:rStyle w:val="14"/>
          <w:rFonts w:hint="eastAsia" w:ascii="仿宋" w:hAnsi="仿宋" w:eastAsia="仿宋" w:cs="仿宋"/>
          <w:b w:val="0"/>
          <w:bCs w:val="0"/>
          <w:color w:val="auto"/>
          <w:sz w:val="32"/>
          <w:szCs w:val="32"/>
          <w:highlight w:val="none"/>
        </w:rPr>
        <w:t>（款）</w:t>
      </w:r>
      <w:r>
        <w:rPr>
          <w:rStyle w:val="14"/>
          <w:rFonts w:hint="eastAsia" w:ascii="仿宋" w:hAnsi="仿宋" w:eastAsia="仿宋" w:cs="仿宋"/>
          <w:b w:val="0"/>
          <w:bCs w:val="0"/>
          <w:color w:val="auto"/>
          <w:sz w:val="32"/>
          <w:szCs w:val="32"/>
          <w:highlight w:val="none"/>
          <w:lang w:eastAsia="zh-CN"/>
        </w:rPr>
        <w:t>社会保险经办机构</w:t>
      </w:r>
      <w:r>
        <w:rPr>
          <w:rStyle w:val="14"/>
          <w:rFonts w:hint="eastAsia" w:ascii="仿宋" w:hAnsi="仿宋" w:eastAsia="仿宋" w:cs="仿宋"/>
          <w:b w:val="0"/>
          <w:bCs w:val="0"/>
          <w:color w:val="auto"/>
          <w:sz w:val="32"/>
          <w:szCs w:val="32"/>
          <w:highlight w:val="none"/>
        </w:rPr>
        <w:t>（项）: 支出决算为</w:t>
      </w:r>
      <w:r>
        <w:rPr>
          <w:rStyle w:val="14"/>
          <w:rFonts w:hint="eastAsia" w:ascii="仿宋" w:hAnsi="仿宋" w:eastAsia="仿宋" w:cs="仿宋"/>
          <w:b w:val="0"/>
          <w:bCs w:val="0"/>
          <w:color w:val="auto"/>
          <w:sz w:val="32"/>
          <w:szCs w:val="32"/>
          <w:highlight w:val="none"/>
          <w:lang w:val="en-US" w:eastAsia="zh-CN"/>
        </w:rPr>
        <w:t>6.9</w:t>
      </w:r>
      <w:r>
        <w:rPr>
          <w:rStyle w:val="14"/>
          <w:rFonts w:hint="eastAsia" w:ascii="仿宋" w:hAnsi="仿宋" w:eastAsia="仿宋" w:cs="仿宋"/>
          <w:b w:val="0"/>
          <w:bCs w:val="0"/>
          <w:color w:val="auto"/>
          <w:sz w:val="32"/>
          <w:szCs w:val="32"/>
          <w:highlight w:val="none"/>
        </w:rPr>
        <w:t>万元，完成预算</w:t>
      </w:r>
      <w:r>
        <w:rPr>
          <w:rStyle w:val="14"/>
          <w:rFonts w:hint="eastAsia" w:ascii="仿宋" w:hAnsi="仿宋" w:eastAsia="仿宋" w:cs="仿宋"/>
          <w:b w:val="0"/>
          <w:bCs w:val="0"/>
          <w:color w:val="auto"/>
          <w:sz w:val="32"/>
          <w:szCs w:val="32"/>
          <w:highlight w:val="none"/>
          <w:lang w:val="en-US" w:eastAsia="zh-CN"/>
        </w:rPr>
        <w:t>100</w:t>
      </w:r>
      <w:r>
        <w:rPr>
          <w:rStyle w:val="14"/>
          <w:rFonts w:hint="eastAsia" w:ascii="仿宋" w:hAnsi="仿宋" w:eastAsia="仿宋" w:cs="仿宋"/>
          <w:b w:val="0"/>
          <w:bCs w:val="0"/>
          <w:color w:val="auto"/>
          <w:sz w:val="32"/>
          <w:szCs w:val="32"/>
          <w:highlight w:val="none"/>
        </w:rPr>
        <w:t>%，决算数等于预算数。</w:t>
      </w:r>
    </w:p>
    <w:p>
      <w:pPr>
        <w:numPr>
          <w:ilvl w:val="0"/>
          <w:numId w:val="3"/>
        </w:numPr>
        <w:spacing w:line="600" w:lineRule="exact"/>
        <w:ind w:left="0" w:leftChars="0" w:firstLine="640" w:firstLineChars="200"/>
        <w:rPr>
          <w:rStyle w:val="14"/>
          <w:rFonts w:hint="eastAsia" w:ascii="仿宋" w:hAnsi="仿宋" w:eastAsia="仿宋" w:cs="仿宋"/>
          <w:b w:val="0"/>
          <w:bCs w:val="0"/>
          <w:color w:val="auto"/>
          <w:sz w:val="32"/>
          <w:szCs w:val="32"/>
          <w:highlight w:val="none"/>
        </w:rPr>
      </w:pPr>
      <w:r>
        <w:rPr>
          <w:rStyle w:val="14"/>
          <w:rFonts w:hint="eastAsia" w:ascii="仿宋" w:hAnsi="仿宋" w:eastAsia="仿宋" w:cs="仿宋"/>
          <w:b w:val="0"/>
          <w:bCs w:val="0"/>
          <w:color w:val="auto"/>
          <w:sz w:val="32"/>
          <w:szCs w:val="32"/>
          <w:highlight w:val="none"/>
        </w:rPr>
        <w:t>社会保障和就业（类）</w:t>
      </w:r>
      <w:r>
        <w:rPr>
          <w:rStyle w:val="14"/>
          <w:rFonts w:hint="eastAsia" w:ascii="仿宋" w:hAnsi="仿宋" w:eastAsia="仿宋" w:cs="仿宋"/>
          <w:b w:val="0"/>
          <w:bCs w:val="0"/>
          <w:color w:val="auto"/>
          <w:sz w:val="32"/>
          <w:szCs w:val="32"/>
          <w:highlight w:val="none"/>
          <w:lang w:eastAsia="zh-CN"/>
        </w:rPr>
        <w:t>行政事业单位养老</w:t>
      </w:r>
      <w:r>
        <w:rPr>
          <w:rStyle w:val="14"/>
          <w:rFonts w:hint="eastAsia" w:ascii="仿宋" w:hAnsi="仿宋" w:eastAsia="仿宋" w:cs="仿宋"/>
          <w:b w:val="0"/>
          <w:bCs w:val="0"/>
          <w:color w:val="auto"/>
          <w:sz w:val="32"/>
          <w:szCs w:val="32"/>
          <w:highlight w:val="none"/>
        </w:rPr>
        <w:t>（款）</w:t>
      </w:r>
      <w:r>
        <w:rPr>
          <w:rStyle w:val="14"/>
          <w:rFonts w:hint="eastAsia" w:ascii="仿宋" w:hAnsi="仿宋" w:eastAsia="仿宋" w:cs="仿宋"/>
          <w:b w:val="0"/>
          <w:bCs w:val="0"/>
          <w:color w:val="auto"/>
          <w:sz w:val="32"/>
          <w:szCs w:val="32"/>
          <w:highlight w:val="none"/>
          <w:lang w:eastAsia="zh-CN"/>
        </w:rPr>
        <w:t>机关事业单位基本养老保险缴费</w:t>
      </w:r>
      <w:r>
        <w:rPr>
          <w:rStyle w:val="14"/>
          <w:rFonts w:hint="eastAsia" w:ascii="仿宋" w:hAnsi="仿宋" w:eastAsia="仿宋" w:cs="仿宋"/>
          <w:b w:val="0"/>
          <w:bCs w:val="0"/>
          <w:color w:val="auto"/>
          <w:sz w:val="32"/>
          <w:szCs w:val="32"/>
          <w:highlight w:val="none"/>
        </w:rPr>
        <w:t>（项）: 支出决算为</w:t>
      </w:r>
      <w:r>
        <w:rPr>
          <w:rStyle w:val="14"/>
          <w:rFonts w:hint="eastAsia" w:ascii="仿宋" w:hAnsi="仿宋" w:eastAsia="仿宋" w:cs="仿宋"/>
          <w:b w:val="0"/>
          <w:bCs w:val="0"/>
          <w:color w:val="auto"/>
          <w:sz w:val="32"/>
          <w:szCs w:val="32"/>
          <w:highlight w:val="none"/>
          <w:lang w:val="en-US" w:eastAsia="zh-CN"/>
        </w:rPr>
        <w:t>151.35</w:t>
      </w:r>
      <w:r>
        <w:rPr>
          <w:rStyle w:val="14"/>
          <w:rFonts w:hint="eastAsia" w:ascii="仿宋" w:hAnsi="仿宋" w:eastAsia="仿宋" w:cs="仿宋"/>
          <w:b w:val="0"/>
          <w:bCs w:val="0"/>
          <w:color w:val="auto"/>
          <w:sz w:val="32"/>
          <w:szCs w:val="32"/>
          <w:highlight w:val="none"/>
        </w:rPr>
        <w:t>万元，完成预算</w:t>
      </w:r>
      <w:r>
        <w:rPr>
          <w:rStyle w:val="14"/>
          <w:rFonts w:hint="eastAsia" w:ascii="仿宋" w:hAnsi="仿宋" w:eastAsia="仿宋" w:cs="仿宋"/>
          <w:b w:val="0"/>
          <w:bCs w:val="0"/>
          <w:color w:val="auto"/>
          <w:sz w:val="32"/>
          <w:szCs w:val="32"/>
          <w:highlight w:val="none"/>
          <w:lang w:val="en-US" w:eastAsia="zh-CN"/>
        </w:rPr>
        <w:t>100</w:t>
      </w:r>
      <w:r>
        <w:rPr>
          <w:rStyle w:val="14"/>
          <w:rFonts w:hint="eastAsia" w:ascii="仿宋" w:hAnsi="仿宋" w:eastAsia="仿宋" w:cs="仿宋"/>
          <w:b w:val="0"/>
          <w:bCs w:val="0"/>
          <w:color w:val="auto"/>
          <w:sz w:val="32"/>
          <w:szCs w:val="32"/>
          <w:highlight w:val="none"/>
        </w:rPr>
        <w:t>%，决算数等于预算数。</w:t>
      </w:r>
    </w:p>
    <w:p>
      <w:pPr>
        <w:numPr>
          <w:ilvl w:val="0"/>
          <w:numId w:val="3"/>
        </w:numPr>
        <w:spacing w:line="600" w:lineRule="exact"/>
        <w:ind w:left="0" w:leftChars="0" w:firstLine="640" w:firstLineChars="200"/>
        <w:rPr>
          <w:rStyle w:val="14"/>
          <w:rFonts w:hint="eastAsia" w:ascii="仿宋" w:hAnsi="仿宋" w:eastAsia="仿宋" w:cs="仿宋"/>
          <w:b w:val="0"/>
          <w:bCs w:val="0"/>
          <w:color w:val="auto"/>
          <w:sz w:val="32"/>
          <w:szCs w:val="32"/>
          <w:highlight w:val="none"/>
        </w:rPr>
      </w:pPr>
      <w:r>
        <w:rPr>
          <w:rStyle w:val="14"/>
          <w:rFonts w:hint="eastAsia" w:ascii="仿宋" w:hAnsi="仿宋" w:eastAsia="仿宋" w:cs="仿宋"/>
          <w:b w:val="0"/>
          <w:bCs w:val="0"/>
          <w:color w:val="auto"/>
          <w:sz w:val="32"/>
          <w:szCs w:val="32"/>
          <w:highlight w:val="none"/>
        </w:rPr>
        <w:t>社会保障和就业（类）</w:t>
      </w:r>
      <w:r>
        <w:rPr>
          <w:rStyle w:val="14"/>
          <w:rFonts w:hint="eastAsia" w:ascii="仿宋" w:hAnsi="仿宋" w:eastAsia="仿宋" w:cs="仿宋"/>
          <w:b w:val="0"/>
          <w:bCs w:val="0"/>
          <w:color w:val="auto"/>
          <w:sz w:val="32"/>
          <w:szCs w:val="32"/>
          <w:highlight w:val="none"/>
          <w:lang w:eastAsia="zh-CN"/>
        </w:rPr>
        <w:t>就业补助</w:t>
      </w:r>
      <w:r>
        <w:rPr>
          <w:rStyle w:val="14"/>
          <w:rFonts w:hint="eastAsia" w:ascii="仿宋" w:hAnsi="仿宋" w:eastAsia="仿宋" w:cs="仿宋"/>
          <w:b w:val="0"/>
          <w:bCs w:val="0"/>
          <w:color w:val="auto"/>
          <w:sz w:val="32"/>
          <w:szCs w:val="32"/>
          <w:highlight w:val="none"/>
        </w:rPr>
        <w:t>（款）</w:t>
      </w:r>
      <w:r>
        <w:rPr>
          <w:rStyle w:val="14"/>
          <w:rFonts w:hint="eastAsia" w:ascii="仿宋" w:hAnsi="仿宋" w:eastAsia="仿宋" w:cs="仿宋"/>
          <w:b w:val="0"/>
          <w:bCs w:val="0"/>
          <w:color w:val="auto"/>
          <w:sz w:val="32"/>
          <w:szCs w:val="32"/>
          <w:highlight w:val="none"/>
          <w:lang w:eastAsia="zh-CN"/>
        </w:rPr>
        <w:t>社会保险补贴</w:t>
      </w:r>
      <w:r>
        <w:rPr>
          <w:rStyle w:val="14"/>
          <w:rFonts w:hint="eastAsia" w:ascii="仿宋" w:hAnsi="仿宋" w:eastAsia="仿宋" w:cs="仿宋"/>
          <w:b w:val="0"/>
          <w:bCs w:val="0"/>
          <w:color w:val="auto"/>
          <w:sz w:val="32"/>
          <w:szCs w:val="32"/>
          <w:highlight w:val="none"/>
        </w:rPr>
        <w:t>（项）: 支出决算为</w:t>
      </w:r>
      <w:r>
        <w:rPr>
          <w:rStyle w:val="14"/>
          <w:rFonts w:hint="eastAsia" w:ascii="仿宋" w:hAnsi="仿宋" w:eastAsia="仿宋" w:cs="仿宋"/>
          <w:b w:val="0"/>
          <w:bCs w:val="0"/>
          <w:color w:val="auto"/>
          <w:sz w:val="32"/>
          <w:szCs w:val="32"/>
          <w:highlight w:val="none"/>
          <w:lang w:val="en-US" w:eastAsia="zh-CN"/>
        </w:rPr>
        <w:t>2.15</w:t>
      </w:r>
      <w:r>
        <w:rPr>
          <w:rStyle w:val="14"/>
          <w:rFonts w:hint="eastAsia" w:ascii="仿宋" w:hAnsi="仿宋" w:eastAsia="仿宋" w:cs="仿宋"/>
          <w:b w:val="0"/>
          <w:bCs w:val="0"/>
          <w:color w:val="auto"/>
          <w:sz w:val="32"/>
          <w:szCs w:val="32"/>
          <w:highlight w:val="none"/>
        </w:rPr>
        <w:t>万元，完成预算</w:t>
      </w:r>
      <w:r>
        <w:rPr>
          <w:rStyle w:val="14"/>
          <w:rFonts w:hint="eastAsia" w:ascii="仿宋" w:hAnsi="仿宋" w:eastAsia="仿宋" w:cs="仿宋"/>
          <w:b w:val="0"/>
          <w:bCs w:val="0"/>
          <w:color w:val="auto"/>
          <w:sz w:val="32"/>
          <w:szCs w:val="32"/>
          <w:highlight w:val="none"/>
          <w:lang w:val="en-US" w:eastAsia="zh-CN"/>
        </w:rPr>
        <w:t>100</w:t>
      </w:r>
      <w:r>
        <w:rPr>
          <w:rStyle w:val="14"/>
          <w:rFonts w:hint="eastAsia" w:ascii="仿宋" w:hAnsi="仿宋" w:eastAsia="仿宋" w:cs="仿宋"/>
          <w:b w:val="0"/>
          <w:bCs w:val="0"/>
          <w:color w:val="auto"/>
          <w:sz w:val="32"/>
          <w:szCs w:val="32"/>
          <w:highlight w:val="none"/>
        </w:rPr>
        <w:t>%，决算数等于预算数。</w:t>
      </w:r>
    </w:p>
    <w:p>
      <w:pPr>
        <w:pStyle w:val="2"/>
        <w:numPr>
          <w:ilvl w:val="0"/>
          <w:numId w:val="3"/>
        </w:numPr>
        <w:ind w:left="0" w:leftChars="0" w:firstLine="640" w:firstLineChars="200"/>
        <w:rPr>
          <w:rFonts w:hint="eastAsia" w:ascii="仿宋" w:hAnsi="仿宋" w:eastAsia="仿宋" w:cs="仿宋"/>
          <w:b w:val="0"/>
          <w:bCs w:val="0"/>
        </w:rPr>
      </w:pPr>
      <w:r>
        <w:rPr>
          <w:rStyle w:val="14"/>
          <w:rFonts w:hint="eastAsia" w:ascii="仿宋" w:hAnsi="仿宋" w:eastAsia="仿宋" w:cs="仿宋"/>
          <w:b w:val="0"/>
          <w:bCs w:val="0"/>
          <w:color w:val="auto"/>
          <w:sz w:val="32"/>
          <w:szCs w:val="32"/>
          <w:highlight w:val="none"/>
        </w:rPr>
        <w:t>社会保障和就业（类）</w:t>
      </w:r>
      <w:r>
        <w:rPr>
          <w:rStyle w:val="14"/>
          <w:rFonts w:hint="eastAsia" w:ascii="仿宋" w:hAnsi="仿宋" w:eastAsia="仿宋" w:cs="仿宋"/>
          <w:b w:val="0"/>
          <w:bCs w:val="0"/>
          <w:color w:val="auto"/>
          <w:sz w:val="32"/>
          <w:szCs w:val="32"/>
          <w:highlight w:val="none"/>
          <w:lang w:eastAsia="zh-CN"/>
        </w:rPr>
        <w:t>就业补助</w:t>
      </w:r>
      <w:r>
        <w:rPr>
          <w:rStyle w:val="14"/>
          <w:rFonts w:hint="eastAsia" w:ascii="仿宋" w:hAnsi="仿宋" w:eastAsia="仿宋" w:cs="仿宋"/>
          <w:b w:val="0"/>
          <w:bCs w:val="0"/>
          <w:color w:val="auto"/>
          <w:sz w:val="32"/>
          <w:szCs w:val="32"/>
          <w:highlight w:val="none"/>
        </w:rPr>
        <w:t>（款）</w:t>
      </w:r>
      <w:r>
        <w:rPr>
          <w:rStyle w:val="14"/>
          <w:rFonts w:hint="eastAsia" w:ascii="仿宋" w:hAnsi="仿宋" w:eastAsia="仿宋" w:cs="仿宋"/>
          <w:b w:val="0"/>
          <w:bCs w:val="0"/>
          <w:color w:val="auto"/>
          <w:sz w:val="32"/>
          <w:szCs w:val="32"/>
          <w:highlight w:val="none"/>
          <w:lang w:eastAsia="zh-CN"/>
        </w:rPr>
        <w:t>公益性岗位补贴</w:t>
      </w:r>
      <w:r>
        <w:rPr>
          <w:rStyle w:val="14"/>
          <w:rFonts w:hint="eastAsia" w:ascii="仿宋" w:hAnsi="仿宋" w:eastAsia="仿宋" w:cs="仿宋"/>
          <w:b w:val="0"/>
          <w:bCs w:val="0"/>
          <w:color w:val="auto"/>
          <w:sz w:val="32"/>
          <w:szCs w:val="32"/>
          <w:highlight w:val="none"/>
        </w:rPr>
        <w:t>（项）: 支出决算为</w:t>
      </w:r>
      <w:r>
        <w:rPr>
          <w:rStyle w:val="14"/>
          <w:rFonts w:hint="eastAsia" w:ascii="仿宋" w:hAnsi="仿宋" w:eastAsia="仿宋" w:cs="仿宋"/>
          <w:b w:val="0"/>
          <w:bCs w:val="0"/>
          <w:color w:val="auto"/>
          <w:sz w:val="32"/>
          <w:szCs w:val="32"/>
          <w:highlight w:val="none"/>
          <w:lang w:val="en-US" w:eastAsia="zh-CN"/>
        </w:rPr>
        <w:t>37.52</w:t>
      </w:r>
      <w:r>
        <w:rPr>
          <w:rStyle w:val="14"/>
          <w:rFonts w:hint="eastAsia" w:ascii="仿宋" w:hAnsi="仿宋" w:eastAsia="仿宋" w:cs="仿宋"/>
          <w:b w:val="0"/>
          <w:bCs w:val="0"/>
          <w:color w:val="auto"/>
          <w:sz w:val="32"/>
          <w:szCs w:val="32"/>
          <w:highlight w:val="none"/>
        </w:rPr>
        <w:t>万元，完成预算</w:t>
      </w:r>
      <w:r>
        <w:rPr>
          <w:rStyle w:val="14"/>
          <w:rFonts w:hint="eastAsia" w:ascii="仿宋" w:hAnsi="仿宋" w:eastAsia="仿宋" w:cs="仿宋"/>
          <w:b w:val="0"/>
          <w:bCs w:val="0"/>
          <w:color w:val="auto"/>
          <w:sz w:val="32"/>
          <w:szCs w:val="32"/>
          <w:highlight w:val="none"/>
          <w:lang w:val="en-US" w:eastAsia="zh-CN"/>
        </w:rPr>
        <w:t>100</w:t>
      </w:r>
      <w:r>
        <w:rPr>
          <w:rStyle w:val="14"/>
          <w:rFonts w:hint="eastAsia" w:ascii="仿宋" w:hAnsi="仿宋" w:eastAsia="仿宋" w:cs="仿宋"/>
          <w:b w:val="0"/>
          <w:bCs w:val="0"/>
          <w:color w:val="auto"/>
          <w:sz w:val="32"/>
          <w:szCs w:val="32"/>
          <w:highlight w:val="none"/>
        </w:rPr>
        <w:t>%，决算数等于预算数。</w:t>
      </w:r>
    </w:p>
    <w:p>
      <w:pPr>
        <w:pStyle w:val="2"/>
        <w:numPr>
          <w:ilvl w:val="0"/>
          <w:numId w:val="3"/>
        </w:numPr>
        <w:ind w:left="0" w:leftChars="0" w:firstLine="640" w:firstLineChars="200"/>
        <w:rPr>
          <w:rFonts w:hint="eastAsia" w:ascii="仿宋" w:hAnsi="仿宋" w:eastAsia="仿宋" w:cs="仿宋"/>
          <w:b w:val="0"/>
          <w:bCs w:val="0"/>
        </w:rPr>
      </w:pPr>
      <w:r>
        <w:rPr>
          <w:rStyle w:val="14"/>
          <w:rFonts w:hint="eastAsia" w:ascii="仿宋" w:hAnsi="仿宋" w:eastAsia="仿宋" w:cs="仿宋"/>
          <w:b w:val="0"/>
          <w:bCs w:val="0"/>
          <w:color w:val="auto"/>
          <w:sz w:val="32"/>
          <w:szCs w:val="32"/>
          <w:highlight w:val="none"/>
        </w:rPr>
        <w:t>社会保障和就业（类）</w:t>
      </w:r>
      <w:r>
        <w:rPr>
          <w:rStyle w:val="14"/>
          <w:rFonts w:hint="eastAsia" w:ascii="仿宋" w:hAnsi="仿宋" w:eastAsia="仿宋" w:cs="仿宋"/>
          <w:b w:val="0"/>
          <w:bCs w:val="0"/>
          <w:color w:val="auto"/>
          <w:sz w:val="32"/>
          <w:szCs w:val="32"/>
          <w:highlight w:val="none"/>
          <w:lang w:eastAsia="zh-CN"/>
        </w:rPr>
        <w:t>就业补助</w:t>
      </w:r>
      <w:r>
        <w:rPr>
          <w:rStyle w:val="14"/>
          <w:rFonts w:hint="eastAsia" w:ascii="仿宋" w:hAnsi="仿宋" w:eastAsia="仿宋" w:cs="仿宋"/>
          <w:b w:val="0"/>
          <w:bCs w:val="0"/>
          <w:color w:val="auto"/>
          <w:sz w:val="32"/>
          <w:szCs w:val="32"/>
          <w:highlight w:val="none"/>
        </w:rPr>
        <w:t>（款）</w:t>
      </w:r>
      <w:r>
        <w:rPr>
          <w:rStyle w:val="14"/>
          <w:rFonts w:hint="eastAsia" w:ascii="仿宋" w:hAnsi="仿宋" w:eastAsia="仿宋" w:cs="仿宋"/>
          <w:b w:val="0"/>
          <w:bCs w:val="0"/>
          <w:color w:val="auto"/>
          <w:sz w:val="32"/>
          <w:szCs w:val="32"/>
          <w:highlight w:val="none"/>
          <w:lang w:eastAsia="zh-CN"/>
        </w:rPr>
        <w:t>其他就业补助</w:t>
      </w:r>
      <w:r>
        <w:rPr>
          <w:rStyle w:val="14"/>
          <w:rFonts w:hint="eastAsia" w:ascii="仿宋" w:hAnsi="仿宋" w:eastAsia="仿宋" w:cs="仿宋"/>
          <w:b w:val="0"/>
          <w:bCs w:val="0"/>
          <w:color w:val="auto"/>
          <w:sz w:val="32"/>
          <w:szCs w:val="32"/>
          <w:highlight w:val="none"/>
        </w:rPr>
        <w:t>（项）: 支出决算为</w:t>
      </w:r>
      <w:r>
        <w:rPr>
          <w:rStyle w:val="14"/>
          <w:rFonts w:hint="eastAsia" w:ascii="仿宋" w:hAnsi="仿宋" w:eastAsia="仿宋" w:cs="仿宋"/>
          <w:b w:val="0"/>
          <w:bCs w:val="0"/>
          <w:color w:val="auto"/>
          <w:sz w:val="32"/>
          <w:szCs w:val="32"/>
          <w:highlight w:val="none"/>
          <w:lang w:val="en-US" w:eastAsia="zh-CN"/>
        </w:rPr>
        <w:t>4.5</w:t>
      </w:r>
      <w:r>
        <w:rPr>
          <w:rStyle w:val="14"/>
          <w:rFonts w:hint="eastAsia" w:ascii="仿宋" w:hAnsi="仿宋" w:eastAsia="仿宋" w:cs="仿宋"/>
          <w:b w:val="0"/>
          <w:bCs w:val="0"/>
          <w:color w:val="auto"/>
          <w:sz w:val="32"/>
          <w:szCs w:val="32"/>
          <w:highlight w:val="none"/>
        </w:rPr>
        <w:t>万元，完成预算</w:t>
      </w:r>
      <w:r>
        <w:rPr>
          <w:rStyle w:val="14"/>
          <w:rFonts w:hint="eastAsia" w:ascii="仿宋" w:hAnsi="仿宋" w:eastAsia="仿宋" w:cs="仿宋"/>
          <w:b w:val="0"/>
          <w:bCs w:val="0"/>
          <w:color w:val="auto"/>
          <w:sz w:val="32"/>
          <w:szCs w:val="32"/>
          <w:highlight w:val="none"/>
          <w:lang w:val="en-US" w:eastAsia="zh-CN"/>
        </w:rPr>
        <w:t>100</w:t>
      </w:r>
      <w:r>
        <w:rPr>
          <w:rStyle w:val="14"/>
          <w:rFonts w:hint="eastAsia" w:ascii="仿宋" w:hAnsi="仿宋" w:eastAsia="仿宋" w:cs="仿宋"/>
          <w:b w:val="0"/>
          <w:bCs w:val="0"/>
          <w:color w:val="auto"/>
          <w:sz w:val="32"/>
          <w:szCs w:val="32"/>
          <w:highlight w:val="none"/>
        </w:rPr>
        <w:t>%，决算数等于预算数。</w:t>
      </w:r>
    </w:p>
    <w:p>
      <w:pPr>
        <w:numPr>
          <w:ilvl w:val="0"/>
          <w:numId w:val="3"/>
        </w:numPr>
        <w:spacing w:line="600" w:lineRule="exact"/>
        <w:ind w:left="0" w:leftChars="0" w:firstLine="640" w:firstLineChars="200"/>
        <w:rPr>
          <w:rStyle w:val="14"/>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卫生健康</w:t>
      </w:r>
      <w:r>
        <w:rPr>
          <w:rStyle w:val="14"/>
          <w:rFonts w:hint="eastAsia" w:ascii="仿宋" w:hAnsi="仿宋" w:eastAsia="仿宋" w:cs="仿宋"/>
          <w:b w:val="0"/>
          <w:bCs w:val="0"/>
          <w:color w:val="auto"/>
          <w:sz w:val="32"/>
          <w:szCs w:val="32"/>
          <w:highlight w:val="none"/>
        </w:rPr>
        <w:t>（类）</w:t>
      </w:r>
      <w:r>
        <w:rPr>
          <w:rStyle w:val="14"/>
          <w:rFonts w:hint="eastAsia" w:ascii="仿宋" w:hAnsi="仿宋" w:eastAsia="仿宋" w:cs="仿宋"/>
          <w:b w:val="0"/>
          <w:bCs w:val="0"/>
          <w:color w:val="auto"/>
          <w:sz w:val="32"/>
          <w:szCs w:val="32"/>
          <w:highlight w:val="none"/>
          <w:lang w:eastAsia="zh-CN"/>
        </w:rPr>
        <w:t>卫生健康管理事务</w:t>
      </w:r>
      <w:r>
        <w:rPr>
          <w:rStyle w:val="14"/>
          <w:rFonts w:hint="eastAsia" w:ascii="仿宋" w:hAnsi="仿宋" w:eastAsia="仿宋" w:cs="仿宋"/>
          <w:b w:val="0"/>
          <w:bCs w:val="0"/>
          <w:color w:val="auto"/>
          <w:sz w:val="32"/>
          <w:szCs w:val="32"/>
          <w:highlight w:val="none"/>
        </w:rPr>
        <w:t>（款）</w:t>
      </w:r>
      <w:r>
        <w:rPr>
          <w:rStyle w:val="14"/>
          <w:rFonts w:hint="eastAsia" w:ascii="仿宋" w:hAnsi="仿宋" w:eastAsia="仿宋" w:cs="仿宋"/>
          <w:b w:val="0"/>
          <w:bCs w:val="0"/>
          <w:color w:val="auto"/>
          <w:sz w:val="32"/>
          <w:szCs w:val="32"/>
          <w:highlight w:val="none"/>
          <w:lang w:eastAsia="zh-CN"/>
        </w:rPr>
        <w:t>行政运行</w:t>
      </w:r>
      <w:r>
        <w:rPr>
          <w:rStyle w:val="14"/>
          <w:rFonts w:hint="eastAsia" w:ascii="仿宋" w:hAnsi="仿宋" w:eastAsia="仿宋" w:cs="仿宋"/>
          <w:b w:val="0"/>
          <w:bCs w:val="0"/>
          <w:color w:val="auto"/>
          <w:sz w:val="32"/>
          <w:szCs w:val="32"/>
          <w:highlight w:val="none"/>
        </w:rPr>
        <w:t>（项）</w:t>
      </w:r>
      <w:r>
        <w:rPr>
          <w:rStyle w:val="14"/>
          <w:rFonts w:hint="eastAsia" w:ascii="仿宋" w:hAnsi="仿宋" w:eastAsia="仿宋" w:cs="仿宋"/>
          <w:b w:val="0"/>
          <w:bCs w:val="0"/>
          <w:color w:val="auto"/>
          <w:sz w:val="32"/>
          <w:szCs w:val="32"/>
          <w:highlight w:val="none"/>
          <w:lang w:eastAsia="zh-CN"/>
        </w:rPr>
        <w:t>：</w:t>
      </w:r>
      <w:r>
        <w:rPr>
          <w:rStyle w:val="14"/>
          <w:rFonts w:hint="eastAsia" w:ascii="仿宋" w:hAnsi="仿宋" w:eastAsia="仿宋" w:cs="仿宋"/>
          <w:b w:val="0"/>
          <w:bCs w:val="0"/>
          <w:color w:val="auto"/>
          <w:sz w:val="32"/>
          <w:szCs w:val="32"/>
          <w:highlight w:val="none"/>
        </w:rPr>
        <w:t>支出决算为</w:t>
      </w:r>
      <w:r>
        <w:rPr>
          <w:rStyle w:val="14"/>
          <w:rFonts w:hint="eastAsia" w:ascii="仿宋" w:hAnsi="仿宋" w:eastAsia="仿宋" w:cs="仿宋"/>
          <w:b w:val="0"/>
          <w:bCs w:val="0"/>
          <w:color w:val="auto"/>
          <w:sz w:val="32"/>
          <w:szCs w:val="32"/>
          <w:highlight w:val="none"/>
          <w:lang w:val="en-US" w:eastAsia="zh-CN"/>
        </w:rPr>
        <w:t>8.86</w:t>
      </w:r>
      <w:r>
        <w:rPr>
          <w:rStyle w:val="14"/>
          <w:rFonts w:hint="eastAsia" w:ascii="仿宋" w:hAnsi="仿宋" w:eastAsia="仿宋" w:cs="仿宋"/>
          <w:b w:val="0"/>
          <w:bCs w:val="0"/>
          <w:color w:val="auto"/>
          <w:sz w:val="32"/>
          <w:szCs w:val="32"/>
          <w:highlight w:val="none"/>
        </w:rPr>
        <w:t>万元，完成预算</w:t>
      </w:r>
      <w:r>
        <w:rPr>
          <w:rStyle w:val="14"/>
          <w:rFonts w:hint="eastAsia" w:ascii="仿宋" w:hAnsi="仿宋" w:eastAsia="仿宋" w:cs="仿宋"/>
          <w:b w:val="0"/>
          <w:bCs w:val="0"/>
          <w:color w:val="auto"/>
          <w:sz w:val="32"/>
          <w:szCs w:val="32"/>
          <w:highlight w:val="none"/>
          <w:lang w:val="en-US" w:eastAsia="zh-CN"/>
        </w:rPr>
        <w:t>100</w:t>
      </w:r>
      <w:r>
        <w:rPr>
          <w:rStyle w:val="14"/>
          <w:rFonts w:hint="eastAsia" w:ascii="仿宋" w:hAnsi="仿宋" w:eastAsia="仿宋" w:cs="仿宋"/>
          <w:b w:val="0"/>
          <w:bCs w:val="0"/>
          <w:color w:val="auto"/>
          <w:sz w:val="32"/>
          <w:szCs w:val="32"/>
          <w:highlight w:val="none"/>
        </w:rPr>
        <w:t>%，决算数等于预算数。</w:t>
      </w:r>
    </w:p>
    <w:p>
      <w:pPr>
        <w:numPr>
          <w:ilvl w:val="0"/>
          <w:numId w:val="3"/>
        </w:numPr>
        <w:spacing w:line="600" w:lineRule="exact"/>
        <w:ind w:left="0" w:leftChars="0" w:firstLine="640" w:firstLineChars="200"/>
        <w:rPr>
          <w:rStyle w:val="14"/>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卫生健康</w:t>
      </w:r>
      <w:r>
        <w:rPr>
          <w:rStyle w:val="14"/>
          <w:rFonts w:hint="eastAsia" w:ascii="仿宋" w:hAnsi="仿宋" w:eastAsia="仿宋" w:cs="仿宋"/>
          <w:b w:val="0"/>
          <w:bCs w:val="0"/>
          <w:color w:val="auto"/>
          <w:sz w:val="32"/>
          <w:szCs w:val="32"/>
          <w:highlight w:val="none"/>
        </w:rPr>
        <w:t>（类）</w:t>
      </w:r>
      <w:r>
        <w:rPr>
          <w:rStyle w:val="14"/>
          <w:rFonts w:hint="eastAsia" w:ascii="仿宋" w:hAnsi="仿宋" w:eastAsia="仿宋" w:cs="仿宋"/>
          <w:b w:val="0"/>
          <w:bCs w:val="0"/>
          <w:color w:val="auto"/>
          <w:sz w:val="32"/>
          <w:szCs w:val="32"/>
          <w:highlight w:val="none"/>
          <w:lang w:eastAsia="zh-CN"/>
        </w:rPr>
        <w:t>基层医疗卫生机构</w:t>
      </w:r>
      <w:r>
        <w:rPr>
          <w:rStyle w:val="14"/>
          <w:rFonts w:hint="eastAsia" w:ascii="仿宋" w:hAnsi="仿宋" w:eastAsia="仿宋" w:cs="仿宋"/>
          <w:b w:val="0"/>
          <w:bCs w:val="0"/>
          <w:color w:val="auto"/>
          <w:sz w:val="32"/>
          <w:szCs w:val="32"/>
          <w:highlight w:val="none"/>
        </w:rPr>
        <w:t>（款）</w:t>
      </w:r>
      <w:r>
        <w:rPr>
          <w:rStyle w:val="14"/>
          <w:rFonts w:hint="eastAsia" w:ascii="仿宋" w:hAnsi="仿宋" w:eastAsia="仿宋" w:cs="仿宋"/>
          <w:b w:val="0"/>
          <w:bCs w:val="0"/>
          <w:color w:val="auto"/>
          <w:sz w:val="32"/>
          <w:szCs w:val="32"/>
          <w:highlight w:val="none"/>
          <w:lang w:eastAsia="zh-CN"/>
        </w:rPr>
        <w:t>乡镇卫生院</w:t>
      </w:r>
      <w:r>
        <w:rPr>
          <w:rStyle w:val="14"/>
          <w:rFonts w:hint="eastAsia" w:ascii="仿宋" w:hAnsi="仿宋" w:eastAsia="仿宋" w:cs="仿宋"/>
          <w:b w:val="0"/>
          <w:bCs w:val="0"/>
          <w:color w:val="auto"/>
          <w:sz w:val="32"/>
          <w:szCs w:val="32"/>
          <w:highlight w:val="none"/>
        </w:rPr>
        <w:t>（项）</w:t>
      </w:r>
      <w:r>
        <w:rPr>
          <w:rStyle w:val="14"/>
          <w:rFonts w:hint="eastAsia" w:ascii="仿宋" w:hAnsi="仿宋" w:eastAsia="仿宋" w:cs="仿宋"/>
          <w:b w:val="0"/>
          <w:bCs w:val="0"/>
          <w:color w:val="auto"/>
          <w:sz w:val="32"/>
          <w:szCs w:val="32"/>
          <w:highlight w:val="none"/>
          <w:lang w:eastAsia="zh-CN"/>
        </w:rPr>
        <w:t>：</w:t>
      </w:r>
      <w:r>
        <w:rPr>
          <w:rStyle w:val="14"/>
          <w:rFonts w:hint="eastAsia" w:ascii="仿宋" w:hAnsi="仿宋" w:eastAsia="仿宋" w:cs="仿宋"/>
          <w:b w:val="0"/>
          <w:bCs w:val="0"/>
          <w:color w:val="auto"/>
          <w:sz w:val="32"/>
          <w:szCs w:val="32"/>
          <w:highlight w:val="none"/>
        </w:rPr>
        <w:t>支出决算为</w:t>
      </w:r>
      <w:r>
        <w:rPr>
          <w:rStyle w:val="14"/>
          <w:rFonts w:hint="eastAsia" w:ascii="仿宋" w:hAnsi="仿宋" w:eastAsia="仿宋" w:cs="仿宋"/>
          <w:b w:val="0"/>
          <w:bCs w:val="0"/>
          <w:color w:val="auto"/>
          <w:sz w:val="32"/>
          <w:szCs w:val="32"/>
          <w:highlight w:val="none"/>
          <w:lang w:val="en-US" w:eastAsia="zh-CN"/>
        </w:rPr>
        <w:t>63.68</w:t>
      </w:r>
      <w:r>
        <w:rPr>
          <w:rStyle w:val="14"/>
          <w:rFonts w:hint="eastAsia" w:ascii="仿宋" w:hAnsi="仿宋" w:eastAsia="仿宋" w:cs="仿宋"/>
          <w:b w:val="0"/>
          <w:bCs w:val="0"/>
          <w:color w:val="auto"/>
          <w:sz w:val="32"/>
          <w:szCs w:val="32"/>
          <w:highlight w:val="none"/>
        </w:rPr>
        <w:t>万元，完成预算</w:t>
      </w:r>
      <w:r>
        <w:rPr>
          <w:rStyle w:val="14"/>
          <w:rFonts w:hint="eastAsia" w:ascii="仿宋" w:hAnsi="仿宋" w:eastAsia="仿宋" w:cs="仿宋"/>
          <w:b w:val="0"/>
          <w:bCs w:val="0"/>
          <w:color w:val="auto"/>
          <w:sz w:val="32"/>
          <w:szCs w:val="32"/>
          <w:highlight w:val="none"/>
          <w:lang w:val="en-US" w:eastAsia="zh-CN"/>
        </w:rPr>
        <w:t>100</w:t>
      </w:r>
      <w:r>
        <w:rPr>
          <w:rStyle w:val="14"/>
          <w:rFonts w:hint="eastAsia" w:ascii="仿宋" w:hAnsi="仿宋" w:eastAsia="仿宋" w:cs="仿宋"/>
          <w:b w:val="0"/>
          <w:bCs w:val="0"/>
          <w:color w:val="auto"/>
          <w:sz w:val="32"/>
          <w:szCs w:val="32"/>
          <w:highlight w:val="none"/>
        </w:rPr>
        <w:t>%，决算数等于预算数。</w:t>
      </w:r>
    </w:p>
    <w:p>
      <w:pPr>
        <w:pStyle w:val="2"/>
        <w:numPr>
          <w:ilvl w:val="0"/>
          <w:numId w:val="3"/>
        </w:numPr>
        <w:ind w:left="0" w:leftChars="0" w:firstLine="640" w:firstLineChars="200"/>
        <w:rPr>
          <w:rFonts w:hint="eastAsia" w:ascii="仿宋" w:hAnsi="仿宋" w:eastAsia="仿宋" w:cs="仿宋"/>
          <w:b w:val="0"/>
          <w:bCs w:val="0"/>
        </w:rPr>
      </w:pPr>
      <w:r>
        <w:rPr>
          <w:rFonts w:hint="eastAsia" w:ascii="仿宋" w:hAnsi="仿宋" w:eastAsia="仿宋" w:cs="仿宋"/>
          <w:b w:val="0"/>
          <w:bCs w:val="0"/>
          <w:color w:val="auto"/>
          <w:sz w:val="32"/>
          <w:szCs w:val="32"/>
          <w:highlight w:val="none"/>
        </w:rPr>
        <w:t>卫生健康</w:t>
      </w:r>
      <w:r>
        <w:rPr>
          <w:rStyle w:val="14"/>
          <w:rFonts w:hint="eastAsia" w:ascii="仿宋" w:hAnsi="仿宋" w:eastAsia="仿宋" w:cs="仿宋"/>
          <w:b w:val="0"/>
          <w:bCs w:val="0"/>
          <w:color w:val="auto"/>
          <w:sz w:val="32"/>
          <w:szCs w:val="32"/>
          <w:highlight w:val="none"/>
        </w:rPr>
        <w:t>（类）</w:t>
      </w:r>
      <w:r>
        <w:rPr>
          <w:rStyle w:val="14"/>
          <w:rFonts w:hint="eastAsia" w:ascii="仿宋" w:hAnsi="仿宋" w:eastAsia="仿宋" w:cs="仿宋"/>
          <w:b w:val="0"/>
          <w:bCs w:val="0"/>
          <w:color w:val="auto"/>
          <w:sz w:val="32"/>
          <w:szCs w:val="32"/>
          <w:highlight w:val="none"/>
          <w:lang w:eastAsia="zh-CN"/>
        </w:rPr>
        <w:t>基层医疗卫生机构</w:t>
      </w:r>
      <w:r>
        <w:rPr>
          <w:rStyle w:val="14"/>
          <w:rFonts w:hint="eastAsia" w:ascii="仿宋" w:hAnsi="仿宋" w:eastAsia="仿宋" w:cs="仿宋"/>
          <w:b w:val="0"/>
          <w:bCs w:val="0"/>
          <w:color w:val="auto"/>
          <w:sz w:val="32"/>
          <w:szCs w:val="32"/>
          <w:highlight w:val="none"/>
        </w:rPr>
        <w:t>（款）</w:t>
      </w:r>
      <w:r>
        <w:rPr>
          <w:rStyle w:val="14"/>
          <w:rFonts w:hint="eastAsia" w:ascii="仿宋" w:hAnsi="仿宋" w:eastAsia="仿宋" w:cs="仿宋"/>
          <w:b w:val="0"/>
          <w:bCs w:val="0"/>
          <w:color w:val="auto"/>
          <w:sz w:val="32"/>
          <w:szCs w:val="32"/>
          <w:highlight w:val="none"/>
          <w:lang w:eastAsia="zh-CN"/>
        </w:rPr>
        <w:t>其他基层医疗卫生机构</w:t>
      </w:r>
      <w:r>
        <w:rPr>
          <w:rStyle w:val="14"/>
          <w:rFonts w:hint="eastAsia" w:ascii="仿宋" w:hAnsi="仿宋" w:eastAsia="仿宋" w:cs="仿宋"/>
          <w:b w:val="0"/>
          <w:bCs w:val="0"/>
          <w:color w:val="auto"/>
          <w:sz w:val="32"/>
          <w:szCs w:val="32"/>
          <w:highlight w:val="none"/>
        </w:rPr>
        <w:t>（项）</w:t>
      </w:r>
      <w:r>
        <w:rPr>
          <w:rStyle w:val="14"/>
          <w:rFonts w:hint="eastAsia" w:ascii="仿宋" w:hAnsi="仿宋" w:eastAsia="仿宋" w:cs="仿宋"/>
          <w:b w:val="0"/>
          <w:bCs w:val="0"/>
          <w:color w:val="auto"/>
          <w:sz w:val="32"/>
          <w:szCs w:val="32"/>
          <w:highlight w:val="none"/>
          <w:lang w:eastAsia="zh-CN"/>
        </w:rPr>
        <w:t>：</w:t>
      </w:r>
      <w:r>
        <w:rPr>
          <w:rStyle w:val="14"/>
          <w:rFonts w:hint="eastAsia" w:ascii="仿宋" w:hAnsi="仿宋" w:eastAsia="仿宋" w:cs="仿宋"/>
          <w:b w:val="0"/>
          <w:bCs w:val="0"/>
          <w:color w:val="auto"/>
          <w:sz w:val="32"/>
          <w:szCs w:val="32"/>
          <w:highlight w:val="none"/>
        </w:rPr>
        <w:t>支出决算为</w:t>
      </w:r>
      <w:r>
        <w:rPr>
          <w:rStyle w:val="14"/>
          <w:rFonts w:hint="eastAsia" w:ascii="仿宋" w:hAnsi="仿宋" w:eastAsia="仿宋" w:cs="仿宋"/>
          <w:b w:val="0"/>
          <w:bCs w:val="0"/>
          <w:color w:val="auto"/>
          <w:sz w:val="32"/>
          <w:szCs w:val="32"/>
          <w:highlight w:val="none"/>
          <w:lang w:val="en-US" w:eastAsia="zh-CN"/>
        </w:rPr>
        <w:t>21.93</w:t>
      </w:r>
      <w:r>
        <w:rPr>
          <w:rStyle w:val="14"/>
          <w:rFonts w:hint="eastAsia" w:ascii="仿宋" w:hAnsi="仿宋" w:eastAsia="仿宋" w:cs="仿宋"/>
          <w:b w:val="0"/>
          <w:bCs w:val="0"/>
          <w:color w:val="auto"/>
          <w:sz w:val="32"/>
          <w:szCs w:val="32"/>
          <w:highlight w:val="none"/>
        </w:rPr>
        <w:t>万元，完成预算</w:t>
      </w:r>
      <w:r>
        <w:rPr>
          <w:rStyle w:val="14"/>
          <w:rFonts w:hint="eastAsia" w:ascii="仿宋" w:hAnsi="仿宋" w:eastAsia="仿宋" w:cs="仿宋"/>
          <w:b w:val="0"/>
          <w:bCs w:val="0"/>
          <w:color w:val="auto"/>
          <w:sz w:val="32"/>
          <w:szCs w:val="32"/>
          <w:highlight w:val="none"/>
          <w:lang w:val="en-US" w:eastAsia="zh-CN"/>
        </w:rPr>
        <w:t>100</w:t>
      </w:r>
      <w:r>
        <w:rPr>
          <w:rStyle w:val="14"/>
          <w:rFonts w:hint="eastAsia" w:ascii="仿宋" w:hAnsi="仿宋" w:eastAsia="仿宋" w:cs="仿宋"/>
          <w:b w:val="0"/>
          <w:bCs w:val="0"/>
          <w:color w:val="auto"/>
          <w:sz w:val="32"/>
          <w:szCs w:val="32"/>
          <w:highlight w:val="none"/>
        </w:rPr>
        <w:t>%，决算数等于预算数。</w:t>
      </w:r>
    </w:p>
    <w:p>
      <w:pPr>
        <w:pStyle w:val="2"/>
        <w:numPr>
          <w:ilvl w:val="0"/>
          <w:numId w:val="3"/>
        </w:numPr>
        <w:ind w:left="0" w:leftChars="0" w:firstLine="640" w:firstLineChars="200"/>
        <w:rPr>
          <w:rFonts w:hint="eastAsia" w:ascii="仿宋" w:hAnsi="仿宋" w:eastAsia="仿宋" w:cs="仿宋"/>
          <w:b w:val="0"/>
          <w:bCs w:val="0"/>
        </w:rPr>
      </w:pPr>
      <w:r>
        <w:rPr>
          <w:rFonts w:hint="eastAsia" w:ascii="仿宋" w:hAnsi="仿宋" w:eastAsia="仿宋" w:cs="仿宋"/>
          <w:b w:val="0"/>
          <w:bCs w:val="0"/>
          <w:color w:val="auto"/>
          <w:sz w:val="32"/>
          <w:szCs w:val="32"/>
          <w:highlight w:val="none"/>
        </w:rPr>
        <w:t>卫生健康</w:t>
      </w:r>
      <w:r>
        <w:rPr>
          <w:rStyle w:val="14"/>
          <w:rFonts w:hint="eastAsia" w:ascii="仿宋" w:hAnsi="仿宋" w:eastAsia="仿宋" w:cs="仿宋"/>
          <w:b w:val="0"/>
          <w:bCs w:val="0"/>
          <w:color w:val="auto"/>
          <w:sz w:val="32"/>
          <w:szCs w:val="32"/>
          <w:highlight w:val="none"/>
        </w:rPr>
        <w:t>（类）</w:t>
      </w:r>
      <w:r>
        <w:rPr>
          <w:rStyle w:val="14"/>
          <w:rFonts w:hint="eastAsia" w:ascii="仿宋" w:hAnsi="仿宋" w:eastAsia="仿宋" w:cs="仿宋"/>
          <w:b w:val="0"/>
          <w:bCs w:val="0"/>
          <w:color w:val="auto"/>
          <w:sz w:val="32"/>
          <w:szCs w:val="32"/>
          <w:highlight w:val="none"/>
          <w:lang w:eastAsia="zh-CN"/>
        </w:rPr>
        <w:t>公共卫生</w:t>
      </w:r>
      <w:r>
        <w:rPr>
          <w:rStyle w:val="14"/>
          <w:rFonts w:hint="eastAsia" w:ascii="仿宋" w:hAnsi="仿宋" w:eastAsia="仿宋" w:cs="仿宋"/>
          <w:b w:val="0"/>
          <w:bCs w:val="0"/>
          <w:color w:val="auto"/>
          <w:sz w:val="32"/>
          <w:szCs w:val="32"/>
          <w:highlight w:val="none"/>
        </w:rPr>
        <w:t>（款）</w:t>
      </w:r>
      <w:r>
        <w:rPr>
          <w:rStyle w:val="14"/>
          <w:rFonts w:hint="eastAsia" w:ascii="仿宋" w:hAnsi="仿宋" w:eastAsia="仿宋" w:cs="仿宋"/>
          <w:b w:val="0"/>
          <w:bCs w:val="0"/>
          <w:color w:val="auto"/>
          <w:sz w:val="32"/>
          <w:szCs w:val="32"/>
          <w:highlight w:val="none"/>
          <w:lang w:eastAsia="zh-CN"/>
        </w:rPr>
        <w:t>基本公共卫生服务</w:t>
      </w:r>
      <w:r>
        <w:rPr>
          <w:rStyle w:val="14"/>
          <w:rFonts w:hint="eastAsia" w:ascii="仿宋" w:hAnsi="仿宋" w:eastAsia="仿宋" w:cs="仿宋"/>
          <w:b w:val="0"/>
          <w:bCs w:val="0"/>
          <w:color w:val="auto"/>
          <w:sz w:val="32"/>
          <w:szCs w:val="32"/>
          <w:highlight w:val="none"/>
        </w:rPr>
        <w:t>（项）</w:t>
      </w:r>
      <w:r>
        <w:rPr>
          <w:rStyle w:val="14"/>
          <w:rFonts w:hint="eastAsia" w:ascii="仿宋" w:hAnsi="仿宋" w:eastAsia="仿宋" w:cs="仿宋"/>
          <w:b w:val="0"/>
          <w:bCs w:val="0"/>
          <w:color w:val="auto"/>
          <w:sz w:val="32"/>
          <w:szCs w:val="32"/>
          <w:highlight w:val="none"/>
          <w:lang w:eastAsia="zh-CN"/>
        </w:rPr>
        <w:t>：</w:t>
      </w:r>
      <w:r>
        <w:rPr>
          <w:rStyle w:val="14"/>
          <w:rFonts w:hint="eastAsia" w:ascii="仿宋" w:hAnsi="仿宋" w:eastAsia="仿宋" w:cs="仿宋"/>
          <w:b w:val="0"/>
          <w:bCs w:val="0"/>
          <w:color w:val="auto"/>
          <w:sz w:val="32"/>
          <w:szCs w:val="32"/>
          <w:highlight w:val="none"/>
        </w:rPr>
        <w:t>支出决算为</w:t>
      </w:r>
      <w:r>
        <w:rPr>
          <w:rStyle w:val="14"/>
          <w:rFonts w:hint="eastAsia" w:ascii="仿宋" w:hAnsi="仿宋" w:eastAsia="仿宋" w:cs="仿宋"/>
          <w:b w:val="0"/>
          <w:bCs w:val="0"/>
          <w:color w:val="auto"/>
          <w:sz w:val="32"/>
          <w:szCs w:val="32"/>
          <w:highlight w:val="none"/>
          <w:lang w:val="en-US" w:eastAsia="zh-CN"/>
        </w:rPr>
        <w:t>66.63</w:t>
      </w:r>
      <w:r>
        <w:rPr>
          <w:rStyle w:val="14"/>
          <w:rFonts w:hint="eastAsia" w:ascii="仿宋" w:hAnsi="仿宋" w:eastAsia="仿宋" w:cs="仿宋"/>
          <w:b w:val="0"/>
          <w:bCs w:val="0"/>
          <w:color w:val="auto"/>
          <w:sz w:val="32"/>
          <w:szCs w:val="32"/>
          <w:highlight w:val="none"/>
        </w:rPr>
        <w:t>万元，完成预算</w:t>
      </w:r>
      <w:r>
        <w:rPr>
          <w:rStyle w:val="14"/>
          <w:rFonts w:hint="eastAsia" w:ascii="仿宋" w:hAnsi="仿宋" w:eastAsia="仿宋" w:cs="仿宋"/>
          <w:b w:val="0"/>
          <w:bCs w:val="0"/>
          <w:color w:val="auto"/>
          <w:sz w:val="32"/>
          <w:szCs w:val="32"/>
          <w:highlight w:val="none"/>
          <w:lang w:val="en-US" w:eastAsia="zh-CN"/>
        </w:rPr>
        <w:t>100</w:t>
      </w:r>
      <w:r>
        <w:rPr>
          <w:rStyle w:val="14"/>
          <w:rFonts w:hint="eastAsia" w:ascii="仿宋" w:hAnsi="仿宋" w:eastAsia="仿宋" w:cs="仿宋"/>
          <w:b w:val="0"/>
          <w:bCs w:val="0"/>
          <w:color w:val="auto"/>
          <w:sz w:val="32"/>
          <w:szCs w:val="32"/>
          <w:highlight w:val="none"/>
        </w:rPr>
        <w:t>%，决算数等于预算数。</w:t>
      </w:r>
    </w:p>
    <w:p>
      <w:pPr>
        <w:pStyle w:val="2"/>
        <w:numPr>
          <w:ilvl w:val="0"/>
          <w:numId w:val="3"/>
        </w:numPr>
        <w:ind w:left="0" w:leftChars="0" w:firstLine="640" w:firstLineChars="200"/>
        <w:rPr>
          <w:rFonts w:hint="eastAsia" w:ascii="仿宋" w:hAnsi="仿宋" w:eastAsia="仿宋" w:cs="仿宋"/>
          <w:b w:val="0"/>
          <w:bCs w:val="0"/>
        </w:rPr>
      </w:pPr>
      <w:r>
        <w:rPr>
          <w:rFonts w:hint="eastAsia" w:ascii="仿宋" w:hAnsi="仿宋" w:eastAsia="仿宋" w:cs="仿宋"/>
          <w:b w:val="0"/>
          <w:bCs w:val="0"/>
          <w:color w:val="auto"/>
          <w:sz w:val="32"/>
          <w:szCs w:val="32"/>
          <w:highlight w:val="none"/>
        </w:rPr>
        <w:t>卫生健康</w:t>
      </w:r>
      <w:r>
        <w:rPr>
          <w:rStyle w:val="14"/>
          <w:rFonts w:hint="eastAsia" w:ascii="仿宋" w:hAnsi="仿宋" w:eastAsia="仿宋" w:cs="仿宋"/>
          <w:b w:val="0"/>
          <w:bCs w:val="0"/>
          <w:color w:val="auto"/>
          <w:sz w:val="32"/>
          <w:szCs w:val="32"/>
          <w:highlight w:val="none"/>
        </w:rPr>
        <w:t>（类）</w:t>
      </w:r>
      <w:r>
        <w:rPr>
          <w:rStyle w:val="14"/>
          <w:rFonts w:hint="eastAsia" w:ascii="仿宋" w:hAnsi="仿宋" w:eastAsia="仿宋" w:cs="仿宋"/>
          <w:b w:val="0"/>
          <w:bCs w:val="0"/>
          <w:color w:val="auto"/>
          <w:sz w:val="32"/>
          <w:szCs w:val="32"/>
          <w:highlight w:val="none"/>
          <w:lang w:eastAsia="zh-CN"/>
        </w:rPr>
        <w:t>行政事业单位医疗</w:t>
      </w:r>
      <w:r>
        <w:rPr>
          <w:rStyle w:val="14"/>
          <w:rFonts w:hint="eastAsia" w:ascii="仿宋" w:hAnsi="仿宋" w:eastAsia="仿宋" w:cs="仿宋"/>
          <w:b w:val="0"/>
          <w:bCs w:val="0"/>
          <w:color w:val="auto"/>
          <w:sz w:val="32"/>
          <w:szCs w:val="32"/>
          <w:highlight w:val="none"/>
        </w:rPr>
        <w:t>（款）</w:t>
      </w:r>
      <w:r>
        <w:rPr>
          <w:rStyle w:val="14"/>
          <w:rFonts w:hint="eastAsia" w:ascii="仿宋" w:hAnsi="仿宋" w:eastAsia="仿宋" w:cs="仿宋"/>
          <w:b w:val="0"/>
          <w:bCs w:val="0"/>
          <w:color w:val="auto"/>
          <w:sz w:val="32"/>
          <w:szCs w:val="32"/>
          <w:highlight w:val="none"/>
          <w:lang w:eastAsia="zh-CN"/>
        </w:rPr>
        <w:t>行政单位医疗</w:t>
      </w:r>
      <w:r>
        <w:rPr>
          <w:rStyle w:val="14"/>
          <w:rFonts w:hint="eastAsia" w:ascii="仿宋" w:hAnsi="仿宋" w:eastAsia="仿宋" w:cs="仿宋"/>
          <w:b w:val="0"/>
          <w:bCs w:val="0"/>
          <w:color w:val="auto"/>
          <w:sz w:val="32"/>
          <w:szCs w:val="32"/>
          <w:highlight w:val="none"/>
        </w:rPr>
        <w:t>（项）</w:t>
      </w:r>
      <w:r>
        <w:rPr>
          <w:rStyle w:val="14"/>
          <w:rFonts w:hint="eastAsia" w:ascii="仿宋" w:hAnsi="仿宋" w:eastAsia="仿宋" w:cs="仿宋"/>
          <w:b w:val="0"/>
          <w:bCs w:val="0"/>
          <w:color w:val="auto"/>
          <w:sz w:val="32"/>
          <w:szCs w:val="32"/>
          <w:highlight w:val="none"/>
          <w:lang w:eastAsia="zh-CN"/>
        </w:rPr>
        <w:t>：</w:t>
      </w:r>
      <w:r>
        <w:rPr>
          <w:rStyle w:val="14"/>
          <w:rFonts w:hint="eastAsia" w:ascii="仿宋" w:hAnsi="仿宋" w:eastAsia="仿宋" w:cs="仿宋"/>
          <w:b w:val="0"/>
          <w:bCs w:val="0"/>
          <w:color w:val="auto"/>
          <w:sz w:val="32"/>
          <w:szCs w:val="32"/>
          <w:highlight w:val="none"/>
        </w:rPr>
        <w:t>支出决算为</w:t>
      </w:r>
      <w:r>
        <w:rPr>
          <w:rStyle w:val="14"/>
          <w:rFonts w:hint="eastAsia" w:ascii="仿宋" w:hAnsi="仿宋" w:eastAsia="仿宋" w:cs="仿宋"/>
          <w:b w:val="0"/>
          <w:bCs w:val="0"/>
          <w:color w:val="auto"/>
          <w:sz w:val="32"/>
          <w:szCs w:val="32"/>
          <w:highlight w:val="none"/>
          <w:lang w:val="en-US" w:eastAsia="zh-CN"/>
        </w:rPr>
        <w:t>17.68</w:t>
      </w:r>
      <w:r>
        <w:rPr>
          <w:rStyle w:val="14"/>
          <w:rFonts w:hint="eastAsia" w:ascii="仿宋" w:hAnsi="仿宋" w:eastAsia="仿宋" w:cs="仿宋"/>
          <w:b w:val="0"/>
          <w:bCs w:val="0"/>
          <w:color w:val="auto"/>
          <w:sz w:val="32"/>
          <w:szCs w:val="32"/>
          <w:highlight w:val="none"/>
        </w:rPr>
        <w:t>万元，完成预算</w:t>
      </w:r>
      <w:r>
        <w:rPr>
          <w:rStyle w:val="14"/>
          <w:rFonts w:hint="eastAsia" w:ascii="仿宋" w:hAnsi="仿宋" w:eastAsia="仿宋" w:cs="仿宋"/>
          <w:b w:val="0"/>
          <w:bCs w:val="0"/>
          <w:color w:val="auto"/>
          <w:sz w:val="32"/>
          <w:szCs w:val="32"/>
          <w:highlight w:val="none"/>
          <w:lang w:val="en-US" w:eastAsia="zh-CN"/>
        </w:rPr>
        <w:t>100</w:t>
      </w:r>
      <w:r>
        <w:rPr>
          <w:rStyle w:val="14"/>
          <w:rFonts w:hint="eastAsia" w:ascii="仿宋" w:hAnsi="仿宋" w:eastAsia="仿宋" w:cs="仿宋"/>
          <w:b w:val="0"/>
          <w:bCs w:val="0"/>
          <w:color w:val="auto"/>
          <w:sz w:val="32"/>
          <w:szCs w:val="32"/>
          <w:highlight w:val="none"/>
        </w:rPr>
        <w:t>%，决算数等于预算数。</w:t>
      </w:r>
    </w:p>
    <w:p>
      <w:pPr>
        <w:pStyle w:val="2"/>
        <w:numPr>
          <w:ilvl w:val="0"/>
          <w:numId w:val="3"/>
        </w:numPr>
        <w:ind w:left="0" w:leftChars="0" w:firstLine="640" w:firstLineChars="200"/>
        <w:rPr>
          <w:rFonts w:hint="eastAsia" w:ascii="仿宋" w:hAnsi="仿宋" w:eastAsia="仿宋" w:cs="仿宋"/>
          <w:b w:val="0"/>
          <w:bCs w:val="0"/>
        </w:rPr>
      </w:pPr>
      <w:r>
        <w:rPr>
          <w:rFonts w:hint="eastAsia" w:ascii="仿宋" w:hAnsi="仿宋" w:eastAsia="仿宋" w:cs="仿宋"/>
          <w:b w:val="0"/>
          <w:bCs w:val="0"/>
          <w:color w:val="auto"/>
          <w:sz w:val="32"/>
          <w:szCs w:val="32"/>
          <w:highlight w:val="none"/>
        </w:rPr>
        <w:t>卫生健康</w:t>
      </w:r>
      <w:r>
        <w:rPr>
          <w:rStyle w:val="14"/>
          <w:rFonts w:hint="eastAsia" w:ascii="仿宋" w:hAnsi="仿宋" w:eastAsia="仿宋" w:cs="仿宋"/>
          <w:b w:val="0"/>
          <w:bCs w:val="0"/>
          <w:color w:val="auto"/>
          <w:sz w:val="32"/>
          <w:szCs w:val="32"/>
          <w:highlight w:val="none"/>
        </w:rPr>
        <w:t>（类）</w:t>
      </w:r>
      <w:r>
        <w:rPr>
          <w:rStyle w:val="14"/>
          <w:rFonts w:hint="eastAsia" w:ascii="仿宋" w:hAnsi="仿宋" w:eastAsia="仿宋" w:cs="仿宋"/>
          <w:b w:val="0"/>
          <w:bCs w:val="0"/>
          <w:color w:val="auto"/>
          <w:sz w:val="32"/>
          <w:szCs w:val="32"/>
          <w:highlight w:val="none"/>
          <w:lang w:eastAsia="zh-CN"/>
        </w:rPr>
        <w:t>行政事业单位医疗</w:t>
      </w:r>
      <w:r>
        <w:rPr>
          <w:rStyle w:val="14"/>
          <w:rFonts w:hint="eastAsia" w:ascii="仿宋" w:hAnsi="仿宋" w:eastAsia="仿宋" w:cs="仿宋"/>
          <w:b w:val="0"/>
          <w:bCs w:val="0"/>
          <w:color w:val="auto"/>
          <w:sz w:val="32"/>
          <w:szCs w:val="32"/>
          <w:highlight w:val="none"/>
        </w:rPr>
        <w:t>（款）</w:t>
      </w:r>
      <w:r>
        <w:rPr>
          <w:rStyle w:val="14"/>
          <w:rFonts w:hint="eastAsia" w:ascii="仿宋" w:hAnsi="仿宋" w:eastAsia="仿宋" w:cs="仿宋"/>
          <w:b w:val="0"/>
          <w:bCs w:val="0"/>
          <w:color w:val="auto"/>
          <w:sz w:val="32"/>
          <w:szCs w:val="32"/>
          <w:highlight w:val="none"/>
          <w:lang w:eastAsia="zh-CN"/>
        </w:rPr>
        <w:t>事业单位医疗</w:t>
      </w:r>
      <w:r>
        <w:rPr>
          <w:rStyle w:val="14"/>
          <w:rFonts w:hint="eastAsia" w:ascii="仿宋" w:hAnsi="仿宋" w:eastAsia="仿宋" w:cs="仿宋"/>
          <w:b w:val="0"/>
          <w:bCs w:val="0"/>
          <w:color w:val="auto"/>
          <w:sz w:val="32"/>
          <w:szCs w:val="32"/>
          <w:highlight w:val="none"/>
        </w:rPr>
        <w:t>（项）</w:t>
      </w:r>
      <w:r>
        <w:rPr>
          <w:rStyle w:val="14"/>
          <w:rFonts w:hint="eastAsia" w:ascii="仿宋" w:hAnsi="仿宋" w:eastAsia="仿宋" w:cs="仿宋"/>
          <w:b w:val="0"/>
          <w:bCs w:val="0"/>
          <w:color w:val="auto"/>
          <w:sz w:val="32"/>
          <w:szCs w:val="32"/>
          <w:highlight w:val="none"/>
          <w:lang w:eastAsia="zh-CN"/>
        </w:rPr>
        <w:t>：</w:t>
      </w:r>
      <w:r>
        <w:rPr>
          <w:rStyle w:val="14"/>
          <w:rFonts w:hint="eastAsia" w:ascii="仿宋" w:hAnsi="仿宋" w:eastAsia="仿宋" w:cs="仿宋"/>
          <w:b w:val="0"/>
          <w:bCs w:val="0"/>
          <w:color w:val="auto"/>
          <w:sz w:val="32"/>
          <w:szCs w:val="32"/>
          <w:highlight w:val="none"/>
        </w:rPr>
        <w:t>支出决算为</w:t>
      </w:r>
      <w:r>
        <w:rPr>
          <w:rStyle w:val="14"/>
          <w:rFonts w:hint="eastAsia" w:ascii="仿宋" w:hAnsi="仿宋" w:eastAsia="仿宋" w:cs="仿宋"/>
          <w:b w:val="0"/>
          <w:bCs w:val="0"/>
          <w:color w:val="auto"/>
          <w:sz w:val="32"/>
          <w:szCs w:val="32"/>
          <w:highlight w:val="none"/>
          <w:lang w:val="en-US" w:eastAsia="zh-CN"/>
        </w:rPr>
        <w:t>70.41</w:t>
      </w:r>
      <w:r>
        <w:rPr>
          <w:rStyle w:val="14"/>
          <w:rFonts w:hint="eastAsia" w:ascii="仿宋" w:hAnsi="仿宋" w:eastAsia="仿宋" w:cs="仿宋"/>
          <w:b w:val="0"/>
          <w:bCs w:val="0"/>
          <w:color w:val="auto"/>
          <w:sz w:val="32"/>
          <w:szCs w:val="32"/>
          <w:highlight w:val="none"/>
        </w:rPr>
        <w:t>万元，完成预算</w:t>
      </w:r>
      <w:r>
        <w:rPr>
          <w:rStyle w:val="14"/>
          <w:rFonts w:hint="eastAsia" w:ascii="仿宋" w:hAnsi="仿宋" w:eastAsia="仿宋" w:cs="仿宋"/>
          <w:b w:val="0"/>
          <w:bCs w:val="0"/>
          <w:color w:val="auto"/>
          <w:sz w:val="32"/>
          <w:szCs w:val="32"/>
          <w:highlight w:val="none"/>
          <w:lang w:val="en-US" w:eastAsia="zh-CN"/>
        </w:rPr>
        <w:t>100</w:t>
      </w:r>
      <w:r>
        <w:rPr>
          <w:rStyle w:val="14"/>
          <w:rFonts w:hint="eastAsia" w:ascii="仿宋" w:hAnsi="仿宋" w:eastAsia="仿宋" w:cs="仿宋"/>
          <w:b w:val="0"/>
          <w:bCs w:val="0"/>
          <w:color w:val="auto"/>
          <w:sz w:val="32"/>
          <w:szCs w:val="32"/>
          <w:highlight w:val="none"/>
        </w:rPr>
        <w:t>%，决算数等于预算数。</w:t>
      </w:r>
    </w:p>
    <w:p>
      <w:pPr>
        <w:pStyle w:val="2"/>
        <w:numPr>
          <w:ilvl w:val="0"/>
          <w:numId w:val="3"/>
        </w:numPr>
        <w:ind w:left="0" w:leftChars="0" w:firstLine="640" w:firstLineChars="200"/>
        <w:rPr>
          <w:rFonts w:hint="eastAsia" w:ascii="仿宋" w:hAnsi="仿宋" w:eastAsia="仿宋" w:cs="仿宋"/>
          <w:b w:val="0"/>
          <w:bCs w:val="0"/>
        </w:rPr>
      </w:pPr>
      <w:r>
        <w:rPr>
          <w:rFonts w:hint="eastAsia" w:ascii="仿宋" w:hAnsi="仿宋" w:eastAsia="仿宋" w:cs="仿宋"/>
          <w:b w:val="0"/>
          <w:bCs w:val="0"/>
          <w:color w:val="auto"/>
          <w:sz w:val="32"/>
          <w:szCs w:val="32"/>
          <w:highlight w:val="none"/>
        </w:rPr>
        <w:t>卫生健康</w:t>
      </w:r>
      <w:r>
        <w:rPr>
          <w:rStyle w:val="14"/>
          <w:rFonts w:hint="eastAsia" w:ascii="仿宋" w:hAnsi="仿宋" w:eastAsia="仿宋" w:cs="仿宋"/>
          <w:b w:val="0"/>
          <w:bCs w:val="0"/>
          <w:color w:val="auto"/>
          <w:sz w:val="32"/>
          <w:szCs w:val="32"/>
          <w:highlight w:val="none"/>
        </w:rPr>
        <w:t>（类）</w:t>
      </w:r>
      <w:r>
        <w:rPr>
          <w:rStyle w:val="14"/>
          <w:rFonts w:hint="eastAsia" w:ascii="仿宋" w:hAnsi="仿宋" w:eastAsia="仿宋" w:cs="仿宋"/>
          <w:b w:val="0"/>
          <w:bCs w:val="0"/>
          <w:color w:val="auto"/>
          <w:sz w:val="32"/>
          <w:szCs w:val="32"/>
          <w:highlight w:val="none"/>
          <w:lang w:eastAsia="zh-CN"/>
        </w:rPr>
        <w:t>行政事业单位医疗</w:t>
      </w:r>
      <w:r>
        <w:rPr>
          <w:rStyle w:val="14"/>
          <w:rFonts w:hint="eastAsia" w:ascii="仿宋" w:hAnsi="仿宋" w:eastAsia="仿宋" w:cs="仿宋"/>
          <w:b w:val="0"/>
          <w:bCs w:val="0"/>
          <w:color w:val="auto"/>
          <w:sz w:val="32"/>
          <w:szCs w:val="32"/>
          <w:highlight w:val="none"/>
        </w:rPr>
        <w:t>（款）</w:t>
      </w:r>
      <w:r>
        <w:rPr>
          <w:rStyle w:val="14"/>
          <w:rFonts w:hint="eastAsia" w:ascii="仿宋" w:hAnsi="仿宋" w:eastAsia="仿宋" w:cs="仿宋"/>
          <w:b w:val="0"/>
          <w:bCs w:val="0"/>
          <w:color w:val="auto"/>
          <w:sz w:val="32"/>
          <w:szCs w:val="32"/>
          <w:highlight w:val="none"/>
          <w:lang w:eastAsia="zh-CN"/>
        </w:rPr>
        <w:t>公务员医疗补助</w:t>
      </w:r>
      <w:r>
        <w:rPr>
          <w:rStyle w:val="14"/>
          <w:rFonts w:hint="eastAsia" w:ascii="仿宋" w:hAnsi="仿宋" w:eastAsia="仿宋" w:cs="仿宋"/>
          <w:b w:val="0"/>
          <w:bCs w:val="0"/>
          <w:color w:val="auto"/>
          <w:sz w:val="32"/>
          <w:szCs w:val="32"/>
          <w:highlight w:val="none"/>
        </w:rPr>
        <w:t>（项）</w:t>
      </w:r>
      <w:r>
        <w:rPr>
          <w:rStyle w:val="14"/>
          <w:rFonts w:hint="eastAsia" w:ascii="仿宋" w:hAnsi="仿宋" w:eastAsia="仿宋" w:cs="仿宋"/>
          <w:b w:val="0"/>
          <w:bCs w:val="0"/>
          <w:color w:val="auto"/>
          <w:sz w:val="32"/>
          <w:szCs w:val="32"/>
          <w:highlight w:val="none"/>
          <w:lang w:eastAsia="zh-CN"/>
        </w:rPr>
        <w:t>：</w:t>
      </w:r>
      <w:r>
        <w:rPr>
          <w:rStyle w:val="14"/>
          <w:rFonts w:hint="eastAsia" w:ascii="仿宋" w:hAnsi="仿宋" w:eastAsia="仿宋" w:cs="仿宋"/>
          <w:b w:val="0"/>
          <w:bCs w:val="0"/>
          <w:color w:val="auto"/>
          <w:sz w:val="32"/>
          <w:szCs w:val="32"/>
          <w:highlight w:val="none"/>
        </w:rPr>
        <w:t>支出决算为</w:t>
      </w:r>
      <w:r>
        <w:rPr>
          <w:rStyle w:val="14"/>
          <w:rFonts w:hint="eastAsia" w:ascii="仿宋" w:hAnsi="仿宋" w:eastAsia="仿宋" w:cs="仿宋"/>
          <w:b w:val="0"/>
          <w:bCs w:val="0"/>
          <w:color w:val="auto"/>
          <w:sz w:val="32"/>
          <w:szCs w:val="32"/>
          <w:highlight w:val="none"/>
          <w:lang w:val="en-US" w:eastAsia="zh-CN"/>
        </w:rPr>
        <w:t>3.68</w:t>
      </w:r>
      <w:r>
        <w:rPr>
          <w:rStyle w:val="14"/>
          <w:rFonts w:hint="eastAsia" w:ascii="仿宋" w:hAnsi="仿宋" w:eastAsia="仿宋" w:cs="仿宋"/>
          <w:b w:val="0"/>
          <w:bCs w:val="0"/>
          <w:color w:val="auto"/>
          <w:sz w:val="32"/>
          <w:szCs w:val="32"/>
          <w:highlight w:val="none"/>
        </w:rPr>
        <w:t>万元，完成预算</w:t>
      </w:r>
      <w:r>
        <w:rPr>
          <w:rStyle w:val="14"/>
          <w:rFonts w:hint="eastAsia" w:ascii="仿宋" w:hAnsi="仿宋" w:eastAsia="仿宋" w:cs="仿宋"/>
          <w:b w:val="0"/>
          <w:bCs w:val="0"/>
          <w:color w:val="auto"/>
          <w:sz w:val="32"/>
          <w:szCs w:val="32"/>
          <w:highlight w:val="none"/>
          <w:lang w:val="en-US" w:eastAsia="zh-CN"/>
        </w:rPr>
        <w:t>100</w:t>
      </w:r>
      <w:r>
        <w:rPr>
          <w:rStyle w:val="14"/>
          <w:rFonts w:hint="eastAsia" w:ascii="仿宋" w:hAnsi="仿宋" w:eastAsia="仿宋" w:cs="仿宋"/>
          <w:b w:val="0"/>
          <w:bCs w:val="0"/>
          <w:color w:val="auto"/>
          <w:sz w:val="32"/>
          <w:szCs w:val="32"/>
          <w:highlight w:val="none"/>
        </w:rPr>
        <w:t>%，决算数等于预算数。</w:t>
      </w:r>
    </w:p>
    <w:p>
      <w:pPr>
        <w:pStyle w:val="2"/>
        <w:numPr>
          <w:ilvl w:val="0"/>
          <w:numId w:val="3"/>
        </w:numPr>
        <w:ind w:left="0" w:leftChars="0" w:firstLine="600" w:firstLineChars="200"/>
      </w:pPr>
      <w:r>
        <w:rPr>
          <w:rFonts w:hint="eastAsia" w:ascii="仿宋" w:hAnsi="仿宋" w:eastAsia="仿宋" w:cs="仿宋"/>
          <w:b w:val="0"/>
          <w:bCs w:val="0"/>
          <w:lang w:eastAsia="zh-CN"/>
        </w:rPr>
        <w:t>城乡社区（类）城乡社区管理事务（款）其他城乡社区管理事务（项）：支出决算为</w:t>
      </w:r>
      <w:r>
        <w:rPr>
          <w:rFonts w:hint="eastAsia" w:ascii="仿宋" w:hAnsi="仿宋" w:eastAsia="仿宋" w:cs="仿宋"/>
          <w:b w:val="0"/>
          <w:bCs w:val="0"/>
          <w:lang w:val="en-US" w:eastAsia="zh-CN"/>
        </w:rPr>
        <w:t>6.18万元，完成预算100%，决</w:t>
      </w:r>
      <w:r>
        <w:rPr>
          <w:rFonts w:hint="eastAsia"/>
          <w:lang w:val="en-US" w:eastAsia="zh-CN"/>
        </w:rPr>
        <w:t>算数等于预算数。</w:t>
      </w:r>
    </w:p>
    <w:p>
      <w:pPr>
        <w:pStyle w:val="2"/>
        <w:numPr>
          <w:ilvl w:val="0"/>
          <w:numId w:val="3"/>
        </w:numPr>
        <w:ind w:left="0" w:leftChars="0" w:firstLine="600" w:firstLineChars="200"/>
      </w:pPr>
      <w:r>
        <w:rPr>
          <w:rFonts w:hint="eastAsia"/>
          <w:lang w:val="en-US" w:eastAsia="zh-CN"/>
        </w:rPr>
        <w:t>农林水（类）农业农村（款）事业运行（项）：支出决算为65.27万元，完成预算100%，决算数等于预算数。</w:t>
      </w:r>
    </w:p>
    <w:p>
      <w:pPr>
        <w:pStyle w:val="2"/>
        <w:numPr>
          <w:ilvl w:val="0"/>
          <w:numId w:val="3"/>
        </w:numPr>
        <w:ind w:left="0" w:leftChars="0" w:firstLine="600" w:firstLineChars="200"/>
      </w:pPr>
      <w:r>
        <w:rPr>
          <w:rFonts w:hint="eastAsia"/>
          <w:lang w:val="en-US" w:eastAsia="zh-CN"/>
        </w:rPr>
        <w:t>农林水（类）林业和草原（款）事业机构（项）：支出决算为15.22万元，完成预算100%，决算数等于预算数。</w:t>
      </w:r>
    </w:p>
    <w:p>
      <w:pPr>
        <w:pStyle w:val="2"/>
        <w:numPr>
          <w:ilvl w:val="0"/>
          <w:numId w:val="3"/>
        </w:numPr>
        <w:ind w:left="0" w:leftChars="0" w:firstLine="600" w:firstLineChars="200"/>
      </w:pPr>
      <w:r>
        <w:rPr>
          <w:rFonts w:hint="eastAsia"/>
          <w:lang w:val="en-US" w:eastAsia="zh-CN"/>
        </w:rPr>
        <w:t>农林水（类）水利（款）水利技术推广（项）：支出决算为12.15万元，完成预算100%，决算数等于预算数。</w:t>
      </w:r>
    </w:p>
    <w:p>
      <w:pPr>
        <w:pStyle w:val="2"/>
        <w:numPr>
          <w:ilvl w:val="0"/>
          <w:numId w:val="3"/>
        </w:numPr>
        <w:ind w:left="0" w:leftChars="0" w:firstLine="600" w:firstLineChars="200"/>
      </w:pPr>
      <w:r>
        <w:rPr>
          <w:rFonts w:hint="eastAsia"/>
          <w:lang w:val="en-US" w:eastAsia="zh-CN"/>
        </w:rPr>
        <w:t>农林水（类）扶贫（款）农村基础设施建设（项）：支出决算为583.02万元，完成预算100%，决算数等于预算数。</w:t>
      </w:r>
    </w:p>
    <w:p>
      <w:pPr>
        <w:pStyle w:val="2"/>
        <w:numPr>
          <w:ilvl w:val="0"/>
          <w:numId w:val="3"/>
        </w:numPr>
        <w:ind w:left="0" w:leftChars="0" w:firstLine="600" w:firstLineChars="200"/>
      </w:pPr>
      <w:r>
        <w:rPr>
          <w:rFonts w:hint="eastAsia"/>
          <w:lang w:val="en-US" w:eastAsia="zh-CN"/>
        </w:rPr>
        <w:t>农林水（类）扶贫（款）生产发展（项）：支出决算为70.95万元，完成预算100%，决算数等于预算数。</w:t>
      </w:r>
    </w:p>
    <w:p>
      <w:pPr>
        <w:pStyle w:val="2"/>
        <w:numPr>
          <w:ilvl w:val="0"/>
          <w:numId w:val="3"/>
        </w:numPr>
        <w:ind w:left="0" w:leftChars="0" w:firstLine="600" w:firstLineChars="200"/>
      </w:pPr>
      <w:r>
        <w:rPr>
          <w:rFonts w:hint="eastAsia"/>
          <w:lang w:val="en-US" w:eastAsia="zh-CN"/>
        </w:rPr>
        <w:t>农林水（类）扶贫（款）其他扶贫（项）：支出决算为122.32万元，完成预算100%，决算数等于预算数。</w:t>
      </w:r>
    </w:p>
    <w:p>
      <w:pPr>
        <w:pStyle w:val="2"/>
        <w:numPr>
          <w:ilvl w:val="0"/>
          <w:numId w:val="3"/>
        </w:numPr>
        <w:ind w:left="0" w:leftChars="0" w:firstLine="600" w:firstLineChars="200"/>
      </w:pPr>
      <w:r>
        <w:rPr>
          <w:rFonts w:hint="eastAsia"/>
          <w:lang w:val="en-US" w:eastAsia="zh-CN"/>
        </w:rPr>
        <w:t>农林水（类）农村综合改革（款）对村民委员会和村党支部的补助（项）：支出决算为264.04万元，完成预算100%，决算数等于预算数。</w:t>
      </w:r>
    </w:p>
    <w:p>
      <w:pPr>
        <w:pStyle w:val="2"/>
        <w:numPr>
          <w:ilvl w:val="0"/>
          <w:numId w:val="3"/>
        </w:numPr>
        <w:ind w:left="0" w:leftChars="0" w:firstLine="600" w:firstLineChars="200"/>
      </w:pPr>
      <w:r>
        <w:rPr>
          <w:rFonts w:hint="eastAsia"/>
          <w:lang w:eastAsia="zh-CN"/>
        </w:rPr>
        <w:t>交通运输（类）公路水路运输（款）公路运输管理（项）：支出决算为</w:t>
      </w:r>
      <w:r>
        <w:rPr>
          <w:rFonts w:hint="eastAsia"/>
          <w:lang w:val="en-US" w:eastAsia="zh-CN"/>
        </w:rPr>
        <w:t>16.13万元，完成预算100%，决算数等于预算数。</w:t>
      </w:r>
    </w:p>
    <w:p>
      <w:pPr>
        <w:pStyle w:val="2"/>
        <w:numPr>
          <w:ilvl w:val="0"/>
          <w:numId w:val="3"/>
        </w:numPr>
        <w:ind w:left="0" w:leftChars="0" w:firstLine="600" w:firstLineChars="200"/>
      </w:pPr>
      <w:r>
        <w:rPr>
          <w:rFonts w:hint="eastAsia"/>
          <w:lang w:val="en-US" w:eastAsia="zh-CN"/>
        </w:rPr>
        <w:t>住房保障（类）保障性安居工程（款）农村危房改造（项）：支出决算为504.25万元，完成预算100%，决算数等于预算数。</w:t>
      </w:r>
    </w:p>
    <w:p>
      <w:pPr>
        <w:pStyle w:val="2"/>
        <w:numPr>
          <w:ilvl w:val="0"/>
          <w:numId w:val="3"/>
        </w:numPr>
        <w:ind w:left="0" w:leftChars="0" w:firstLine="600" w:firstLineChars="200"/>
      </w:pPr>
      <w:r>
        <w:rPr>
          <w:rFonts w:hint="eastAsia"/>
          <w:lang w:val="en-US" w:eastAsia="zh-CN"/>
        </w:rPr>
        <w:t>住房保障（类）住房改革（款）住房公积金（项）：支出决算为112.52万元，完成预算100%，决算数等于预算数。</w:t>
      </w:r>
    </w:p>
    <w:p>
      <w:pPr>
        <w:tabs>
          <w:tab w:val="right" w:pos="8306"/>
        </w:tabs>
        <w:spacing w:line="600" w:lineRule="exact"/>
        <w:ind w:firstLine="640"/>
        <w:outlineLvl w:val="1"/>
        <w:rPr>
          <w:rStyle w:val="25"/>
          <w:color w:val="auto"/>
          <w:highlight w:val="none"/>
        </w:rPr>
      </w:pPr>
      <w:bookmarkStart w:id="58" w:name="_Toc15377214"/>
      <w:bookmarkStart w:id="59" w:name="_Toc15396608"/>
      <w:bookmarkStart w:id="60" w:name="_Toc31207"/>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bookmarkEnd w:id="58"/>
      <w:bookmarkEnd w:id="59"/>
      <w:bookmarkEnd w:id="60"/>
      <w:r>
        <w:rPr>
          <w:rStyle w:val="25"/>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2079.96</w:t>
      </w:r>
      <w:r>
        <w:rPr>
          <w:rFonts w:hint="eastAsia" w:ascii="仿宋" w:hAnsi="仿宋" w:eastAsia="仿宋"/>
          <w:color w:val="auto"/>
          <w:sz w:val="32"/>
          <w:szCs w:val="32"/>
          <w:highlight w:val="none"/>
        </w:rPr>
        <w:t>万元，其中：</w:t>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1910.93</w:t>
      </w:r>
      <w:r>
        <w:rPr>
          <w:rFonts w:hint="eastAsia" w:ascii="仿宋" w:hAnsi="仿宋" w:eastAsia="仿宋"/>
          <w:color w:val="auto"/>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169.03</w:t>
      </w:r>
      <w:r>
        <w:rPr>
          <w:rFonts w:hint="eastAsia" w:ascii="仿宋" w:hAnsi="仿宋" w:eastAsia="仿宋"/>
          <w:color w:val="auto"/>
          <w:sz w:val="32"/>
          <w:szCs w:val="32"/>
          <w:highlight w:val="none"/>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color w:val="auto"/>
          <w:highlight w:val="none"/>
        </w:rPr>
      </w:pPr>
      <w:bookmarkStart w:id="61" w:name="_Toc15396609"/>
      <w:bookmarkStart w:id="62" w:name="_Toc15377215"/>
      <w:bookmarkStart w:id="63" w:name="_Toc30499"/>
      <w:r>
        <w:rPr>
          <w:rFonts w:hint="eastAsia" w:ascii="黑体" w:eastAsia="黑体"/>
          <w:color w:val="auto"/>
          <w:sz w:val="32"/>
          <w:szCs w:val="32"/>
          <w:highlight w:val="none"/>
        </w:rPr>
        <w:t>七、</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三公”经费财政拨款支出决算情况说明</w:t>
      </w:r>
      <w:bookmarkEnd w:id="61"/>
      <w:bookmarkEnd w:id="62"/>
      <w:bookmarkEnd w:id="63"/>
    </w:p>
    <w:p>
      <w:pPr>
        <w:spacing w:line="600" w:lineRule="exact"/>
        <w:ind w:firstLine="640"/>
        <w:outlineLvl w:val="2"/>
        <w:rPr>
          <w:rFonts w:ascii="仿宋" w:hAnsi="仿宋" w:eastAsia="仿宋"/>
          <w:b/>
          <w:color w:val="auto"/>
          <w:sz w:val="32"/>
          <w:szCs w:val="32"/>
          <w:highlight w:val="none"/>
        </w:rPr>
      </w:pPr>
      <w:bookmarkStart w:id="64" w:name="_Toc15377216"/>
      <w:r>
        <w:rPr>
          <w:rFonts w:hint="eastAsia" w:ascii="仿宋" w:hAnsi="仿宋" w:eastAsia="仿宋"/>
          <w:b/>
          <w:color w:val="auto"/>
          <w:sz w:val="32"/>
          <w:szCs w:val="32"/>
          <w:highlight w:val="none"/>
        </w:rPr>
        <w:t>（一）“三公”经费财政拨款支出决算总体情况说明</w:t>
      </w:r>
      <w:bookmarkEnd w:id="64"/>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3.43</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，决算数与预算数持平。</w:t>
      </w:r>
    </w:p>
    <w:p>
      <w:pPr>
        <w:spacing w:line="600" w:lineRule="exact"/>
        <w:ind w:firstLine="640"/>
        <w:outlineLvl w:val="2"/>
        <w:rPr>
          <w:rFonts w:ascii="仿宋" w:hAnsi="仿宋" w:eastAsia="仿宋"/>
          <w:b/>
          <w:color w:val="auto"/>
          <w:sz w:val="32"/>
          <w:szCs w:val="32"/>
          <w:highlight w:val="none"/>
        </w:rPr>
      </w:pPr>
      <w:bookmarkStart w:id="65" w:name="_Toc15377217"/>
      <w:r>
        <w:rPr>
          <w:rFonts w:hint="eastAsia" w:ascii="仿宋" w:hAnsi="仿宋" w:eastAsia="仿宋"/>
          <w:b/>
          <w:color w:val="auto"/>
          <w:sz w:val="32"/>
          <w:szCs w:val="32"/>
          <w:highlight w:val="none"/>
        </w:rPr>
        <w:t>（二）“三公”经费财政拨款支出决算具体情况说明</w:t>
      </w:r>
      <w:bookmarkEnd w:id="65"/>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3.43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64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pPr>
        <w:pStyle w:val="2"/>
        <w:keepNext w:val="0"/>
        <w:keepLines w:val="0"/>
        <w:pageBreakBefore w:val="0"/>
        <w:widowControl w:val="0"/>
        <w:kinsoku/>
        <w:wordWrap/>
        <w:overflowPunct/>
        <w:topLinePunct w:val="0"/>
        <w:autoSpaceDE/>
        <w:autoSpaceDN/>
        <w:bidi w:val="0"/>
        <w:adjustRightInd/>
        <w:snapToGrid/>
        <w:textAlignment w:val="auto"/>
      </w:pPr>
      <w:r>
        <w:drawing>
          <wp:inline distT="0" distB="0" distL="114300" distR="114300">
            <wp:extent cx="4572000" cy="2390775"/>
            <wp:effectExtent l="4445" t="4445" r="14605" b="508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w:t>
      </w:r>
      <w:r>
        <w:rPr>
          <w:rFonts w:hint="eastAsia" w:ascii="仿宋_GB2312" w:eastAsia="仿宋_GB2312"/>
          <w:color w:val="auto"/>
          <w:sz w:val="32"/>
          <w:szCs w:val="32"/>
          <w:highlight w:val="none"/>
          <w:lang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持平</w:t>
      </w:r>
      <w:r>
        <w:rPr>
          <w:rFonts w:hint="eastAsia" w:ascii="仿宋_GB2312" w:eastAsia="仿宋_GB2312"/>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w:t>
      </w:r>
      <w:r>
        <w:rPr>
          <w:rFonts w:hint="eastAsia" w:ascii="仿宋_GB2312" w:eastAsia="仿宋_GB2312"/>
          <w:color w:val="auto"/>
          <w:sz w:val="32"/>
          <w:szCs w:val="32"/>
          <w:highlight w:val="none"/>
          <w:lang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持平</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万元，主要用于…。截至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万元。主要用于</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（具体工作）等所需的公务用车燃料费、维修费、过路过桥费、保险费等支出。</w:t>
      </w:r>
    </w:p>
    <w:p>
      <w:pPr>
        <w:numPr>
          <w:ilvl w:val="0"/>
          <w:numId w:val="0"/>
        </w:numPr>
        <w:spacing w:line="600" w:lineRule="exact"/>
        <w:ind w:firstLine="643" w:firstLineChars="200"/>
        <w:rPr>
          <w:rFonts w:hint="eastAsia" w:ascii="仿宋_GB2312" w:eastAsia="仿宋_GB2312"/>
          <w:color w:val="auto"/>
          <w:sz w:val="32"/>
          <w:szCs w:val="32"/>
          <w:highlight w:val="none"/>
          <w:lang w:eastAsia="zh-CN"/>
        </w:rPr>
      </w:pPr>
      <w:r>
        <w:rPr>
          <w:rFonts w:hint="eastAsia" w:ascii="仿宋_GB2312" w:eastAsia="仿宋_GB2312"/>
          <w:b/>
          <w:color w:val="auto"/>
          <w:sz w:val="32"/>
          <w:szCs w:val="32"/>
          <w:highlight w:val="none"/>
          <w:lang w:val="en-US" w:eastAsia="zh-CN"/>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3.43</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0.005</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0.15</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基本持平。</w:t>
      </w:r>
    </w:p>
    <w:p>
      <w:pPr>
        <w:numPr>
          <w:ilvl w:val="0"/>
          <w:numId w:val="0"/>
        </w:numPr>
        <w:spacing w:line="600" w:lineRule="exact"/>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lang w:val="en-US" w:eastAsia="zh-CN"/>
        </w:rPr>
        <w:t>4.</w:t>
      </w: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3.43</w:t>
      </w:r>
      <w:r>
        <w:rPr>
          <w:rFonts w:hint="eastAsia" w:ascii="仿宋_GB2312" w:eastAsia="仿宋_GB2312"/>
          <w:color w:val="auto"/>
          <w:sz w:val="32"/>
          <w:szCs w:val="32"/>
          <w:highlight w:val="none"/>
        </w:rPr>
        <w:t>万元，主要用于执行公务、开展业务活动开支的交通费、住宿费、用餐费等。国内公务接待</w:t>
      </w:r>
      <w:r>
        <w:rPr>
          <w:rFonts w:hint="eastAsia" w:ascii="仿宋_GB2312" w:eastAsia="仿宋_GB2312"/>
          <w:color w:val="auto"/>
          <w:sz w:val="32"/>
          <w:szCs w:val="32"/>
          <w:highlight w:val="none"/>
          <w:lang w:val="en-US" w:eastAsia="zh-CN"/>
        </w:rPr>
        <w:t>119</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1183</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3.43</w:t>
      </w:r>
      <w:r>
        <w:rPr>
          <w:rFonts w:hint="eastAsia" w:ascii="仿宋_GB2312" w:eastAsia="仿宋_GB2312"/>
          <w:color w:val="auto"/>
          <w:sz w:val="32"/>
          <w:szCs w:val="32"/>
          <w:highlight w:val="none"/>
        </w:rPr>
        <w:t>万元，具体内容包括：</w:t>
      </w:r>
      <w:r>
        <w:rPr>
          <w:rFonts w:hint="eastAsia" w:ascii="仿宋_GB2312" w:eastAsia="仿宋_GB2312"/>
          <w:color w:val="auto"/>
          <w:sz w:val="32"/>
          <w:szCs w:val="32"/>
          <w:highlight w:val="none"/>
          <w:lang w:eastAsia="zh-CN"/>
        </w:rPr>
        <w:t>检查工作安排的生活开支</w:t>
      </w:r>
      <w:r>
        <w:rPr>
          <w:rFonts w:hint="eastAsia" w:ascii="仿宋_GB2312" w:eastAsia="仿宋_GB2312"/>
          <w:color w:val="auto"/>
          <w:sz w:val="32"/>
          <w:szCs w:val="32"/>
          <w:highlight w:val="none"/>
        </w:rPr>
        <w:t>。</w:t>
      </w:r>
    </w:p>
    <w:p>
      <w:pPr>
        <w:spacing w:line="600" w:lineRule="exact"/>
        <w:ind w:firstLine="643" w:firstLineChars="200"/>
        <w:rPr>
          <w:rFonts w:ascii="黑体" w:eastAsia="黑体"/>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bookmarkStart w:id="66" w:name="_Toc15377218"/>
      <w:bookmarkStart w:id="67" w:name="_Toc15396610"/>
    </w:p>
    <w:p>
      <w:pPr>
        <w:spacing w:line="600" w:lineRule="exact"/>
        <w:ind w:firstLine="640"/>
        <w:outlineLvl w:val="1"/>
        <w:rPr>
          <w:rStyle w:val="25"/>
          <w:rFonts w:ascii="黑体" w:hAnsi="黑体" w:eastAsia="黑体"/>
          <w:color w:val="auto"/>
          <w:highlight w:val="none"/>
        </w:rPr>
      </w:pPr>
      <w:bookmarkStart w:id="68" w:name="_Toc24646"/>
      <w:r>
        <w:rPr>
          <w:rFonts w:hint="eastAsia" w:ascii="黑体" w:eastAsia="黑体"/>
          <w:color w:val="auto"/>
          <w:sz w:val="32"/>
          <w:szCs w:val="32"/>
          <w:highlight w:val="none"/>
        </w:rPr>
        <w:t>八、</w:t>
      </w:r>
      <w:r>
        <w:rPr>
          <w:rStyle w:val="25"/>
          <w:rFonts w:hint="eastAsia" w:ascii="黑体" w:hAnsi="黑体" w:eastAsia="黑体"/>
          <w:b w:val="0"/>
          <w:color w:val="auto"/>
          <w:highlight w:val="none"/>
        </w:rPr>
        <w:t>政府性基金预算支出决算情况说明</w:t>
      </w:r>
      <w:bookmarkEnd w:id="66"/>
      <w:bookmarkEnd w:id="67"/>
      <w:bookmarkEnd w:id="68"/>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4"/>
        </w:numPr>
        <w:spacing w:line="600" w:lineRule="exact"/>
        <w:ind w:firstLine="640"/>
        <w:outlineLvl w:val="1"/>
        <w:rPr>
          <w:rStyle w:val="25"/>
          <w:rFonts w:ascii="黑体" w:hAnsi="黑体" w:eastAsia="黑体"/>
          <w:b w:val="0"/>
          <w:color w:val="auto"/>
          <w:highlight w:val="none"/>
        </w:rPr>
      </w:pPr>
      <w:bookmarkStart w:id="69" w:name="_Toc15396611"/>
      <w:bookmarkStart w:id="70" w:name="_Toc22472"/>
      <w:bookmarkStart w:id="71" w:name="_Toc15377219"/>
      <w:r>
        <w:rPr>
          <w:rStyle w:val="25"/>
          <w:rFonts w:hint="eastAsia" w:ascii="黑体" w:hAnsi="黑体" w:eastAsia="黑体"/>
          <w:b w:val="0"/>
          <w:color w:val="auto"/>
          <w:highlight w:val="none"/>
        </w:rPr>
        <w:t>国有资本经营预算支出决算情况说明</w:t>
      </w:r>
      <w:bookmarkEnd w:id="69"/>
      <w:bookmarkEnd w:id="70"/>
      <w:bookmarkEnd w:id="71"/>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4"/>
        </w:numPr>
        <w:spacing w:line="600" w:lineRule="exact"/>
        <w:ind w:firstLine="640"/>
        <w:outlineLvl w:val="1"/>
        <w:rPr>
          <w:rStyle w:val="25"/>
          <w:rFonts w:hint="eastAsia" w:ascii="黑体" w:hAnsi="黑体" w:eastAsia="黑体"/>
          <w:b w:val="0"/>
          <w:color w:val="auto"/>
          <w:highlight w:val="none"/>
        </w:rPr>
      </w:pPr>
      <w:bookmarkStart w:id="72" w:name="_Toc15396612"/>
      <w:bookmarkStart w:id="73" w:name="_Toc15377221"/>
      <w:bookmarkStart w:id="74" w:name="_Toc6191"/>
      <w:r>
        <w:rPr>
          <w:rStyle w:val="25"/>
          <w:rFonts w:hint="eastAsia" w:ascii="黑体" w:hAnsi="黑体" w:eastAsia="黑体"/>
          <w:b w:val="0"/>
          <w:color w:val="auto"/>
          <w:highlight w:val="none"/>
        </w:rPr>
        <w:t>其他重要事项的情况说明</w:t>
      </w:r>
      <w:bookmarkEnd w:id="72"/>
      <w:bookmarkEnd w:id="73"/>
      <w:bookmarkEnd w:id="74"/>
    </w:p>
    <w:p>
      <w:pPr>
        <w:spacing w:line="600" w:lineRule="exact"/>
        <w:ind w:firstLine="643" w:firstLineChars="200"/>
        <w:outlineLvl w:val="2"/>
        <w:rPr>
          <w:rFonts w:ascii="仿宋" w:hAnsi="仿宋" w:eastAsia="仿宋"/>
          <w:color w:val="auto"/>
          <w:sz w:val="32"/>
          <w:szCs w:val="32"/>
          <w:highlight w:val="none"/>
        </w:rPr>
      </w:pPr>
      <w:bookmarkStart w:id="75" w:name="_Toc15377222"/>
      <w:r>
        <w:rPr>
          <w:rFonts w:hint="eastAsia" w:ascii="仿宋" w:hAnsi="仿宋" w:eastAsia="仿宋"/>
          <w:b/>
          <w:color w:val="auto"/>
          <w:sz w:val="32"/>
          <w:szCs w:val="32"/>
          <w:highlight w:val="none"/>
        </w:rPr>
        <w:t>（一）机关运行经费支出情况</w:t>
      </w:r>
      <w:bookmarkEnd w:id="75"/>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通江县毛浴镇人民</w:t>
      </w:r>
      <w:r>
        <w:rPr>
          <w:rFonts w:hint="eastAsia" w:ascii="仿宋_GB2312" w:eastAsia="仿宋_GB2312"/>
          <w:color w:val="auto"/>
          <w:sz w:val="32"/>
          <w:szCs w:val="32"/>
          <w:highlight w:val="none"/>
        </w:rPr>
        <w:t>政府机关运行经费支出</w:t>
      </w:r>
      <w:r>
        <w:rPr>
          <w:rFonts w:hint="eastAsia" w:ascii="仿宋_GB2312" w:eastAsia="仿宋_GB2312"/>
          <w:color w:val="auto"/>
          <w:sz w:val="32"/>
          <w:szCs w:val="32"/>
          <w:highlight w:val="none"/>
          <w:lang w:val="en-US" w:eastAsia="zh-CN"/>
        </w:rPr>
        <w:t>169.03</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34.22</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16.84</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厉行节约减耗见成效。</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6" w:name="_Toc15377223"/>
      <w:r>
        <w:rPr>
          <w:rFonts w:hint="eastAsia" w:ascii="仿宋" w:hAnsi="仿宋" w:eastAsia="仿宋"/>
          <w:b/>
          <w:color w:val="auto"/>
          <w:sz w:val="32"/>
          <w:szCs w:val="32"/>
          <w:highlight w:val="none"/>
        </w:rPr>
        <w:t>（二）政府采购支出情况</w:t>
      </w:r>
      <w:bookmarkEnd w:id="76"/>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通江县毛浴镇人民</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0.78</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0.78</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办公设备的购置</w:t>
      </w:r>
      <w:r>
        <w:rPr>
          <w:rFonts w:hint="eastAsia" w:ascii="仿宋_GB2312" w:eastAsia="仿宋_GB2312"/>
          <w:color w:val="auto"/>
          <w:sz w:val="32"/>
          <w:szCs w:val="32"/>
          <w:highlight w:val="none"/>
        </w:rPr>
        <w:t>。授予中小企业合同金额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7" w:name="_Toc15377224"/>
      <w:r>
        <w:rPr>
          <w:rFonts w:hint="eastAsia" w:ascii="仿宋" w:hAnsi="仿宋" w:eastAsia="仿宋"/>
          <w:b/>
          <w:color w:val="auto"/>
          <w:sz w:val="32"/>
          <w:szCs w:val="32"/>
          <w:highlight w:val="none"/>
        </w:rPr>
        <w:t>（三）国有资产占有使用情况</w:t>
      </w:r>
      <w:bookmarkEnd w:id="77"/>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通江县毛浴镇人民政府</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辆……其他用车主要是用于……单价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（四）预算绩效管理情况</w:t>
      </w:r>
    </w:p>
    <w:p>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eastAsia="仿宋_GB2312" w:cs="仿宋_GB2312"/>
          <w:color w:val="auto"/>
          <w:sz w:val="32"/>
          <w:szCs w:val="32"/>
          <w:highlight w:val="none"/>
          <w:lang w:eastAsia="zh-CN"/>
        </w:rPr>
        <w:t>安全饮水（朝阳村、药铺村、迎春村、浴江村、龙江村）、产业道路（天兴村、朝阳村、高安村、杨坪村）</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lang w:val="en-US" w:eastAsia="zh-CN"/>
        </w:rPr>
        <w:t>15个项目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。同时，</w:t>
      </w:r>
      <w:r>
        <w:rPr>
          <w:rFonts w:hint="eastAsia" w:ascii="仿宋_GB2312" w:hAnsi="仿宋_GB2312" w:eastAsia="仿宋_GB2312" w:cs="仿宋_GB2312"/>
          <w:color w:val="auto"/>
          <w:sz w:val="32"/>
          <w:szCs w:val="32"/>
          <w:highlight w:val="none"/>
        </w:rPr>
        <w:t>本部门对20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年部门整体开展绩效自评，《202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毛浴镇人民政府</w:t>
      </w:r>
      <w:r>
        <w:rPr>
          <w:rFonts w:hint="eastAsia" w:ascii="仿宋_GB2312" w:hAnsi="仿宋_GB2312" w:eastAsia="仿宋_GB2312" w:cs="仿宋_GB2312"/>
          <w:color w:val="auto"/>
          <w:sz w:val="32"/>
          <w:szCs w:val="32"/>
          <w:highlight w:val="none"/>
        </w:rPr>
        <w:t>部门整体绩效评价报告》见附件（</w:t>
      </w:r>
      <w:r>
        <w:rPr>
          <w:rFonts w:hint="eastAsia" w:ascii="仿宋_GB2312" w:hAnsi="仿宋_GB2312" w:eastAsia="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5"/>
        </w:numPr>
        <w:spacing w:line="600" w:lineRule="exact"/>
        <w:ind w:firstLine="660" w:firstLineChars="150"/>
        <w:jc w:val="center"/>
        <w:outlineLvl w:val="0"/>
        <w:rPr>
          <w:rStyle w:val="24"/>
          <w:rFonts w:ascii="黑体" w:hAnsi="黑体" w:eastAsia="黑体"/>
          <w:b w:val="0"/>
          <w:color w:val="auto"/>
          <w:highlight w:val="none"/>
        </w:rPr>
      </w:pPr>
      <w:bookmarkStart w:id="78" w:name="_Toc15377225"/>
      <w:bookmarkStart w:id="79" w:name="_Toc15396613"/>
      <w:bookmarkStart w:id="80" w:name="_Toc25383"/>
      <w:r>
        <w:rPr>
          <w:rFonts w:hint="eastAsia" w:ascii="黑体" w:hAnsi="黑体" w:eastAsia="黑体"/>
          <w:color w:val="auto"/>
          <w:sz w:val="44"/>
          <w:szCs w:val="44"/>
          <w:highlight w:val="none"/>
        </w:rPr>
        <w:t>名</w:t>
      </w:r>
      <w:r>
        <w:rPr>
          <w:rStyle w:val="24"/>
          <w:rFonts w:hint="eastAsia" w:ascii="黑体" w:hAnsi="黑体" w:eastAsia="黑体"/>
          <w:b w:val="0"/>
          <w:color w:val="auto"/>
          <w:highlight w:val="none"/>
        </w:rPr>
        <w:t>词解释</w:t>
      </w:r>
      <w:bookmarkEnd w:id="78"/>
      <w:bookmarkEnd w:id="79"/>
      <w:bookmarkEnd w:id="80"/>
    </w:p>
    <w:p>
      <w:pPr>
        <w:spacing w:line="600" w:lineRule="exact"/>
        <w:jc w:val="left"/>
        <w:rPr>
          <w:rFonts w:ascii="宋体"/>
          <w:b/>
          <w:color w:val="auto"/>
          <w:sz w:val="44"/>
          <w:szCs w:val="44"/>
          <w:highlight w:val="none"/>
        </w:rPr>
      </w:pPr>
    </w:p>
    <w:p>
      <w:pPr>
        <w:pStyle w:val="22"/>
        <w:spacing w:line="56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财政拨款收入：指单位从同级财政部门取得的财政预算资金。</w:t>
      </w:r>
    </w:p>
    <w:p>
      <w:pPr>
        <w:pStyle w:val="22"/>
        <w:spacing w:line="560" w:lineRule="exact"/>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事业收入：指事业单位开展专业业务活动及辅助活动取得的收入。</w:t>
      </w:r>
    </w:p>
    <w:p>
      <w:pPr>
        <w:pStyle w:val="22"/>
        <w:spacing w:line="560" w:lineRule="exact"/>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经营收入：指事业单位在专业业务活动及其辅助活动之外开展非独立核算经营活动取得的收入。</w:t>
      </w:r>
    </w:p>
    <w:p>
      <w:pPr>
        <w:pStyle w:val="22"/>
        <w:spacing w:line="560" w:lineRule="exact"/>
        <w:ind w:firstLine="560" w:firstLineChars="200"/>
        <w:rPr>
          <w:rFonts w:hint="eastAsia" w:ascii="仿宋_GB2312" w:eastAsia="仿宋_GB2312"/>
          <w:sz w:val="28"/>
          <w:szCs w:val="28"/>
        </w:rPr>
      </w:pPr>
      <w:r>
        <w:rPr>
          <w:rFonts w:ascii="仿宋_GB2312" w:eastAsia="仿宋_GB2312"/>
          <w:sz w:val="28"/>
          <w:szCs w:val="28"/>
        </w:rPr>
        <w:t>4.</w:t>
      </w:r>
      <w:r>
        <w:rPr>
          <w:rFonts w:hint="eastAsia" w:ascii="仿宋_GB2312" w:eastAsia="仿宋_GB2312"/>
          <w:sz w:val="28"/>
          <w:szCs w:val="28"/>
        </w:rPr>
        <w:t>其他收入：指单位取得的除上述收入以外的各项收入。</w:t>
      </w:r>
    </w:p>
    <w:p>
      <w:pPr>
        <w:pStyle w:val="22"/>
        <w:spacing w:line="560" w:lineRule="exact"/>
        <w:ind w:firstLine="560" w:firstLineChars="20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28"/>
          <w:szCs w:val="28"/>
        </w:rPr>
        <w:t xml:space="preserve"> </w:t>
      </w:r>
    </w:p>
    <w:p>
      <w:pPr>
        <w:pStyle w:val="22"/>
        <w:spacing w:line="560" w:lineRule="exact"/>
        <w:ind w:firstLine="560" w:firstLineChars="200"/>
        <w:rPr>
          <w:rFonts w:ascii="仿宋_GB2312" w:eastAsia="仿宋_GB2312"/>
          <w:sz w:val="28"/>
          <w:szCs w:val="28"/>
        </w:rPr>
      </w:pPr>
      <w:r>
        <w:rPr>
          <w:rFonts w:ascii="仿宋_GB2312" w:eastAsia="仿宋_GB2312"/>
          <w:sz w:val="28"/>
          <w:szCs w:val="28"/>
        </w:rPr>
        <w:t>6.</w:t>
      </w:r>
      <w:r>
        <w:rPr>
          <w:rFonts w:hint="eastAsia" w:ascii="仿宋_GB2312" w:eastAsia="仿宋_GB2312"/>
          <w:sz w:val="28"/>
          <w:szCs w:val="28"/>
        </w:rPr>
        <w:t>年初结转和结余：指以前年度尚未完成、结转到本年按有关规定继续使用的资金。</w:t>
      </w:r>
      <w:r>
        <w:rPr>
          <w:rFonts w:ascii="仿宋_GB2312" w:eastAsia="仿宋_GB2312"/>
          <w:sz w:val="28"/>
          <w:szCs w:val="28"/>
        </w:rPr>
        <w:t xml:space="preserve"> </w:t>
      </w:r>
    </w:p>
    <w:p>
      <w:pPr>
        <w:pStyle w:val="22"/>
        <w:spacing w:line="560" w:lineRule="exact"/>
        <w:ind w:firstLine="560" w:firstLineChars="200"/>
        <w:rPr>
          <w:rFonts w:ascii="仿宋_GB2312" w:eastAsia="仿宋_GB2312"/>
          <w:sz w:val="28"/>
          <w:szCs w:val="28"/>
        </w:rPr>
      </w:pPr>
      <w:r>
        <w:rPr>
          <w:rFonts w:ascii="仿宋_GB2312" w:eastAsia="仿宋_GB2312"/>
          <w:sz w:val="28"/>
          <w:szCs w:val="28"/>
        </w:rPr>
        <w:t>7.</w:t>
      </w:r>
      <w:r>
        <w:rPr>
          <w:rFonts w:hint="eastAsia" w:ascii="仿宋_GB2312" w:eastAsia="仿宋_GB2312"/>
          <w:sz w:val="28"/>
          <w:szCs w:val="28"/>
        </w:rPr>
        <w:t>结余分配：指事业单位按照事业单位会计制度的规定从非财政补助结余中分配的事业基金和职工福利基金等。</w:t>
      </w:r>
    </w:p>
    <w:p>
      <w:pPr>
        <w:pStyle w:val="22"/>
        <w:spacing w:line="560" w:lineRule="exact"/>
        <w:ind w:firstLine="560" w:firstLineChars="200"/>
        <w:rPr>
          <w:rFonts w:ascii="仿宋_GB2312" w:eastAsia="仿宋_GB2312"/>
          <w:sz w:val="28"/>
          <w:szCs w:val="28"/>
        </w:rPr>
      </w:pPr>
      <w:r>
        <w:rPr>
          <w:rFonts w:ascii="仿宋_GB2312" w:eastAsia="仿宋_GB2312"/>
          <w:sz w:val="28"/>
          <w:szCs w:val="28"/>
        </w:rPr>
        <w:t>8</w:t>
      </w:r>
      <w:r>
        <w:rPr>
          <w:rFonts w:hint="eastAsia" w:ascii="仿宋_GB2312" w:eastAsia="仿宋_GB2312"/>
          <w:sz w:val="28"/>
          <w:szCs w:val="28"/>
        </w:rPr>
        <w:t>、年末结转和结余：指单位按有关规定结转到下年或以后年度继续使用的资金。</w:t>
      </w:r>
    </w:p>
    <w:p>
      <w:pPr>
        <w:pStyle w:val="22"/>
        <w:spacing w:line="560" w:lineRule="exact"/>
        <w:ind w:firstLine="560" w:firstLineChars="200"/>
        <w:rPr>
          <w:rFonts w:ascii="仿宋_GB2312" w:eastAsia="仿宋_GB2312"/>
          <w:sz w:val="28"/>
          <w:szCs w:val="28"/>
        </w:rPr>
      </w:pPr>
      <w:r>
        <w:rPr>
          <w:rFonts w:hint="eastAsia" w:ascii="仿宋_GB2312" w:eastAsia="仿宋_GB2312"/>
          <w:sz w:val="28"/>
          <w:szCs w:val="28"/>
        </w:rPr>
        <w:t>9.一般公共服务（类）政府办公厅〔室〕及相关机构事务（款）一般行政管理事务（项）：指用于保障云昙乡人民政府机关正常运转，为完成特定的工作任务，用于一般行政管理事务方面的经费支出。</w:t>
      </w:r>
      <w:r>
        <w:rPr>
          <w:rFonts w:hint="eastAsia" w:ascii="仿宋_GB2312" w:eastAsia="仿宋_GB2312"/>
          <w:sz w:val="28"/>
          <w:szCs w:val="28"/>
        </w:rPr>
        <w:br w:type="textWrapping"/>
      </w:r>
      <w:r>
        <w:rPr>
          <w:rFonts w:hint="eastAsia" w:ascii="仿宋_GB2312" w:eastAsia="仿宋_GB2312"/>
          <w:sz w:val="28"/>
          <w:szCs w:val="28"/>
        </w:rPr>
        <w:t xml:space="preserve">    10.一般公共服务（类）政府办公厅〔室〕及相关机构事务（款）信访事务（项）：指用于保障云昙乡人民政府机关信访事务方面的经费支出。</w:t>
      </w:r>
      <w:r>
        <w:rPr>
          <w:rFonts w:hint="eastAsia" w:ascii="仿宋_GB2312" w:eastAsia="仿宋_GB2312"/>
          <w:sz w:val="28"/>
          <w:szCs w:val="28"/>
        </w:rPr>
        <w:br w:type="textWrapping"/>
      </w:r>
      <w:r>
        <w:rPr>
          <w:rFonts w:hint="eastAsia" w:ascii="仿宋_GB2312" w:eastAsia="仿宋_GB2312"/>
          <w:sz w:val="28"/>
          <w:szCs w:val="28"/>
        </w:rPr>
        <w:t xml:space="preserve">    11.一般公共服务（类）财政事务（款）行政运行（项）：指用于保障云昙乡人民政府机关财政所正常运转的基本支出。 </w:t>
      </w:r>
    </w:p>
    <w:p>
      <w:pPr>
        <w:pStyle w:val="22"/>
        <w:spacing w:line="560" w:lineRule="exact"/>
        <w:ind w:firstLine="560" w:firstLineChars="200"/>
        <w:rPr>
          <w:rFonts w:ascii="仿宋_GB2312" w:eastAsia="仿宋_GB2312"/>
          <w:sz w:val="28"/>
          <w:szCs w:val="28"/>
        </w:rPr>
      </w:pPr>
      <w:r>
        <w:rPr>
          <w:rFonts w:hint="eastAsia" w:ascii="仿宋_GB2312" w:eastAsia="仿宋_GB2312"/>
          <w:sz w:val="28"/>
          <w:szCs w:val="28"/>
        </w:rPr>
        <w:t>12.一般公共服务（类）党委办公厅〔室〕及相关机构事务（款）行政运行（项）：指用于保障行政单位正常运转，用于行政运行方面的基本支出。 。</w:t>
      </w:r>
      <w:r>
        <w:rPr>
          <w:rFonts w:hint="eastAsia" w:ascii="仿宋_GB2312" w:eastAsia="仿宋_GB2312"/>
          <w:sz w:val="28"/>
          <w:szCs w:val="28"/>
        </w:rPr>
        <w:br w:type="textWrapping"/>
      </w:r>
      <w:r>
        <w:rPr>
          <w:rFonts w:hint="eastAsia" w:ascii="仿宋_GB2312" w:eastAsia="仿宋_GB2312"/>
          <w:sz w:val="28"/>
          <w:szCs w:val="28"/>
        </w:rPr>
        <w:t xml:space="preserve">    13.教育支出（类）普通教育（款）学前教育（项）：指用于学前教育的支出。</w:t>
      </w:r>
      <w:r>
        <w:rPr>
          <w:rFonts w:hint="eastAsia" w:ascii="仿宋_GB2312" w:eastAsia="仿宋_GB2312"/>
          <w:sz w:val="28"/>
          <w:szCs w:val="28"/>
        </w:rPr>
        <w:br w:type="textWrapping"/>
      </w:r>
      <w:r>
        <w:rPr>
          <w:rFonts w:hint="eastAsia" w:ascii="仿宋_GB2312" w:eastAsia="仿宋_GB2312"/>
          <w:sz w:val="28"/>
          <w:szCs w:val="28"/>
        </w:rPr>
        <w:t xml:space="preserve">    14、教育支出（类）普通教育（款）小学教育（项）：指用于小学教育的基本支出。</w:t>
      </w:r>
      <w:r>
        <w:rPr>
          <w:rFonts w:hint="eastAsia" w:ascii="仿宋_GB2312" w:eastAsia="仿宋_GB2312"/>
          <w:sz w:val="28"/>
          <w:szCs w:val="28"/>
        </w:rPr>
        <w:br w:type="textWrapping"/>
      </w:r>
      <w:r>
        <w:rPr>
          <w:rFonts w:hint="eastAsia" w:ascii="仿宋_GB2312" w:eastAsia="仿宋_GB2312"/>
          <w:sz w:val="28"/>
          <w:szCs w:val="28"/>
        </w:rPr>
        <w:t xml:space="preserve">    15.教育支出（类）普通教育（款）其他普通教育支出（项）：指用于小学教育的其他支出</w:t>
      </w:r>
      <w:r>
        <w:rPr>
          <w:rFonts w:hint="eastAsia" w:ascii="仿宋_GB2312" w:eastAsia="仿宋_GB2312"/>
          <w:sz w:val="28"/>
          <w:szCs w:val="28"/>
        </w:rPr>
        <w:br w:type="textWrapping"/>
      </w:r>
      <w:r>
        <w:rPr>
          <w:rFonts w:hint="eastAsia" w:ascii="仿宋_GB2312" w:eastAsia="仿宋_GB2312"/>
          <w:sz w:val="28"/>
          <w:szCs w:val="28"/>
        </w:rPr>
        <w:t xml:space="preserve">    16.文化体育与传媒支出（类）文化（款）群众文化支出（项）：指用于保障云昙乡人民政府文化站基本支出。</w:t>
      </w:r>
      <w:r>
        <w:rPr>
          <w:rFonts w:hint="eastAsia" w:ascii="仿宋_GB2312" w:eastAsia="仿宋_GB2312"/>
          <w:sz w:val="28"/>
          <w:szCs w:val="28"/>
        </w:rPr>
        <w:br w:type="textWrapping"/>
      </w:r>
      <w:r>
        <w:rPr>
          <w:rFonts w:hint="eastAsia" w:ascii="仿宋_GB2312" w:eastAsia="仿宋_GB2312"/>
          <w:sz w:val="28"/>
          <w:szCs w:val="28"/>
        </w:rPr>
        <w:t xml:space="preserve">    17.文化体育与传媒支出（类）文化（款）其他文化支出（项）：指用于保障云昙乡人民政府文化免补经费支出。</w:t>
      </w:r>
      <w:r>
        <w:rPr>
          <w:rFonts w:hint="eastAsia" w:ascii="仿宋_GB2312" w:eastAsia="仿宋_GB2312"/>
          <w:sz w:val="28"/>
          <w:szCs w:val="28"/>
        </w:rPr>
        <w:br w:type="textWrapping"/>
      </w:r>
      <w:r>
        <w:rPr>
          <w:rFonts w:hint="eastAsia" w:ascii="仿宋_GB2312" w:eastAsia="仿宋_GB2312"/>
          <w:sz w:val="28"/>
          <w:szCs w:val="28"/>
        </w:rPr>
        <w:t xml:space="preserve">    18．社会保障和</w:t>
      </w:r>
      <w:r>
        <w:rPr>
          <w:rFonts w:hint="eastAsia" w:ascii="仿宋_GB2312" w:eastAsia="仿宋_GB2312"/>
          <w:sz w:val="28"/>
          <w:szCs w:val="28"/>
          <w:lang w:eastAsia="zh-CN"/>
        </w:rPr>
        <w:t>就业</w:t>
      </w:r>
      <w:r>
        <w:rPr>
          <w:rFonts w:hint="eastAsia" w:ascii="仿宋_GB2312" w:eastAsia="仿宋_GB2312"/>
          <w:sz w:val="28"/>
          <w:szCs w:val="28"/>
        </w:rPr>
        <w:t>支出（类）人力资源和社会保障管理事务（款）社会保险经办机构（项）：指用于社保人员基本支出。</w:t>
      </w:r>
      <w:r>
        <w:rPr>
          <w:rFonts w:hint="eastAsia" w:ascii="仿宋_GB2312" w:eastAsia="仿宋_GB2312"/>
          <w:sz w:val="28"/>
          <w:szCs w:val="28"/>
        </w:rPr>
        <w:br w:type="textWrapping"/>
      </w:r>
      <w:r>
        <w:rPr>
          <w:rFonts w:hint="eastAsia" w:ascii="仿宋_GB2312" w:eastAsia="仿宋_GB2312"/>
          <w:sz w:val="28"/>
          <w:szCs w:val="28"/>
        </w:rPr>
        <w:t xml:space="preserve">    19．社会保障和</w:t>
      </w:r>
      <w:r>
        <w:rPr>
          <w:rFonts w:hint="eastAsia" w:ascii="仿宋_GB2312" w:eastAsia="仿宋_GB2312"/>
          <w:sz w:val="28"/>
          <w:szCs w:val="28"/>
          <w:lang w:eastAsia="zh-CN"/>
        </w:rPr>
        <w:t>就业</w:t>
      </w:r>
      <w:r>
        <w:rPr>
          <w:rFonts w:hint="eastAsia" w:ascii="仿宋_GB2312" w:eastAsia="仿宋_GB2312"/>
          <w:sz w:val="28"/>
          <w:szCs w:val="28"/>
        </w:rPr>
        <w:t>支出（类）行政单位离退休（款）机关事业单位基本养老保险缴费支出（项）：指用于机关事业单位基本养老保险缴费支出。</w:t>
      </w:r>
      <w:r>
        <w:rPr>
          <w:rFonts w:hint="eastAsia" w:ascii="仿宋_GB2312" w:eastAsia="仿宋_GB2312"/>
          <w:sz w:val="28"/>
          <w:szCs w:val="28"/>
        </w:rPr>
        <w:br w:type="textWrapping"/>
      </w:r>
      <w:r>
        <w:rPr>
          <w:rFonts w:hint="eastAsia" w:ascii="仿宋_GB2312" w:eastAsia="仿宋_GB2312"/>
          <w:sz w:val="28"/>
          <w:szCs w:val="28"/>
        </w:rPr>
        <w:t xml:space="preserve">    20.医疗卫生与计划生育支出</w:t>
      </w:r>
      <w:r>
        <w:rPr>
          <w:rFonts w:hint="eastAsia" w:ascii="仿宋_GB2312" w:eastAsia="仿宋_GB2312"/>
          <w:sz w:val="28"/>
          <w:szCs w:val="28"/>
          <w:lang w:eastAsia="zh-CN"/>
        </w:rPr>
        <w:t>（</w:t>
      </w:r>
      <w:r>
        <w:rPr>
          <w:rFonts w:hint="eastAsia" w:ascii="仿宋_GB2312" w:eastAsia="仿宋_GB2312"/>
          <w:sz w:val="28"/>
          <w:szCs w:val="28"/>
        </w:rPr>
        <w:t>类</w:t>
      </w:r>
      <w:r>
        <w:rPr>
          <w:rFonts w:hint="eastAsia" w:ascii="仿宋_GB2312" w:eastAsia="仿宋_GB2312"/>
          <w:sz w:val="28"/>
          <w:szCs w:val="28"/>
          <w:lang w:eastAsia="zh-CN"/>
        </w:rPr>
        <w:t>）</w:t>
      </w:r>
      <w:r>
        <w:rPr>
          <w:rFonts w:hint="eastAsia" w:ascii="仿宋_GB2312" w:eastAsia="仿宋_GB2312"/>
          <w:sz w:val="28"/>
          <w:szCs w:val="28"/>
        </w:rPr>
        <w:t>基层医疗卫生机构（款）乡镇卫生院支出（项）：指用于乡镇卫生院的基本支出。</w:t>
      </w:r>
      <w:r>
        <w:rPr>
          <w:rFonts w:hint="eastAsia" w:ascii="仿宋_GB2312" w:eastAsia="仿宋_GB2312"/>
          <w:sz w:val="28"/>
          <w:szCs w:val="28"/>
        </w:rPr>
        <w:br w:type="textWrapping"/>
      </w:r>
      <w:r>
        <w:rPr>
          <w:rFonts w:hint="eastAsia" w:ascii="仿宋_GB2312" w:eastAsia="仿宋_GB2312"/>
          <w:sz w:val="28"/>
          <w:szCs w:val="28"/>
        </w:rPr>
        <w:t xml:space="preserve">    21.医疗卫生与计划生育支出</w:t>
      </w:r>
      <w:r>
        <w:rPr>
          <w:rFonts w:hint="eastAsia" w:ascii="仿宋_GB2312" w:eastAsia="仿宋_GB2312"/>
          <w:sz w:val="28"/>
          <w:szCs w:val="28"/>
          <w:lang w:eastAsia="zh-CN"/>
        </w:rPr>
        <w:t>（</w:t>
      </w:r>
      <w:r>
        <w:rPr>
          <w:rFonts w:hint="eastAsia" w:ascii="仿宋_GB2312" w:eastAsia="仿宋_GB2312"/>
          <w:sz w:val="28"/>
          <w:szCs w:val="28"/>
        </w:rPr>
        <w:t>类</w:t>
      </w:r>
      <w:r>
        <w:rPr>
          <w:rFonts w:hint="eastAsia" w:ascii="仿宋_GB2312" w:eastAsia="仿宋_GB2312"/>
          <w:sz w:val="28"/>
          <w:szCs w:val="28"/>
          <w:lang w:eastAsia="zh-CN"/>
        </w:rPr>
        <w:t>）</w:t>
      </w:r>
      <w:r>
        <w:rPr>
          <w:rFonts w:hint="eastAsia" w:ascii="仿宋_GB2312" w:eastAsia="仿宋_GB2312"/>
          <w:sz w:val="28"/>
          <w:szCs w:val="28"/>
        </w:rPr>
        <w:t>公共卫生（款）基本公共卫生服务（项）：指用于基本公共卫生服务支出。</w:t>
      </w:r>
    </w:p>
    <w:p>
      <w:pPr>
        <w:pStyle w:val="22"/>
        <w:spacing w:line="560" w:lineRule="exact"/>
        <w:ind w:firstLine="560" w:firstLineChars="200"/>
        <w:rPr>
          <w:rFonts w:ascii="仿宋_GB2312" w:eastAsia="仿宋_GB2312"/>
          <w:sz w:val="28"/>
          <w:szCs w:val="28"/>
        </w:rPr>
      </w:pPr>
      <w:r>
        <w:rPr>
          <w:rFonts w:hint="eastAsia" w:ascii="仿宋_GB2312" w:eastAsia="仿宋_GB2312"/>
          <w:sz w:val="28"/>
          <w:szCs w:val="28"/>
        </w:rPr>
        <w:t>22.医疗卫生与计划生育支出</w:t>
      </w:r>
      <w:r>
        <w:rPr>
          <w:rFonts w:hint="eastAsia" w:ascii="仿宋_GB2312" w:eastAsia="仿宋_GB2312"/>
          <w:sz w:val="28"/>
          <w:szCs w:val="28"/>
          <w:lang w:eastAsia="zh-CN"/>
        </w:rPr>
        <w:t>（</w:t>
      </w:r>
      <w:r>
        <w:rPr>
          <w:rFonts w:hint="eastAsia" w:ascii="仿宋_GB2312" w:eastAsia="仿宋_GB2312"/>
          <w:sz w:val="28"/>
          <w:szCs w:val="28"/>
        </w:rPr>
        <w:t>类</w:t>
      </w:r>
      <w:r>
        <w:rPr>
          <w:rFonts w:hint="eastAsia" w:ascii="仿宋_GB2312" w:eastAsia="仿宋_GB2312"/>
          <w:sz w:val="28"/>
          <w:szCs w:val="28"/>
          <w:lang w:eastAsia="zh-CN"/>
        </w:rPr>
        <w:t>）</w:t>
      </w:r>
      <w:r>
        <w:rPr>
          <w:rFonts w:hint="eastAsia" w:ascii="仿宋_GB2312" w:eastAsia="仿宋_GB2312"/>
          <w:sz w:val="28"/>
          <w:szCs w:val="28"/>
        </w:rPr>
        <w:t>食品和药品监督管理事务（款）事业运行支出（项）：指用于食品和药品监督管理人员的基本支出。</w:t>
      </w:r>
      <w:r>
        <w:rPr>
          <w:rFonts w:hint="eastAsia" w:ascii="仿宋_GB2312" w:eastAsia="仿宋_GB2312"/>
          <w:sz w:val="28"/>
          <w:szCs w:val="28"/>
        </w:rPr>
        <w:br w:type="textWrapping"/>
      </w:r>
      <w:r>
        <w:rPr>
          <w:rFonts w:hint="eastAsia" w:ascii="仿宋_GB2312" w:eastAsia="仿宋_GB2312"/>
          <w:sz w:val="28"/>
          <w:szCs w:val="28"/>
        </w:rPr>
        <w:t xml:space="preserve">    23.医疗卫生与计划生育支出</w:t>
      </w:r>
      <w:r>
        <w:rPr>
          <w:rFonts w:hint="eastAsia" w:ascii="仿宋_GB2312" w:eastAsia="仿宋_GB2312"/>
          <w:sz w:val="28"/>
          <w:szCs w:val="28"/>
          <w:lang w:eastAsia="zh-CN"/>
        </w:rPr>
        <w:t>（</w:t>
      </w:r>
      <w:r>
        <w:rPr>
          <w:rFonts w:hint="eastAsia" w:ascii="仿宋_GB2312" w:eastAsia="仿宋_GB2312"/>
          <w:sz w:val="28"/>
          <w:szCs w:val="28"/>
        </w:rPr>
        <w:t>类</w:t>
      </w:r>
      <w:r>
        <w:rPr>
          <w:rFonts w:hint="eastAsia" w:ascii="仿宋_GB2312" w:eastAsia="仿宋_GB2312"/>
          <w:sz w:val="28"/>
          <w:szCs w:val="28"/>
          <w:lang w:eastAsia="zh-CN"/>
        </w:rPr>
        <w:t>）</w:t>
      </w:r>
      <w:r>
        <w:rPr>
          <w:rFonts w:hint="eastAsia" w:ascii="仿宋_GB2312" w:eastAsia="仿宋_GB2312"/>
          <w:sz w:val="28"/>
          <w:szCs w:val="28"/>
        </w:rPr>
        <w:t>财政对基本医疗保险基金的补助（款）财政对城乡居民基本医疗保险基金的补助（项）：指用于贫困户的医疗保险缴费。</w:t>
      </w:r>
      <w:r>
        <w:rPr>
          <w:rFonts w:hint="eastAsia" w:ascii="仿宋_GB2312" w:eastAsia="仿宋_GB2312"/>
          <w:sz w:val="28"/>
          <w:szCs w:val="28"/>
        </w:rPr>
        <w:br w:type="textWrapping"/>
      </w:r>
      <w:r>
        <w:rPr>
          <w:rFonts w:hint="eastAsia" w:ascii="仿宋_GB2312" w:eastAsia="仿宋_GB2312"/>
          <w:sz w:val="28"/>
          <w:szCs w:val="28"/>
        </w:rPr>
        <w:t xml:space="preserve">    24.节能环保支出（类）退耕还林（款）退耕现金（项）：指用于退耕农户生活补助。</w:t>
      </w:r>
      <w:r>
        <w:rPr>
          <w:rFonts w:hint="eastAsia" w:ascii="仿宋_GB2312" w:eastAsia="仿宋_GB2312"/>
          <w:sz w:val="28"/>
          <w:szCs w:val="28"/>
        </w:rPr>
        <w:br w:type="textWrapping"/>
      </w:r>
      <w:r>
        <w:rPr>
          <w:rFonts w:hint="eastAsia" w:ascii="仿宋_GB2312" w:eastAsia="仿宋_GB2312"/>
          <w:sz w:val="28"/>
          <w:szCs w:val="28"/>
        </w:rPr>
        <w:t xml:space="preserve">    25.城乡社区支出（类）城乡社区公共设施（款）其他城乡社区公共设施支出（项）：指用于城乡社区公共设施支出。</w:t>
      </w:r>
      <w:r>
        <w:rPr>
          <w:rFonts w:hint="eastAsia" w:ascii="仿宋_GB2312" w:eastAsia="仿宋_GB2312"/>
          <w:sz w:val="28"/>
          <w:szCs w:val="28"/>
        </w:rPr>
        <w:br w:type="textWrapping"/>
      </w:r>
      <w:r>
        <w:rPr>
          <w:rFonts w:hint="eastAsia" w:ascii="仿宋_GB2312" w:eastAsia="仿宋_GB2312"/>
          <w:sz w:val="28"/>
          <w:szCs w:val="28"/>
        </w:rPr>
        <w:t xml:space="preserve">    26．农林水支出（类）农业（款）事业运行（项）：指用于农业事业单位方面等支出。</w:t>
      </w:r>
      <w:r>
        <w:rPr>
          <w:rFonts w:hint="eastAsia" w:ascii="仿宋_GB2312" w:eastAsia="仿宋_GB2312"/>
          <w:sz w:val="28"/>
          <w:szCs w:val="28"/>
        </w:rPr>
        <w:br w:type="textWrapping"/>
      </w:r>
      <w:r>
        <w:rPr>
          <w:rFonts w:hint="eastAsia" w:ascii="仿宋_GB2312" w:eastAsia="仿宋_GB2312"/>
          <w:sz w:val="28"/>
          <w:szCs w:val="28"/>
        </w:rPr>
        <w:t xml:space="preserve">    27．农林水支出（类）农业（款）农业生产支持补贴（项）：指用于农户耕地地力保护补贴等方面支出。</w:t>
      </w:r>
      <w:r>
        <w:rPr>
          <w:rFonts w:hint="eastAsia" w:ascii="仿宋_GB2312" w:eastAsia="仿宋_GB2312"/>
          <w:sz w:val="28"/>
          <w:szCs w:val="28"/>
        </w:rPr>
        <w:br w:type="textWrapping"/>
      </w:r>
      <w:r>
        <w:rPr>
          <w:rFonts w:hint="eastAsia" w:ascii="仿宋_GB2312" w:eastAsia="仿宋_GB2312"/>
          <w:sz w:val="28"/>
          <w:szCs w:val="28"/>
        </w:rPr>
        <w:t xml:space="preserve">    28.农林水支出（类）农业（款）农村道路建设（项）：指用于农村道路方面等支出。</w:t>
      </w:r>
      <w:r>
        <w:rPr>
          <w:rFonts w:hint="eastAsia" w:ascii="仿宋_GB2312" w:eastAsia="仿宋_GB2312"/>
          <w:sz w:val="28"/>
          <w:szCs w:val="28"/>
        </w:rPr>
        <w:br w:type="textWrapping"/>
      </w:r>
      <w:r>
        <w:rPr>
          <w:rFonts w:hint="eastAsia" w:ascii="仿宋_GB2312" w:eastAsia="仿宋_GB2312"/>
          <w:sz w:val="28"/>
          <w:szCs w:val="28"/>
        </w:rPr>
        <w:t xml:space="preserve">    29．农林水支出（类）林业（款）林业事业机构（项）：指用于林业机构方面等支出。</w:t>
      </w:r>
      <w:r>
        <w:rPr>
          <w:rFonts w:hint="eastAsia" w:ascii="仿宋_GB2312" w:eastAsia="仿宋_GB2312"/>
          <w:sz w:val="28"/>
          <w:szCs w:val="28"/>
        </w:rPr>
        <w:br w:type="textWrapping"/>
      </w:r>
      <w:r>
        <w:rPr>
          <w:rFonts w:hint="eastAsia" w:ascii="仿宋_GB2312" w:eastAsia="仿宋_GB2312"/>
          <w:sz w:val="28"/>
          <w:szCs w:val="28"/>
        </w:rPr>
        <w:t xml:space="preserve">    30． 农林水支出（类）林业（款）森林生态效益补偿（项）：指用于林业生态效益方面等支出。</w:t>
      </w:r>
      <w:r>
        <w:rPr>
          <w:rFonts w:hint="eastAsia" w:ascii="仿宋_GB2312" w:eastAsia="仿宋_GB2312"/>
          <w:sz w:val="28"/>
          <w:szCs w:val="28"/>
        </w:rPr>
        <w:br w:type="textWrapping"/>
      </w:r>
      <w:r>
        <w:rPr>
          <w:rFonts w:hint="eastAsia" w:ascii="仿宋_GB2312" w:eastAsia="仿宋_GB2312"/>
          <w:sz w:val="28"/>
          <w:szCs w:val="28"/>
        </w:rPr>
        <w:t xml:space="preserve">    31．农林水支出（类）水利（款）水利技术推广（项）：指用于水利机构方面等支出。</w:t>
      </w:r>
    </w:p>
    <w:p>
      <w:pPr>
        <w:pStyle w:val="22"/>
        <w:spacing w:line="560" w:lineRule="exact"/>
        <w:ind w:firstLine="560" w:firstLineChars="200"/>
        <w:rPr>
          <w:rFonts w:ascii="仿宋_GB2312" w:eastAsia="仿宋_GB2312"/>
          <w:sz w:val="28"/>
          <w:szCs w:val="28"/>
        </w:rPr>
      </w:pPr>
      <w:r>
        <w:rPr>
          <w:rFonts w:hint="eastAsia" w:ascii="仿宋_GB2312" w:eastAsia="仿宋_GB2312"/>
          <w:sz w:val="28"/>
          <w:szCs w:val="28"/>
        </w:rPr>
        <w:t>32．农林水支出（类）水利（款）</w:t>
      </w:r>
      <w:r>
        <w:rPr>
          <w:rFonts w:hint="eastAsia" w:ascii="仿宋_GB2312" w:eastAsia="仿宋_GB2312"/>
          <w:sz w:val="28"/>
          <w:szCs w:val="28"/>
          <w:lang w:eastAsia="zh-CN"/>
        </w:rPr>
        <w:t>农村饮水</w:t>
      </w:r>
      <w:r>
        <w:rPr>
          <w:rFonts w:hint="eastAsia" w:ascii="仿宋_GB2312" w:eastAsia="仿宋_GB2312"/>
          <w:sz w:val="28"/>
          <w:szCs w:val="28"/>
        </w:rPr>
        <w:t>（项）：指用于</w:t>
      </w:r>
      <w:r>
        <w:rPr>
          <w:rFonts w:hint="eastAsia" w:ascii="仿宋_GB2312" w:eastAsia="仿宋_GB2312"/>
          <w:sz w:val="28"/>
          <w:szCs w:val="28"/>
          <w:lang w:eastAsia="zh-CN"/>
        </w:rPr>
        <w:t>农村饮水</w:t>
      </w:r>
      <w:r>
        <w:rPr>
          <w:rFonts w:hint="eastAsia" w:ascii="仿宋_GB2312" w:eastAsia="仿宋_GB2312"/>
          <w:sz w:val="28"/>
          <w:szCs w:val="28"/>
        </w:rPr>
        <w:t>方面的支出。</w:t>
      </w:r>
      <w:r>
        <w:rPr>
          <w:rFonts w:hint="eastAsia" w:ascii="仿宋_GB2312" w:eastAsia="仿宋_GB2312"/>
          <w:sz w:val="28"/>
          <w:szCs w:val="28"/>
        </w:rPr>
        <w:br w:type="textWrapping"/>
      </w:r>
      <w:r>
        <w:rPr>
          <w:rFonts w:hint="eastAsia" w:ascii="仿宋_GB2312" w:eastAsia="仿宋_GB2312"/>
          <w:sz w:val="28"/>
          <w:szCs w:val="28"/>
        </w:rPr>
        <w:t xml:space="preserve">    33．农林水支出（类）扶贫（款）生产发展（项）：指用于农村产业发展及危房改造方面等支出。</w:t>
      </w:r>
      <w:r>
        <w:rPr>
          <w:rFonts w:hint="eastAsia" w:ascii="仿宋_GB2312" w:eastAsia="仿宋_GB2312"/>
          <w:sz w:val="28"/>
          <w:szCs w:val="28"/>
        </w:rPr>
        <w:br w:type="textWrapping"/>
      </w:r>
      <w:r>
        <w:rPr>
          <w:rFonts w:hint="eastAsia" w:ascii="仿宋_GB2312" w:eastAsia="仿宋_GB2312"/>
          <w:sz w:val="28"/>
          <w:szCs w:val="28"/>
        </w:rPr>
        <w:t xml:space="preserve">    34．农林水支出（类）扶贫（款）其他扶贫支出（项）：指用于易地扶贫搬迁方面等支出。</w:t>
      </w:r>
      <w:bookmarkStart w:id="114" w:name="_GoBack"/>
      <w:bookmarkEnd w:id="114"/>
      <w:r>
        <w:rPr>
          <w:rFonts w:hint="eastAsia" w:ascii="仿宋_GB2312" w:eastAsia="仿宋_GB2312"/>
          <w:sz w:val="28"/>
          <w:szCs w:val="28"/>
        </w:rPr>
        <w:br w:type="textWrapping"/>
      </w:r>
      <w:r>
        <w:rPr>
          <w:rFonts w:hint="eastAsia" w:ascii="仿宋_GB2312" w:eastAsia="仿宋_GB2312"/>
          <w:sz w:val="28"/>
          <w:szCs w:val="28"/>
        </w:rPr>
        <w:t xml:space="preserve">    35．农林水支出（类）农村综合改革（款）对村民委员会和村党支部的补助（项）：指用于村社干部生活补助及村办公费方面等支出。</w:t>
      </w:r>
      <w:r>
        <w:rPr>
          <w:rFonts w:hint="eastAsia" w:ascii="仿宋_GB2312" w:eastAsia="仿宋_GB2312"/>
          <w:sz w:val="28"/>
          <w:szCs w:val="28"/>
        </w:rPr>
        <w:br w:type="textWrapping"/>
      </w:r>
      <w:r>
        <w:rPr>
          <w:rFonts w:hint="eastAsia" w:ascii="仿宋_GB2312" w:eastAsia="仿宋_GB2312"/>
          <w:sz w:val="28"/>
          <w:szCs w:val="28"/>
        </w:rPr>
        <w:t xml:space="preserve">    36．农林水支出（类）农村综合改革（款）其他农村综合改革支出（项）：指用于农村离职村干部方面等支出。</w:t>
      </w:r>
      <w:r>
        <w:rPr>
          <w:rFonts w:hint="eastAsia" w:ascii="仿宋_GB2312" w:eastAsia="仿宋_GB2312"/>
          <w:sz w:val="28"/>
          <w:szCs w:val="28"/>
        </w:rPr>
        <w:br w:type="textWrapping"/>
      </w:r>
      <w:r>
        <w:rPr>
          <w:rFonts w:hint="eastAsia" w:ascii="仿宋_GB2312" w:eastAsia="仿宋_GB2312"/>
          <w:sz w:val="28"/>
          <w:szCs w:val="28"/>
        </w:rPr>
        <w:t xml:space="preserve">    37.交通运输支出（类）公路水路运输（款）公路运输管理（项）：指用于乡交通管理站人员方面等支出。</w:t>
      </w:r>
      <w:r>
        <w:rPr>
          <w:rFonts w:hint="eastAsia" w:ascii="仿宋_GB2312" w:eastAsia="仿宋_GB2312"/>
          <w:sz w:val="28"/>
          <w:szCs w:val="28"/>
        </w:rPr>
        <w:br w:type="textWrapping"/>
      </w:r>
      <w:r>
        <w:rPr>
          <w:rFonts w:hint="eastAsia" w:ascii="仿宋_GB2312" w:eastAsia="仿宋_GB2312"/>
          <w:sz w:val="28"/>
          <w:szCs w:val="28"/>
        </w:rPr>
        <w:t xml:space="preserve">    38．住房保障支出（类）住房改革支出（款）住房公积金（项）：指用于按政策规定为职工缴纳的住房公积金支出。</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39</w:t>
      </w:r>
      <w:r>
        <w:rPr>
          <w:rFonts w:ascii="仿宋_GB2312" w:eastAsia="仿宋_GB2312"/>
          <w:color w:val="000000"/>
          <w:sz w:val="28"/>
          <w:szCs w:val="28"/>
        </w:rPr>
        <w:t>.</w:t>
      </w:r>
      <w:r>
        <w:rPr>
          <w:rFonts w:hint="eastAsia" w:ascii="仿宋_GB2312" w:eastAsia="仿宋_GB2312"/>
          <w:color w:val="000000"/>
          <w:sz w:val="28"/>
          <w:szCs w:val="28"/>
        </w:rPr>
        <w:t>基本支出：指为保障机构正常运转、完成日常工作任务而发生的人员支出和公用支出。</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40</w:t>
      </w:r>
      <w:r>
        <w:rPr>
          <w:rFonts w:ascii="仿宋_GB2312" w:eastAsia="仿宋_GB2312"/>
          <w:color w:val="000000"/>
          <w:sz w:val="28"/>
          <w:szCs w:val="28"/>
        </w:rPr>
        <w:t>.</w:t>
      </w:r>
      <w:r>
        <w:rPr>
          <w:rFonts w:hint="eastAsia" w:ascii="仿宋_GB2312" w:eastAsia="仿宋_GB2312"/>
          <w:color w:val="000000"/>
          <w:sz w:val="28"/>
          <w:szCs w:val="28"/>
        </w:rPr>
        <w:t>项目支出：指在基本支出之外为完成特定行政任务和事业发展目标所发生的支出。</w:t>
      </w:r>
      <w:r>
        <w:rPr>
          <w:rFonts w:ascii="仿宋_GB2312" w:eastAsia="仿宋_GB2312"/>
          <w:color w:val="000000"/>
          <w:sz w:val="28"/>
          <w:szCs w:val="28"/>
        </w:rPr>
        <w:t xml:space="preserve"> </w:t>
      </w:r>
    </w:p>
    <w:p>
      <w:pPr>
        <w:pStyle w:val="22"/>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41</w:t>
      </w:r>
      <w:r>
        <w:rPr>
          <w:rFonts w:ascii="仿宋_GB2312" w:eastAsia="仿宋_GB2312"/>
          <w:sz w:val="28"/>
          <w:szCs w:val="28"/>
        </w:rPr>
        <w:t>.</w:t>
      </w:r>
      <w:r>
        <w:rPr>
          <w:rFonts w:hint="eastAsia" w:ascii="仿宋_GB2312" w:eastAsia="仿宋_GB2312"/>
          <w:sz w:val="28"/>
          <w:szCs w:val="28"/>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560" w:firstLineChars="200"/>
        <w:rPr>
          <w:rFonts w:ascii="仿宋_GB2312" w:eastAsia="仿宋_GB2312" w:cs="黑体"/>
          <w:color w:val="auto"/>
          <w:sz w:val="32"/>
          <w:szCs w:val="32"/>
          <w:highlight w:val="none"/>
        </w:rPr>
      </w:pPr>
      <w:r>
        <w:rPr>
          <w:rFonts w:hint="eastAsia" w:ascii="仿宋_GB2312" w:eastAsia="仿宋_GB2312"/>
          <w:sz w:val="28"/>
          <w:szCs w:val="28"/>
        </w:rPr>
        <w:t xml:space="preserve"> 42</w:t>
      </w:r>
      <w:r>
        <w:rPr>
          <w:rFonts w:ascii="仿宋_GB2312" w:eastAsia="仿宋_GB2312"/>
          <w:sz w:val="28"/>
          <w:szCs w:val="28"/>
        </w:rPr>
        <w:t>.</w:t>
      </w:r>
      <w:r>
        <w:rPr>
          <w:rFonts w:hint="eastAsia" w:ascii="仿宋_GB2312" w:eastAsia="仿宋_GB2312"/>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4"/>
          <w:rFonts w:hint="eastAsia" w:ascii="黑体" w:hAnsi="黑体" w:eastAsia="黑体"/>
          <w:b w:val="0"/>
          <w:color w:val="auto"/>
          <w:highlight w:val="none"/>
          <w:lang w:eastAsia="zh-CN"/>
        </w:rPr>
      </w:pPr>
      <w:bookmarkStart w:id="81" w:name="_Toc15377226"/>
      <w:r>
        <w:rPr>
          <w:rFonts w:ascii="宋体"/>
          <w:b/>
          <w:color w:val="auto"/>
          <w:sz w:val="44"/>
          <w:szCs w:val="44"/>
          <w:highlight w:val="none"/>
        </w:rPr>
        <w:br w:type="page"/>
      </w:r>
      <w:bookmarkStart w:id="82" w:name="_Toc15396614"/>
      <w:bookmarkStart w:id="83" w:name="_Toc6887"/>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四部分 附件</w:t>
      </w:r>
      <w:bookmarkEnd w:id="82"/>
      <w:bookmarkEnd w:id="83"/>
    </w:p>
    <w:p>
      <w:pPr>
        <w:keepNext w:val="0"/>
        <w:keepLines w:val="0"/>
        <w:pageBreakBefore w:val="0"/>
        <w:kinsoku/>
        <w:wordWrap/>
        <w:overflowPunct/>
        <w:topLinePunct w:val="0"/>
        <w:autoSpaceDE/>
        <w:autoSpaceDN/>
        <w:bidi w:val="0"/>
        <w:spacing w:line="572" w:lineRule="exact"/>
        <w:jc w:val="left"/>
        <w:textAlignment w:val="auto"/>
        <w:outlineLvl w:val="0"/>
        <w:rPr>
          <w:rFonts w:ascii="方正小标宋简体" w:hAnsi="方正小标宋简体" w:eastAsia="方正小标宋简体" w:cs="方正小标宋简体"/>
          <w:color w:val="auto"/>
          <w:sz w:val="44"/>
          <w:szCs w:val="44"/>
          <w:highlight w:val="none"/>
        </w:rPr>
      </w:pPr>
      <w:bookmarkStart w:id="84" w:name="_Toc12834"/>
      <w:r>
        <w:rPr>
          <w:rFonts w:hint="eastAsia" w:ascii="黑体" w:hAnsi="黑体" w:eastAsia="黑体" w:cs="黑体"/>
          <w:color w:val="auto"/>
          <w:sz w:val="32"/>
          <w:szCs w:val="32"/>
          <w:highlight w:val="none"/>
        </w:rPr>
        <w:t>附件</w:t>
      </w:r>
      <w:bookmarkEnd w:id="84"/>
    </w:p>
    <w:p>
      <w:pPr>
        <w:widowControl/>
        <w:spacing w:line="580" w:lineRule="exact"/>
        <w:contextualSpacing/>
        <w:jc w:val="center"/>
        <w:rPr>
          <w:rFonts w:hint="eastAsia" w:ascii="宋体" w:hAnsi="宋体" w:eastAsia="宋体"/>
          <w:b/>
          <w:sz w:val="44"/>
          <w:szCs w:val="44"/>
          <w:shd w:val="clear" w:color="auto" w:fill="FFFFFF"/>
          <w:lang w:eastAsia="zh-CN"/>
        </w:rPr>
      </w:pPr>
      <w:r>
        <w:rPr>
          <w:rFonts w:hint="eastAsia" w:ascii="宋体" w:hAnsi="宋体" w:eastAsia="宋体"/>
          <w:b/>
          <w:sz w:val="44"/>
          <w:szCs w:val="44"/>
          <w:shd w:val="clear" w:color="auto" w:fill="FFFFFF"/>
          <w:lang w:eastAsia="zh-CN"/>
        </w:rPr>
        <w:t>通江县毛浴镇人民政府</w:t>
      </w:r>
    </w:p>
    <w:p>
      <w:pPr>
        <w:widowControl/>
        <w:spacing w:line="580" w:lineRule="exact"/>
        <w:contextualSpacing/>
        <w:jc w:val="center"/>
        <w:rPr>
          <w:rFonts w:hint="eastAsia" w:ascii="宋体" w:hAnsi="宋体" w:eastAsia="宋体"/>
          <w:b/>
          <w:sz w:val="44"/>
          <w:szCs w:val="44"/>
          <w:shd w:val="clear" w:color="auto" w:fill="FFFFFF"/>
        </w:rPr>
      </w:pPr>
      <w:r>
        <w:rPr>
          <w:rFonts w:hint="eastAsia" w:ascii="宋体" w:hAnsi="宋体" w:eastAsia="宋体"/>
          <w:b/>
          <w:sz w:val="44"/>
          <w:szCs w:val="44"/>
          <w:shd w:val="clear" w:color="auto" w:fill="FFFFFF"/>
        </w:rPr>
        <w:t>20</w:t>
      </w:r>
      <w:r>
        <w:rPr>
          <w:rFonts w:hint="eastAsia" w:ascii="宋体" w:hAnsi="宋体" w:eastAsia="宋体"/>
          <w:b/>
          <w:sz w:val="44"/>
          <w:szCs w:val="44"/>
          <w:shd w:val="clear" w:color="auto" w:fill="FFFFFF"/>
          <w:lang w:val="en-US" w:eastAsia="zh-CN"/>
        </w:rPr>
        <w:t>2</w:t>
      </w:r>
      <w:r>
        <w:rPr>
          <w:rFonts w:hint="eastAsia" w:ascii="宋体" w:hAnsi="宋体"/>
          <w:b/>
          <w:sz w:val="44"/>
          <w:szCs w:val="44"/>
          <w:shd w:val="clear" w:color="auto" w:fill="FFFFFF"/>
          <w:lang w:val="en-US" w:eastAsia="zh-CN"/>
        </w:rPr>
        <w:t>1</w:t>
      </w:r>
      <w:r>
        <w:rPr>
          <w:rFonts w:hint="eastAsia" w:ascii="宋体" w:hAnsi="宋体" w:eastAsia="宋体"/>
          <w:b/>
          <w:sz w:val="44"/>
          <w:szCs w:val="44"/>
          <w:shd w:val="clear" w:color="auto" w:fill="FFFFFF"/>
        </w:rPr>
        <w:t>年部门整体支出</w:t>
      </w:r>
    </w:p>
    <w:p>
      <w:pPr>
        <w:widowControl/>
        <w:spacing w:line="580" w:lineRule="exact"/>
        <w:contextualSpacing/>
        <w:jc w:val="center"/>
        <w:rPr>
          <w:rFonts w:ascii="宋体" w:hAnsi="宋体" w:eastAsia="宋体"/>
          <w:b/>
          <w:sz w:val="44"/>
          <w:szCs w:val="44"/>
          <w:shd w:val="clear" w:color="auto" w:fill="FFFFFF"/>
        </w:rPr>
      </w:pPr>
      <w:r>
        <w:rPr>
          <w:rFonts w:hint="eastAsia" w:ascii="宋体" w:hAnsi="宋体" w:eastAsia="宋体"/>
          <w:b/>
          <w:sz w:val="44"/>
          <w:szCs w:val="44"/>
          <w:shd w:val="clear" w:color="auto" w:fill="FFFFFF"/>
        </w:rPr>
        <w:t>绩效评价报告</w:t>
      </w: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通江县财政局：</w:t>
      </w:r>
    </w:p>
    <w:p>
      <w:pPr>
        <w:spacing w:line="540" w:lineRule="exact"/>
        <w:ind w:firstLine="600" w:firstLineChars="200"/>
        <w:rPr>
          <w:rFonts w:hint="eastAsia" w:ascii="仿宋" w:hAnsi="仿宋" w:eastAsia="仿宋" w:cs="仿宋_GB2312"/>
          <w:sz w:val="30"/>
          <w:szCs w:val="30"/>
        </w:rPr>
      </w:pPr>
      <w:r>
        <w:rPr>
          <w:rFonts w:hint="eastAsia" w:ascii="仿宋" w:hAnsi="仿宋" w:eastAsia="仿宋" w:cs="仿宋_GB2312"/>
          <w:sz w:val="30"/>
          <w:szCs w:val="30"/>
        </w:rPr>
        <w:t>为进一步规范财政资金管理，牢固树立预算绩效理念，强化支出责任，提高</w:t>
      </w:r>
      <w:r>
        <w:rPr>
          <w:rFonts w:hint="eastAsia" w:ascii="仿宋" w:hAnsi="仿宋" w:eastAsia="仿宋" w:cs="仿宋_GB2312"/>
          <w:sz w:val="30"/>
          <w:szCs w:val="30"/>
          <w:lang w:eastAsia="zh-CN"/>
        </w:rPr>
        <w:t>财政资金</w:t>
      </w:r>
      <w:r>
        <w:rPr>
          <w:rFonts w:hint="eastAsia" w:ascii="仿宋" w:hAnsi="仿宋" w:eastAsia="仿宋" w:cs="仿宋_GB2312"/>
          <w:sz w:val="30"/>
          <w:szCs w:val="30"/>
        </w:rPr>
        <w:t>使用效益，我</w:t>
      </w:r>
      <w:r>
        <w:rPr>
          <w:rFonts w:hint="eastAsia" w:ascii="仿宋" w:hAnsi="仿宋" w:eastAsia="仿宋" w:cs="仿宋_GB2312"/>
          <w:sz w:val="30"/>
          <w:szCs w:val="30"/>
          <w:lang w:eastAsia="zh-CN"/>
        </w:rPr>
        <w:t>镇</w:t>
      </w:r>
      <w:r>
        <w:rPr>
          <w:rFonts w:hint="eastAsia" w:ascii="仿宋" w:hAnsi="仿宋" w:eastAsia="仿宋" w:cs="仿宋_GB2312"/>
          <w:sz w:val="30"/>
          <w:szCs w:val="30"/>
        </w:rPr>
        <w:t>根据《通江县财政局关于开展20</w:t>
      </w:r>
      <w:r>
        <w:rPr>
          <w:rFonts w:hint="eastAsia" w:ascii="仿宋" w:hAnsi="仿宋" w:eastAsia="仿宋" w:cs="仿宋_GB2312"/>
          <w:sz w:val="30"/>
          <w:szCs w:val="30"/>
          <w:lang w:val="en-US" w:eastAsia="zh-CN"/>
        </w:rPr>
        <w:t>22</w:t>
      </w:r>
      <w:r>
        <w:rPr>
          <w:rFonts w:hint="eastAsia" w:ascii="仿宋" w:hAnsi="仿宋" w:eastAsia="仿宋" w:cs="仿宋_GB2312"/>
          <w:sz w:val="30"/>
          <w:szCs w:val="30"/>
        </w:rPr>
        <w:t>年</w:t>
      </w:r>
      <w:r>
        <w:rPr>
          <w:rFonts w:hint="eastAsia" w:ascii="仿宋" w:hAnsi="仿宋" w:eastAsia="仿宋" w:cs="仿宋_GB2312"/>
          <w:sz w:val="30"/>
          <w:szCs w:val="30"/>
          <w:lang w:eastAsia="zh-CN"/>
        </w:rPr>
        <w:t>财政支出</w:t>
      </w:r>
      <w:r>
        <w:rPr>
          <w:rFonts w:hint="eastAsia" w:ascii="仿宋" w:hAnsi="仿宋" w:eastAsia="仿宋" w:cs="仿宋_GB2312"/>
          <w:sz w:val="30"/>
          <w:szCs w:val="30"/>
        </w:rPr>
        <w:t>绩效自评</w:t>
      </w:r>
      <w:r>
        <w:rPr>
          <w:rFonts w:hint="eastAsia" w:ascii="仿宋" w:hAnsi="仿宋" w:eastAsia="仿宋" w:cs="仿宋_GB2312"/>
          <w:sz w:val="30"/>
          <w:szCs w:val="30"/>
          <w:lang w:eastAsia="zh-CN"/>
        </w:rPr>
        <w:t>工作</w:t>
      </w:r>
      <w:r>
        <w:rPr>
          <w:rFonts w:hint="eastAsia" w:ascii="仿宋" w:hAnsi="仿宋" w:eastAsia="仿宋" w:cs="仿宋_GB2312"/>
          <w:sz w:val="30"/>
          <w:szCs w:val="30"/>
        </w:rPr>
        <w:t>的通知》</w:t>
      </w:r>
      <w:r>
        <w:rPr>
          <w:rFonts w:hint="eastAsia" w:ascii="仿宋" w:hAnsi="仿宋" w:eastAsia="仿宋" w:cs="仿宋_GB2312"/>
          <w:sz w:val="30"/>
          <w:szCs w:val="30"/>
          <w:lang w:eastAsia="zh-CN"/>
        </w:rPr>
        <w:t>（</w:t>
      </w:r>
      <w:r>
        <w:rPr>
          <w:rFonts w:hint="eastAsia" w:ascii="仿宋" w:hAnsi="仿宋" w:eastAsia="仿宋" w:cs="仿宋_GB2312"/>
          <w:sz w:val="30"/>
          <w:szCs w:val="30"/>
        </w:rPr>
        <w:t>通财</w:t>
      </w:r>
      <w:r>
        <w:rPr>
          <w:rFonts w:hint="eastAsia" w:ascii="仿宋" w:hAnsi="仿宋" w:eastAsia="仿宋" w:cs="仿宋_GB2312"/>
          <w:sz w:val="30"/>
          <w:szCs w:val="30"/>
          <w:lang w:eastAsia="zh-CN"/>
        </w:rPr>
        <w:t>绩</w:t>
      </w:r>
      <w:r>
        <w:rPr>
          <w:rFonts w:hint="eastAsia" w:ascii="仿宋" w:hAnsi="仿宋" w:eastAsia="仿宋" w:cs="仿宋_GB2312"/>
          <w:sz w:val="30"/>
          <w:szCs w:val="30"/>
        </w:rPr>
        <w:t>﹝20</w:t>
      </w:r>
      <w:r>
        <w:rPr>
          <w:rFonts w:hint="eastAsia" w:ascii="仿宋" w:hAnsi="仿宋" w:eastAsia="仿宋" w:cs="仿宋_GB2312"/>
          <w:sz w:val="30"/>
          <w:szCs w:val="30"/>
          <w:lang w:val="en-US" w:eastAsia="zh-CN"/>
        </w:rPr>
        <w:t>22</w:t>
      </w:r>
      <w:r>
        <w:rPr>
          <w:rFonts w:hint="eastAsia" w:ascii="仿宋" w:hAnsi="仿宋" w:eastAsia="仿宋" w:cs="仿宋_GB2312"/>
          <w:sz w:val="30"/>
          <w:szCs w:val="30"/>
        </w:rPr>
        <w:t>﹞</w:t>
      </w:r>
      <w:r>
        <w:rPr>
          <w:rFonts w:hint="eastAsia" w:ascii="仿宋" w:hAnsi="仿宋" w:eastAsia="仿宋" w:cs="仿宋_GB2312"/>
          <w:sz w:val="30"/>
          <w:szCs w:val="30"/>
          <w:lang w:val="en-US" w:eastAsia="zh-CN"/>
        </w:rPr>
        <w:t>1</w:t>
      </w:r>
      <w:r>
        <w:rPr>
          <w:rFonts w:hint="eastAsia" w:ascii="仿宋" w:hAnsi="仿宋" w:eastAsia="仿宋" w:cs="仿宋_GB2312"/>
          <w:sz w:val="30"/>
          <w:szCs w:val="30"/>
        </w:rPr>
        <w:t>3号</w:t>
      </w:r>
      <w:r>
        <w:rPr>
          <w:rFonts w:hint="eastAsia" w:ascii="仿宋" w:hAnsi="仿宋" w:eastAsia="仿宋" w:cs="仿宋_GB2312"/>
          <w:sz w:val="30"/>
          <w:szCs w:val="30"/>
          <w:lang w:eastAsia="zh-CN"/>
        </w:rPr>
        <w:t>）</w:t>
      </w:r>
      <w:r>
        <w:rPr>
          <w:rFonts w:hint="eastAsia" w:ascii="仿宋" w:hAnsi="仿宋" w:eastAsia="仿宋" w:cs="仿宋_GB2312"/>
          <w:sz w:val="30"/>
          <w:szCs w:val="30"/>
        </w:rPr>
        <w:t>的部署，结合我</w:t>
      </w:r>
      <w:r>
        <w:rPr>
          <w:rFonts w:hint="eastAsia" w:ascii="仿宋" w:hAnsi="仿宋" w:eastAsia="仿宋" w:cs="仿宋_GB2312"/>
          <w:sz w:val="30"/>
          <w:szCs w:val="30"/>
          <w:lang w:eastAsia="zh-CN"/>
        </w:rPr>
        <w:t>镇</w:t>
      </w:r>
      <w:r>
        <w:rPr>
          <w:rFonts w:hint="eastAsia" w:ascii="仿宋" w:hAnsi="仿宋" w:eastAsia="仿宋" w:cs="仿宋_GB2312"/>
          <w:sz w:val="30"/>
          <w:szCs w:val="30"/>
        </w:rPr>
        <w:t>实际情况，认真组织开展了20</w:t>
      </w:r>
      <w:r>
        <w:rPr>
          <w:rFonts w:hint="eastAsia" w:ascii="仿宋" w:hAnsi="仿宋" w:eastAsia="仿宋" w:cs="仿宋_GB2312"/>
          <w:sz w:val="30"/>
          <w:szCs w:val="30"/>
          <w:lang w:val="en-US" w:eastAsia="zh-CN"/>
        </w:rPr>
        <w:t>21</w:t>
      </w:r>
      <w:r>
        <w:rPr>
          <w:rFonts w:hint="eastAsia" w:ascii="仿宋" w:hAnsi="仿宋" w:eastAsia="仿宋" w:cs="仿宋_GB2312"/>
          <w:sz w:val="30"/>
          <w:szCs w:val="30"/>
        </w:rPr>
        <w:t>年</w:t>
      </w:r>
      <w:r>
        <w:rPr>
          <w:rFonts w:hint="eastAsia" w:ascii="仿宋" w:hAnsi="仿宋" w:eastAsia="仿宋" w:cs="仿宋_GB2312"/>
          <w:sz w:val="30"/>
          <w:szCs w:val="30"/>
          <w:lang w:eastAsia="zh-CN"/>
        </w:rPr>
        <w:t>度</w:t>
      </w:r>
      <w:r>
        <w:rPr>
          <w:rFonts w:hint="eastAsia" w:ascii="仿宋" w:hAnsi="仿宋" w:eastAsia="仿宋" w:cs="仿宋_GB2312"/>
          <w:sz w:val="30"/>
          <w:szCs w:val="30"/>
        </w:rPr>
        <w:t>预算绩效自评工作，现将整体支出绩效评价情况汇报如下。</w:t>
      </w:r>
    </w:p>
    <w:p>
      <w:pPr>
        <w:widowControl/>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rPr>
        <w:t>一、</w:t>
      </w:r>
      <w:r>
        <w:rPr>
          <w:rFonts w:hint="eastAsia" w:ascii="仿宋" w:hAnsi="仿宋" w:eastAsia="仿宋" w:cs="仿宋"/>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（一）机构组成。</w:t>
      </w:r>
    </w:p>
    <w:p>
      <w:pPr>
        <w:widowControl/>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_GB2312" w:eastAsia="仿宋_GB2312"/>
          <w:sz w:val="32"/>
          <w:szCs w:val="32"/>
        </w:rPr>
        <w:t>毛浴</w:t>
      </w:r>
      <w:r>
        <w:rPr>
          <w:rFonts w:hint="eastAsia" w:ascii="仿宋_GB2312" w:eastAsia="仿宋_GB2312"/>
          <w:sz w:val="32"/>
          <w:szCs w:val="32"/>
          <w:lang w:eastAsia="zh-CN"/>
        </w:rPr>
        <w:t>镇</w:t>
      </w:r>
      <w:r>
        <w:rPr>
          <w:rFonts w:hint="eastAsia" w:ascii="仿宋_GB2312" w:eastAsia="仿宋_GB2312"/>
          <w:sz w:val="32"/>
          <w:szCs w:val="32"/>
        </w:rPr>
        <w:t>位于通江县城东北部12公里处</w:t>
      </w:r>
      <w:r>
        <w:rPr>
          <w:rFonts w:hint="eastAsia" w:ascii="仿宋_GB2312" w:eastAsia="仿宋_GB2312"/>
          <w:sz w:val="32"/>
          <w:szCs w:val="32"/>
          <w:lang w:eastAsia="zh-CN"/>
        </w:rPr>
        <w:t>，</w:t>
      </w:r>
      <w:r>
        <w:rPr>
          <w:rFonts w:hint="eastAsia" w:ascii="仿宋_GB2312" w:eastAsia="仿宋_GB2312"/>
          <w:sz w:val="32"/>
          <w:szCs w:val="32"/>
        </w:rPr>
        <w:t>东经</w:t>
      </w:r>
      <w:r>
        <w:rPr>
          <w:rFonts w:ascii="仿宋_GB2312" w:eastAsia="仿宋_GB2312"/>
          <w:sz w:val="32"/>
          <w:szCs w:val="32"/>
        </w:rPr>
        <w:t>107°18′</w:t>
      </w:r>
      <w:r>
        <w:rPr>
          <w:rFonts w:hint="eastAsia" w:ascii="仿宋_GB2312" w:eastAsia="仿宋_GB2312"/>
          <w:sz w:val="32"/>
          <w:szCs w:val="32"/>
          <w:lang w:eastAsia="zh-CN"/>
        </w:rPr>
        <w:t>，</w:t>
      </w:r>
      <w:r>
        <w:rPr>
          <w:rFonts w:hint="eastAsia" w:ascii="仿宋_GB2312" w:eastAsia="仿宋_GB2312"/>
          <w:sz w:val="32"/>
          <w:szCs w:val="32"/>
        </w:rPr>
        <w:t>北纬31°58′</w:t>
      </w:r>
      <w:r>
        <w:rPr>
          <w:rFonts w:hint="eastAsia" w:ascii="黑体" w:eastAsia="黑体"/>
          <w:sz w:val="32"/>
          <w:szCs w:val="32"/>
          <w:lang w:eastAsia="zh-CN"/>
        </w:rPr>
        <w:t>，</w:t>
      </w:r>
      <w:r>
        <w:rPr>
          <w:rFonts w:hint="eastAsia" w:ascii="仿宋_GB2312" w:eastAsia="仿宋_GB2312" w:cs="仿宋_GB2312"/>
          <w:sz w:val="32"/>
          <w:szCs w:val="32"/>
        </w:rPr>
        <w:t>东邻至诚镇，南连春在镇，西接兴隆</w:t>
      </w:r>
      <w:r>
        <w:rPr>
          <w:rFonts w:hint="eastAsia" w:ascii="仿宋_GB2312" w:eastAsia="仿宋_GB2312" w:cs="仿宋_GB2312"/>
          <w:sz w:val="32"/>
          <w:szCs w:val="32"/>
          <w:lang w:eastAsia="zh-CN"/>
        </w:rPr>
        <w:t>镇</w:t>
      </w:r>
      <w:r>
        <w:rPr>
          <w:rFonts w:hint="eastAsia" w:ascii="仿宋_GB2312" w:eastAsia="仿宋_GB2312" w:cs="仿宋_GB2312"/>
          <w:sz w:val="32"/>
          <w:szCs w:val="32"/>
        </w:rPr>
        <w:t>，北靠瓦室镇。</w:t>
      </w:r>
      <w:r>
        <w:rPr>
          <w:rFonts w:hint="eastAsia" w:ascii="仿宋_GB2312" w:eastAsia="仿宋_GB2312" w:cs="仿宋_GB2312"/>
          <w:sz w:val="32"/>
          <w:szCs w:val="32"/>
          <w:lang w:eastAsia="zh-CN"/>
        </w:rPr>
        <w:t>辖区面积</w:t>
      </w:r>
      <w:r>
        <w:rPr>
          <w:rFonts w:hint="eastAsia" w:ascii="仿宋_GB2312" w:eastAsia="仿宋_GB2312"/>
          <w:sz w:val="32"/>
          <w:szCs w:val="32"/>
        </w:rPr>
        <w:t>96平方公里，毛浴境内地貌以丘陵和高山为主，全</w:t>
      </w:r>
      <w:r>
        <w:rPr>
          <w:rFonts w:hint="eastAsia" w:ascii="仿宋_GB2312" w:eastAsia="仿宋_GB2312"/>
          <w:sz w:val="32"/>
          <w:szCs w:val="32"/>
          <w:lang w:eastAsia="zh-CN"/>
        </w:rPr>
        <w:t>镇</w:t>
      </w:r>
      <w:r>
        <w:rPr>
          <w:rFonts w:hint="eastAsia" w:ascii="仿宋_GB2312" w:eastAsia="仿宋_GB2312"/>
          <w:sz w:val="32"/>
          <w:szCs w:val="32"/>
        </w:rPr>
        <w:t>辖</w:t>
      </w:r>
      <w:r>
        <w:rPr>
          <w:rFonts w:ascii="仿宋_GB2312" w:eastAsia="仿宋_GB2312"/>
          <w:sz w:val="32"/>
          <w:szCs w:val="32"/>
        </w:rPr>
        <w:t>7</w:t>
      </w:r>
      <w:r>
        <w:rPr>
          <w:rFonts w:hint="eastAsia" w:ascii="仿宋_GB2312" w:eastAsia="仿宋_GB2312"/>
          <w:sz w:val="32"/>
          <w:szCs w:val="32"/>
        </w:rPr>
        <w:t>个行政村</w:t>
      </w:r>
      <w:r>
        <w:rPr>
          <w:rFonts w:hint="eastAsia" w:ascii="仿宋_GB2312" w:eastAsia="仿宋_GB2312"/>
          <w:sz w:val="32"/>
          <w:szCs w:val="32"/>
          <w:lang w:eastAsia="zh-CN"/>
        </w:rPr>
        <w:t>和</w:t>
      </w:r>
      <w:r>
        <w:rPr>
          <w:rFonts w:hint="eastAsia" w:ascii="仿宋_GB2312" w:eastAsia="仿宋_GB2312"/>
          <w:sz w:val="32"/>
          <w:szCs w:val="32"/>
        </w:rPr>
        <w:t>1个街道社区</w:t>
      </w:r>
      <w:r>
        <w:rPr>
          <w:rFonts w:hint="eastAsia" w:ascii="仿宋_GB2312" w:eastAsia="仿宋_GB2312"/>
          <w:sz w:val="32"/>
          <w:szCs w:val="32"/>
          <w:lang w:eastAsia="zh-CN"/>
        </w:rPr>
        <w:t>居委会</w:t>
      </w:r>
      <w:r>
        <w:rPr>
          <w:rFonts w:hint="eastAsia" w:ascii="仿宋_GB2312" w:eastAsia="仿宋_GB2312"/>
          <w:sz w:val="32"/>
          <w:szCs w:val="32"/>
        </w:rPr>
        <w:t>，</w:t>
      </w:r>
      <w:r>
        <w:rPr>
          <w:rFonts w:ascii="仿宋_GB2312" w:eastAsia="仿宋_GB2312"/>
          <w:sz w:val="32"/>
          <w:szCs w:val="32"/>
          <w:lang w:val="en-US"/>
        </w:rPr>
        <w:t>55</w:t>
      </w:r>
      <w:r>
        <w:rPr>
          <w:rFonts w:hint="eastAsia" w:ascii="仿宋_GB2312" w:eastAsia="仿宋_GB2312"/>
          <w:sz w:val="32"/>
          <w:szCs w:val="32"/>
        </w:rPr>
        <w:t>个</w:t>
      </w:r>
      <w:r>
        <w:rPr>
          <w:rFonts w:hint="eastAsia" w:ascii="仿宋_GB2312" w:eastAsia="仿宋_GB2312"/>
          <w:sz w:val="32"/>
          <w:szCs w:val="32"/>
          <w:lang w:val="en-US"/>
        </w:rPr>
        <w:t>村民小</w:t>
      </w:r>
      <w:r>
        <w:rPr>
          <w:rFonts w:hint="eastAsia" w:ascii="仿宋" w:hAnsi="仿宋" w:eastAsia="仿宋" w:cs="仿宋"/>
          <w:sz w:val="32"/>
          <w:szCs w:val="32"/>
          <w:lang w:val="en-US"/>
        </w:rPr>
        <w:t>组</w:t>
      </w:r>
      <w:r>
        <w:rPr>
          <w:rFonts w:hint="eastAsia" w:ascii="仿宋" w:hAnsi="仿宋" w:eastAsia="仿宋" w:cs="仿宋"/>
          <w:sz w:val="32"/>
          <w:szCs w:val="32"/>
        </w:rPr>
        <w:t>，</w:t>
      </w:r>
      <w:r>
        <w:rPr>
          <w:rFonts w:hint="eastAsia" w:ascii="仿宋" w:hAnsi="仿宋" w:eastAsia="仿宋" w:cs="仿宋"/>
          <w:sz w:val="32"/>
          <w:szCs w:val="32"/>
          <w:lang w:val="en-US"/>
        </w:rPr>
        <w:t>全镇共有4760户14748人（其中：农业人口4431户14215人）。</w:t>
      </w:r>
    </w:p>
    <w:p>
      <w:pPr>
        <w:widowControl/>
        <w:numPr>
          <w:ilvl w:val="0"/>
          <w:numId w:val="6"/>
        </w:numPr>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机构职能。</w:t>
      </w:r>
    </w:p>
    <w:p>
      <w:pPr>
        <w:adjustRightInd w:val="0"/>
        <w:snapToGrid w:val="0"/>
        <w:spacing w:line="540" w:lineRule="exact"/>
        <w:ind w:firstLine="640" w:firstLineChars="200"/>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auto"/>
          <w:sz w:val="32"/>
          <w:szCs w:val="32"/>
          <w:highlight w:val="none"/>
          <w:lang w:val="en-US" w:eastAsia="zh-CN"/>
        </w:rPr>
        <w:t>毛浴镇</w:t>
      </w:r>
      <w:r>
        <w:rPr>
          <w:rFonts w:hint="eastAsia" w:ascii="仿宋" w:hAnsi="仿宋" w:eastAsia="仿宋" w:cs="仿宋"/>
          <w:color w:val="auto"/>
          <w:sz w:val="32"/>
          <w:szCs w:val="32"/>
          <w:highlight w:val="none"/>
        </w:rPr>
        <w:t>下属单位</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个，包括：</w:t>
      </w:r>
      <w:r>
        <w:rPr>
          <w:rFonts w:hint="eastAsia" w:ascii="仿宋" w:hAnsi="仿宋" w:eastAsia="仿宋" w:cs="仿宋"/>
          <w:color w:val="auto"/>
          <w:sz w:val="32"/>
          <w:szCs w:val="32"/>
          <w:highlight w:val="none"/>
          <w:lang w:eastAsia="zh-CN"/>
        </w:rPr>
        <w:t>党政综合办公室、财政所、社会事务管理办公室、社会治理办公室、行政综合执法办公室、经济发展和乡村振兴办公室、社会保障及农民工服务中心、村镇建设服务中心</w:t>
      </w:r>
      <w:r>
        <w:rPr>
          <w:rFonts w:hint="eastAsia" w:ascii="仿宋" w:hAnsi="仿宋" w:eastAsia="仿宋" w:cs="仿宋"/>
          <w:color w:val="auto"/>
          <w:sz w:val="32"/>
          <w:szCs w:val="32"/>
          <w:highlight w:val="none"/>
        </w:rPr>
        <w:t>。</w:t>
      </w:r>
      <w:r>
        <w:rPr>
          <w:rFonts w:hint="eastAsia" w:ascii="仿宋" w:hAnsi="仿宋" w:eastAsia="仿宋" w:cs="仿宋"/>
          <w:sz w:val="32"/>
          <w:szCs w:val="32"/>
        </w:rPr>
        <w:t>负责全</w:t>
      </w:r>
      <w:r>
        <w:rPr>
          <w:rFonts w:hint="eastAsia" w:ascii="仿宋" w:hAnsi="仿宋" w:eastAsia="仿宋" w:cs="仿宋"/>
          <w:sz w:val="32"/>
          <w:szCs w:val="32"/>
          <w:lang w:eastAsia="zh-CN"/>
        </w:rPr>
        <w:t>镇</w:t>
      </w:r>
      <w:r>
        <w:rPr>
          <w:rFonts w:hint="eastAsia" w:ascii="仿宋" w:hAnsi="仿宋" w:eastAsia="仿宋" w:cs="仿宋"/>
          <w:sz w:val="32"/>
          <w:szCs w:val="32"/>
        </w:rPr>
        <w:t>的农业、安全、计划生育、环境卫生、综合治理、信访、统计、招商引资、扶贫开发、文化教育、社会保障等一系列工作。</w:t>
      </w:r>
    </w:p>
    <w:p>
      <w:pPr>
        <w:numPr>
          <w:ilvl w:val="0"/>
          <w:numId w:val="6"/>
        </w:numPr>
        <w:adjustRightInd w:val="0"/>
        <w:snapToGrid w:val="0"/>
        <w:spacing w:line="540" w:lineRule="exact"/>
        <w:ind w:left="0" w:leftChars="0" w:firstLine="640" w:firstLineChars="200"/>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人员概况。</w:t>
      </w:r>
    </w:p>
    <w:p>
      <w:pPr>
        <w:numPr>
          <w:ilvl w:val="0"/>
          <w:numId w:val="0"/>
        </w:numPr>
        <w:adjustRightInd w:val="0"/>
        <w:snapToGrid w:val="0"/>
        <w:spacing w:line="540" w:lineRule="exact"/>
        <w:ind w:firstLine="640" w:firstLineChars="200"/>
        <w:rPr>
          <w:rFonts w:ascii="仿宋_GB2312" w:hAnsi="宋体" w:cs="宋体"/>
          <w:color w:val="000000"/>
          <w:kern w:val="0"/>
          <w:szCs w:val="32"/>
          <w:shd w:val="clear" w:color="auto" w:fill="FFFFFF"/>
          <w:lang w:val="zh-CN"/>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年末全</w:t>
      </w:r>
      <w:r>
        <w:rPr>
          <w:rFonts w:hint="eastAsia" w:ascii="仿宋" w:hAnsi="仿宋" w:eastAsia="仿宋" w:cs="仿宋"/>
          <w:sz w:val="32"/>
          <w:szCs w:val="32"/>
          <w:lang w:eastAsia="zh-CN"/>
        </w:rPr>
        <w:t>镇</w:t>
      </w:r>
      <w:r>
        <w:rPr>
          <w:rFonts w:hint="eastAsia" w:ascii="仿宋" w:hAnsi="仿宋" w:eastAsia="仿宋" w:cs="仿宋"/>
          <w:sz w:val="32"/>
          <w:szCs w:val="32"/>
        </w:rPr>
        <w:t>实有</w:t>
      </w:r>
      <w:r>
        <w:rPr>
          <w:rFonts w:hint="eastAsia" w:ascii="仿宋" w:hAnsi="仿宋" w:eastAsia="仿宋" w:cs="仿宋"/>
          <w:color w:val="auto"/>
          <w:sz w:val="32"/>
          <w:szCs w:val="32"/>
          <w:highlight w:val="none"/>
        </w:rPr>
        <w:t>职工总数</w:t>
      </w:r>
      <w:r>
        <w:rPr>
          <w:rFonts w:hint="eastAsia" w:ascii="仿宋" w:hAnsi="仿宋" w:eastAsia="仿宋" w:cs="仿宋"/>
          <w:color w:val="auto"/>
          <w:sz w:val="32"/>
          <w:szCs w:val="32"/>
          <w:highlight w:val="none"/>
          <w:lang w:val="en-US" w:eastAsia="zh-CN"/>
        </w:rPr>
        <w:t>136</w:t>
      </w:r>
      <w:r>
        <w:rPr>
          <w:rFonts w:hint="eastAsia" w:ascii="仿宋" w:hAnsi="仿宋" w:eastAsia="仿宋" w:cs="仿宋"/>
          <w:color w:val="auto"/>
          <w:sz w:val="32"/>
          <w:szCs w:val="32"/>
          <w:highlight w:val="none"/>
        </w:rPr>
        <w:t>人，其中：行政人员</w:t>
      </w:r>
      <w:r>
        <w:rPr>
          <w:rFonts w:hint="eastAsia" w:ascii="仿宋" w:hAnsi="仿宋" w:eastAsia="仿宋" w:cs="仿宋"/>
          <w:color w:val="auto"/>
          <w:sz w:val="32"/>
          <w:szCs w:val="32"/>
          <w:highlight w:val="none"/>
          <w:lang w:val="en-US" w:eastAsia="zh-CN"/>
        </w:rPr>
        <w:t>26</w:t>
      </w:r>
      <w:r>
        <w:rPr>
          <w:rFonts w:hint="eastAsia" w:ascii="仿宋" w:hAnsi="仿宋" w:eastAsia="仿宋" w:cs="仿宋"/>
          <w:color w:val="auto"/>
          <w:sz w:val="32"/>
          <w:szCs w:val="32"/>
          <w:highlight w:val="none"/>
        </w:rPr>
        <w:t>人，参照公务</w:t>
      </w:r>
      <w:r>
        <w:rPr>
          <w:rFonts w:hint="eastAsia" w:ascii="仿宋_GB2312" w:hAnsi="仿宋_GB2312" w:eastAsia="仿宋_GB2312" w:cs="仿宋_GB2312"/>
          <w:color w:val="auto"/>
          <w:sz w:val="32"/>
          <w:szCs w:val="32"/>
          <w:highlight w:val="none"/>
        </w:rPr>
        <w:t>员法管理人员</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人，定额定项事业、工勤等人员</w:t>
      </w:r>
      <w:r>
        <w:rPr>
          <w:rFonts w:hint="eastAsia" w:ascii="仿宋_GB2312" w:hAnsi="仿宋_GB2312" w:eastAsia="仿宋_GB2312" w:cs="仿宋_GB2312"/>
          <w:color w:val="auto"/>
          <w:sz w:val="32"/>
          <w:szCs w:val="32"/>
          <w:highlight w:val="none"/>
          <w:lang w:val="en-US" w:eastAsia="zh-CN"/>
        </w:rPr>
        <w:t>110</w:t>
      </w:r>
      <w:r>
        <w:rPr>
          <w:rFonts w:hint="eastAsia" w:ascii="仿宋_GB2312" w:hAnsi="仿宋_GB2312" w:eastAsia="仿宋_GB2312" w:cs="仿宋_GB2312"/>
          <w:color w:val="auto"/>
          <w:sz w:val="32"/>
          <w:szCs w:val="32"/>
          <w:highlight w:val="none"/>
        </w:rPr>
        <w:t>人，离退休人员</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遗嘱人员9人</w:t>
      </w:r>
      <w:r>
        <w:rPr>
          <w:rFonts w:hint="eastAsia" w:ascii="仿宋_GB2312" w:hAnsi="仿宋_GB2312" w:eastAsia="仿宋_GB2312" w:cs="仿宋_GB2312"/>
          <w:color w:val="auto"/>
          <w:sz w:val="32"/>
          <w:szCs w:val="32"/>
          <w:highlight w:val="none"/>
        </w:rPr>
        <w:t>。</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widowControl/>
        <w:adjustRightInd w:val="0"/>
        <w:snapToGrid w:val="0"/>
        <w:spacing w:line="580" w:lineRule="exact"/>
        <w:ind w:firstLine="560" w:firstLineChars="200"/>
        <w:contextualSpacing/>
        <w:jc w:val="left"/>
        <w:rPr>
          <w:rFonts w:ascii="仿宋_GB2312" w:hAnsi="宋体" w:eastAsia="仿宋_GB2312" w:cs="宋体"/>
          <w:color w:val="000000"/>
          <w:kern w:val="0"/>
          <w:sz w:val="28"/>
          <w:szCs w:val="28"/>
          <w:shd w:val="clear" w:color="auto" w:fill="FFFFFF"/>
          <w:lang w:val="zh-CN"/>
        </w:rPr>
      </w:pPr>
      <w:r>
        <w:rPr>
          <w:rFonts w:ascii="仿宋" w:hAnsi="仿宋" w:eastAsia="仿宋"/>
          <w:color w:val="000000"/>
          <w:sz w:val="28"/>
          <w:szCs w:val="28"/>
        </w:rPr>
        <w:t>20</w:t>
      </w:r>
      <w:r>
        <w:rPr>
          <w:rFonts w:hint="eastAsia" w:ascii="仿宋" w:hAnsi="仿宋" w:eastAsia="仿宋"/>
          <w:color w:val="000000"/>
          <w:sz w:val="28"/>
          <w:szCs w:val="28"/>
          <w:lang w:val="en-US" w:eastAsia="zh-CN"/>
        </w:rPr>
        <w:t>21</w:t>
      </w:r>
      <w:r>
        <w:rPr>
          <w:rFonts w:hint="eastAsia" w:ascii="仿宋" w:hAnsi="仿宋" w:eastAsia="仿宋"/>
          <w:color w:val="000000"/>
          <w:sz w:val="28"/>
          <w:szCs w:val="28"/>
        </w:rPr>
        <w:t>年财政拨款收入</w:t>
      </w:r>
      <w:r>
        <w:rPr>
          <w:rFonts w:hint="eastAsia" w:ascii="仿宋" w:hAnsi="仿宋" w:eastAsia="仿宋"/>
          <w:color w:val="000000"/>
          <w:sz w:val="28"/>
          <w:szCs w:val="28"/>
          <w:lang w:val="en-US" w:eastAsia="zh-CN"/>
        </w:rPr>
        <w:t>3875.18</w:t>
      </w:r>
      <w:r>
        <w:rPr>
          <w:rFonts w:hint="eastAsia" w:ascii="仿宋" w:hAnsi="仿宋" w:eastAsia="仿宋"/>
          <w:color w:val="000000"/>
          <w:sz w:val="28"/>
          <w:szCs w:val="28"/>
        </w:rPr>
        <w:t>万元。与</w:t>
      </w:r>
      <w:r>
        <w:rPr>
          <w:rFonts w:ascii="仿宋" w:hAnsi="仿宋" w:eastAsia="仿宋"/>
          <w:color w:val="000000"/>
          <w:sz w:val="28"/>
          <w:szCs w:val="28"/>
        </w:rPr>
        <w:t>20</w:t>
      </w:r>
      <w:r>
        <w:rPr>
          <w:rFonts w:hint="eastAsia" w:ascii="仿宋" w:hAnsi="仿宋" w:eastAsia="仿宋"/>
          <w:color w:val="000000"/>
          <w:sz w:val="28"/>
          <w:szCs w:val="28"/>
          <w:lang w:val="en-US" w:eastAsia="zh-CN"/>
        </w:rPr>
        <w:t>20</w:t>
      </w:r>
      <w:r>
        <w:rPr>
          <w:rFonts w:hint="eastAsia" w:ascii="仿宋" w:hAnsi="仿宋" w:eastAsia="仿宋"/>
          <w:color w:val="000000"/>
          <w:sz w:val="28"/>
          <w:szCs w:val="28"/>
        </w:rPr>
        <w:t>年相比，财政拨款收入</w:t>
      </w:r>
      <w:r>
        <w:rPr>
          <w:rFonts w:hint="eastAsia" w:ascii="仿宋" w:hAnsi="仿宋" w:eastAsia="仿宋"/>
          <w:color w:val="000000"/>
          <w:sz w:val="28"/>
          <w:szCs w:val="28"/>
          <w:lang w:eastAsia="zh-CN"/>
        </w:rPr>
        <w:t>增加</w:t>
      </w:r>
      <w:r>
        <w:rPr>
          <w:rFonts w:hint="eastAsia" w:ascii="仿宋" w:hAnsi="仿宋" w:eastAsia="仿宋"/>
          <w:color w:val="000000"/>
          <w:sz w:val="28"/>
          <w:szCs w:val="28"/>
          <w:lang w:val="en-US" w:eastAsia="zh-CN"/>
        </w:rPr>
        <w:t>1059.72万元</w:t>
      </w:r>
      <w:r>
        <w:rPr>
          <w:rFonts w:hint="eastAsia" w:ascii="仿宋" w:hAnsi="仿宋" w:eastAsia="仿宋"/>
          <w:color w:val="000000"/>
          <w:sz w:val="28"/>
          <w:szCs w:val="28"/>
        </w:rPr>
        <w:t>，</w:t>
      </w:r>
      <w:r>
        <w:rPr>
          <w:rFonts w:hint="eastAsia" w:ascii="仿宋" w:hAnsi="仿宋" w:eastAsia="仿宋"/>
          <w:color w:val="000000"/>
          <w:sz w:val="28"/>
          <w:szCs w:val="28"/>
          <w:lang w:eastAsia="zh-CN"/>
        </w:rPr>
        <w:t>增加</w:t>
      </w:r>
      <w:r>
        <w:rPr>
          <w:rFonts w:hint="eastAsia" w:ascii="仿宋" w:hAnsi="仿宋" w:eastAsia="仿宋"/>
          <w:color w:val="000000"/>
          <w:sz w:val="28"/>
          <w:szCs w:val="28"/>
          <w:lang w:val="en-US" w:eastAsia="zh-CN"/>
        </w:rPr>
        <w:t>37.64</w:t>
      </w:r>
      <w:r>
        <w:rPr>
          <w:rFonts w:hint="eastAsia" w:ascii="仿宋" w:hAnsi="仿宋" w:eastAsia="仿宋"/>
          <w:color w:val="000000"/>
          <w:sz w:val="28"/>
          <w:szCs w:val="28"/>
        </w:rPr>
        <w:t>%。</w:t>
      </w:r>
    </w:p>
    <w:p>
      <w:pPr>
        <w:widowControl/>
        <w:numPr>
          <w:ilvl w:val="0"/>
          <w:numId w:val="7"/>
        </w:numPr>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部门财政资金支出情况。</w:t>
      </w:r>
    </w:p>
    <w:p>
      <w:pPr>
        <w:widowControl/>
        <w:adjustRightInd w:val="0"/>
        <w:snapToGrid w:val="0"/>
        <w:spacing w:line="580" w:lineRule="exact"/>
        <w:ind w:firstLine="560" w:firstLineChars="200"/>
        <w:contextualSpacing/>
        <w:jc w:val="left"/>
        <w:rPr>
          <w:rFonts w:hint="eastAsia" w:ascii="仿宋" w:hAnsi="仿宋" w:eastAsia="仿宋"/>
          <w:color w:val="000000"/>
          <w:sz w:val="28"/>
          <w:szCs w:val="28"/>
        </w:rPr>
      </w:pPr>
      <w:r>
        <w:rPr>
          <w:rFonts w:ascii="仿宋" w:hAnsi="仿宋" w:eastAsia="仿宋"/>
          <w:color w:val="000000"/>
          <w:sz w:val="28"/>
          <w:szCs w:val="28"/>
        </w:rPr>
        <w:t>20</w:t>
      </w:r>
      <w:r>
        <w:rPr>
          <w:rFonts w:hint="eastAsia" w:ascii="仿宋" w:hAnsi="仿宋" w:eastAsia="仿宋"/>
          <w:color w:val="000000"/>
          <w:sz w:val="28"/>
          <w:szCs w:val="28"/>
          <w:lang w:val="en-US" w:eastAsia="zh-CN"/>
        </w:rPr>
        <w:t>21</w:t>
      </w:r>
      <w:r>
        <w:rPr>
          <w:rFonts w:hint="eastAsia" w:ascii="仿宋" w:hAnsi="仿宋" w:eastAsia="仿宋"/>
          <w:color w:val="000000"/>
          <w:sz w:val="28"/>
          <w:szCs w:val="28"/>
        </w:rPr>
        <w:t>年财政拨款</w:t>
      </w:r>
      <w:r>
        <w:rPr>
          <w:rFonts w:hint="eastAsia" w:ascii="仿宋" w:hAnsi="仿宋" w:eastAsia="仿宋"/>
          <w:color w:val="000000"/>
          <w:sz w:val="28"/>
          <w:szCs w:val="28"/>
          <w:lang w:eastAsia="zh-CN"/>
        </w:rPr>
        <w:t>支出</w:t>
      </w:r>
      <w:r>
        <w:rPr>
          <w:rFonts w:hint="eastAsia" w:ascii="仿宋" w:hAnsi="仿宋" w:eastAsia="仿宋"/>
          <w:color w:val="000000"/>
          <w:sz w:val="28"/>
          <w:szCs w:val="28"/>
          <w:lang w:val="en-US" w:eastAsia="zh-CN"/>
        </w:rPr>
        <w:t>3875.18</w:t>
      </w:r>
      <w:r>
        <w:rPr>
          <w:rFonts w:hint="eastAsia" w:ascii="仿宋" w:hAnsi="仿宋" w:eastAsia="仿宋"/>
          <w:color w:val="000000"/>
          <w:sz w:val="28"/>
          <w:szCs w:val="28"/>
        </w:rPr>
        <w:t>万元。与</w:t>
      </w:r>
      <w:r>
        <w:rPr>
          <w:rFonts w:ascii="仿宋" w:hAnsi="仿宋" w:eastAsia="仿宋"/>
          <w:color w:val="000000"/>
          <w:sz w:val="28"/>
          <w:szCs w:val="28"/>
        </w:rPr>
        <w:t>20</w:t>
      </w:r>
      <w:r>
        <w:rPr>
          <w:rFonts w:hint="eastAsia" w:ascii="仿宋" w:hAnsi="仿宋" w:eastAsia="仿宋"/>
          <w:color w:val="000000"/>
          <w:sz w:val="28"/>
          <w:szCs w:val="28"/>
          <w:lang w:val="en-US" w:eastAsia="zh-CN"/>
        </w:rPr>
        <w:t>20</w:t>
      </w:r>
      <w:r>
        <w:rPr>
          <w:rFonts w:hint="eastAsia" w:ascii="仿宋" w:hAnsi="仿宋" w:eastAsia="仿宋"/>
          <w:color w:val="000000"/>
          <w:sz w:val="28"/>
          <w:szCs w:val="28"/>
        </w:rPr>
        <w:t>年相比，财政拨款收入</w:t>
      </w:r>
      <w:r>
        <w:rPr>
          <w:rFonts w:hint="eastAsia" w:ascii="仿宋" w:hAnsi="仿宋" w:eastAsia="仿宋"/>
          <w:color w:val="000000"/>
          <w:sz w:val="28"/>
          <w:szCs w:val="28"/>
          <w:lang w:eastAsia="zh-CN"/>
        </w:rPr>
        <w:t>增加</w:t>
      </w:r>
      <w:r>
        <w:rPr>
          <w:rFonts w:hint="eastAsia" w:ascii="仿宋" w:hAnsi="仿宋" w:eastAsia="仿宋"/>
          <w:color w:val="000000"/>
          <w:sz w:val="28"/>
          <w:szCs w:val="28"/>
          <w:lang w:val="en-US" w:eastAsia="zh-CN"/>
        </w:rPr>
        <w:t>1059.72万元</w:t>
      </w:r>
      <w:r>
        <w:rPr>
          <w:rFonts w:hint="eastAsia" w:ascii="仿宋" w:hAnsi="仿宋" w:eastAsia="仿宋"/>
          <w:color w:val="000000"/>
          <w:sz w:val="28"/>
          <w:szCs w:val="28"/>
        </w:rPr>
        <w:t>，</w:t>
      </w:r>
      <w:r>
        <w:rPr>
          <w:rFonts w:hint="eastAsia" w:ascii="仿宋" w:hAnsi="仿宋" w:eastAsia="仿宋"/>
          <w:color w:val="000000"/>
          <w:sz w:val="28"/>
          <w:szCs w:val="28"/>
          <w:lang w:eastAsia="zh-CN"/>
        </w:rPr>
        <w:t>增加</w:t>
      </w:r>
      <w:r>
        <w:rPr>
          <w:rFonts w:hint="eastAsia" w:ascii="仿宋" w:hAnsi="仿宋" w:eastAsia="仿宋"/>
          <w:color w:val="000000"/>
          <w:sz w:val="28"/>
          <w:szCs w:val="28"/>
          <w:lang w:val="en-US" w:eastAsia="zh-CN"/>
        </w:rPr>
        <w:t>37.64</w:t>
      </w:r>
      <w:r>
        <w:rPr>
          <w:rFonts w:hint="eastAsia" w:ascii="仿宋" w:hAnsi="仿宋" w:eastAsia="仿宋"/>
          <w:color w:val="000000"/>
          <w:sz w:val="28"/>
          <w:szCs w:val="28"/>
        </w:rPr>
        <w:t>%。</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adjustRightInd w:val="0"/>
        <w:snapToGrid w:val="0"/>
        <w:spacing w:line="560" w:lineRule="exact"/>
        <w:ind w:firstLine="560" w:firstLineChars="200"/>
        <w:rPr>
          <w:rFonts w:ascii="仿宋" w:hAnsi="仿宋" w:eastAsia="仿宋" w:cs="仿宋_GB2312"/>
          <w:sz w:val="28"/>
          <w:szCs w:val="28"/>
        </w:rPr>
      </w:pPr>
      <w:r>
        <w:rPr>
          <w:rFonts w:hint="eastAsia" w:ascii="仿宋_GB2312" w:hAnsi="宋体" w:eastAsia="仿宋_GB2312"/>
          <w:sz w:val="28"/>
          <w:szCs w:val="28"/>
        </w:rPr>
        <w:t>20</w:t>
      </w:r>
      <w:r>
        <w:rPr>
          <w:rFonts w:hint="eastAsia" w:ascii="仿宋_GB2312" w:hAnsi="宋体" w:eastAsia="仿宋_GB2312"/>
          <w:sz w:val="28"/>
          <w:szCs w:val="28"/>
          <w:lang w:val="en-US" w:eastAsia="zh-CN"/>
        </w:rPr>
        <w:t>21</w:t>
      </w:r>
      <w:r>
        <w:rPr>
          <w:rFonts w:hint="eastAsia" w:ascii="仿宋_GB2312" w:hAnsi="宋体" w:eastAsia="仿宋_GB2312"/>
          <w:sz w:val="28"/>
          <w:szCs w:val="28"/>
        </w:rPr>
        <w:t>年全年，</w:t>
      </w:r>
      <w:r>
        <w:rPr>
          <w:rFonts w:hint="eastAsia" w:ascii="仿宋_GB2312" w:hAnsi="宋体" w:eastAsia="仿宋_GB2312"/>
          <w:sz w:val="28"/>
          <w:szCs w:val="28"/>
          <w:lang w:val="zh-CN"/>
        </w:rPr>
        <w:t>保障单位</w:t>
      </w:r>
      <w:r>
        <w:rPr>
          <w:rFonts w:hint="eastAsia" w:ascii="仿宋_GB2312" w:hAnsi="宋体" w:eastAsia="仿宋_GB2312"/>
          <w:sz w:val="28"/>
          <w:szCs w:val="28"/>
          <w:lang w:val="en-US" w:eastAsia="zh-CN"/>
        </w:rPr>
        <w:t>145</w:t>
      </w:r>
      <w:r>
        <w:rPr>
          <w:rFonts w:hint="eastAsia" w:ascii="仿宋_GB2312" w:hAnsi="宋体" w:eastAsia="仿宋_GB2312"/>
          <w:sz w:val="28"/>
          <w:szCs w:val="28"/>
        </w:rPr>
        <w:t>人的</w:t>
      </w:r>
      <w:r>
        <w:rPr>
          <w:rFonts w:hint="eastAsia" w:ascii="仿宋_GB2312" w:hAnsi="宋体" w:eastAsia="仿宋_GB2312"/>
          <w:sz w:val="28"/>
          <w:szCs w:val="28"/>
          <w:lang w:val="zh-CN"/>
        </w:rPr>
        <w:t>工资福利支出，做到足额及时发放；</w:t>
      </w:r>
      <w:r>
        <w:rPr>
          <w:rFonts w:hint="eastAsia" w:ascii="仿宋_GB2312" w:hAnsi="宋体" w:eastAsia="仿宋_GB2312"/>
          <w:sz w:val="28"/>
          <w:szCs w:val="28"/>
        </w:rPr>
        <w:t>工资福利、运转、民生保障率达到100%；预算单位严格控制“三公经费”，相比20</w:t>
      </w:r>
      <w:r>
        <w:rPr>
          <w:rFonts w:hint="eastAsia" w:ascii="仿宋_GB2312" w:hAnsi="宋体" w:eastAsia="仿宋_GB2312"/>
          <w:sz w:val="28"/>
          <w:szCs w:val="28"/>
          <w:lang w:val="en-US" w:eastAsia="zh-CN"/>
        </w:rPr>
        <w:t>20</w:t>
      </w:r>
      <w:r>
        <w:rPr>
          <w:rFonts w:hint="eastAsia" w:ascii="仿宋_GB2312" w:hAnsi="宋体" w:eastAsia="仿宋_GB2312"/>
          <w:sz w:val="28"/>
          <w:szCs w:val="28"/>
        </w:rPr>
        <w:t>年度，总量下降5%以上；推行节能环保措施，能源消耗节约率达到5%以上；圆满完成原定目标绩效任务。各项指标均达到并超过合格要求线。</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widowControl/>
        <w:adjustRightInd w:val="0"/>
        <w:snapToGrid w:val="0"/>
        <w:spacing w:line="580" w:lineRule="exact"/>
        <w:ind w:firstLine="560" w:firstLineChars="200"/>
        <w:contextualSpacing/>
        <w:jc w:val="left"/>
        <w:rPr>
          <w:rFonts w:ascii="仿宋" w:hAnsi="仿宋" w:eastAsia="仿宋" w:cs="仿宋_GB2312"/>
          <w:sz w:val="28"/>
          <w:szCs w:val="28"/>
        </w:rPr>
      </w:pPr>
      <w:r>
        <w:rPr>
          <w:rFonts w:ascii="仿宋" w:hAnsi="仿宋" w:eastAsia="仿宋" w:cs="仿宋_GB2312"/>
          <w:sz w:val="28"/>
          <w:szCs w:val="28"/>
        </w:rPr>
        <w:t>专项预算项目程序严密、合理规划、分配</w:t>
      </w:r>
      <w:r>
        <w:rPr>
          <w:rFonts w:hint="eastAsia" w:ascii="仿宋" w:hAnsi="仿宋" w:eastAsia="仿宋" w:cs="仿宋_GB2312"/>
          <w:sz w:val="28"/>
          <w:szCs w:val="28"/>
        </w:rPr>
        <w:t>较</w:t>
      </w:r>
      <w:r>
        <w:rPr>
          <w:rFonts w:ascii="仿宋" w:hAnsi="仿宋" w:eastAsia="仿宋" w:cs="仿宋_GB2312"/>
          <w:sz w:val="28"/>
          <w:szCs w:val="28"/>
        </w:rPr>
        <w:t>科学、分配及时、</w:t>
      </w:r>
      <w:r>
        <w:rPr>
          <w:rFonts w:hint="eastAsia" w:ascii="仿宋" w:hAnsi="仿宋" w:eastAsia="仿宋" w:cs="仿宋_GB2312"/>
          <w:sz w:val="28"/>
          <w:szCs w:val="28"/>
        </w:rPr>
        <w:t>无</w:t>
      </w:r>
      <w:r>
        <w:rPr>
          <w:rFonts w:ascii="仿宋" w:hAnsi="仿宋" w:eastAsia="仿宋" w:cs="仿宋_GB2312"/>
          <w:sz w:val="28"/>
          <w:szCs w:val="28"/>
        </w:rPr>
        <w:t>违规记录等情况。</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widowControl/>
        <w:adjustRightInd w:val="0"/>
        <w:snapToGrid w:val="0"/>
        <w:spacing w:line="580" w:lineRule="exact"/>
        <w:ind w:firstLine="560" w:firstLineChars="200"/>
        <w:contextualSpacing/>
        <w:jc w:val="left"/>
        <w:rPr>
          <w:rFonts w:ascii="仿宋_GB2312" w:hAnsi="宋体" w:eastAsia="仿宋_GB2312" w:cs="宋体"/>
          <w:color w:val="000000"/>
          <w:kern w:val="0"/>
          <w:sz w:val="28"/>
          <w:szCs w:val="28"/>
          <w:shd w:val="clear" w:color="auto" w:fill="FFFFFF"/>
          <w:lang w:val="zh-CN"/>
        </w:rPr>
      </w:pPr>
      <w:r>
        <w:rPr>
          <w:rFonts w:hint="eastAsia" w:ascii="仿宋" w:hAnsi="仿宋" w:eastAsia="仿宋"/>
          <w:sz w:val="28"/>
          <w:szCs w:val="28"/>
        </w:rPr>
        <w:t>20</w:t>
      </w:r>
      <w:r>
        <w:rPr>
          <w:rFonts w:hint="eastAsia" w:ascii="仿宋" w:hAnsi="仿宋" w:eastAsia="仿宋"/>
          <w:sz w:val="28"/>
          <w:szCs w:val="28"/>
          <w:lang w:val="en-US" w:eastAsia="zh-CN"/>
        </w:rPr>
        <w:t>21</w:t>
      </w:r>
      <w:r>
        <w:rPr>
          <w:rFonts w:hint="eastAsia" w:ascii="仿宋" w:hAnsi="仿宋" w:eastAsia="仿宋"/>
          <w:sz w:val="28"/>
          <w:szCs w:val="28"/>
        </w:rPr>
        <w:t>年全年，圆满完成原定目标绩效任务。各项指标均达到并超过合格要求线。</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w:t>
      </w:r>
    </w:p>
    <w:p>
      <w:pPr>
        <w:adjustRightInd w:val="0"/>
        <w:snapToGrid w:val="0"/>
        <w:spacing w:line="540" w:lineRule="exact"/>
        <w:ind w:firstLine="720"/>
        <w:rPr>
          <w:rFonts w:ascii="仿宋" w:hAnsi="仿宋" w:eastAsia="仿宋"/>
          <w:sz w:val="28"/>
          <w:szCs w:val="28"/>
          <w:lang w:val="zh-CN"/>
        </w:rPr>
      </w:pPr>
      <w:r>
        <w:rPr>
          <w:rFonts w:hint="eastAsia" w:ascii="仿宋" w:hAnsi="仿宋" w:eastAsia="仿宋"/>
          <w:sz w:val="28"/>
          <w:szCs w:val="28"/>
          <w:lang w:val="zh-CN"/>
        </w:rPr>
        <w:t>一是项目管理不到位。如惠民惠农政策由于收集的基础资料和信息不完整、不准确，导致对部分受益人的补贴多次直发失败；导致群众满意度降低。</w:t>
      </w:r>
    </w:p>
    <w:p>
      <w:pPr>
        <w:adjustRightInd w:val="0"/>
        <w:snapToGrid w:val="0"/>
        <w:spacing w:line="540" w:lineRule="exact"/>
        <w:ind w:firstLine="720"/>
        <w:rPr>
          <w:rFonts w:ascii="仿宋" w:hAnsi="仿宋" w:eastAsia="仿宋"/>
          <w:sz w:val="28"/>
          <w:szCs w:val="28"/>
          <w:lang w:val="zh-CN"/>
        </w:rPr>
      </w:pPr>
      <w:r>
        <w:rPr>
          <w:rFonts w:hint="eastAsia" w:ascii="仿宋" w:hAnsi="仿宋" w:eastAsia="仿宋"/>
          <w:sz w:val="28"/>
          <w:szCs w:val="28"/>
          <w:lang w:val="zh-CN"/>
        </w:rPr>
        <w:t>二是预算执行进度慢。存在部分资金申报不及时，项目实施进度偏慢，报账不及时，补贴资金未及时兑现到农户的现象。</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adjustRightInd w:val="0"/>
        <w:snapToGrid w:val="0"/>
        <w:spacing w:line="540" w:lineRule="exact"/>
        <w:ind w:firstLine="560" w:firstLineChars="200"/>
        <w:rPr>
          <w:rFonts w:ascii="仿宋" w:hAnsi="仿宋" w:eastAsia="仿宋"/>
          <w:sz w:val="28"/>
          <w:szCs w:val="28"/>
          <w:lang w:val="zh-CN"/>
        </w:rPr>
      </w:pPr>
      <w:r>
        <w:rPr>
          <w:rFonts w:hint="eastAsia" w:ascii="仿宋" w:hAnsi="仿宋" w:eastAsia="仿宋"/>
          <w:sz w:val="28"/>
          <w:szCs w:val="28"/>
          <w:lang w:val="zh-CN"/>
        </w:rPr>
        <w:t>1.强化绩效理念，深入推进评价工作。进一步强化绩效管理理念，把财政绩效评价作为转变政府职能、深化财政改革、促进科学理财的重要工作来抓，健全完善制度办法，切实加强组织领导，深入推进评价工作，提升整体绩效管理水平。</w:t>
      </w:r>
    </w:p>
    <w:p>
      <w:pPr>
        <w:adjustRightInd w:val="0"/>
        <w:snapToGrid w:val="0"/>
        <w:spacing w:line="540" w:lineRule="exact"/>
        <w:ind w:firstLine="720"/>
        <w:rPr>
          <w:rFonts w:ascii="仿宋" w:hAnsi="仿宋" w:eastAsia="仿宋"/>
          <w:sz w:val="28"/>
          <w:szCs w:val="28"/>
          <w:lang w:val="zh-CN"/>
        </w:rPr>
      </w:pPr>
      <w:r>
        <w:rPr>
          <w:rFonts w:hint="eastAsia" w:ascii="仿宋" w:hAnsi="仿宋" w:eastAsia="仿宋"/>
          <w:sz w:val="28"/>
          <w:szCs w:val="28"/>
          <w:lang w:val="zh-CN"/>
        </w:rPr>
        <w:t>2.强化事前准备，提升评价质量。在推进自身评价工作开展时，结合评价工作实际，完善项目评价特性指标，规范评价标准，立足管理需求，预设评价重点，确保绩效评价结果公正、客观、精准，做到评价结果客观公正、实事求是，真实反映绩效，如实反映问题，切实提高评价质量。</w:t>
      </w:r>
    </w:p>
    <w:p>
      <w:pPr>
        <w:spacing w:line="580" w:lineRule="exact"/>
        <w:ind w:firstLine="560" w:firstLineChars="200"/>
        <w:rPr>
          <w:rFonts w:ascii="仿宋" w:hAnsi="仿宋" w:eastAsia="仿宋" w:cs="仿宋_GB2312"/>
          <w:sz w:val="28"/>
          <w:szCs w:val="28"/>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tbl>
      <w:tblPr>
        <w:tblStyle w:val="12"/>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both"/>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sz w:val="32"/>
                <w:szCs w:val="32"/>
                <w:highlight w:val="none"/>
                <w:u w:val="none"/>
                <w:lang w:val="en-US" w:eastAsia="zh-CN"/>
              </w:rPr>
              <w:t>2021年100万元以上（含）特定目标类部门预算项目绩效目标自评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项目预算</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执行情况</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highlight w:val="none"/>
                <w:u w:val="none"/>
              </w:rPr>
            </w:pP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效益</w:t>
            </w:r>
            <w:r>
              <w:rPr>
                <w:rFonts w:hint="eastAsia" w:ascii="仿宋_GB2312" w:hAnsi="仿宋_GB2312" w:eastAsia="仿宋_GB2312" w:cs="仿宋_GB2312"/>
                <w:i w:val="0"/>
                <w:color w:val="auto"/>
                <w:kern w:val="0"/>
                <w:sz w:val="28"/>
                <w:szCs w:val="28"/>
                <w:highlight w:val="none"/>
                <w:u w:val="none"/>
                <w:lang w:val="en-US" w:eastAsia="zh-CN" w:bidi="ar"/>
              </w:rPr>
              <w:br w:type="textWrapping"/>
            </w: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ind w:left="463" w:leftChars="87" w:hanging="280" w:hangingChars="100"/>
              <w:jc w:val="left"/>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满意</w:t>
            </w:r>
            <w:r>
              <w:rPr>
                <w:rFonts w:hint="eastAsia" w:ascii="仿宋_GB2312" w:hAnsi="仿宋_GB2312" w:eastAsia="仿宋_GB2312" w:cs="仿宋_GB2312"/>
                <w:i w:val="0"/>
                <w:color w:val="auto"/>
                <w:kern w:val="0"/>
                <w:sz w:val="28"/>
                <w:szCs w:val="28"/>
                <w:highlight w:val="none"/>
                <w:u w:val="none"/>
                <w:lang w:val="en-US" w:eastAsia="zh-CN" w:bidi="ar"/>
              </w:rPr>
              <w:br w:type="textWrapping"/>
            </w:r>
            <w:r>
              <w:rPr>
                <w:rFonts w:hint="eastAsia" w:ascii="仿宋_GB2312" w:hAnsi="仿宋_GB2312" w:eastAsia="仿宋_GB2312" w:cs="仿宋_GB2312"/>
                <w:i w:val="0"/>
                <w:color w:val="auto"/>
                <w:kern w:val="0"/>
                <w:sz w:val="28"/>
                <w:szCs w:val="28"/>
                <w:highlight w:val="none"/>
                <w:u w:val="none"/>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r>
    </w:tbl>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zh-CN"/>
        </w:rPr>
      </w:pPr>
      <w:r>
        <w:rPr>
          <w:rFonts w:hint="eastAsia" w:ascii="仿宋_GB2312" w:hAnsi="宋体" w:eastAsia="仿宋_GB2312" w:cs="宋体"/>
          <w:b w:val="0"/>
          <w:bCs w:val="0"/>
          <w:color w:val="auto"/>
          <w:kern w:val="0"/>
          <w:sz w:val="32"/>
          <w:szCs w:val="32"/>
          <w:highlight w:val="none"/>
          <w:shd w:val="clear" w:color="auto" w:fill="FFFFFF"/>
          <w:lang w:val="zh-CN"/>
        </w:rPr>
        <w:t>附表：</w:t>
      </w:r>
    </w:p>
    <w:p>
      <w:pPr>
        <w:widowControl/>
        <w:adjustRightInd w:val="0"/>
        <w:snapToGrid w:val="0"/>
        <w:spacing w:line="580" w:lineRule="exact"/>
        <w:contextualSpacing/>
        <w:jc w:val="left"/>
        <w:rPr>
          <w:color w:val="auto"/>
          <w:highlight w:val="none"/>
        </w:rPr>
      </w:pPr>
      <w:r>
        <w:rPr>
          <w:rFonts w:hint="eastAsia" w:ascii="仿宋_GB2312" w:hAnsi="宋体" w:eastAsia="仿宋_GB2312" w:cs="宋体"/>
          <w:color w:val="auto"/>
          <w:kern w:val="0"/>
          <w:sz w:val="32"/>
          <w:szCs w:val="32"/>
          <w:highlight w:val="none"/>
          <w:shd w:val="clear" w:color="auto" w:fill="FFFFFF"/>
          <w:lang w:val="en-US" w:eastAsia="zh-CN"/>
        </w:rPr>
        <w:t>（注：有两个及以上100万元以上（含）特定目标类部门预算项目的，需分别开展绩效目标自评并填写附表）</w:t>
      </w:r>
    </w:p>
    <w:p>
      <w:pPr>
        <w:spacing w:line="580" w:lineRule="exact"/>
        <w:rPr>
          <w:rStyle w:val="24"/>
          <w:rFonts w:ascii="黑体" w:hAnsi="黑体" w:eastAsia="黑体"/>
          <w:b w:val="0"/>
          <w:color w:val="auto"/>
          <w:highlight w:val="none"/>
        </w:rPr>
      </w:pPr>
    </w:p>
    <w:p>
      <w:pPr>
        <w:widowControl/>
        <w:jc w:val="left"/>
        <w:rPr>
          <w:rStyle w:val="24"/>
          <w:rFonts w:ascii="黑体" w:hAnsi="黑体" w:eastAsia="黑体"/>
          <w:b w:val="0"/>
          <w:color w:val="auto"/>
          <w:highlight w:val="none"/>
        </w:rPr>
      </w:pPr>
      <w:r>
        <w:rPr>
          <w:rStyle w:val="24"/>
          <w:rFonts w:ascii="黑体" w:hAnsi="黑体" w:eastAsia="黑体"/>
          <w:b w:val="0"/>
          <w:color w:val="auto"/>
          <w:highlight w:val="none"/>
        </w:rPr>
        <w:br w:type="page"/>
      </w:r>
    </w:p>
    <w:p>
      <w:pPr>
        <w:spacing w:line="600" w:lineRule="exact"/>
        <w:jc w:val="center"/>
        <w:outlineLvl w:val="0"/>
        <w:rPr>
          <w:rFonts w:hint="eastAsia" w:ascii="仿宋" w:hAnsi="仿宋" w:eastAsia="仿宋"/>
          <w:b w:val="0"/>
          <w:color w:val="auto"/>
          <w:highlight w:val="none"/>
        </w:rPr>
      </w:pPr>
      <w:bookmarkStart w:id="85" w:name="_Toc15396618"/>
      <w:bookmarkStart w:id="86" w:name="_Toc22451"/>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 附表</w:t>
      </w:r>
      <w:bookmarkEnd w:id="81"/>
      <w:bookmarkEnd w:id="85"/>
      <w:bookmarkEnd w:id="86"/>
      <w:bookmarkStart w:id="87" w:name="_Toc15396619"/>
    </w:p>
    <w:p>
      <w:pPr>
        <w:pStyle w:val="4"/>
      </w:pPr>
      <w:bookmarkStart w:id="88" w:name="_Toc28969"/>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bookmarkEnd w:id="87"/>
      <w:bookmarkEnd w:id="88"/>
    </w:p>
    <w:p>
      <w:pPr>
        <w:pStyle w:val="4"/>
        <w:numPr>
          <w:ilvl w:val="0"/>
          <w:numId w:val="8"/>
        </w:numPr>
        <w:rPr>
          <w:rStyle w:val="25"/>
          <w:rFonts w:hint="eastAsia" w:ascii="仿宋" w:hAnsi="仿宋" w:eastAsia="仿宋"/>
          <w:b w:val="0"/>
          <w:bCs w:val="0"/>
          <w:color w:val="auto"/>
          <w:highlight w:val="none"/>
        </w:rPr>
      </w:pPr>
      <w:bookmarkStart w:id="89" w:name="_Toc15396620"/>
      <w:bookmarkStart w:id="90" w:name="_Toc25210"/>
      <w:r>
        <w:rPr>
          <w:rFonts w:hint="eastAsia" w:ascii="仿宋" w:hAnsi="仿宋" w:eastAsia="仿宋"/>
          <w:b w:val="0"/>
          <w:color w:val="auto"/>
          <w:highlight w:val="none"/>
        </w:rPr>
        <w:t>收</w:t>
      </w:r>
      <w:r>
        <w:rPr>
          <w:rStyle w:val="25"/>
          <w:rFonts w:hint="eastAsia" w:ascii="仿宋" w:hAnsi="仿宋" w:eastAsia="仿宋"/>
          <w:b w:val="0"/>
          <w:bCs w:val="0"/>
          <w:color w:val="auto"/>
          <w:highlight w:val="none"/>
        </w:rPr>
        <w:t>入决算表</w:t>
      </w:r>
      <w:bookmarkEnd w:id="89"/>
      <w:bookmarkEnd w:id="90"/>
    </w:p>
    <w:p>
      <w:pPr>
        <w:pStyle w:val="4"/>
        <w:rPr>
          <w:rStyle w:val="25"/>
          <w:rFonts w:hint="eastAsia" w:ascii="仿宋" w:hAnsi="仿宋" w:eastAsia="仿宋"/>
          <w:b w:val="0"/>
          <w:bCs w:val="0"/>
          <w:color w:val="auto"/>
          <w:highlight w:val="none"/>
        </w:rPr>
      </w:pPr>
      <w:bookmarkStart w:id="91" w:name="_Toc218"/>
      <w:bookmarkStart w:id="92" w:name="_Toc15396621"/>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91"/>
      <w:bookmarkEnd w:id="92"/>
    </w:p>
    <w:p>
      <w:pPr>
        <w:pStyle w:val="4"/>
        <w:rPr>
          <w:rStyle w:val="25"/>
          <w:rFonts w:hint="eastAsia" w:ascii="仿宋" w:hAnsi="仿宋" w:eastAsia="仿宋"/>
          <w:b w:val="0"/>
          <w:bCs w:val="0"/>
          <w:color w:val="auto"/>
          <w:highlight w:val="none"/>
        </w:rPr>
      </w:pPr>
      <w:bookmarkStart w:id="93" w:name="_Toc15396622"/>
      <w:bookmarkStart w:id="94" w:name="_Toc3184"/>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93"/>
      <w:bookmarkEnd w:id="94"/>
    </w:p>
    <w:p>
      <w:pPr>
        <w:pStyle w:val="4"/>
        <w:rPr>
          <w:rStyle w:val="25"/>
          <w:rFonts w:hint="eastAsia" w:ascii="仿宋" w:hAnsi="仿宋" w:eastAsia="仿宋"/>
          <w:b w:val="0"/>
          <w:bCs w:val="0"/>
          <w:color w:val="auto"/>
          <w:highlight w:val="none"/>
        </w:rPr>
      </w:pPr>
      <w:bookmarkStart w:id="95" w:name="_Toc15396623"/>
      <w:bookmarkStart w:id="96" w:name="_Toc15488"/>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95"/>
      <w:bookmarkEnd w:id="96"/>
      <w:bookmarkStart w:id="97" w:name="_Toc15396624"/>
    </w:p>
    <w:p>
      <w:pPr>
        <w:pStyle w:val="4"/>
        <w:rPr>
          <w:rStyle w:val="25"/>
          <w:rFonts w:hint="eastAsia" w:ascii="仿宋" w:hAnsi="仿宋" w:eastAsia="仿宋"/>
          <w:b w:val="0"/>
          <w:bCs w:val="0"/>
          <w:color w:val="auto"/>
          <w:highlight w:val="none"/>
        </w:rPr>
      </w:pPr>
      <w:bookmarkStart w:id="98" w:name="_Toc24332"/>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97"/>
      <w:bookmarkEnd w:id="98"/>
    </w:p>
    <w:p>
      <w:pPr>
        <w:pStyle w:val="4"/>
        <w:rPr>
          <w:rStyle w:val="25"/>
          <w:rFonts w:hint="eastAsia" w:ascii="仿宋" w:hAnsi="仿宋" w:eastAsia="仿宋"/>
          <w:b w:val="0"/>
          <w:bCs w:val="0"/>
          <w:color w:val="auto"/>
          <w:highlight w:val="none"/>
        </w:rPr>
      </w:pPr>
      <w:bookmarkStart w:id="99" w:name="_Toc15396625"/>
      <w:bookmarkStart w:id="100" w:name="_Toc7586"/>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99"/>
      <w:bookmarkEnd w:id="100"/>
    </w:p>
    <w:p>
      <w:pPr>
        <w:pStyle w:val="4"/>
        <w:rPr>
          <w:rStyle w:val="25"/>
          <w:rFonts w:hint="eastAsia" w:ascii="仿宋" w:hAnsi="仿宋" w:eastAsia="仿宋"/>
          <w:b w:val="0"/>
          <w:bCs w:val="0"/>
          <w:color w:val="auto"/>
          <w:highlight w:val="none"/>
        </w:rPr>
      </w:pPr>
      <w:bookmarkStart w:id="101" w:name="_Toc29666"/>
      <w:bookmarkStart w:id="102" w:name="_Toc15396626"/>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101"/>
      <w:bookmarkEnd w:id="102"/>
    </w:p>
    <w:p>
      <w:pPr>
        <w:pStyle w:val="4"/>
        <w:rPr>
          <w:rStyle w:val="25"/>
          <w:rFonts w:hint="eastAsia" w:ascii="仿宋" w:hAnsi="仿宋" w:eastAsia="仿宋"/>
          <w:b w:val="0"/>
          <w:bCs w:val="0"/>
          <w:color w:val="auto"/>
          <w:highlight w:val="none"/>
        </w:rPr>
      </w:pPr>
      <w:bookmarkStart w:id="103" w:name="_Toc27913"/>
      <w:bookmarkStart w:id="104" w:name="_Toc15396627"/>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103"/>
      <w:bookmarkEnd w:id="104"/>
    </w:p>
    <w:p>
      <w:pPr>
        <w:pStyle w:val="4"/>
        <w:rPr>
          <w:rStyle w:val="25"/>
          <w:rFonts w:hint="eastAsia" w:ascii="仿宋" w:hAnsi="仿宋" w:eastAsia="仿宋"/>
          <w:b w:val="0"/>
          <w:bCs w:val="0"/>
          <w:color w:val="auto"/>
          <w:highlight w:val="none"/>
        </w:rPr>
      </w:pPr>
      <w:bookmarkStart w:id="105" w:name="_Toc15396628"/>
      <w:bookmarkStart w:id="106" w:name="_Toc14357"/>
      <w:r>
        <w:rPr>
          <w:rStyle w:val="25"/>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般公共预算财政拨款“三公”经费支出决算表</w:t>
      </w:r>
      <w:bookmarkEnd w:id="105"/>
      <w:bookmarkEnd w:id="106"/>
    </w:p>
    <w:p>
      <w:pPr>
        <w:pStyle w:val="4"/>
        <w:rPr>
          <w:rStyle w:val="25"/>
          <w:rFonts w:hint="eastAsia" w:ascii="仿宋" w:hAnsi="仿宋" w:eastAsia="仿宋"/>
          <w:b w:val="0"/>
          <w:bCs w:val="0"/>
          <w:color w:val="auto"/>
          <w:highlight w:val="none"/>
        </w:rPr>
      </w:pPr>
      <w:bookmarkStart w:id="107" w:name="_Toc15396629"/>
      <w:bookmarkStart w:id="108" w:name="_Toc29915"/>
      <w:r>
        <w:rPr>
          <w:rStyle w:val="25"/>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bookmarkEnd w:id="107"/>
      <w:bookmarkEnd w:id="108"/>
    </w:p>
    <w:p>
      <w:pPr>
        <w:pStyle w:val="4"/>
        <w:rPr>
          <w:rStyle w:val="25"/>
          <w:rFonts w:hint="eastAsia" w:ascii="仿宋" w:hAnsi="仿宋" w:eastAsia="仿宋"/>
          <w:b w:val="0"/>
          <w:bCs w:val="0"/>
          <w:color w:val="auto"/>
          <w:highlight w:val="none"/>
        </w:rPr>
      </w:pPr>
      <w:bookmarkStart w:id="109" w:name="_Toc15396630"/>
      <w:bookmarkStart w:id="110" w:name="_Toc24695"/>
      <w:r>
        <w:rPr>
          <w:rStyle w:val="25"/>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府性基金预算财政拨款“三公”经费支出决算表</w:t>
      </w:r>
      <w:bookmarkEnd w:id="109"/>
      <w:bookmarkEnd w:id="110"/>
    </w:p>
    <w:p>
      <w:pPr>
        <w:pStyle w:val="4"/>
        <w:rPr>
          <w:rStyle w:val="25"/>
          <w:rFonts w:hint="eastAsia" w:ascii="仿宋" w:hAnsi="仿宋" w:eastAsia="仿宋"/>
          <w:b w:val="0"/>
          <w:bCs w:val="0"/>
          <w:color w:val="auto"/>
          <w:highlight w:val="none"/>
        </w:rPr>
      </w:pPr>
      <w:bookmarkStart w:id="111" w:name="_Toc15396631"/>
      <w:bookmarkStart w:id="112" w:name="_Toc1225"/>
      <w:r>
        <w:rPr>
          <w:rStyle w:val="25"/>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bookmarkEnd w:id="111"/>
      <w:bookmarkEnd w:id="112"/>
    </w:p>
    <w:p>
      <w:pPr>
        <w:outlineLvl w:val="1"/>
        <w:rPr>
          <w:rStyle w:val="25"/>
          <w:rFonts w:hint="eastAsia" w:ascii="仿宋" w:hAnsi="仿宋" w:eastAsia="仿宋"/>
          <w:b w:val="0"/>
          <w:bCs w:val="0"/>
          <w:color w:val="auto"/>
          <w:highlight w:val="none"/>
          <w:lang w:eastAsia="zh-CN"/>
        </w:rPr>
      </w:pPr>
      <w:bookmarkStart w:id="113" w:name="_Toc15253"/>
      <w:r>
        <w:rPr>
          <w:rStyle w:val="25"/>
          <w:rFonts w:hint="eastAsia" w:ascii="仿宋" w:hAnsi="仿宋" w:eastAsia="仿宋"/>
          <w:b w:val="0"/>
          <w:bCs w:val="0"/>
          <w:color w:val="auto"/>
          <w:highlight w:val="none"/>
          <w:lang w:eastAsia="zh-CN"/>
        </w:rPr>
        <w:t>十四、国有资本经营预算财政拨款支出决算表</w:t>
      </w:r>
      <w:bookmarkEnd w:id="113"/>
    </w:p>
    <w:p>
      <w:pPr>
        <w:rPr>
          <w:rFonts w:hint="eastAsia" w:eastAsia="仿宋"/>
          <w:color w:val="auto"/>
          <w:highlight w:val="none"/>
          <w:lang w:eastAsia="zh-CN"/>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E0D7BF"/>
    <w:multiLevelType w:val="singleLevel"/>
    <w:tmpl w:val="9AE0D7BF"/>
    <w:lvl w:ilvl="0" w:tentative="0">
      <w:start w:val="2"/>
      <w:numFmt w:val="chineseCounting"/>
      <w:suff w:val="nothing"/>
      <w:lvlText w:val="（%1）"/>
      <w:lvlJc w:val="left"/>
      <w:rPr>
        <w:rFonts w:hint="eastAsia"/>
      </w:rPr>
    </w:lvl>
  </w:abstractNum>
  <w:abstractNum w:abstractNumId="1">
    <w:nsid w:val="A2BD1EC4"/>
    <w:multiLevelType w:val="singleLevel"/>
    <w:tmpl w:val="A2BD1EC4"/>
    <w:lvl w:ilvl="0" w:tentative="0">
      <w:start w:val="1"/>
      <w:numFmt w:val="decimal"/>
      <w:lvlText w:val="%1."/>
      <w:lvlJc w:val="left"/>
      <w:pPr>
        <w:tabs>
          <w:tab w:val="left" w:pos="312"/>
        </w:tabs>
      </w:pPr>
    </w:lvl>
  </w:abstractNum>
  <w:abstractNum w:abstractNumId="2">
    <w:nsid w:val="B4552FDD"/>
    <w:multiLevelType w:val="singleLevel"/>
    <w:tmpl w:val="B4552FDD"/>
    <w:lvl w:ilvl="0" w:tentative="0">
      <w:start w:val="2"/>
      <w:numFmt w:val="chineseCounting"/>
      <w:suff w:val="nothing"/>
      <w:lvlText w:val="%1、"/>
      <w:lvlJc w:val="left"/>
      <w:rPr>
        <w:rFonts w:hint="eastAsia"/>
      </w:rPr>
    </w:lvl>
  </w:abstractNum>
  <w:abstractNum w:abstractNumId="3">
    <w:nsid w:val="C80723FF"/>
    <w:multiLevelType w:val="singleLevel"/>
    <w:tmpl w:val="C80723FF"/>
    <w:lvl w:ilvl="0" w:tentative="0">
      <w:start w:val="2"/>
      <w:numFmt w:val="chineseCounting"/>
      <w:suff w:val="nothing"/>
      <w:lvlText w:val="（%1）"/>
      <w:lvlJc w:val="left"/>
      <w:rPr>
        <w:rFonts w:hint="eastAsia"/>
      </w:rPr>
    </w:lvl>
  </w:abstractNum>
  <w:abstractNum w:abstractNumId="4">
    <w:nsid w:val="CF652CEC"/>
    <w:multiLevelType w:val="singleLevel"/>
    <w:tmpl w:val="CF652CEC"/>
    <w:lvl w:ilvl="0" w:tentative="0">
      <w:start w:val="9"/>
      <w:numFmt w:val="chineseCounting"/>
      <w:suff w:val="nothing"/>
      <w:lvlText w:val="%1、"/>
      <w:lvlJc w:val="left"/>
      <w:rPr>
        <w:rFonts w:hint="eastAsia"/>
      </w:rPr>
    </w:lvl>
  </w:abstractNum>
  <w:abstractNum w:abstractNumId="5">
    <w:nsid w:val="E2FA047D"/>
    <w:multiLevelType w:val="singleLevel"/>
    <w:tmpl w:val="E2FA047D"/>
    <w:lvl w:ilvl="0" w:tentative="0">
      <w:start w:val="3"/>
      <w:numFmt w:val="chineseCounting"/>
      <w:suff w:val="space"/>
      <w:lvlText w:val="第%1部分"/>
      <w:lvlJc w:val="left"/>
      <w:rPr>
        <w:rFonts w:hint="eastAsia"/>
      </w:rPr>
    </w:lvl>
  </w:abstractNum>
  <w:abstractNum w:abstractNumId="6">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7"/>
  </w:num>
  <w:num w:numId="2">
    <w:abstractNumId w:val="6"/>
  </w:num>
  <w:num w:numId="3">
    <w:abstractNumId w:val="1"/>
  </w:num>
  <w:num w:numId="4">
    <w:abstractNumId w:val="4"/>
  </w:num>
  <w:num w:numId="5">
    <w:abstractNumId w:val="5"/>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zMDNiZTcxOWVkMjJjNmY4MDAyZWZhYzRiOTMxNm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685A40"/>
    <w:rsid w:val="017526C4"/>
    <w:rsid w:val="042B4239"/>
    <w:rsid w:val="066E0107"/>
    <w:rsid w:val="07996F6E"/>
    <w:rsid w:val="07C35D92"/>
    <w:rsid w:val="09FF2E7B"/>
    <w:rsid w:val="0A2032A3"/>
    <w:rsid w:val="0B531D0E"/>
    <w:rsid w:val="0C144A90"/>
    <w:rsid w:val="0D8F6266"/>
    <w:rsid w:val="101860EC"/>
    <w:rsid w:val="105A46BB"/>
    <w:rsid w:val="10C055FF"/>
    <w:rsid w:val="118107EC"/>
    <w:rsid w:val="11E161F5"/>
    <w:rsid w:val="12394ECF"/>
    <w:rsid w:val="13D50BC4"/>
    <w:rsid w:val="161A4C5A"/>
    <w:rsid w:val="16BB723D"/>
    <w:rsid w:val="199A5007"/>
    <w:rsid w:val="1BE13882"/>
    <w:rsid w:val="1BE8440E"/>
    <w:rsid w:val="1CF0262F"/>
    <w:rsid w:val="1D155CEE"/>
    <w:rsid w:val="1F11148F"/>
    <w:rsid w:val="1F402450"/>
    <w:rsid w:val="23860B96"/>
    <w:rsid w:val="23A65F2D"/>
    <w:rsid w:val="23D77ABB"/>
    <w:rsid w:val="240371BF"/>
    <w:rsid w:val="245C7943"/>
    <w:rsid w:val="26E513CF"/>
    <w:rsid w:val="29FD04D3"/>
    <w:rsid w:val="2BAE138A"/>
    <w:rsid w:val="2C1726AB"/>
    <w:rsid w:val="2C1C641B"/>
    <w:rsid w:val="2C364840"/>
    <w:rsid w:val="2C8A61B5"/>
    <w:rsid w:val="2CE571A9"/>
    <w:rsid w:val="2D1934DC"/>
    <w:rsid w:val="2D256674"/>
    <w:rsid w:val="2DF04E50"/>
    <w:rsid w:val="2E345F7D"/>
    <w:rsid w:val="319F7F4E"/>
    <w:rsid w:val="339958AE"/>
    <w:rsid w:val="367C3E6E"/>
    <w:rsid w:val="36AA5135"/>
    <w:rsid w:val="37E16F03"/>
    <w:rsid w:val="37EF6CC9"/>
    <w:rsid w:val="38043A38"/>
    <w:rsid w:val="38535612"/>
    <w:rsid w:val="390D2369"/>
    <w:rsid w:val="393324E3"/>
    <w:rsid w:val="3981374C"/>
    <w:rsid w:val="3B5B0092"/>
    <w:rsid w:val="3C3E53D0"/>
    <w:rsid w:val="3D98207C"/>
    <w:rsid w:val="42D406EB"/>
    <w:rsid w:val="44E268DA"/>
    <w:rsid w:val="468578CB"/>
    <w:rsid w:val="47FB3703"/>
    <w:rsid w:val="4A627F82"/>
    <w:rsid w:val="4B4F25DA"/>
    <w:rsid w:val="4BE068DB"/>
    <w:rsid w:val="4D577224"/>
    <w:rsid w:val="4D7C05AA"/>
    <w:rsid w:val="4EAB630A"/>
    <w:rsid w:val="4ECE2238"/>
    <w:rsid w:val="4F3728E8"/>
    <w:rsid w:val="50B235C2"/>
    <w:rsid w:val="518025A6"/>
    <w:rsid w:val="538C4B60"/>
    <w:rsid w:val="544254B4"/>
    <w:rsid w:val="54800CCE"/>
    <w:rsid w:val="57F02679"/>
    <w:rsid w:val="5A541856"/>
    <w:rsid w:val="5AF92295"/>
    <w:rsid w:val="5CD71FC4"/>
    <w:rsid w:val="612147E3"/>
    <w:rsid w:val="616A61F6"/>
    <w:rsid w:val="63B71D03"/>
    <w:rsid w:val="673A1FD3"/>
    <w:rsid w:val="6AE12760"/>
    <w:rsid w:val="6B800576"/>
    <w:rsid w:val="6BF542B7"/>
    <w:rsid w:val="6C4A05C8"/>
    <w:rsid w:val="6E7E3605"/>
    <w:rsid w:val="6EAE47B3"/>
    <w:rsid w:val="6FF5CC65"/>
    <w:rsid w:val="715C0E4B"/>
    <w:rsid w:val="717C56EE"/>
    <w:rsid w:val="71B813E0"/>
    <w:rsid w:val="72734D90"/>
    <w:rsid w:val="73AD73D5"/>
    <w:rsid w:val="73B6EB34"/>
    <w:rsid w:val="759168C5"/>
    <w:rsid w:val="768B307A"/>
    <w:rsid w:val="78343331"/>
    <w:rsid w:val="79EE5BA4"/>
    <w:rsid w:val="7A894339"/>
    <w:rsid w:val="7D660C9D"/>
    <w:rsid w:val="7E723FFE"/>
    <w:rsid w:val="7EEF11D3"/>
    <w:rsid w:val="7F0E0504"/>
    <w:rsid w:val="7FA30C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font71"/>
    <w:basedOn w:val="13"/>
    <w:qFormat/>
    <w:uiPriority w:val="0"/>
    <w:rPr>
      <w:rFonts w:hint="eastAsia" w:ascii="宋体" w:hAnsi="宋体" w:eastAsia="宋体" w:cs="宋体"/>
      <w:color w:val="000000"/>
      <w:sz w:val="32"/>
      <w:szCs w:val="32"/>
      <w:u w:val="none"/>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915;&#31639;&#20844;&#24320;&#38468;&#22270;.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dministrator\Desktop\&#20915;&#31639;&#20844;&#24320;&#38468;&#22270;.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Administrator\Desktop\&#20915;&#31639;&#20844;&#24320;&#38468;&#2227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0915;&#31639;&#20844;&#24320;&#38468;&#2227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0915;&#31639;&#20844;&#24320;&#38468;&#2227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0915;&#31639;&#20844;&#24320;&#38468;&#22270;.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Administrator\Desktop\&#20915;&#31639;&#20844;&#24320;&#38468;&#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图</a:t>
            </a:r>
            <a:r>
              <a:rPr lang="en-US" altLang="zh-CN"/>
              <a:t>1</a:t>
            </a:r>
            <a:r>
              <a:rPr lang="zh-CN" altLang="en-US"/>
              <a:t>：收入支出决算执行变动情况图</a:t>
            </a:r>
            <a:endParaRPr lang="zh-CN" altLang="en-US"/>
          </a:p>
        </c:rich>
      </c:tx>
      <c:layout>
        <c:manualLayout>
          <c:xMode val="edge"/>
          <c:yMode val="edge"/>
          <c:x val="0.104583333333333"/>
          <c:y val="0.0277777777777778"/>
        </c:manualLayout>
      </c:layout>
      <c:overlay val="0"/>
    </c:title>
    <c:autoTitleDeleted val="0"/>
    <c:plotArea>
      <c:layout/>
      <c:barChart>
        <c:barDir val="col"/>
        <c:grouping val="clustered"/>
        <c:varyColors val="0"/>
        <c:ser>
          <c:idx val="0"/>
          <c:order val="0"/>
          <c:tx>
            <c:strRef>
              <c:f>[决算公开附图.xlsx]Sheet1!$C$25</c:f>
              <c:strCache>
                <c:ptCount val="1"/>
                <c:pt idx="0">
                  <c:v>金额</c:v>
                </c:pt>
              </c:strCache>
            </c:strRef>
          </c:tx>
          <c:invertIfNegative val="0"/>
          <c:dLbls>
            <c:delete val="1"/>
          </c:dLbls>
          <c:cat>
            <c:strRef>
              <c:f>[决算公开附图.xlsx]Sheet1!$B$26:$B$29</c:f>
              <c:strCache>
                <c:ptCount val="4"/>
                <c:pt idx="0">
                  <c:v>2020年收入支出预算执行数</c:v>
                </c:pt>
                <c:pt idx="1">
                  <c:v>2021年收入支出预算执行数</c:v>
                </c:pt>
                <c:pt idx="2">
                  <c:v>较2020年增加数</c:v>
                </c:pt>
                <c:pt idx="3">
                  <c:v>较2020年增加比例</c:v>
                </c:pt>
              </c:strCache>
            </c:strRef>
          </c:cat>
          <c:val>
            <c:numRef>
              <c:f>[决算公开附图.xlsx]Sheet1!$C$26:$C$29</c:f>
              <c:numCache>
                <c:formatCode>General</c:formatCode>
                <c:ptCount val="4"/>
                <c:pt idx="0">
                  <c:v>2815.46</c:v>
                </c:pt>
                <c:pt idx="1">
                  <c:v>3875.18</c:v>
                </c:pt>
                <c:pt idx="2">
                  <c:v>1059.72</c:v>
                </c:pt>
                <c:pt idx="3" c:formatCode="0.00%">
                  <c:v>0.3764</c:v>
                </c:pt>
              </c:numCache>
            </c:numRef>
          </c:val>
        </c:ser>
        <c:dLbls>
          <c:showLegendKey val="0"/>
          <c:showVal val="0"/>
          <c:showCatName val="0"/>
          <c:showSerName val="0"/>
          <c:showPercent val="0"/>
          <c:showBubbleSize val="0"/>
        </c:dLbls>
        <c:gapWidth val="150"/>
        <c:axId val="80765312"/>
        <c:axId val="80766848"/>
      </c:barChart>
      <c:catAx>
        <c:axId val="8076531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0766848"/>
        <c:crosses val="autoZero"/>
        <c:auto val="1"/>
        <c:lblAlgn val="ctr"/>
        <c:lblOffset val="100"/>
        <c:noMultiLvlLbl val="0"/>
      </c:catAx>
      <c:valAx>
        <c:axId val="80766848"/>
        <c:scaling>
          <c:orientation val="minMax"/>
        </c:scaling>
        <c:delete val="0"/>
        <c:axPos val="l"/>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单位：万元</a:t>
                </a:r>
                <a:endParaRPr lang="zh-CN" altLang="en-US"/>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0765312"/>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spPr>
        <a:solidFill>
          <a:schemeClr val="bg1"/>
        </a:solidFill>
        <a:ln>
          <a:noFill/>
        </a:ln>
        <a:effectLst/>
      </c:spPr>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8871391076116"/>
          <c:y val="0.332652291012644"/>
          <c:w val="0.357812773403325"/>
          <c:h val="0.561274938671882"/>
        </c:manualLayout>
      </c:layout>
      <c:pieChart>
        <c:varyColors val="1"/>
        <c:ser>
          <c:idx val="0"/>
          <c:order val="0"/>
          <c:explosion val="0"/>
          <c:dPt>
            <c:idx val="0"/>
            <c:bubble3D val="0"/>
          </c:dPt>
          <c:dPt>
            <c:idx val="1"/>
            <c:bubble3D val="0"/>
          </c:dPt>
          <c:dPt>
            <c:idx val="2"/>
            <c:bubble3D val="0"/>
          </c:dPt>
          <c:dPt>
            <c:idx val="3"/>
            <c:bubble3D val="0"/>
          </c:dPt>
          <c:dLbls>
            <c:dLbl>
              <c:idx val="1"/>
              <c:layout>
                <c:manualLayout>
                  <c:x val="0.324475940507437"/>
                  <c:y val="0.101307189542484"/>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154336614173228"/>
                  <c:y val="0.055351414406532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192353018372703"/>
                  <c:y val="-0.073314463143087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[决算公开附图.xlsx]Sheet1!$B$2:$B$9</c:f>
              <c:strCache>
                <c:ptCount val="4"/>
                <c:pt idx="0">
                  <c:v>一般公共预算财政拨款收入</c:v>
                </c:pt>
                <c:pt idx="1">
                  <c:v>事业收入</c:v>
                </c:pt>
                <c:pt idx="2">
                  <c:v>其他收入</c:v>
                </c:pt>
              </c:strCache>
            </c:strRef>
          </c:cat>
          <c:val>
            <c:numRef>
              <c:f>[决算公开附图.xlsx]Sheet1!$C$2:$C$9</c:f>
              <c:numCache>
                <c:formatCode>General</c:formatCode>
                <c:ptCount val="4"/>
                <c:pt idx="0">
                  <c:v>3733.22</c:v>
                </c:pt>
                <c:pt idx="1">
                  <c:v>79.93</c:v>
                </c:pt>
                <c:pt idx="2">
                  <c:v>62.03</c:v>
                </c:pt>
              </c:numCache>
            </c:numRef>
          </c:val>
        </c:ser>
        <c:ser>
          <c:idx val="1"/>
          <c:order val="1"/>
          <c:explosion val="0"/>
          <c:dPt>
            <c:idx val="0"/>
            <c:bubble3D val="0"/>
          </c:dPt>
          <c:dPt>
            <c:idx val="1"/>
            <c:bubble3D val="0"/>
          </c:dPt>
          <c:dPt>
            <c:idx val="2"/>
            <c:bubble3D val="0"/>
          </c:dPt>
          <c:dPt>
            <c:idx val="3"/>
            <c:bubble3D val="0"/>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[决算公开附图.xlsx]Sheet1!$B$2:$B$9</c:f>
              <c:strCache>
                <c:ptCount val="4"/>
                <c:pt idx="0">
                  <c:v>一般公共预算财政拨款收入</c:v>
                </c:pt>
                <c:pt idx="1">
                  <c:v>事业收入</c:v>
                </c:pt>
                <c:pt idx="2">
                  <c:v>其他收入</c:v>
                </c:pt>
              </c:strCache>
            </c:strRef>
          </c:cat>
          <c:val>
            <c:numRef>
              <c:f>[决算公开附图.xlsx]Sheet1!$D$2:$D$9</c:f>
              <c:numCache>
                <c:formatCode>0.00%</c:formatCode>
                <c:ptCount val="4"/>
                <c:pt idx="0">
                  <c:v>0.963366862958624</c:v>
                </c:pt>
                <c:pt idx="1">
                  <c:v>0.020626138656785</c:v>
                </c:pt>
                <c:pt idx="2">
                  <c:v>0.0160069983845912</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txPr>
    <a:bodyPr/>
    <a:lstStyle/>
    <a:p>
      <a:pPr>
        <a:defRPr lang="zh-CN"/>
      </a:pPr>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8871391076116"/>
          <c:y val="0.332652291012644"/>
          <c:w val="0.357812773403325"/>
          <c:h val="0.561274938671882"/>
        </c:manualLayout>
      </c:layout>
      <c:pieChart>
        <c:varyColors val="1"/>
        <c:ser>
          <c:idx val="0"/>
          <c:order val="0"/>
          <c:explosion val="0"/>
          <c:dPt>
            <c:idx val="0"/>
            <c:bubble3D val="0"/>
          </c:dPt>
          <c:dPt>
            <c:idx val="1"/>
            <c:bubble3D val="0"/>
          </c:dPt>
          <c:dPt>
            <c:idx val="2"/>
            <c:bubble3D val="0"/>
          </c:dPt>
          <c:dPt>
            <c:idx val="3"/>
            <c:bubble3D val="0"/>
          </c:dPt>
          <c:dLbls>
            <c:dLbl>
              <c:idx val="1"/>
              <c:layout>
                <c:manualLayout>
                  <c:x val="0.180725940507437"/>
                  <c:y val="0.0130718954248369"/>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154336614173228"/>
                  <c:y val="0.055351414406532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192353018372703"/>
                  <c:y val="-0.073314463143087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[决算公开附图.xlsx]Sheet1!$B$2:$B$9</c:f>
              <c:strCache>
                <c:ptCount val="4"/>
                <c:pt idx="0">
                  <c:v>基本支出</c:v>
                </c:pt>
                <c:pt idx="1">
                  <c:v>项目支出</c:v>
                </c:pt>
              </c:strCache>
            </c:strRef>
          </c:cat>
          <c:val>
            <c:numRef>
              <c:f>[决算公开附图.xlsx]Sheet1!$C$2:$C$9</c:f>
              <c:numCache>
                <c:formatCode>General</c:formatCode>
                <c:ptCount val="4"/>
                <c:pt idx="0">
                  <c:v>2221.92</c:v>
                </c:pt>
                <c:pt idx="1">
                  <c:v>1653.28</c:v>
                </c:pt>
              </c:numCache>
            </c:numRef>
          </c:val>
        </c:ser>
        <c:ser>
          <c:idx val="1"/>
          <c:order val="1"/>
          <c:explosion val="0"/>
          <c:dPt>
            <c:idx val="0"/>
            <c:bubble3D val="0"/>
          </c:dPt>
          <c:dPt>
            <c:idx val="1"/>
            <c:bubble3D val="0"/>
          </c:dPt>
          <c:dPt>
            <c:idx val="2"/>
            <c:bubble3D val="0"/>
          </c:dPt>
          <c:dPt>
            <c:idx val="3"/>
            <c:bubble3D val="0"/>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[决算公开附图.xlsx]Sheet1!$B$2:$B$9</c:f>
              <c:strCache>
                <c:ptCount val="4"/>
                <c:pt idx="0">
                  <c:v>基本支出</c:v>
                </c:pt>
                <c:pt idx="1">
                  <c:v>项目支出</c:v>
                </c:pt>
              </c:strCache>
            </c:strRef>
          </c:cat>
          <c:val>
            <c:numRef>
              <c:f>[决算公开附图.xlsx]Sheet1!$D$2:$D$9</c:f>
              <c:numCache>
                <c:formatCode>0.00%</c:formatCode>
                <c:ptCount val="4"/>
                <c:pt idx="0">
                  <c:v>0.573372075619713</c:v>
                </c:pt>
                <c:pt idx="1">
                  <c:v>0.42663308543087</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txPr>
    <a:bodyPr/>
    <a:lstStyle/>
    <a:p>
      <a:pPr>
        <a:defRPr lang="zh-CN"/>
      </a:pPr>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图</a:t>
            </a:r>
            <a:r>
              <a:rPr lang="en-US" altLang="zh-CN"/>
              <a:t>4</a:t>
            </a:r>
            <a:r>
              <a:rPr lang="zh-CN" altLang="en-US"/>
              <a:t>：财政拨款收入支出决算执行变动情况图</a:t>
            </a:r>
            <a:endParaRPr lang="zh-CN" altLang="en-US"/>
          </a:p>
        </c:rich>
      </c:tx>
      <c:layout>
        <c:manualLayout>
          <c:xMode val="edge"/>
          <c:yMode val="edge"/>
          <c:x val="0.104583333333333"/>
          <c:y val="0.0277777777777778"/>
        </c:manualLayout>
      </c:layout>
      <c:overlay val="0"/>
    </c:title>
    <c:autoTitleDeleted val="0"/>
    <c:plotArea>
      <c:layout/>
      <c:barChart>
        <c:barDir val="col"/>
        <c:grouping val="clustered"/>
        <c:varyColors val="0"/>
        <c:ser>
          <c:idx val="0"/>
          <c:order val="0"/>
          <c:tx>
            <c:strRef>
              <c:f>[决算公开附图.xlsx]Sheet1!$C$25</c:f>
              <c:strCache>
                <c:ptCount val="1"/>
                <c:pt idx="0">
                  <c:v>金额</c:v>
                </c:pt>
              </c:strCache>
            </c:strRef>
          </c:tx>
          <c:invertIfNegative val="0"/>
          <c:dLbls>
            <c:delete val="1"/>
          </c:dLbls>
          <c:cat>
            <c:strRef>
              <c:f>[决算公开附图.xlsx]Sheet1!$B$26:$B$29</c:f>
              <c:strCache>
                <c:ptCount val="4"/>
                <c:pt idx="0">
                  <c:v>2020年收入支出预算执行数</c:v>
                </c:pt>
                <c:pt idx="1">
                  <c:v>2021年收入支出预算执行数</c:v>
                </c:pt>
                <c:pt idx="2">
                  <c:v>较2020年增加数</c:v>
                </c:pt>
                <c:pt idx="3">
                  <c:v>较2020年增加比例</c:v>
                </c:pt>
              </c:strCache>
            </c:strRef>
          </c:cat>
          <c:val>
            <c:numRef>
              <c:f>[决算公开附图.xlsx]Sheet1!$C$26:$C$29</c:f>
              <c:numCache>
                <c:formatCode>General</c:formatCode>
                <c:ptCount val="4"/>
                <c:pt idx="0">
                  <c:v>2710.36</c:v>
                </c:pt>
                <c:pt idx="1">
                  <c:v>3733.22</c:v>
                </c:pt>
                <c:pt idx="2">
                  <c:v>1022.87</c:v>
                </c:pt>
                <c:pt idx="3" c:formatCode="0.00%">
                  <c:v>0.3774</c:v>
                </c:pt>
              </c:numCache>
            </c:numRef>
          </c:val>
        </c:ser>
        <c:dLbls>
          <c:showLegendKey val="0"/>
          <c:showVal val="0"/>
          <c:showCatName val="0"/>
          <c:showSerName val="0"/>
          <c:showPercent val="0"/>
          <c:showBubbleSize val="0"/>
        </c:dLbls>
        <c:gapWidth val="150"/>
        <c:axId val="80765312"/>
        <c:axId val="80766848"/>
      </c:barChart>
      <c:catAx>
        <c:axId val="8076531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0766848"/>
        <c:crosses val="autoZero"/>
        <c:auto val="1"/>
        <c:lblAlgn val="ctr"/>
        <c:lblOffset val="100"/>
        <c:noMultiLvlLbl val="0"/>
      </c:catAx>
      <c:valAx>
        <c:axId val="80766848"/>
        <c:scaling>
          <c:orientation val="minMax"/>
        </c:scaling>
        <c:delete val="0"/>
        <c:axPos val="l"/>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单位：万元</a:t>
                </a:r>
                <a:endParaRPr lang="zh-CN" altLang="en-US"/>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0765312"/>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spPr>
        <a:solidFill>
          <a:schemeClr val="bg1"/>
        </a:solidFill>
        <a:ln>
          <a:noFill/>
        </a:ln>
        <a:effectLst/>
      </c:spPr>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图</a:t>
            </a:r>
            <a:r>
              <a:rPr lang="en-US" altLang="zh-CN"/>
              <a:t>5</a:t>
            </a:r>
            <a:r>
              <a:rPr lang="zh-CN" altLang="en-US"/>
              <a:t>：一般公共预算财政拨款支出决算变动情况图</a:t>
            </a:r>
            <a:endParaRPr lang="zh-CN" altLang="en-US"/>
          </a:p>
        </c:rich>
      </c:tx>
      <c:layout>
        <c:manualLayout>
          <c:xMode val="edge"/>
          <c:yMode val="edge"/>
          <c:x val="0.104583333333333"/>
          <c:y val="0.0277777777777778"/>
        </c:manualLayout>
      </c:layout>
      <c:overlay val="0"/>
    </c:title>
    <c:autoTitleDeleted val="0"/>
    <c:plotArea>
      <c:layout/>
      <c:barChart>
        <c:barDir val="col"/>
        <c:grouping val="clustered"/>
        <c:varyColors val="0"/>
        <c:ser>
          <c:idx val="0"/>
          <c:order val="0"/>
          <c:tx>
            <c:strRef>
              <c:f>[决算公开附图.xlsx]Sheet1!$C$25</c:f>
              <c:strCache>
                <c:ptCount val="1"/>
                <c:pt idx="0">
                  <c:v>金额</c:v>
                </c:pt>
              </c:strCache>
            </c:strRef>
          </c:tx>
          <c:invertIfNegative val="0"/>
          <c:dLbls>
            <c:delete val="1"/>
          </c:dLbls>
          <c:cat>
            <c:strRef>
              <c:f>[决算公开附图.xlsx]Sheet1!$B$26:$B$29</c:f>
              <c:strCache>
                <c:ptCount val="4"/>
                <c:pt idx="0">
                  <c:v>2020年收入支出预算执行数</c:v>
                </c:pt>
                <c:pt idx="1">
                  <c:v>2021年收入支出预算执行数</c:v>
                </c:pt>
                <c:pt idx="2">
                  <c:v>较2020年增加数</c:v>
                </c:pt>
                <c:pt idx="3">
                  <c:v>较2020年增加比例</c:v>
                </c:pt>
              </c:strCache>
            </c:strRef>
          </c:cat>
          <c:val>
            <c:numRef>
              <c:f>[决算公开附图.xlsx]Sheet1!$C$26:$C$29</c:f>
              <c:numCache>
                <c:formatCode>General</c:formatCode>
                <c:ptCount val="4"/>
                <c:pt idx="0">
                  <c:v>2710.36</c:v>
                </c:pt>
                <c:pt idx="1">
                  <c:v>3733.22</c:v>
                </c:pt>
                <c:pt idx="2">
                  <c:v>1022.87</c:v>
                </c:pt>
                <c:pt idx="3" c:formatCode="0.00%">
                  <c:v>0.3774</c:v>
                </c:pt>
              </c:numCache>
            </c:numRef>
          </c:val>
        </c:ser>
        <c:dLbls>
          <c:showLegendKey val="0"/>
          <c:showVal val="0"/>
          <c:showCatName val="0"/>
          <c:showSerName val="0"/>
          <c:showPercent val="0"/>
          <c:showBubbleSize val="0"/>
        </c:dLbls>
        <c:gapWidth val="150"/>
        <c:axId val="80765312"/>
        <c:axId val="80766848"/>
      </c:barChart>
      <c:catAx>
        <c:axId val="8076531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0766848"/>
        <c:crosses val="autoZero"/>
        <c:auto val="1"/>
        <c:lblAlgn val="ctr"/>
        <c:lblOffset val="100"/>
        <c:noMultiLvlLbl val="0"/>
      </c:catAx>
      <c:valAx>
        <c:axId val="80766848"/>
        <c:scaling>
          <c:orientation val="minMax"/>
        </c:scaling>
        <c:delete val="0"/>
        <c:axPos val="l"/>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单位：万元</a:t>
                </a:r>
                <a:endParaRPr lang="zh-CN" altLang="en-US"/>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0765312"/>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spPr>
        <a:solidFill>
          <a:schemeClr val="bg1"/>
        </a:solidFill>
        <a:ln>
          <a:noFill/>
        </a:ln>
        <a:effectLst/>
      </c:spPr>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cap="all" baseline="0">
                <a:solidFill>
                  <a:schemeClr val="tx1">
                    <a:lumMod val="65000"/>
                    <a:lumOff val="35000"/>
                  </a:schemeClr>
                </a:solidFill>
                <a:latin typeface="+mn-lt"/>
                <a:ea typeface="+mn-ea"/>
                <a:cs typeface="+mn-cs"/>
              </a:defRPr>
            </a:pPr>
            <a:r>
              <a:t>图</a:t>
            </a:r>
            <a:r>
              <a:rPr lang="en-US" altLang="zh-CN"/>
              <a:t>6</a:t>
            </a:r>
            <a:r>
              <a:t>：一般公共预算财政拨款决算支出结构图</a:t>
            </a:r>
          </a:p>
        </c:rich>
      </c:tx>
      <c:layout/>
      <c:overlay val="0"/>
      <c:spPr>
        <a:noFill/>
        <a:ln>
          <a:noFill/>
        </a:ln>
        <a:effectLst/>
      </c:spPr>
    </c:title>
    <c:autoTitleDeleted val="0"/>
    <c:plotArea>
      <c:layout/>
      <c:pieChart>
        <c:varyColors val="1"/>
        <c:ser>
          <c:idx val="0"/>
          <c:order val="0"/>
          <c:spPr>
            <a:scene3d>
              <a:camera prst="orthographicFront"/>
              <a:lightRig rig="threePt" dir="t"/>
            </a:scene3d>
            <a:sp3d contourW="19050"/>
          </c:spPr>
          <c:explosion val="0"/>
          <c:dPt>
            <c:idx val="0"/>
            <c:bubble3D val="0"/>
            <c:spPr>
              <a:solidFill>
                <a:schemeClr val="accent1">
                  <a:shade val="76667"/>
                  <a:alpha val="90000"/>
                </a:schemeClr>
              </a:solidFill>
              <a:ln w="19050">
                <a:solidFill>
                  <a:schemeClr val="accent1">
                    <a:shade val="76667"/>
                    <a:lumMod val="75000"/>
                  </a:schemeClr>
                </a:solidFill>
              </a:ln>
              <a:effectLst>
                <a:innerShdw blurRad="114300">
                  <a:schemeClr val="accent1">
                    <a:shade val="76667"/>
                    <a:lumMod val="75000"/>
                  </a:schemeClr>
                </a:innerShdw>
              </a:effectLst>
            </c:spPr>
          </c:dPt>
          <c:dPt>
            <c:idx val="1"/>
            <c:bubble3D val="0"/>
            <c:spPr>
              <a:solidFill>
                <a:schemeClr val="accent2">
                  <a:shade val="76667"/>
                  <a:alpha val="90000"/>
                </a:schemeClr>
              </a:solidFill>
              <a:ln w="19050">
                <a:solidFill>
                  <a:schemeClr val="accent2">
                    <a:shade val="76667"/>
                    <a:lumMod val="75000"/>
                  </a:schemeClr>
                </a:solidFill>
              </a:ln>
              <a:effectLst>
                <a:innerShdw blurRad="114300">
                  <a:schemeClr val="accent2">
                    <a:shade val="76667"/>
                    <a:lumMod val="75000"/>
                  </a:schemeClr>
                </a:innerShdw>
              </a:effectLst>
            </c:spPr>
          </c:dPt>
          <c:dPt>
            <c:idx val="2"/>
            <c:bubble3D val="0"/>
            <c:spPr>
              <a:solidFill>
                <a:schemeClr val="accent3">
                  <a:shade val="76667"/>
                  <a:alpha val="90000"/>
                </a:schemeClr>
              </a:solidFill>
              <a:ln w="19050">
                <a:solidFill>
                  <a:schemeClr val="accent3">
                    <a:shade val="76667"/>
                    <a:lumMod val="75000"/>
                  </a:schemeClr>
                </a:solidFill>
              </a:ln>
              <a:effectLst>
                <a:innerShdw blurRad="114300">
                  <a:schemeClr val="accent3">
                    <a:shade val="76667"/>
                    <a:lumMod val="75000"/>
                  </a:schemeClr>
                </a:innerShdw>
              </a:effectLst>
            </c:spPr>
          </c:dPt>
          <c:dPt>
            <c:idx val="3"/>
            <c:bubble3D val="0"/>
            <c:spPr>
              <a:solidFill>
                <a:schemeClr val="accent4">
                  <a:shade val="76667"/>
                  <a:alpha val="90000"/>
                </a:schemeClr>
              </a:solidFill>
              <a:ln w="19050">
                <a:solidFill>
                  <a:schemeClr val="accent4">
                    <a:shade val="76667"/>
                    <a:lumMod val="75000"/>
                  </a:schemeClr>
                </a:solidFill>
              </a:ln>
              <a:effectLst>
                <a:innerShdw blurRad="114300">
                  <a:schemeClr val="accent4">
                    <a:shade val="76667"/>
                    <a:lumMod val="75000"/>
                  </a:schemeClr>
                </a:innerShdw>
              </a:effectLst>
              <a:scene3d>
                <a:camera prst="orthographicFront"/>
                <a:lightRig rig="threePt" dir="t"/>
              </a:scene3d>
              <a:sp3d contourW="19050"/>
            </c:spPr>
          </c:dPt>
          <c:dPt>
            <c:idx val="4"/>
            <c:bubble3D val="0"/>
            <c:spPr>
              <a:solidFill>
                <a:schemeClr val="accent5">
                  <a:shade val="76667"/>
                  <a:alpha val="90000"/>
                </a:schemeClr>
              </a:solidFill>
              <a:ln w="19050">
                <a:solidFill>
                  <a:schemeClr val="accent5">
                    <a:shade val="76667"/>
                    <a:lumMod val="75000"/>
                  </a:schemeClr>
                </a:solidFill>
              </a:ln>
              <a:effectLst>
                <a:innerShdw blurRad="114300">
                  <a:schemeClr val="accent5">
                    <a:shade val="76667"/>
                    <a:lumMod val="75000"/>
                  </a:schemeClr>
                </a:innerShdw>
              </a:effectLst>
              <a:scene3d>
                <a:camera prst="orthographicFront"/>
                <a:lightRig rig="threePt" dir="t"/>
              </a:scene3d>
              <a:sp3d contourW="19050"/>
            </c:spPr>
          </c:dPt>
          <c:dPt>
            <c:idx val="5"/>
            <c:bubble3D val="0"/>
            <c:spPr>
              <a:solidFill>
                <a:schemeClr val="accent6">
                  <a:shade val="76667"/>
                  <a:alpha val="90000"/>
                </a:schemeClr>
              </a:solidFill>
              <a:ln w="19050">
                <a:solidFill>
                  <a:schemeClr val="accent6">
                    <a:shade val="76667"/>
                    <a:lumMod val="75000"/>
                  </a:schemeClr>
                </a:solidFill>
              </a:ln>
              <a:effectLst>
                <a:innerShdw blurRad="114300">
                  <a:schemeClr val="accent6">
                    <a:shade val="76667"/>
                    <a:lumMod val="75000"/>
                  </a:schemeClr>
                </a:innerShdw>
              </a:effectLst>
              <a:scene3d>
                <a:camera prst="orthographicFront"/>
                <a:lightRig rig="threePt" dir="t"/>
              </a:scene3d>
              <a:sp3d contourW="19050"/>
            </c:spPr>
          </c:dPt>
          <c:dPt>
            <c:idx val="6"/>
            <c:bubble3D val="0"/>
            <c:spPr>
              <a:solidFill>
                <a:schemeClr val="accent1">
                  <a:tint val="76667"/>
                  <a:alpha val="90000"/>
                </a:schemeClr>
              </a:solidFill>
              <a:ln w="19050">
                <a:solidFill>
                  <a:schemeClr val="accent1">
                    <a:tint val="76667"/>
                    <a:lumMod val="75000"/>
                  </a:schemeClr>
                </a:solidFill>
              </a:ln>
              <a:effectLst>
                <a:innerShdw blurRad="114300">
                  <a:schemeClr val="accent1">
                    <a:tint val="76667"/>
                    <a:lumMod val="75000"/>
                  </a:schemeClr>
                </a:innerShdw>
              </a:effectLst>
              <a:scene3d>
                <a:camera prst="orthographicFront"/>
                <a:lightRig rig="threePt" dir="t"/>
              </a:scene3d>
              <a:sp3d contourW="19050"/>
            </c:spPr>
          </c:dPt>
          <c:dPt>
            <c:idx val="7"/>
            <c:bubble3D val="0"/>
            <c:spPr>
              <a:solidFill>
                <a:schemeClr val="accent2">
                  <a:tint val="76667"/>
                  <a:alpha val="90000"/>
                </a:schemeClr>
              </a:solidFill>
              <a:ln w="19050">
                <a:solidFill>
                  <a:schemeClr val="accent2">
                    <a:tint val="76667"/>
                    <a:lumMod val="75000"/>
                  </a:schemeClr>
                </a:solidFill>
              </a:ln>
              <a:effectLst>
                <a:innerShdw blurRad="114300">
                  <a:schemeClr val="accent2">
                    <a:tint val="76667"/>
                    <a:lumMod val="75000"/>
                  </a:schemeClr>
                </a:innerShdw>
              </a:effectLst>
              <a:scene3d>
                <a:camera prst="orthographicFront"/>
                <a:lightRig rig="threePt" dir="t"/>
              </a:scene3d>
              <a:sp3d contourW="19050"/>
            </c:spPr>
          </c:dPt>
          <c:dPt>
            <c:idx val="8"/>
            <c:bubble3D val="0"/>
            <c:spPr>
              <a:solidFill>
                <a:schemeClr val="accent3">
                  <a:tint val="76667"/>
                  <a:alpha val="70000"/>
                </a:schemeClr>
              </a:solidFill>
              <a:ln>
                <a:noFill/>
              </a:ln>
              <a:effectLst/>
              <a:scene3d>
                <a:camera prst="orthographicFront"/>
                <a:lightRig rig="threePt" dir="t"/>
              </a:scene3d>
              <a:sp3d contourW="19050"/>
            </c:spPr>
          </c:dPt>
          <c:dLbls>
            <c:dLbl>
              <c:idx val="0"/>
              <c:layout>
                <c:manualLayout>
                  <c:x val="-0.202550969245635"/>
                  <c:y val="0.10824703340645"/>
                </c:manualLayout>
              </c:layout>
              <c:numFmt formatCode="General" sourceLinked="1"/>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1">
                          <a:shade val="76667"/>
                        </a:schemeClr>
                      </a:solidFill>
                      <a:effectLst/>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991349158367519"/>
                  <c:y val="-0.0790355178133312"/>
                </c:manualLayout>
              </c:layout>
              <c:numFmt formatCode="General" sourceLinked="1"/>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2">
                          <a:shade val="76667"/>
                        </a:schemeClr>
                      </a:solidFill>
                      <a:effectLst/>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5935698155164"/>
                  <c:y val="0.0406522534933551"/>
                </c:manualLayout>
              </c:layout>
              <c:numFmt formatCode="General" sourceLinked="1"/>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3">
                          <a:shade val="76667"/>
                        </a:schemeClr>
                      </a:solidFill>
                      <a:effectLst/>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
                  <c:y val="-0.134232953570116"/>
                </c:manualLayout>
              </c:layout>
              <c:numFmt formatCode="General" sourceLinked="1"/>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4">
                          <a:shade val="76667"/>
                        </a:schemeClr>
                      </a:solidFill>
                      <a:effectLst/>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164378337946597"/>
                  <c:y val="-0.0259462379365258"/>
                </c:manualLayout>
              </c:layout>
              <c:numFmt formatCode="General" sourceLinked="1"/>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5">
                          <a:shade val="76667"/>
                        </a:schemeClr>
                      </a:solidFill>
                      <a:effectLst/>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5"/>
              <c:layout>
                <c:manualLayout>
                  <c:x val="-0.0282510491236507"/>
                  <c:y val="-0.090336833358036"/>
                </c:manualLayout>
              </c:layout>
              <c:numFmt formatCode="General" sourceLinked="1"/>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6">
                          <a:shade val="76667"/>
                        </a:schemeClr>
                      </a:solidFill>
                      <a:effectLst/>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6"/>
              <c:layout>
                <c:manualLayout>
                  <c:x val="0.047158215861113"/>
                  <c:y val="-0.0734365031248609"/>
                </c:manualLayout>
              </c:layout>
              <c:numFmt formatCode="General" sourceLinked="1"/>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1">
                          <a:tint val="76667"/>
                        </a:schemeClr>
                      </a:solidFill>
                      <a:effectLst/>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7"/>
              <c:layout>
                <c:manualLayout>
                  <c:x val="0.117127968879691"/>
                  <c:y val="-0.160307280433141"/>
                </c:manualLayout>
              </c:layout>
              <c:numFmt formatCode="General" sourceLinked="1"/>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2">
                          <a:tint val="76667"/>
                        </a:schemeClr>
                      </a:solidFill>
                      <a:effectLst/>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8"/>
              <c:layout>
                <c:manualLayout>
                  <c:x val="0.0581758939336982"/>
                  <c:y val="0.138602958410491"/>
                </c:manualLayout>
              </c:layout>
              <c:numFmt formatCode="General" sourceLinked="1"/>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1"/>
                      </a:solidFill>
                      <a:effectLst/>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1"/>
                    </a:solidFill>
                    <a:effectLst/>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[决算公开附图.xlsx]Sheet1!$B$64:$B$72</c:f>
              <c:strCache>
                <c:ptCount val="9"/>
                <c:pt idx="0">
                  <c:v>一般公共服务支出</c:v>
                </c:pt>
                <c:pt idx="1">
                  <c:v>文化旅游体育与传媒支出</c:v>
                </c:pt>
                <c:pt idx="2">
                  <c:v>社会保障和就业支出</c:v>
                </c:pt>
                <c:pt idx="3">
                  <c:v>卫生健康支出</c:v>
                </c:pt>
                <c:pt idx="4">
                  <c:v>城乡社区支出</c:v>
                </c:pt>
                <c:pt idx="5">
                  <c:v>农林水支出</c:v>
                </c:pt>
                <c:pt idx="6">
                  <c:v>交通运输支出</c:v>
                </c:pt>
                <c:pt idx="7">
                  <c:v>住房保障支出</c:v>
                </c:pt>
                <c:pt idx="8">
                  <c:v>教育支出</c:v>
                </c:pt>
              </c:strCache>
            </c:strRef>
          </c:cat>
          <c:val>
            <c:numRef>
              <c:f>[决算公开附图.xlsx]Sheet1!$C$64:$C$72</c:f>
              <c:numCache>
                <c:formatCode>General</c:formatCode>
                <c:ptCount val="9"/>
                <c:pt idx="0">
                  <c:v>500.41</c:v>
                </c:pt>
                <c:pt idx="1">
                  <c:v>25.75</c:v>
                </c:pt>
                <c:pt idx="2">
                  <c:v>202.42</c:v>
                </c:pt>
                <c:pt idx="3">
                  <c:v>252.87</c:v>
                </c:pt>
                <c:pt idx="4">
                  <c:v>6.18</c:v>
                </c:pt>
                <c:pt idx="5">
                  <c:v>1132.97</c:v>
                </c:pt>
                <c:pt idx="6">
                  <c:v>16.13</c:v>
                </c:pt>
                <c:pt idx="7">
                  <c:v>616.77</c:v>
                </c:pt>
                <c:pt idx="8">
                  <c:v>979.72</c:v>
                </c:pt>
              </c:numCache>
            </c:numRef>
          </c:val>
        </c:ser>
        <c:ser>
          <c:idx val="1"/>
          <c:order val="1"/>
          <c:spPr/>
          <c:explosion val="0"/>
          <c:dPt>
            <c:idx val="0"/>
            <c:bubble3D val="0"/>
            <c:spPr>
              <a:solidFill>
                <a:schemeClr val="accent1">
                  <a:shade val="76667"/>
                  <a:alpha val="70000"/>
                </a:schemeClr>
              </a:solidFill>
              <a:ln>
                <a:noFill/>
              </a:ln>
              <a:effectLst/>
            </c:spPr>
          </c:dPt>
          <c:dPt>
            <c:idx val="1"/>
            <c:bubble3D val="0"/>
            <c:spPr>
              <a:solidFill>
                <a:schemeClr val="accent2">
                  <a:shade val="76667"/>
                  <a:alpha val="70000"/>
                </a:schemeClr>
              </a:solidFill>
              <a:ln>
                <a:noFill/>
              </a:ln>
              <a:effectLst/>
            </c:spPr>
          </c:dPt>
          <c:dPt>
            <c:idx val="2"/>
            <c:bubble3D val="0"/>
            <c:spPr>
              <a:solidFill>
                <a:schemeClr val="accent3">
                  <a:shade val="76667"/>
                  <a:alpha val="70000"/>
                </a:schemeClr>
              </a:solidFill>
              <a:ln>
                <a:noFill/>
              </a:ln>
              <a:effectLst/>
            </c:spPr>
          </c:dPt>
          <c:dPt>
            <c:idx val="3"/>
            <c:bubble3D val="0"/>
            <c:spPr>
              <a:solidFill>
                <a:schemeClr val="accent4">
                  <a:shade val="76667"/>
                  <a:alpha val="70000"/>
                </a:schemeClr>
              </a:solidFill>
              <a:ln>
                <a:noFill/>
              </a:ln>
              <a:effectLst/>
            </c:spPr>
          </c:dPt>
          <c:dPt>
            <c:idx val="4"/>
            <c:bubble3D val="0"/>
            <c:spPr>
              <a:solidFill>
                <a:schemeClr val="accent5">
                  <a:shade val="76667"/>
                  <a:alpha val="70000"/>
                </a:schemeClr>
              </a:solidFill>
              <a:ln>
                <a:noFill/>
              </a:ln>
              <a:effectLst/>
            </c:spPr>
          </c:dPt>
          <c:dPt>
            <c:idx val="5"/>
            <c:bubble3D val="0"/>
            <c:spPr>
              <a:solidFill>
                <a:schemeClr val="accent6">
                  <a:shade val="76667"/>
                  <a:alpha val="70000"/>
                </a:schemeClr>
              </a:solidFill>
              <a:ln>
                <a:noFill/>
              </a:ln>
              <a:effectLst/>
            </c:spPr>
          </c:dPt>
          <c:dPt>
            <c:idx val="6"/>
            <c:bubble3D val="0"/>
            <c:spPr>
              <a:solidFill>
                <a:schemeClr val="accent1">
                  <a:tint val="76667"/>
                  <a:alpha val="70000"/>
                </a:schemeClr>
              </a:solidFill>
              <a:ln>
                <a:noFill/>
              </a:ln>
              <a:effectLst/>
            </c:spPr>
          </c:dPt>
          <c:dPt>
            <c:idx val="7"/>
            <c:bubble3D val="0"/>
            <c:spPr>
              <a:solidFill>
                <a:schemeClr val="accent2">
                  <a:tint val="76667"/>
                  <a:alpha val="70000"/>
                </a:schemeClr>
              </a:solidFill>
              <a:ln>
                <a:noFill/>
              </a:ln>
              <a:effectLst/>
            </c:spPr>
          </c:dPt>
          <c:dPt>
            <c:idx val="8"/>
            <c:bubble3D val="0"/>
            <c:spPr>
              <a:solidFill>
                <a:schemeClr val="accent3">
                  <a:tint val="76667"/>
                  <a:alpha val="70000"/>
                </a:schemeClr>
              </a:solidFill>
              <a:ln>
                <a:noFill/>
              </a:ln>
              <a:effectLst/>
            </c:spPr>
          </c:dPt>
          <c:dLbls>
            <c:dLbl>
              <c:idx val="0"/>
              <c:layout/>
              <c:numFmt formatCode="General" sourceLinked="1"/>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1">
                          <a:shade val="76667"/>
                        </a:schemeClr>
                      </a:solidFill>
                      <a:effectLst/>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extLst>
            </c:dLbl>
            <c:dLbl>
              <c:idx val="1"/>
              <c:layout/>
              <c:numFmt formatCode="General" sourceLinked="1"/>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2">
                          <a:shade val="76667"/>
                        </a:schemeClr>
                      </a:solidFill>
                      <a:effectLst/>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extLst>
            </c:dLbl>
            <c:dLbl>
              <c:idx val="2"/>
              <c:layout/>
              <c:numFmt formatCode="General" sourceLinked="1"/>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3">
                          <a:shade val="76667"/>
                        </a:schemeClr>
                      </a:solidFill>
                      <a:effectLst/>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extLst>
            </c:dLbl>
            <c:dLbl>
              <c:idx val="3"/>
              <c:layout/>
              <c:numFmt formatCode="General" sourceLinked="1"/>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4">
                          <a:shade val="76667"/>
                        </a:schemeClr>
                      </a:solidFill>
                      <a:effectLst/>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extLst>
            </c:dLbl>
            <c:dLbl>
              <c:idx val="4"/>
              <c:layout/>
              <c:numFmt formatCode="General" sourceLinked="1"/>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5">
                          <a:shade val="76667"/>
                        </a:schemeClr>
                      </a:solidFill>
                      <a:effectLst/>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extLst>
            </c:dLbl>
            <c:dLbl>
              <c:idx val="5"/>
              <c:layout/>
              <c:numFmt formatCode="General" sourceLinked="1"/>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6">
                          <a:shade val="76667"/>
                        </a:schemeClr>
                      </a:solidFill>
                      <a:effectLst/>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extLst>
            </c:dLbl>
            <c:dLbl>
              <c:idx val="6"/>
              <c:layout/>
              <c:numFmt formatCode="General" sourceLinked="1"/>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1">
                          <a:tint val="76667"/>
                        </a:schemeClr>
                      </a:solidFill>
                      <a:effectLst/>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extLst>
            </c:dLbl>
            <c:dLbl>
              <c:idx val="7"/>
              <c:layout/>
              <c:numFmt formatCode="General" sourceLinked="1"/>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2">
                          <a:tint val="76667"/>
                        </a:schemeClr>
                      </a:solidFill>
                      <a:effectLst/>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extLst>
            </c:dLbl>
            <c:dLbl>
              <c:idx val="8"/>
              <c:layout/>
              <c:numFmt formatCode="General" sourceLinked="1"/>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3">
                          <a:tint val="76667"/>
                        </a:schemeClr>
                      </a:solidFill>
                      <a:effectLst/>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extLst>
            </c:dLbl>
            <c:numFmt formatCode="General" sourceLinked="1"/>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2"/>
                    </a:solidFill>
                    <a:effectLst/>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[决算公开附图.xlsx]Sheet1!$B$64:$B$72</c:f>
              <c:strCache>
                <c:ptCount val="9"/>
                <c:pt idx="0">
                  <c:v>一般公共服务支出</c:v>
                </c:pt>
                <c:pt idx="1">
                  <c:v>文化旅游体育与传媒支出</c:v>
                </c:pt>
                <c:pt idx="2">
                  <c:v>社会保障和就业支出</c:v>
                </c:pt>
                <c:pt idx="3">
                  <c:v>卫生健康支出</c:v>
                </c:pt>
                <c:pt idx="4">
                  <c:v>城乡社区支出</c:v>
                </c:pt>
                <c:pt idx="5">
                  <c:v>农林水支出</c:v>
                </c:pt>
                <c:pt idx="6">
                  <c:v>交通运输支出</c:v>
                </c:pt>
                <c:pt idx="7">
                  <c:v>住房保障支出</c:v>
                </c:pt>
                <c:pt idx="8">
                  <c:v>教育支出</c:v>
                </c:pt>
              </c:strCache>
            </c:strRef>
          </c:cat>
          <c:val>
            <c:numRef>
              <c:f>[决算公开附图.xlsx]Sheet1!$D$64:$D$72</c:f>
              <c:numCache>
                <c:formatCode>0.00%</c:formatCode>
                <c:ptCount val="9"/>
                <c:pt idx="0">
                  <c:v>0.134042462003311</c:v>
                </c:pt>
                <c:pt idx="1">
                  <c:v>0.00689753081789983</c:v>
                </c:pt>
                <c:pt idx="2">
                  <c:v>0.0542212888605547</c:v>
                </c:pt>
                <c:pt idx="3">
                  <c:v>0.0677350919581487</c:v>
                </c:pt>
                <c:pt idx="4">
                  <c:v>0.00165540739629596</c:v>
                </c:pt>
                <c:pt idx="5">
                  <c:v>0.303483320029358</c:v>
                </c:pt>
                <c:pt idx="6">
                  <c:v>0.00432066687738735</c:v>
                </c:pt>
                <c:pt idx="7">
                  <c:v>0.165211265341984</c:v>
                </c:pt>
                <c:pt idx="8">
                  <c:v>0.262432966715061</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0260279965005"/>
          <c:y val="0.332652291012644"/>
          <c:w val="0.357812773403325"/>
          <c:h val="0.561274938671882"/>
        </c:manualLayout>
      </c:layout>
      <c:pieChart>
        <c:varyColors val="1"/>
        <c:ser>
          <c:idx val="0"/>
          <c:order val="0"/>
          <c:explosion val="0"/>
          <c:dPt>
            <c:idx val="0"/>
            <c:bubble3D val="0"/>
          </c:dPt>
          <c:dPt>
            <c:idx val="1"/>
            <c:bubble3D val="0"/>
          </c:dPt>
          <c:dPt>
            <c:idx val="2"/>
            <c:bubble3D val="0"/>
          </c:dPt>
          <c:dPt>
            <c:idx val="3"/>
            <c:bubble3D val="0"/>
          </c:dPt>
          <c:dLbls>
            <c:dLbl>
              <c:idx val="0"/>
              <c:layout>
                <c:manualLayout>
                  <c:x val="-0.06875"/>
                  <c:y val="0"/>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180725940507437"/>
                  <c:y val="0.0130718954248369"/>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154336614173228"/>
                  <c:y val="0.0553514144065325"/>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公务接待, </a:t>
                    </a:r>
                    <a:r>
                      <a:rPr lang="en-US" altLang="zh-CN"/>
                      <a:t>100%</a:t>
                    </a:r>
                    <a:endParaRPr lang="en-US" altLang="zh-CN"/>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192353018372703"/>
                  <c:y val="-0.073314463143087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[决算公开附图.xlsx]Sheet1!$B$2:$B$9</c:f>
              <c:strCache>
                <c:ptCount val="4"/>
                <c:pt idx="0">
                  <c:v>因公出国</c:v>
                </c:pt>
                <c:pt idx="1">
                  <c:v>公务用车购置及运行维护</c:v>
                </c:pt>
                <c:pt idx="2">
                  <c:v>公务接待</c:v>
                </c:pt>
              </c:strCache>
            </c:strRef>
          </c:cat>
          <c:val>
            <c:numRef>
              <c:f>[决算公开附图.xlsx]Sheet1!$C$2:$C$9</c:f>
              <c:numCache>
                <c:formatCode>General</c:formatCode>
                <c:ptCount val="4"/>
                <c:pt idx="0">
                  <c:v>0</c:v>
                </c:pt>
                <c:pt idx="1">
                  <c:v>0</c:v>
                </c:pt>
                <c:pt idx="2">
                  <c:v>3.43</c:v>
                </c:pt>
              </c:numCache>
            </c:numRef>
          </c:val>
        </c:ser>
        <c:ser>
          <c:idx val="1"/>
          <c:order val="1"/>
          <c:explosion val="0"/>
          <c:dPt>
            <c:idx val="0"/>
            <c:bubble3D val="0"/>
          </c:dPt>
          <c:dPt>
            <c:idx val="1"/>
            <c:bubble3D val="0"/>
          </c:dPt>
          <c:dPt>
            <c:idx val="2"/>
            <c:bubble3D val="0"/>
          </c:dPt>
          <c:dPt>
            <c:idx val="3"/>
            <c:bubble3D val="0"/>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[决算公开附图.xlsx]Sheet1!$B$2:$B$9</c:f>
              <c:strCache>
                <c:ptCount val="4"/>
                <c:pt idx="0">
                  <c:v>因公出国</c:v>
                </c:pt>
                <c:pt idx="1">
                  <c:v>公务用车购置及运行维护</c:v>
                </c:pt>
                <c:pt idx="2">
                  <c:v>公务接待</c:v>
                </c:pt>
              </c:strCache>
            </c:strRef>
          </c:cat>
          <c:val>
            <c:numRef>
              <c:f>[决算公开附图.xlsx]Sheet1!$D$2:$D$9</c:f>
              <c:numCache>
                <c:formatCode>0.00%</c:formatCode>
                <c:ptCount val="4"/>
                <c:pt idx="0">
                  <c:v>0</c:v>
                </c:pt>
                <c:pt idx="1">
                  <c:v>0</c:v>
                </c:pt>
                <c:pt idx="2">
                  <c:v>1</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txPr>
    <a:bodyPr/>
    <a:lstStyle/>
    <a:p>
      <a:pPr>
        <a:defRPr lang="zh-CN"/>
      </a:pPr>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0.20417</cdr:x>
      <cdr:y>0.10458</cdr:y>
    </cdr:from>
    <cdr:to>
      <cdr:x>0.78542</cdr:x>
      <cdr:y>0.23856</cdr:y>
    </cdr:to>
    <cdr:sp>
      <cdr:nvSpPr>
        <cdr:cNvPr id="2" name="矩形 1"/>
        <cdr:cNvSpPr/>
      </cdr:nvSpPr>
      <cdr:spPr xmlns:a="http://schemas.openxmlformats.org/drawingml/2006/main">
        <a:xfrm xmlns:a="http://schemas.openxmlformats.org/drawingml/2006/main">
          <a:off x="933450" y="304800"/>
          <a:ext cx="2657475" cy="390525"/>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zh-CN" altLang="en-US" sz="1800" b="1">
              <a:latin typeface="+mn-ea"/>
              <a:ea typeface="+mn-ea"/>
            </a:rPr>
            <a:t>图</a:t>
          </a:r>
          <a:r>
            <a:rPr lang="en-US" altLang="zh-CN" sz="1800" b="1">
              <a:latin typeface="+mn-ea"/>
              <a:ea typeface="+mn-ea"/>
            </a:rPr>
            <a:t>2</a:t>
          </a:r>
          <a:r>
            <a:rPr lang="zh-CN" altLang="en-US" sz="1800" b="1">
              <a:latin typeface="+mn-ea"/>
              <a:ea typeface="+mn-ea"/>
            </a:rPr>
            <a:t>：收入决算结构图</a:t>
          </a:r>
          <a:endParaRPr lang="zh-CN" altLang="en-US" sz="1800" b="1">
            <a:latin typeface="+mn-ea"/>
            <a:ea typeface="+mn-ea"/>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0.20417</cdr:x>
      <cdr:y>0.10458</cdr:y>
    </cdr:from>
    <cdr:to>
      <cdr:x>0.78542</cdr:x>
      <cdr:y>0.23856</cdr:y>
    </cdr:to>
    <cdr:sp>
      <cdr:nvSpPr>
        <cdr:cNvPr id="2" name="矩形 1"/>
        <cdr:cNvSpPr/>
      </cdr:nvSpPr>
      <cdr:spPr xmlns:a="http://schemas.openxmlformats.org/drawingml/2006/main">
        <a:xfrm xmlns:a="http://schemas.openxmlformats.org/drawingml/2006/main">
          <a:off x="933450" y="304800"/>
          <a:ext cx="2657475" cy="390525"/>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zh-CN" altLang="en-US" sz="1800" b="1">
              <a:latin typeface="+mn-ea"/>
              <a:ea typeface="+mn-ea"/>
            </a:rPr>
            <a:t>图</a:t>
          </a:r>
          <a:r>
            <a:rPr lang="en-US" altLang="zh-CN" sz="1800" b="1">
              <a:latin typeface="+mn-ea"/>
              <a:ea typeface="+mn-ea"/>
            </a:rPr>
            <a:t>3</a:t>
          </a:r>
          <a:r>
            <a:rPr lang="zh-CN" altLang="en-US" sz="1800" b="1">
              <a:latin typeface="+mn-ea"/>
              <a:ea typeface="+mn-ea"/>
            </a:rPr>
            <a:t>：支出决算结构图</a:t>
          </a:r>
          <a:endParaRPr lang="zh-CN" altLang="en-US" sz="1800" b="1">
            <a:latin typeface="+mn-ea"/>
            <a:ea typeface="+mn-ea"/>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0.0336111111111111</cdr:x>
      <cdr:y>0.104575163398693</cdr:y>
    </cdr:from>
    <cdr:to>
      <cdr:x>0.960416666666667</cdr:x>
      <cdr:y>0.238562091503268</cdr:y>
    </cdr:to>
    <cdr:sp>
      <cdr:nvSpPr>
        <cdr:cNvPr id="2" name="矩形 1"/>
        <cdr:cNvSpPr/>
      </cdr:nvSpPr>
      <cdr:spPr xmlns:a="http://schemas.openxmlformats.org/drawingml/2006/main">
        <a:xfrm xmlns:a="http://schemas.openxmlformats.org/drawingml/2006/main">
          <a:off x="153670" y="304800"/>
          <a:ext cx="4237355" cy="390525"/>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zh-CN" altLang="en-US" sz="1800" b="1">
              <a:latin typeface="+mn-ea"/>
              <a:ea typeface="+mn-ea"/>
            </a:rPr>
            <a:t>图</a:t>
          </a:r>
          <a:r>
            <a:rPr lang="en-US" altLang="zh-CN" sz="1800" b="1">
              <a:latin typeface="+mn-ea"/>
              <a:ea typeface="+mn-ea"/>
            </a:rPr>
            <a:t>7</a:t>
          </a:r>
          <a:r>
            <a:rPr lang="zh-CN" altLang="en-US" sz="1800" b="1">
              <a:latin typeface="+mn-ea"/>
              <a:ea typeface="+mn-ea"/>
            </a:rPr>
            <a:t>：</a:t>
          </a:r>
          <a:r>
            <a:rPr lang="en-US" altLang="zh-CN" sz="1800" b="1">
              <a:latin typeface="+mn-ea"/>
              <a:ea typeface="+mn-ea"/>
            </a:rPr>
            <a:t>“</a:t>
          </a:r>
          <a:r>
            <a:rPr lang="zh-CN" altLang="en-US" sz="1800" b="1">
              <a:latin typeface="+mn-ea"/>
              <a:ea typeface="+mn-ea"/>
            </a:rPr>
            <a:t>三公</a:t>
          </a:r>
          <a:r>
            <a:rPr lang="en-US" altLang="zh-CN" sz="1800" b="1">
              <a:latin typeface="+mn-ea"/>
              <a:ea typeface="+mn-ea"/>
            </a:rPr>
            <a:t>”</a:t>
          </a:r>
          <a:r>
            <a:rPr lang="zh-CN" altLang="en-US" sz="1800" b="1">
              <a:latin typeface="+mn-ea"/>
              <a:ea typeface="+mn-ea"/>
            </a:rPr>
            <a:t>经费财政拨款支出结构图</a:t>
          </a:r>
          <a:endParaRPr lang="zh-CN" altLang="en-US" sz="1800" b="1">
            <a:latin typeface="+mn-ea"/>
            <a:ea typeface="+mn-ea"/>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28</Pages>
  <Words>9959</Words>
  <Characters>10867</Characters>
  <Lines>61</Lines>
  <Paragraphs>17</Paragraphs>
  <TotalTime>1</TotalTime>
  <ScaleCrop>false</ScaleCrop>
  <LinksUpToDate>false</LinksUpToDate>
  <CharactersWithSpaces>11115</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张良</cp:lastModifiedBy>
  <cp:lastPrinted>2022-08-08T09:11:00Z</cp:lastPrinted>
  <dcterms:modified xsi:type="dcterms:W3CDTF">2022-10-21T03:09:14Z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2B72063373524B49BD9FC72529F3A032</vt:lpwstr>
  </property>
</Properties>
</file>