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72"/>
          <w:szCs w:val="72"/>
        </w:rPr>
      </w:pPr>
      <w:bookmarkStart w:id="0" w:name="_Toc15378441"/>
      <w:bookmarkStart w:id="1" w:name="_Toc15396475"/>
      <w:bookmarkStart w:id="2" w:name="_Toc15377193"/>
      <w:bookmarkStart w:id="3" w:name="_Toc15396597"/>
      <w:bookmarkStart w:id="4" w:name="_Toc15377425"/>
      <w:bookmarkStart w:id="5" w:name="_Toc15306267"/>
    </w:p>
    <w:p>
      <w:pPr>
        <w:spacing w:line="560" w:lineRule="exact"/>
        <w:jc w:val="center"/>
        <w:rPr>
          <w:rFonts w:ascii="方正小标宋简体" w:hAnsi="宋体" w:eastAsia="方正小标宋简体"/>
          <w:sz w:val="72"/>
          <w:szCs w:val="72"/>
        </w:rPr>
      </w:pPr>
    </w:p>
    <w:p>
      <w:pPr>
        <w:pStyle w:val="23"/>
      </w:pPr>
    </w:p>
    <w:p>
      <w:pPr>
        <w:spacing w:line="560" w:lineRule="exact"/>
        <w:jc w:val="center"/>
        <w:rPr>
          <w:rFonts w:ascii="方正小标宋简体" w:hAnsi="宋体" w:eastAsia="方正小标宋简体"/>
          <w:sz w:val="72"/>
          <w:szCs w:val="72"/>
        </w:rPr>
      </w:pPr>
    </w:p>
    <w:p>
      <w:pPr>
        <w:adjustRightInd w:val="0"/>
        <w:snapToGrid w:val="0"/>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spacing w:line="360" w:lineRule="auto"/>
        <w:jc w:val="center"/>
        <w:rPr>
          <w:rFonts w:ascii="方正小标宋简体" w:hAnsi="方正小标宋简体" w:eastAsia="方正小标宋简体" w:cs="方正小标宋简体"/>
          <w:sz w:val="72"/>
          <w:szCs w:val="72"/>
        </w:rPr>
      </w:pPr>
      <w:bookmarkStart w:id="6" w:name="_Toc15377194"/>
      <w:bookmarkStart w:id="7" w:name="_Toc15396476"/>
      <w:bookmarkStart w:id="8" w:name="_Toc15396598"/>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巴中市通江县</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龙凤场镇人民政府</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pStyle w:val="21"/>
        <w:spacing w:line="560" w:lineRule="exact"/>
      </w:pPr>
      <w:r>
        <w:br w:type="page"/>
      </w:r>
    </w:p>
    <w:sdt>
      <w:sdtPr>
        <w:rPr>
          <w:rFonts w:ascii="宋体" w:hAnsi="宋体"/>
          <w:b/>
          <w:bCs/>
          <w:kern w:val="44"/>
          <w:sz w:val="28"/>
          <w:szCs w:val="28"/>
        </w:rPr>
        <w:id w:val="147473949"/>
        <w:docPartObj>
          <w:docPartGallery w:val="Table of Contents"/>
          <w:docPartUnique/>
        </w:docPartObj>
      </w:sdtPr>
      <w:sdtEndPr>
        <w:rPr>
          <w:rFonts w:hint="eastAsia" w:ascii="黑体" w:hAnsi="黑体" w:eastAsia="黑体"/>
          <w:b/>
          <w:bCs/>
          <w:kern w:val="44"/>
          <w:sz w:val="44"/>
          <w:szCs w:val="44"/>
        </w:rPr>
      </w:sdtEndPr>
      <w:sdtContent>
        <w:p>
          <w:pPr>
            <w:widowControl/>
            <w:spacing w:line="560" w:lineRule="exact"/>
            <w:jc w:val="center"/>
            <w:rPr>
              <w:rFonts w:ascii="黑体" w:hAnsi="黑体" w:eastAsia="黑体" w:cstheme="minorBidi"/>
              <w:sz w:val="28"/>
              <w:szCs w:val="28"/>
            </w:rPr>
          </w:pPr>
          <w:r>
            <w:rPr>
              <w:rFonts w:hint="eastAsia" w:ascii="黑体" w:hAnsi="黑体" w:eastAsia="黑体"/>
              <w:sz w:val="48"/>
              <w:szCs w:val="48"/>
            </w:rPr>
            <w:t>目录</w:t>
          </w:r>
        </w:p>
        <w:p>
          <w:pPr>
            <w:pStyle w:val="21"/>
            <w:spacing w:line="560" w:lineRule="exact"/>
          </w:pPr>
          <w:r>
            <w:rPr>
              <w:rFonts w:hint="eastAsia"/>
            </w:rPr>
            <w:t>公开时间：2022年8月25日</w:t>
          </w:r>
        </w:p>
        <w:p>
          <w:pPr>
            <w:pStyle w:val="21"/>
            <w:tabs>
              <w:tab w:val="right" w:leader="dot" w:pos="8306"/>
              <w:tab w:val="clear" w:pos="8296"/>
            </w:tabs>
          </w:pPr>
          <w:r>
            <w:rPr>
              <w:rFonts w:hint="eastAsia"/>
            </w:rPr>
            <w:fldChar w:fldCharType="begin"/>
          </w:r>
          <w:r>
            <w:instrText xml:space="preserve">TOC \o "1-3" \h \u</w:instrText>
          </w:r>
          <w:r>
            <w:rPr>
              <w:rFonts w:hint="eastAsia" w:ascii="黑体" w:hAnsi="黑体" w:eastAsia="黑体"/>
            </w:rPr>
            <w:fldChar w:fldCharType="separate"/>
          </w:r>
          <w:r>
            <w:fldChar w:fldCharType="begin"/>
          </w:r>
          <w:r>
            <w:instrText xml:space="preserve"> HYPERLINK \l "_Toc10732" </w:instrText>
          </w:r>
          <w:r>
            <w:fldChar w:fldCharType="separate"/>
          </w:r>
          <w:r>
            <w:rPr>
              <w:rFonts w:hint="eastAsia" w:ascii="黑体" w:hAnsi="黑体" w:eastAsia="黑体"/>
            </w:rPr>
            <w:t>第一部分 单位概况</w:t>
          </w:r>
          <w:r>
            <w:tab/>
          </w:r>
          <w:r>
            <w:fldChar w:fldCharType="begin"/>
          </w:r>
          <w:r>
            <w:instrText xml:space="preserve"> PAGEREF _Toc10732 \h </w:instrText>
          </w:r>
          <w:r>
            <w:fldChar w:fldCharType="separate"/>
          </w:r>
          <w:r>
            <w:t>3</w:t>
          </w:r>
          <w:r>
            <w:fldChar w:fldCharType="end"/>
          </w:r>
          <w:r>
            <w:fldChar w:fldCharType="end"/>
          </w:r>
        </w:p>
        <w:p>
          <w:pPr>
            <w:pStyle w:val="22"/>
            <w:tabs>
              <w:tab w:val="right" w:leader="dot" w:pos="8306"/>
              <w:tab w:val="clear" w:pos="8296"/>
            </w:tabs>
          </w:pPr>
          <w:r>
            <w:fldChar w:fldCharType="begin"/>
          </w:r>
          <w:r>
            <w:instrText xml:space="preserve"> HYPERLINK \l "_Toc29362" </w:instrText>
          </w:r>
          <w:r>
            <w:fldChar w:fldCharType="separate"/>
          </w:r>
          <w:r>
            <w:rPr>
              <w:rFonts w:hint="eastAsia" w:ascii="黑体" w:hAnsi="黑体" w:eastAsia="黑体"/>
            </w:rPr>
            <w:t>一、基本职能及主要工作</w:t>
          </w:r>
          <w:r>
            <w:tab/>
          </w:r>
          <w:r>
            <w:fldChar w:fldCharType="begin"/>
          </w:r>
          <w:r>
            <w:instrText xml:space="preserve"> PAGEREF _Toc29362 \h </w:instrText>
          </w:r>
          <w:r>
            <w:fldChar w:fldCharType="separate"/>
          </w:r>
          <w:r>
            <w:t>3</w:t>
          </w:r>
          <w:r>
            <w:fldChar w:fldCharType="end"/>
          </w:r>
          <w:r>
            <w:fldChar w:fldCharType="end"/>
          </w:r>
        </w:p>
        <w:p>
          <w:pPr>
            <w:pStyle w:val="22"/>
            <w:tabs>
              <w:tab w:val="right" w:leader="dot" w:pos="8306"/>
              <w:tab w:val="clear" w:pos="8296"/>
            </w:tabs>
          </w:pPr>
          <w:r>
            <w:fldChar w:fldCharType="begin"/>
          </w:r>
          <w:r>
            <w:instrText xml:space="preserve"> HYPERLINK \l "_Toc11071" </w:instrText>
          </w:r>
          <w:r>
            <w:fldChar w:fldCharType="separate"/>
          </w:r>
          <w:r>
            <w:rPr>
              <w:rFonts w:hint="eastAsia" w:ascii="黑体" w:eastAsia="黑体"/>
            </w:rPr>
            <w:t>二、</w:t>
          </w:r>
          <w:r>
            <w:rPr>
              <w:rFonts w:hint="eastAsia" w:ascii="黑体" w:hAnsi="黑体" w:eastAsia="黑体"/>
            </w:rPr>
            <w:t>机构设置</w:t>
          </w:r>
          <w:r>
            <w:tab/>
          </w:r>
          <w:r>
            <w:fldChar w:fldCharType="begin"/>
          </w:r>
          <w:r>
            <w:instrText xml:space="preserve"> PAGEREF _Toc11071 \h </w:instrText>
          </w:r>
          <w:r>
            <w:fldChar w:fldCharType="separate"/>
          </w:r>
          <w:r>
            <w:t>5</w:t>
          </w:r>
          <w:r>
            <w:fldChar w:fldCharType="end"/>
          </w:r>
          <w:r>
            <w:fldChar w:fldCharType="end"/>
          </w:r>
        </w:p>
        <w:p>
          <w:pPr>
            <w:pStyle w:val="21"/>
            <w:tabs>
              <w:tab w:val="right" w:leader="dot" w:pos="8306"/>
              <w:tab w:val="clear" w:pos="8296"/>
            </w:tabs>
          </w:pPr>
          <w:r>
            <w:fldChar w:fldCharType="begin"/>
          </w:r>
          <w:r>
            <w:instrText xml:space="preserve"> HYPERLINK \l "_Toc7276" </w:instrText>
          </w:r>
          <w:r>
            <w:fldChar w:fldCharType="separate"/>
          </w:r>
          <w:r>
            <w:rPr>
              <w:rFonts w:hint="eastAsia" w:ascii="黑体" w:hAnsi="黑体" w:eastAsia="黑体"/>
              <w:bCs/>
            </w:rPr>
            <w:t>第二部分 2021年度单位决算情况说明</w:t>
          </w:r>
          <w:r>
            <w:tab/>
          </w:r>
          <w:r>
            <w:fldChar w:fldCharType="begin"/>
          </w:r>
          <w:r>
            <w:instrText xml:space="preserve"> PAGEREF _Toc7276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"_Toc15892"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_Toc15892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"_Toc26752"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_Toc26752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"_Toc11842"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_Toc11842 \h </w:instrText>
          </w:r>
          <w:r>
            <w:fldChar w:fldCharType="separate"/>
          </w:r>
          <w:r>
            <w:t>7</w:t>
          </w:r>
          <w:r>
            <w:fldChar w:fldCharType="end"/>
          </w:r>
          <w:r>
            <w:fldChar w:fldCharType="end"/>
          </w:r>
        </w:p>
        <w:p>
          <w:pPr>
            <w:pStyle w:val="22"/>
            <w:tabs>
              <w:tab w:val="right" w:leader="dot" w:pos="8306"/>
              <w:tab w:val="clear" w:pos="8296"/>
            </w:tabs>
          </w:pPr>
          <w:r>
            <w:fldChar w:fldCharType="begin"/>
          </w:r>
          <w:r>
            <w:instrText xml:space="preserve"> HYPERLINK \l "_Toc29785"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_Toc29785 \h </w:instrText>
          </w:r>
          <w:r>
            <w:fldChar w:fldCharType="separate"/>
          </w:r>
          <w:r>
            <w:t>8</w:t>
          </w:r>
          <w:r>
            <w:fldChar w:fldCharType="end"/>
          </w:r>
          <w:r>
            <w:fldChar w:fldCharType="end"/>
          </w:r>
        </w:p>
        <w:p>
          <w:pPr>
            <w:pStyle w:val="22"/>
            <w:tabs>
              <w:tab w:val="right" w:leader="dot" w:pos="8306"/>
              <w:tab w:val="clear" w:pos="8296"/>
            </w:tabs>
          </w:pPr>
          <w:r>
            <w:fldChar w:fldCharType="begin"/>
          </w:r>
          <w:r>
            <w:instrText xml:space="preserve"> HYPERLINK \l "_Toc26801"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_Toc26801 \h </w:instrText>
          </w:r>
          <w:r>
            <w:fldChar w:fldCharType="separate"/>
          </w:r>
          <w:r>
            <w:t>8</w:t>
          </w:r>
          <w:r>
            <w:fldChar w:fldCharType="end"/>
          </w:r>
          <w:r>
            <w:fldChar w:fldCharType="end"/>
          </w:r>
        </w:p>
        <w:p>
          <w:pPr>
            <w:pStyle w:val="22"/>
            <w:tabs>
              <w:tab w:val="right" w:leader="dot" w:pos="8306"/>
              <w:tab w:val="clear" w:pos="8296"/>
            </w:tabs>
          </w:pPr>
          <w:r>
            <w:fldChar w:fldCharType="begin"/>
          </w:r>
          <w:r>
            <w:instrText xml:space="preserve"> HYPERLINK \l "_Toc20928"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_Toc20928 \h </w:instrText>
          </w:r>
          <w:r>
            <w:fldChar w:fldCharType="separate"/>
          </w:r>
          <w:r>
            <w:t>12</w:t>
          </w:r>
          <w:r>
            <w:fldChar w:fldCharType="end"/>
          </w:r>
          <w:r>
            <w:fldChar w:fldCharType="end"/>
          </w:r>
        </w:p>
        <w:p>
          <w:pPr>
            <w:pStyle w:val="22"/>
            <w:tabs>
              <w:tab w:val="right" w:leader="dot" w:pos="8306"/>
              <w:tab w:val="clear" w:pos="8296"/>
            </w:tabs>
          </w:pPr>
          <w:r>
            <w:fldChar w:fldCharType="begin"/>
          </w:r>
          <w:r>
            <w:instrText xml:space="preserve"> HYPERLINK \l "_Toc13952"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_Toc13952 \h </w:instrText>
          </w:r>
          <w:r>
            <w:fldChar w:fldCharType="separate"/>
          </w:r>
          <w:r>
            <w:t>13</w:t>
          </w:r>
          <w:r>
            <w:fldChar w:fldCharType="end"/>
          </w:r>
          <w:r>
            <w:fldChar w:fldCharType="end"/>
          </w:r>
        </w:p>
        <w:p>
          <w:pPr>
            <w:pStyle w:val="22"/>
            <w:tabs>
              <w:tab w:val="right" w:leader="dot" w:pos="8306"/>
              <w:tab w:val="clear" w:pos="8296"/>
            </w:tabs>
          </w:pPr>
          <w:r>
            <w:fldChar w:fldCharType="begin"/>
          </w:r>
          <w:r>
            <w:instrText xml:space="preserve"> HYPERLINK \l "_Toc4588"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_Toc4588 \h </w:instrText>
          </w:r>
          <w:r>
            <w:fldChar w:fldCharType="separate"/>
          </w:r>
          <w:r>
            <w:t>14</w:t>
          </w:r>
          <w:r>
            <w:fldChar w:fldCharType="end"/>
          </w:r>
          <w:r>
            <w:fldChar w:fldCharType="end"/>
          </w:r>
        </w:p>
        <w:p>
          <w:pPr>
            <w:pStyle w:val="22"/>
            <w:tabs>
              <w:tab w:val="right" w:leader="dot" w:pos="8306"/>
              <w:tab w:val="clear" w:pos="8296"/>
            </w:tabs>
          </w:pPr>
          <w:r>
            <w:fldChar w:fldCharType="begin"/>
          </w:r>
          <w:r>
            <w:instrText xml:space="preserve"> HYPERLINK \l "_Toc26192" </w:instrText>
          </w:r>
          <w:r>
            <w:fldChar w:fldCharType="separate"/>
          </w:r>
          <w:r>
            <w:rPr>
              <w:rFonts w:hint="eastAsia" w:ascii="黑体" w:hAnsi="黑体" w:eastAsia="黑体"/>
            </w:rPr>
            <w:t>九、国有资本经营预算支出决算情况说明</w:t>
          </w:r>
          <w:r>
            <w:tab/>
          </w:r>
          <w:r>
            <w:fldChar w:fldCharType="begin"/>
          </w:r>
          <w:r>
            <w:instrText xml:space="preserve"> PAGEREF _Toc26192 \h </w:instrText>
          </w:r>
          <w:r>
            <w:fldChar w:fldCharType="separate"/>
          </w:r>
          <w:r>
            <w:t>14</w:t>
          </w:r>
          <w:r>
            <w:fldChar w:fldCharType="end"/>
          </w:r>
          <w:r>
            <w:fldChar w:fldCharType="end"/>
          </w:r>
        </w:p>
        <w:p>
          <w:pPr>
            <w:pStyle w:val="22"/>
            <w:tabs>
              <w:tab w:val="right" w:leader="dot" w:pos="8306"/>
              <w:tab w:val="clear" w:pos="8296"/>
            </w:tabs>
          </w:pPr>
          <w:r>
            <w:fldChar w:fldCharType="begin"/>
          </w:r>
          <w:r>
            <w:instrText xml:space="preserve"> HYPERLINK \l "_Toc27163" </w:instrText>
          </w:r>
          <w:r>
            <w:fldChar w:fldCharType="separate"/>
          </w:r>
          <w:r>
            <w:rPr>
              <w:rFonts w:hint="eastAsia" w:ascii="黑体" w:hAnsi="黑体" w:eastAsia="黑体"/>
            </w:rPr>
            <w:t>十、其他重要事项的情况说明</w:t>
          </w:r>
          <w:r>
            <w:tab/>
          </w:r>
          <w:r>
            <w:fldChar w:fldCharType="begin"/>
          </w:r>
          <w:r>
            <w:instrText xml:space="preserve"> PAGEREF _Toc27163 \h </w:instrText>
          </w:r>
          <w:r>
            <w:fldChar w:fldCharType="separate"/>
          </w:r>
          <w:r>
            <w:t>14</w:t>
          </w:r>
          <w:r>
            <w:fldChar w:fldCharType="end"/>
          </w:r>
          <w:r>
            <w:fldChar w:fldCharType="end"/>
          </w:r>
        </w:p>
        <w:p>
          <w:pPr>
            <w:pStyle w:val="21"/>
            <w:tabs>
              <w:tab w:val="right" w:leader="dot" w:pos="8306"/>
              <w:tab w:val="clear" w:pos="8296"/>
            </w:tabs>
          </w:pPr>
          <w:r>
            <w:fldChar w:fldCharType="begin"/>
          </w:r>
          <w:r>
            <w:instrText xml:space="preserve"> HYPERLINK \l "_Toc32006"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_Toc32006 \h </w:instrText>
          </w:r>
          <w:r>
            <w:fldChar w:fldCharType="separate"/>
          </w:r>
          <w:r>
            <w:t>15</w:t>
          </w:r>
          <w:r>
            <w:fldChar w:fldCharType="end"/>
          </w:r>
          <w:r>
            <w:fldChar w:fldCharType="end"/>
          </w:r>
        </w:p>
        <w:p>
          <w:pPr>
            <w:pStyle w:val="21"/>
            <w:tabs>
              <w:tab w:val="right" w:leader="dot" w:pos="8306"/>
              <w:tab w:val="clear" w:pos="8296"/>
            </w:tabs>
          </w:pPr>
          <w:r>
            <w:fldChar w:fldCharType="begin"/>
          </w:r>
          <w:r>
            <w:instrText xml:space="preserve"> HYPERLINK \l "_Toc17872"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_Toc17872 \h </w:instrText>
          </w:r>
          <w:r>
            <w:fldChar w:fldCharType="separate"/>
          </w:r>
          <w:r>
            <w:t>21</w:t>
          </w:r>
          <w:r>
            <w:fldChar w:fldCharType="end"/>
          </w:r>
          <w:r>
            <w:fldChar w:fldCharType="end"/>
          </w:r>
        </w:p>
        <w:p>
          <w:pPr>
            <w:pStyle w:val="22"/>
            <w:tabs>
              <w:tab w:val="right" w:leader="dot" w:pos="8306"/>
              <w:tab w:val="clear" w:pos="8296"/>
            </w:tabs>
          </w:pPr>
          <w:r>
            <w:fldChar w:fldCharType="begin"/>
          </w:r>
          <w:r>
            <w:instrText xml:space="preserve"> HYPERLINK \l "_Toc4483" </w:instrText>
          </w:r>
          <w:r>
            <w:fldChar w:fldCharType="separate"/>
          </w:r>
          <w:r>
            <w:rPr>
              <w:rFonts w:hint="eastAsia" w:ascii="黑体" w:hAnsi="黑体" w:eastAsia="黑体" w:cs="黑体"/>
              <w:szCs w:val="32"/>
            </w:rPr>
            <w:t>附件</w:t>
          </w:r>
          <w:r>
            <w:tab/>
          </w:r>
          <w:r>
            <w:fldChar w:fldCharType="begin"/>
          </w:r>
          <w:r>
            <w:instrText xml:space="preserve"> PAGEREF _Toc4483 \h </w:instrText>
          </w:r>
          <w:r>
            <w:fldChar w:fldCharType="separate"/>
          </w:r>
          <w:r>
            <w:t>21</w:t>
          </w:r>
          <w:r>
            <w:fldChar w:fldCharType="end"/>
          </w:r>
          <w:r>
            <w:fldChar w:fldCharType="end"/>
          </w:r>
        </w:p>
        <w:p>
          <w:pPr>
            <w:pStyle w:val="21"/>
            <w:tabs>
              <w:tab w:val="right" w:leader="dot" w:pos="8306"/>
              <w:tab w:val="clear" w:pos="8296"/>
            </w:tabs>
          </w:pPr>
          <w:r>
            <w:fldChar w:fldCharType="begin"/>
          </w:r>
          <w:r>
            <w:instrText xml:space="preserve"> HYPERLINK \l "_Toc31788"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_Toc31788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"_Toc21274" </w:instrText>
          </w:r>
          <w:r>
            <w:fldChar w:fldCharType="separate"/>
          </w:r>
          <w:r>
            <w:rPr>
              <w:rFonts w:hint="eastAsia" w:ascii="仿宋" w:hAnsi="仿宋" w:eastAsia="仿宋"/>
            </w:rPr>
            <w:t>一、收入支出决算总表</w:t>
          </w:r>
          <w:r>
            <w:tab/>
          </w:r>
          <w:r>
            <w:fldChar w:fldCharType="begin"/>
          </w:r>
          <w:r>
            <w:instrText xml:space="preserve"> PAGEREF _Toc21274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"_Toc18692" </w:instrText>
          </w:r>
          <w:r>
            <w:fldChar w:fldCharType="separate"/>
          </w:r>
          <w:r>
            <w:rPr>
              <w:rFonts w:hint="eastAsia" w:ascii="仿宋" w:hAnsi="仿宋" w:eastAsia="仿宋"/>
            </w:rPr>
            <w:t>二、收入决算表</w:t>
          </w:r>
          <w:r>
            <w:tab/>
          </w:r>
          <w:r>
            <w:fldChar w:fldCharType="begin"/>
          </w:r>
          <w:r>
            <w:instrText xml:space="preserve"> PAGEREF _Toc18692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"_Toc30934" </w:instrText>
          </w:r>
          <w:r>
            <w:fldChar w:fldCharType="separate"/>
          </w:r>
          <w:r>
            <w:rPr>
              <w:rFonts w:hint="eastAsia" w:ascii="仿宋" w:hAnsi="仿宋" w:eastAsia="仿宋"/>
            </w:rPr>
            <w:t>三、支出决算表</w:t>
          </w:r>
          <w:r>
            <w:tab/>
          </w:r>
          <w:r>
            <w:fldChar w:fldCharType="begin"/>
          </w:r>
          <w:r>
            <w:instrText xml:space="preserve"> PAGEREF _Toc30934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"_Toc28572" </w:instrText>
          </w:r>
          <w:r>
            <w:fldChar w:fldCharType="separate"/>
          </w:r>
          <w:r>
            <w:rPr>
              <w:rFonts w:hint="eastAsia" w:ascii="仿宋" w:hAnsi="仿宋" w:eastAsia="仿宋"/>
            </w:rPr>
            <w:t>四、财政拨款收入支出决算总表</w:t>
          </w:r>
          <w:r>
            <w:tab/>
          </w:r>
          <w:r>
            <w:fldChar w:fldCharType="begin"/>
          </w:r>
          <w:r>
            <w:instrText xml:space="preserve"> PAGEREF _Toc28572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"_Toc1995" </w:instrText>
          </w:r>
          <w:r>
            <w:fldChar w:fldCharType="separate"/>
          </w:r>
          <w:r>
            <w:rPr>
              <w:rFonts w:hint="eastAsia" w:ascii="仿宋" w:hAnsi="仿宋" w:eastAsia="仿宋"/>
            </w:rPr>
            <w:t>五、财政拨款支出决算明细表</w:t>
          </w:r>
          <w:r>
            <w:tab/>
          </w:r>
          <w:r>
            <w:fldChar w:fldCharType="begin"/>
          </w:r>
          <w:r>
            <w:instrText xml:space="preserve"> PAGEREF _Toc1995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"_Toc23591" </w:instrText>
          </w:r>
          <w:r>
            <w:fldChar w:fldCharType="separate"/>
          </w:r>
          <w:r>
            <w:rPr>
              <w:rFonts w:hint="eastAsia" w:ascii="仿宋" w:hAnsi="仿宋" w:eastAsia="仿宋"/>
            </w:rPr>
            <w:t>六、一般公共预算财政拨款支出决算表</w:t>
          </w:r>
          <w:r>
            <w:tab/>
          </w:r>
          <w:r>
            <w:fldChar w:fldCharType="begin"/>
          </w:r>
          <w:r>
            <w:instrText xml:space="preserve"> PAGEREF _Toc23591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"_Toc4356" </w:instrText>
          </w:r>
          <w:r>
            <w:fldChar w:fldCharType="separate"/>
          </w:r>
          <w:r>
            <w:rPr>
              <w:rFonts w:hint="eastAsia" w:ascii="仿宋" w:hAnsi="仿宋" w:eastAsia="仿宋"/>
            </w:rPr>
            <w:t>七、一般公共预算财政拨款支出决算明细表</w:t>
          </w:r>
          <w:r>
            <w:tab/>
          </w:r>
          <w:r>
            <w:fldChar w:fldCharType="begin"/>
          </w:r>
          <w:r>
            <w:instrText xml:space="preserve"> PAGEREF _Toc4356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"_Toc651" </w:instrText>
          </w:r>
          <w:r>
            <w:fldChar w:fldCharType="separate"/>
          </w:r>
          <w:r>
            <w:rPr>
              <w:rFonts w:hint="eastAsia" w:ascii="仿宋" w:hAnsi="仿宋" w:eastAsia="仿宋"/>
            </w:rPr>
            <w:t>八、一般公共预算财政拨款基本支出决算表</w:t>
          </w:r>
          <w:r>
            <w:tab/>
          </w:r>
          <w:r>
            <w:fldChar w:fldCharType="begin"/>
          </w:r>
          <w:r>
            <w:instrText xml:space="preserve"> PAGEREF _Toc651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"_Toc19405" </w:instrText>
          </w:r>
          <w:r>
            <w:fldChar w:fldCharType="separate"/>
          </w:r>
          <w:r>
            <w:rPr>
              <w:rFonts w:hint="eastAsia" w:ascii="仿宋" w:hAnsi="仿宋" w:eastAsia="仿宋"/>
            </w:rPr>
            <w:t>九、一般公共预算财政拨款项目支出决算表</w:t>
          </w:r>
          <w:r>
            <w:tab/>
          </w:r>
          <w:r>
            <w:fldChar w:fldCharType="begin"/>
          </w:r>
          <w:r>
            <w:instrText xml:space="preserve"> PAGEREF _Toc19405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"_Toc27636"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_Toc27636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"_Toc22379"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_Toc22379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"_Toc12850"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_Toc12850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"_Toc1924"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_Toc1924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"_Toc24329"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_Toc24329 \h </w:instrText>
          </w:r>
          <w:r>
            <w:fldChar w:fldCharType="separate"/>
          </w:r>
          <w:r>
            <w:t>25</w:t>
          </w:r>
          <w:r>
            <w:fldChar w:fldCharType="end"/>
          </w:r>
          <w:r>
            <w:fldChar w:fldCharType="end"/>
          </w:r>
        </w:p>
        <w:p>
          <w:pPr>
            <w:pStyle w:val="14"/>
            <w:spacing w:line="560" w:lineRule="exact"/>
          </w:pPr>
          <w:r>
            <w:rPr>
              <w:rFonts w:hint="eastAsia" w:ascii="黑体" w:hAnsi="黑体" w:eastAsia="黑体"/>
              <w:szCs w:val="28"/>
            </w:rPr>
            <w:fldChar w:fldCharType="end"/>
          </w:r>
        </w:p>
      </w:sdtContent>
    </w:sdt>
    <w:p>
      <w:pPr>
        <w:pStyle w:val="14"/>
        <w:spacing w:line="560" w:lineRule="exact"/>
        <w:jc w:val="center"/>
        <w:rPr>
          <w:rFonts w:ascii="黑体" w:eastAsia="黑体"/>
          <w:sz w:val="32"/>
          <w:szCs w:val="32"/>
        </w:rPr>
      </w:pPr>
      <w:bookmarkStart w:id="12" w:name="_Toc10732"/>
      <w:r>
        <w:rPr>
          <w:rFonts w:hint="eastAsia" w:ascii="黑体" w:hAnsi="黑体" w:eastAsia="黑体"/>
          <w:b w:val="0"/>
        </w:rPr>
        <w:t xml:space="preserve">第一部分 </w:t>
      </w:r>
      <w:r>
        <w:rPr>
          <w:rStyle w:val="31"/>
          <w:rFonts w:hint="eastAsia" w:ascii="黑体" w:hAnsi="黑体" w:eastAsia="黑体"/>
          <w:b w:val="0"/>
          <w:bCs w:val="0"/>
        </w:rPr>
        <w:t>单位概况</w:t>
      </w:r>
      <w:bookmarkEnd w:id="12"/>
    </w:p>
    <w:p>
      <w:pPr>
        <w:pStyle w:val="15"/>
        <w:spacing w:line="560" w:lineRule="exact"/>
        <w:rPr>
          <w:rStyle w:val="32"/>
          <w:rFonts w:ascii="仿宋" w:hAnsi="仿宋" w:eastAsia="仿宋"/>
          <w:b w:val="0"/>
          <w:bCs w:val="0"/>
        </w:rPr>
      </w:pPr>
      <w:bookmarkStart w:id="13" w:name="_Toc15396600"/>
      <w:bookmarkStart w:id="14" w:name="_Toc29362"/>
      <w:bookmarkStart w:id="15" w:name="_Toc15377197"/>
      <w:r>
        <w:rPr>
          <w:rFonts w:hint="eastAsia" w:ascii="黑体" w:hAnsi="黑体" w:eastAsia="黑体"/>
          <w:b w:val="0"/>
        </w:rPr>
        <w:t>一、基</w:t>
      </w:r>
      <w:r>
        <w:rPr>
          <w:rStyle w:val="32"/>
          <w:rFonts w:hint="eastAsia" w:ascii="黑体" w:hAnsi="黑体" w:eastAsia="黑体"/>
          <w:b w:val="0"/>
          <w:bCs w:val="0"/>
        </w:rPr>
        <w:t>本职能及主要工作</w:t>
      </w:r>
      <w:bookmarkEnd w:id="13"/>
      <w:bookmarkEnd w:id="14"/>
      <w:bookmarkEnd w:id="15"/>
    </w:p>
    <w:p>
      <w:pPr>
        <w:pStyle w:val="3"/>
        <w:adjustRightInd w:val="0"/>
        <w:snapToGrid w:val="0"/>
        <w:spacing w:before="93" w:line="560" w:lineRule="exact"/>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w:t>
      </w:r>
      <w:r>
        <w:rPr>
          <w:rFonts w:ascii="仿宋" w:hAnsi="仿宋" w:eastAsia="仿宋" w:cs="仿宋"/>
          <w:color w:val="000000"/>
          <w:sz w:val="32"/>
        </w:rPr>
        <w:t>执行上级国家行政机关的决定、命令和国家制定的法令、法规，接受同级党委的领导，执行本级人民代表大会的各项决议，并报告执行决议、决定和命令的情况。</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w:t>
      </w:r>
      <w:r>
        <w:rPr>
          <w:rFonts w:ascii="仿宋" w:hAnsi="仿宋" w:eastAsia="仿宋" w:cs="仿宋"/>
          <w:color w:val="000000"/>
          <w:sz w:val="32"/>
        </w:rPr>
        <w:t>制定并落实本行政区域的经济计划和措施，促进产业结构调整及其他经济保持平衡协调发展，全面提高人民群众的生活</w:t>
      </w:r>
      <w:r>
        <w:rPr>
          <w:rFonts w:ascii="仿宋" w:hAnsi="仿宋" w:eastAsia="仿宋" w:cs="仿宋"/>
          <w:sz w:val="32"/>
        </w:rPr>
        <w:t>水</w:t>
      </w:r>
      <w:r>
        <w:rPr>
          <w:rFonts w:ascii="仿宋" w:hAnsi="仿宋" w:eastAsia="仿宋" w:cs="仿宋"/>
          <w:color w:val="000000"/>
          <w:sz w:val="32"/>
        </w:rPr>
        <w:t>平和生活质量。</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3.</w:t>
      </w:r>
      <w:r>
        <w:rPr>
          <w:rFonts w:ascii="仿宋" w:hAnsi="仿宋" w:eastAsia="仿宋" w:cs="仿宋"/>
          <w:color w:val="000000"/>
          <w:sz w:val="32"/>
        </w:rPr>
        <w:t>承担国有资产、集体资产管理、监督及增值保值</w:t>
      </w:r>
      <w:r>
        <w:rPr>
          <w:rFonts w:ascii="仿宋" w:hAnsi="仿宋" w:eastAsia="仿宋" w:cs="仿宋"/>
          <w:sz w:val="32"/>
        </w:rPr>
        <w:t>责任</w:t>
      </w:r>
      <w:r>
        <w:t>；</w:t>
      </w:r>
      <w:r>
        <w:rPr>
          <w:rFonts w:ascii="仿宋" w:hAnsi="仿宋" w:eastAsia="仿宋" w:cs="仿宋"/>
          <w:color w:val="000000"/>
          <w:sz w:val="32"/>
        </w:rPr>
        <w:t>保护公民私人所有合法财产，保障集体经济组织应有的自主权</w:t>
      </w:r>
      <w:r>
        <w:t>；</w:t>
      </w:r>
      <w:r>
        <w:rPr>
          <w:rFonts w:ascii="仿宋" w:hAnsi="仿宋" w:eastAsia="仿宋" w:cs="仿宋"/>
          <w:color w:val="000000"/>
          <w:sz w:val="32"/>
        </w:rPr>
        <w:t>监督企业和</w:t>
      </w:r>
      <w:r>
        <w:rPr>
          <w:rFonts w:hint="eastAsia" w:ascii="仿宋" w:hAnsi="仿宋" w:eastAsia="仿宋" w:cs="仿宋"/>
          <w:color w:val="000000"/>
          <w:sz w:val="32"/>
          <w:u w:val="none" w:color="46CD7E"/>
          <w:shd w:val="clear" w:fill="auto"/>
          <w:lang w:eastAsia="zh-CN"/>
        </w:rPr>
        <w:t>各类</w:t>
      </w:r>
      <w:r>
        <w:rPr>
          <w:rFonts w:ascii="仿宋" w:hAnsi="仿宋" w:eastAsia="仿宋" w:cs="仿宋"/>
          <w:color w:val="000000"/>
          <w:sz w:val="32"/>
        </w:rPr>
        <w:t>经济联合体、个体户认真执行国家的法律、法令和政策，履行经济</w:t>
      </w:r>
      <w:r>
        <w:rPr>
          <w:rFonts w:ascii="仿宋" w:hAnsi="仿宋" w:eastAsia="仿宋" w:cs="仿宋"/>
          <w:sz w:val="32"/>
        </w:rPr>
        <w:t>合同</w:t>
      </w:r>
      <w:r>
        <w:rPr>
          <w:rFonts w:ascii="仿宋" w:hAnsi="仿宋" w:eastAsia="仿宋" w:cs="仿宋"/>
          <w:color w:val="000000"/>
          <w:sz w:val="32"/>
        </w:rPr>
        <w:t>。</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4.</w:t>
      </w:r>
      <w:r>
        <w:rPr>
          <w:rFonts w:ascii="仿宋" w:hAnsi="仿宋" w:eastAsia="仿宋" w:cs="仿宋"/>
          <w:color w:val="000000"/>
          <w:sz w:val="32"/>
        </w:rPr>
        <w:t>开展社会主义民主和法制的宣传教育，保障公民的权利</w:t>
      </w:r>
      <w:r>
        <w:t>；</w:t>
      </w:r>
      <w:r>
        <w:rPr>
          <w:rFonts w:ascii="仿宋" w:hAnsi="仿宋" w:eastAsia="仿宋" w:cs="仿宋"/>
          <w:color w:val="000000"/>
          <w:sz w:val="32"/>
        </w:rPr>
        <w:t>制定社会治安综合治理工作</w:t>
      </w:r>
      <w:r>
        <w:rPr>
          <w:rFonts w:ascii="仿宋" w:hAnsi="仿宋" w:eastAsia="仿宋" w:cs="仿宋"/>
          <w:sz w:val="32"/>
        </w:rPr>
        <w:t>规划</w:t>
      </w:r>
      <w:r>
        <w:rPr>
          <w:rFonts w:ascii="仿宋" w:hAnsi="仿宋" w:eastAsia="仿宋" w:cs="仿宋"/>
          <w:color w:val="000000"/>
          <w:sz w:val="32"/>
        </w:rPr>
        <w:t>并组织实施</w:t>
      </w:r>
      <w:r>
        <w:t>；</w:t>
      </w:r>
      <w:r>
        <w:rPr>
          <w:rFonts w:ascii="仿宋" w:hAnsi="仿宋" w:eastAsia="仿宋" w:cs="仿宋"/>
          <w:color w:val="000000"/>
          <w:sz w:val="32"/>
        </w:rPr>
        <w:t>加强</w:t>
      </w:r>
      <w:r>
        <w:rPr>
          <w:rFonts w:ascii="仿宋" w:hAnsi="仿宋" w:eastAsia="仿宋" w:cs="仿宋"/>
          <w:sz w:val="32"/>
        </w:rPr>
        <w:t>社区</w:t>
      </w:r>
      <w:r>
        <w:rPr>
          <w:rFonts w:ascii="仿宋" w:hAnsi="仿宋" w:eastAsia="仿宋" w:cs="仿宋"/>
          <w:color w:val="000000"/>
          <w:sz w:val="32"/>
        </w:rPr>
        <w:t>管理工作，依法管理外来流动人口，处理人民来信来访，调解民间纠纷，打击违法犯罪，维护社会稳定。</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5.</w:t>
      </w:r>
      <w:r>
        <w:rPr>
          <w:rFonts w:ascii="仿宋" w:hAnsi="仿宋" w:eastAsia="仿宋" w:cs="仿宋"/>
          <w:color w:val="000000"/>
          <w:sz w:val="32"/>
        </w:rPr>
        <w:t>制定社会各项事业发展计划，发展教育、卫生、科技、民政、</w:t>
      </w:r>
      <w:r>
        <w:rPr>
          <w:rFonts w:ascii="仿宋" w:hAnsi="仿宋" w:eastAsia="仿宋" w:cs="仿宋"/>
          <w:sz w:val="32"/>
        </w:rPr>
        <w:t>广播</w:t>
      </w:r>
      <w:r>
        <w:rPr>
          <w:rFonts w:ascii="仿宋" w:hAnsi="仿宋" w:eastAsia="仿宋" w:cs="仿宋"/>
          <w:color w:val="000000"/>
          <w:sz w:val="32"/>
        </w:rPr>
        <w:t>电视、文化、体育</w:t>
      </w:r>
      <w:r>
        <w:rPr>
          <w:rFonts w:hint="eastAsia" w:ascii="仿宋" w:hAnsi="仿宋" w:eastAsia="仿宋" w:cs="仿宋"/>
          <w:color w:val="000000"/>
          <w:sz w:val="32"/>
        </w:rPr>
        <w:t>等</w:t>
      </w:r>
      <w:r>
        <w:rPr>
          <w:rFonts w:ascii="仿宋" w:hAnsi="仿宋" w:eastAsia="仿宋" w:cs="仿宋"/>
          <w:color w:val="000000"/>
          <w:sz w:val="32"/>
        </w:rPr>
        <w:t>事业</w:t>
      </w:r>
      <w:r>
        <w:t>；</w:t>
      </w:r>
      <w:r>
        <w:rPr>
          <w:rFonts w:ascii="仿宋" w:hAnsi="仿宋" w:eastAsia="仿宋" w:cs="仿宋"/>
          <w:color w:val="000000"/>
          <w:sz w:val="32"/>
        </w:rPr>
        <w:t>组织实施义务教育和其他各类教育</w:t>
      </w:r>
      <w:r>
        <w:t>；</w:t>
      </w:r>
      <w:r>
        <w:rPr>
          <w:rFonts w:ascii="仿宋" w:hAnsi="仿宋" w:eastAsia="仿宋" w:cs="仿宋"/>
          <w:color w:val="000000"/>
          <w:sz w:val="32"/>
        </w:rPr>
        <w:t>加强计划生育工作</w:t>
      </w:r>
      <w:r>
        <w:t>；</w:t>
      </w:r>
      <w:r>
        <w:rPr>
          <w:rFonts w:ascii="仿宋" w:hAnsi="仿宋" w:eastAsia="仿宋" w:cs="仿宋"/>
          <w:color w:val="000000"/>
          <w:sz w:val="32"/>
        </w:rPr>
        <w:t>推进社会保障、社会福利事业和养老保险工作</w:t>
      </w:r>
      <w:r>
        <w:t>；</w:t>
      </w:r>
      <w:r>
        <w:rPr>
          <w:rFonts w:ascii="仿宋" w:hAnsi="仿宋" w:eastAsia="仿宋" w:cs="仿宋"/>
          <w:color w:val="000000"/>
          <w:sz w:val="32"/>
        </w:rPr>
        <w:t>做好</w:t>
      </w:r>
      <w:r>
        <w:rPr>
          <w:rFonts w:ascii="仿宋" w:hAnsi="仿宋" w:eastAsia="仿宋" w:cs="仿宋"/>
          <w:sz w:val="32"/>
        </w:rPr>
        <w:t>劳动</w:t>
      </w:r>
      <w:r>
        <w:rPr>
          <w:rFonts w:ascii="仿宋" w:hAnsi="仿宋" w:eastAsia="仿宋" w:cs="仿宋"/>
          <w:color w:val="000000"/>
          <w:sz w:val="32"/>
        </w:rPr>
        <w:t>管理、科普、老龄及宗教、侨务等工作，</w:t>
      </w:r>
      <w:r>
        <w:rPr>
          <w:rFonts w:ascii="仿宋" w:hAnsi="仿宋" w:eastAsia="仿宋" w:cs="仿宋"/>
          <w:sz w:val="32"/>
        </w:rPr>
        <w:t>工作总结</w:t>
      </w:r>
      <w:r>
        <w:rPr>
          <w:rFonts w:ascii="仿宋" w:hAnsi="仿宋" w:eastAsia="仿宋" w:cs="仿宋"/>
          <w:color w:val="000000"/>
          <w:sz w:val="32"/>
        </w:rPr>
        <w:t>《</w:t>
      </w:r>
      <w:r>
        <w:rPr>
          <w:rFonts w:ascii="仿宋" w:hAnsi="仿宋" w:eastAsia="仿宋" w:cs="仿宋"/>
          <w:sz w:val="32"/>
        </w:rPr>
        <w:t>乡镇政府的工作职责</w:t>
      </w:r>
      <w:r>
        <w:rPr>
          <w:rFonts w:ascii="仿宋" w:hAnsi="仿宋" w:eastAsia="仿宋" w:cs="仿宋"/>
          <w:color w:val="000000"/>
          <w:sz w:val="32"/>
        </w:rPr>
        <w:t>》。</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6.</w:t>
      </w:r>
      <w:r>
        <w:rPr>
          <w:rFonts w:ascii="仿宋" w:hAnsi="仿宋" w:eastAsia="仿宋" w:cs="仿宋"/>
          <w:color w:val="000000"/>
          <w:sz w:val="32"/>
        </w:rPr>
        <w:t>加强镇级</w:t>
      </w:r>
      <w:bookmarkStart w:id="107" w:name="_GoBack"/>
      <w:bookmarkEnd w:id="107"/>
      <w:r>
        <w:rPr>
          <w:rFonts w:hint="eastAsia" w:ascii="仿宋" w:hAnsi="仿宋" w:eastAsia="仿宋" w:cs="仿宋"/>
          <w:color w:val="000000"/>
          <w:sz w:val="32"/>
          <w:u w:val="thick" w:color="46CD7E"/>
          <w:shd w:val="clear" w:fill="DAF5E5"/>
          <w:lang w:eastAsia="zh-CN"/>
        </w:rPr>
        <w:t>财政收入</w:t>
      </w:r>
      <w:r>
        <w:rPr>
          <w:rFonts w:ascii="仿宋" w:hAnsi="仿宋" w:eastAsia="仿宋" w:cs="仿宋"/>
          <w:color w:val="000000"/>
          <w:sz w:val="32"/>
        </w:rPr>
        <w:t>的监督和管理，按计划组织、管理</w:t>
      </w:r>
      <w:r>
        <w:rPr>
          <w:rFonts w:hint="eastAsia" w:ascii="仿宋" w:hAnsi="仿宋" w:eastAsia="仿宋" w:cs="仿宋"/>
          <w:color w:val="000000"/>
          <w:sz w:val="32"/>
          <w:u w:val="none" w:color="46CD7E"/>
          <w:shd w:val="clear" w:fill="auto"/>
          <w:lang w:eastAsia="zh-CN"/>
        </w:rPr>
        <w:t>镇级</w:t>
      </w:r>
      <w:r>
        <w:rPr>
          <w:rFonts w:ascii="仿宋" w:hAnsi="仿宋" w:eastAsia="仿宋" w:cs="仿宋"/>
          <w:color w:val="000000"/>
          <w:sz w:val="32"/>
        </w:rPr>
        <w:t>财政收入和支出，执行国家有关财经纪律和政策，保证国家财政收入的完成。</w:t>
      </w:r>
    </w:p>
    <w:p>
      <w:pPr>
        <w:pStyle w:val="3"/>
        <w:adjustRightInd w:val="0"/>
        <w:snapToGrid w:val="0"/>
        <w:spacing w:before="93" w:line="560" w:lineRule="exact"/>
        <w:ind w:firstLine="672" w:firstLineChars="210"/>
        <w:rPr>
          <w:rFonts w:ascii="仿宋" w:hAnsi="仿宋" w:eastAsia="仿宋"/>
          <w:bCs/>
          <w:sz w:val="32"/>
          <w:szCs w:val="32"/>
        </w:rPr>
      </w:pPr>
      <w:r>
        <w:rPr>
          <w:rFonts w:hAnsi="仿宋_GB2312" w:cs="仿宋_GB2312"/>
          <w:color w:val="000000"/>
          <w:sz w:val="32"/>
        </w:rPr>
        <w:t>7.</w:t>
      </w:r>
      <w:r>
        <w:rPr>
          <w:rFonts w:ascii="仿宋" w:hAnsi="仿宋" w:eastAsia="仿宋" w:cs="仿宋"/>
          <w:color w:val="000000"/>
          <w:sz w:val="32"/>
        </w:rPr>
        <w:t>指导、支持、帮助村</w:t>
      </w:r>
      <w:r>
        <w:t>（</w:t>
      </w:r>
      <w:r>
        <w:rPr>
          <w:rFonts w:ascii="仿宋" w:hAnsi="仿宋" w:eastAsia="仿宋" w:cs="仿宋"/>
          <w:color w:val="000000"/>
          <w:sz w:val="32"/>
        </w:rPr>
        <w:t>居</w:t>
      </w:r>
      <w:r>
        <w:t>）</w:t>
      </w:r>
      <w:r>
        <w:rPr>
          <w:rFonts w:ascii="仿宋" w:hAnsi="仿宋" w:eastAsia="仿宋" w:cs="仿宋"/>
          <w:color w:val="000000"/>
          <w:sz w:val="32"/>
        </w:rPr>
        <w:t>民委员会的组织制度建设和业务建设，促进村</w:t>
      </w:r>
      <w:r>
        <w:t>（</w:t>
      </w:r>
      <w:r>
        <w:rPr>
          <w:rFonts w:ascii="仿宋" w:hAnsi="仿宋" w:eastAsia="仿宋" w:cs="仿宋"/>
          <w:color w:val="000000"/>
          <w:sz w:val="32"/>
        </w:rPr>
        <w:t>居</w:t>
      </w:r>
      <w:r>
        <w:t>）</w:t>
      </w:r>
      <w:r>
        <w:rPr>
          <w:rFonts w:ascii="仿宋" w:hAnsi="仿宋" w:eastAsia="仿宋" w:cs="仿宋"/>
          <w:color w:val="000000"/>
          <w:sz w:val="32"/>
        </w:rPr>
        <w:t>民委员会民主自治。</w:t>
      </w:r>
    </w:p>
    <w:p>
      <w:pPr>
        <w:pStyle w:val="3"/>
        <w:adjustRightInd w:val="0"/>
        <w:snapToGrid w:val="0"/>
        <w:spacing w:before="93" w:line="560" w:lineRule="exact"/>
        <w:ind w:firstLine="672" w:firstLineChars="210"/>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spacing w:line="560" w:lineRule="exact"/>
        <w:ind w:firstLine="640" w:firstLineChars="200"/>
        <w:rPr>
          <w:rFonts w:ascii="仿宋" w:hAnsi="仿宋" w:eastAsia="仿宋" w:cs="仿宋"/>
          <w:color w:val="000000"/>
          <w:kern w:val="0"/>
          <w:sz w:val="32"/>
        </w:rPr>
      </w:pPr>
      <w:r>
        <w:rPr>
          <w:rFonts w:hint="eastAsia" w:ascii="仿宋" w:hAnsi="仿宋" w:eastAsia="仿宋" w:cs="仿宋"/>
          <w:color w:val="000000"/>
          <w:kern w:val="0"/>
          <w:sz w:val="32"/>
        </w:rPr>
        <w:t>1.巩固脱贫成果助力乡村振兴。开展防止返贫动态监测大排查5次，将全镇46户有返贫致贫风险的脱贫户和一般户纳入动态监测。完成脱贫攻坚档案归档，完成扶贫资产管理建卡。</w:t>
      </w:r>
    </w:p>
    <w:p>
      <w:pPr>
        <w:spacing w:line="560" w:lineRule="exact"/>
        <w:ind w:firstLine="640" w:firstLineChars="200"/>
        <w:rPr>
          <w:rFonts w:ascii="仿宋" w:hAnsi="仿宋" w:eastAsia="仿宋" w:cs="仿宋"/>
          <w:color w:val="000000"/>
          <w:kern w:val="0"/>
          <w:sz w:val="32"/>
        </w:rPr>
      </w:pPr>
      <w:r>
        <w:rPr>
          <w:rFonts w:hint="eastAsia" w:ascii="仿宋" w:hAnsi="仿宋" w:eastAsia="仿宋" w:cs="仿宋"/>
          <w:color w:val="000000"/>
          <w:kern w:val="0"/>
          <w:sz w:val="32"/>
        </w:rPr>
        <w:t>2.民生事业持续向好。发放城乡低保681.1281万元，发放特困、高龄、重残、困残补贴206.8190万元，发放退耕还林48.4万元、公益林39.8万元，兑现公益性岗位工资81.33万元；基本养老保险和医疗保险覆盖率达98%以上，公共卫生和临床工作位居前列。</w:t>
      </w:r>
    </w:p>
    <w:p>
      <w:pPr>
        <w:spacing w:line="560" w:lineRule="exact"/>
        <w:ind w:firstLine="640" w:firstLineChars="200"/>
        <w:rPr>
          <w:rFonts w:ascii="仿宋" w:hAnsi="仿宋" w:eastAsia="仿宋" w:cs="仿宋"/>
          <w:color w:val="000000"/>
          <w:kern w:val="0"/>
          <w:sz w:val="32"/>
        </w:rPr>
      </w:pPr>
      <w:r>
        <w:rPr>
          <w:rFonts w:hint="eastAsia" w:ascii="仿宋" w:hAnsi="仿宋" w:eastAsia="仿宋" w:cs="仿宋"/>
          <w:color w:val="000000"/>
          <w:kern w:val="0"/>
          <w:sz w:val="32"/>
        </w:rPr>
        <w:t>3.防灾减灾能力提升。出动抢险救援400余人次，累计避险转移群众256户708人，灾害防范实现人员零伤亡。</w:t>
      </w:r>
    </w:p>
    <w:p>
      <w:pPr>
        <w:spacing w:line="560" w:lineRule="exact"/>
        <w:ind w:firstLine="640" w:firstLineChars="200"/>
        <w:rPr>
          <w:rFonts w:ascii="仿宋" w:hAnsi="仿宋" w:eastAsia="仿宋" w:cs="仿宋"/>
          <w:color w:val="000000"/>
          <w:kern w:val="0"/>
          <w:sz w:val="32"/>
        </w:rPr>
      </w:pPr>
      <w:r>
        <w:rPr>
          <w:rFonts w:hint="eastAsia" w:ascii="仿宋" w:hAnsi="仿宋" w:eastAsia="仿宋" w:cs="仿宋"/>
          <w:color w:val="000000"/>
          <w:kern w:val="0"/>
          <w:sz w:val="32"/>
        </w:rPr>
        <w:t>4.疫情防线筑牢筑实。全镇申领“四川天府健康通”健康码18131人，12岁以上人群累计接种新冠疫苗15868人，接种率达99.93%，达到应接尽接。</w:t>
      </w:r>
    </w:p>
    <w:p>
      <w:pPr>
        <w:pStyle w:val="15"/>
        <w:spacing w:line="560" w:lineRule="exact"/>
        <w:rPr>
          <w:rStyle w:val="32"/>
          <w:b w:val="0"/>
          <w:bCs w:val="0"/>
        </w:rPr>
      </w:pPr>
      <w:bookmarkStart w:id="20" w:name="_Toc15396601"/>
      <w:bookmarkStart w:id="21" w:name="_Toc11071"/>
      <w:bookmarkStart w:id="22" w:name="_Toc15377200"/>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20"/>
      <w:bookmarkEnd w:id="21"/>
      <w:bookmarkEnd w:id="22"/>
    </w:p>
    <w:p>
      <w:pPr>
        <w:spacing w:line="560" w:lineRule="exact"/>
        <w:ind w:firstLine="800" w:firstLineChars="250"/>
        <w:rPr>
          <w:rFonts w:ascii="仿宋" w:hAnsi="仿宋" w:eastAsia="仿宋"/>
          <w:sz w:val="32"/>
          <w:szCs w:val="32"/>
        </w:rPr>
      </w:pPr>
      <w:r>
        <w:rPr>
          <w:rFonts w:hint="eastAsia" w:ascii="仿宋" w:hAnsi="仿宋" w:eastAsia="仿宋" w:cs="仿宋"/>
          <w:sz w:val="32"/>
        </w:rPr>
        <w:t>龙凤场镇</w:t>
      </w:r>
      <w:r>
        <w:rPr>
          <w:rFonts w:ascii="仿宋" w:hAnsi="仿宋" w:eastAsia="仿宋" w:cs="仿宋"/>
          <w:sz w:val="32"/>
        </w:rPr>
        <w:t>人民政府</w:t>
      </w:r>
      <w:r>
        <w:rPr>
          <w:rFonts w:hint="eastAsia" w:ascii="仿宋" w:hAnsi="仿宋" w:eastAsia="仿宋"/>
          <w:sz w:val="32"/>
          <w:szCs w:val="32"/>
        </w:rPr>
        <w:t>下属二级单位</w:t>
      </w:r>
      <w:r>
        <w:rPr>
          <w:rFonts w:hint="eastAsia" w:ascii="仿宋" w:hAnsi="仿宋" w:eastAsia="仿宋" w:cs="仿宋"/>
          <w:sz w:val="32"/>
        </w:rPr>
        <w:t>3</w:t>
      </w:r>
      <w:r>
        <w:rPr>
          <w:rFonts w:hint="eastAsia" w:ascii="仿宋" w:hAnsi="仿宋" w:eastAsia="仿宋"/>
          <w:sz w:val="32"/>
          <w:szCs w:val="32"/>
        </w:rPr>
        <w:t>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个，其他事业单位3个。</w:t>
      </w:r>
    </w:p>
    <w:p>
      <w:pPr>
        <w:pStyle w:val="3"/>
        <w:adjustRightInd w:val="0"/>
        <w:snapToGrid w:val="0"/>
        <w:spacing w:before="93" w:line="56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cs="仿宋"/>
          <w:sz w:val="32"/>
        </w:rPr>
        <w:t>龙凤场镇</w:t>
      </w:r>
      <w:r>
        <w:rPr>
          <w:rFonts w:ascii="仿宋" w:hAnsi="仿宋" w:eastAsia="仿宋" w:cs="仿宋"/>
          <w:sz w:val="32"/>
        </w:rPr>
        <w:t>人民政府</w:t>
      </w:r>
      <w:r>
        <w:rPr>
          <w:rFonts w:hint="eastAsia" w:ascii="仿宋" w:hAnsi="仿宋" w:eastAsia="仿宋"/>
          <w:sz w:val="32"/>
          <w:szCs w:val="32"/>
        </w:rPr>
        <w:t>2021年度单位决算编制范围的二级预算单位包括：</w:t>
      </w:r>
    </w:p>
    <w:p>
      <w:pPr>
        <w:pStyle w:val="3"/>
        <w:numPr>
          <w:ilvl w:val="0"/>
          <w:numId w:val="1"/>
        </w:numPr>
        <w:adjustRightInd w:val="0"/>
        <w:snapToGrid w:val="0"/>
        <w:spacing w:before="93" w:line="560" w:lineRule="exact"/>
        <w:rPr>
          <w:rFonts w:ascii="仿宋" w:hAnsi="仿宋" w:eastAsia="仿宋"/>
          <w:sz w:val="32"/>
          <w:szCs w:val="32"/>
        </w:rPr>
      </w:pPr>
      <w:bookmarkStart w:id="23" w:name="_Toc15377433"/>
      <w:bookmarkStart w:id="24" w:name="_Toc15306276"/>
      <w:bookmarkStart w:id="25" w:name="_Toc15378449"/>
      <w:bookmarkStart w:id="26" w:name="_Toc15377202"/>
      <w:r>
        <w:rPr>
          <w:rFonts w:hint="eastAsia" w:ascii="仿宋" w:hAnsi="仿宋" w:eastAsia="仿宋" w:cs="仿宋"/>
          <w:sz w:val="32"/>
        </w:rPr>
        <w:t>龙凤场镇</w:t>
      </w:r>
      <w:r>
        <w:rPr>
          <w:rFonts w:ascii="仿宋" w:hAnsi="仿宋" w:eastAsia="仿宋" w:cs="仿宋"/>
          <w:sz w:val="32"/>
        </w:rPr>
        <w:t>中心小学</w:t>
      </w:r>
      <w:bookmarkEnd w:id="23"/>
      <w:bookmarkEnd w:id="24"/>
      <w:bookmarkEnd w:id="25"/>
      <w:bookmarkEnd w:id="26"/>
    </w:p>
    <w:p>
      <w:pPr>
        <w:pStyle w:val="3"/>
        <w:numPr>
          <w:ilvl w:val="0"/>
          <w:numId w:val="1"/>
        </w:numPr>
        <w:adjustRightInd w:val="0"/>
        <w:snapToGrid w:val="0"/>
        <w:spacing w:before="93" w:line="560" w:lineRule="exact"/>
        <w:rPr>
          <w:rFonts w:ascii="仿宋" w:hAnsi="仿宋" w:eastAsia="仿宋"/>
          <w:sz w:val="32"/>
          <w:szCs w:val="32"/>
        </w:rPr>
      </w:pPr>
      <w:r>
        <w:rPr>
          <w:rFonts w:hint="eastAsia" w:ascii="仿宋" w:hAnsi="仿宋" w:eastAsia="仿宋" w:cs="仿宋"/>
          <w:sz w:val="32"/>
        </w:rPr>
        <w:t>龙凤场镇</w:t>
      </w:r>
      <w:r>
        <w:rPr>
          <w:rFonts w:ascii="仿宋" w:hAnsi="仿宋" w:eastAsia="仿宋" w:cs="仿宋"/>
          <w:sz w:val="32"/>
        </w:rPr>
        <w:t>卫生院</w:t>
      </w:r>
    </w:p>
    <w:p>
      <w:pPr>
        <w:pStyle w:val="3"/>
        <w:numPr>
          <w:ilvl w:val="0"/>
          <w:numId w:val="1"/>
        </w:numPr>
        <w:adjustRightInd w:val="0"/>
        <w:snapToGrid w:val="0"/>
        <w:spacing w:before="93" w:line="560" w:lineRule="exact"/>
        <w:rPr>
          <w:rFonts w:ascii="仿宋" w:hAnsi="仿宋" w:eastAsia="仿宋"/>
          <w:sz w:val="32"/>
          <w:szCs w:val="32"/>
        </w:rPr>
      </w:pPr>
      <w:r>
        <w:rPr>
          <w:rFonts w:hint="eastAsia" w:ascii="仿宋" w:hAnsi="仿宋" w:eastAsia="仿宋" w:cs="仿宋"/>
          <w:sz w:val="32"/>
        </w:rPr>
        <w:t>长乐小学</w:t>
      </w:r>
    </w:p>
    <w:p>
      <w:pPr>
        <w:pStyle w:val="3"/>
        <w:numPr>
          <w:ilvl w:val="0"/>
          <w:numId w:val="1"/>
        </w:numPr>
        <w:adjustRightInd w:val="0"/>
        <w:snapToGrid w:val="0"/>
        <w:spacing w:before="93" w:line="560" w:lineRule="exact"/>
        <w:rPr>
          <w:rFonts w:ascii="仿宋" w:hAnsi="仿宋" w:eastAsia="仿宋"/>
          <w:sz w:val="32"/>
          <w:szCs w:val="32"/>
        </w:rPr>
      </w:pPr>
      <w:r>
        <w:br w:type="page"/>
      </w:r>
    </w:p>
    <w:p>
      <w:pPr>
        <w:pStyle w:val="14"/>
        <w:spacing w:line="560" w:lineRule="exact"/>
        <w:ind w:right="440"/>
        <w:jc w:val="center"/>
      </w:pPr>
      <w:bookmarkStart w:id="27" w:name="_Toc15396602"/>
      <w:bookmarkStart w:id="28" w:name="_Toc7276"/>
      <w:bookmarkStart w:id="29" w:name="_Toc15377204"/>
      <w:r>
        <w:rPr>
          <w:rFonts w:hint="eastAsia" w:ascii="黑体" w:hAnsi="黑体" w:eastAsia="黑体"/>
          <w:b w:val="0"/>
        </w:rPr>
        <w:t>第二部分 2021年度</w:t>
      </w:r>
      <w:r>
        <w:rPr>
          <w:rStyle w:val="31"/>
          <w:rFonts w:hint="eastAsia" w:ascii="黑体" w:hAnsi="黑体" w:eastAsia="黑体"/>
          <w:b w:val="0"/>
          <w:bCs/>
        </w:rPr>
        <w:t>单位决算情况说明</w:t>
      </w:r>
      <w:bookmarkEnd w:id="27"/>
      <w:bookmarkEnd w:id="28"/>
      <w:bookmarkEnd w:id="29"/>
    </w:p>
    <w:p>
      <w:pPr>
        <w:pStyle w:val="30"/>
        <w:numPr>
          <w:ilvl w:val="0"/>
          <w:numId w:val="2"/>
        </w:numPr>
        <w:spacing w:line="560" w:lineRule="exact"/>
        <w:ind w:firstLineChars="0"/>
        <w:outlineLvl w:val="1"/>
        <w:rPr>
          <w:rStyle w:val="32"/>
          <w:rFonts w:ascii="黑体" w:hAnsi="黑体" w:eastAsia="黑体"/>
          <w:b w:val="0"/>
        </w:rPr>
      </w:pPr>
      <w:bookmarkStart w:id="30" w:name="_Toc15396603"/>
      <w:bookmarkStart w:id="31" w:name="_Toc15377205"/>
      <w:bookmarkStart w:id="32" w:name="_Toc15892"/>
      <w:r>
        <w:rPr>
          <w:rFonts w:hint="eastAsia" w:ascii="黑体" w:hAnsi="黑体" w:eastAsia="黑体"/>
          <w:sz w:val="32"/>
          <w:szCs w:val="32"/>
        </w:rPr>
        <w:t>收</w:t>
      </w:r>
      <w:r>
        <w:rPr>
          <w:rStyle w:val="32"/>
          <w:rFonts w:hint="eastAsia" w:ascii="黑体" w:hAnsi="黑体" w:eastAsia="黑体"/>
          <w:b w:val="0"/>
        </w:rPr>
        <w:t>入支出决算总体情况说明</w:t>
      </w:r>
      <w:bookmarkEnd w:id="30"/>
      <w:bookmarkEnd w:id="31"/>
      <w:bookmarkEnd w:id="32"/>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w:t>
      </w:r>
      <w:r>
        <w:rPr>
          <w:rFonts w:ascii="仿宋" w:hAnsi="仿宋" w:eastAsia="仿宋" w:cs="仿宋"/>
          <w:color w:val="000000"/>
          <w:sz w:val="32"/>
        </w:rPr>
        <w:t>收入总计</w:t>
      </w:r>
      <w:r>
        <w:rPr>
          <w:rFonts w:hint="eastAsia" w:ascii="仿宋" w:hAnsi="仿宋" w:eastAsia="仿宋"/>
          <w:sz w:val="32"/>
          <w:szCs w:val="32"/>
        </w:rPr>
        <w:t>2071.42</w:t>
      </w:r>
      <w:r>
        <w:rPr>
          <w:rFonts w:ascii="仿宋" w:hAnsi="仿宋" w:eastAsia="仿宋" w:cs="仿宋"/>
          <w:color w:val="000000"/>
          <w:sz w:val="32"/>
        </w:rPr>
        <w:t>万元，支出总计</w:t>
      </w:r>
      <w:r>
        <w:rPr>
          <w:rFonts w:hint="eastAsia" w:ascii="仿宋" w:hAnsi="仿宋" w:eastAsia="仿宋"/>
          <w:sz w:val="32"/>
          <w:szCs w:val="32"/>
        </w:rPr>
        <w:t>2071.42</w:t>
      </w:r>
      <w:r>
        <w:rPr>
          <w:rFonts w:hint="eastAsia" w:ascii="仿宋" w:hAnsi="仿宋" w:eastAsia="仿宋" w:cs="仿宋"/>
          <w:color w:val="000000"/>
          <w:sz w:val="32"/>
        </w:rPr>
        <w:t>万</w:t>
      </w:r>
      <w:r>
        <w:rPr>
          <w:rFonts w:ascii="仿宋" w:hAnsi="仿宋" w:eastAsia="仿宋" w:cs="仿宋"/>
          <w:color w:val="000000"/>
          <w:sz w:val="32"/>
        </w:rPr>
        <w:t>元。</w:t>
      </w:r>
      <w:r>
        <w:rPr>
          <w:rFonts w:hint="eastAsia" w:ascii="仿宋" w:hAnsi="仿宋" w:eastAsia="仿宋"/>
          <w:sz w:val="32"/>
          <w:szCs w:val="32"/>
        </w:rPr>
        <w:t>与2020年相比，收、支总计各增加484.2万元，增长30.5</w:t>
      </w:r>
      <w:r>
        <w:rPr>
          <w:rFonts w:ascii="仿宋" w:hAnsi="仿宋" w:eastAsia="仿宋"/>
          <w:sz w:val="32"/>
          <w:szCs w:val="32"/>
        </w:rPr>
        <w:t>%</w:t>
      </w:r>
      <w:r>
        <w:rPr>
          <w:rFonts w:hint="eastAsia" w:ascii="仿宋" w:hAnsi="仿宋" w:eastAsia="仿宋"/>
          <w:sz w:val="32"/>
          <w:szCs w:val="32"/>
        </w:rPr>
        <w:t>。主要变动原因是2021年政府公共基础设施建设项目增加。</w:t>
      </w:r>
    </w:p>
    <w:p>
      <w:pPr>
        <w:pStyle w:val="30"/>
        <w:numPr>
          <w:ilvl w:val="0"/>
          <w:numId w:val="2"/>
        </w:numPr>
        <w:tabs>
          <w:tab w:val="left" w:pos="306"/>
        </w:tabs>
        <w:spacing w:line="560" w:lineRule="exact"/>
        <w:ind w:firstLineChars="0"/>
        <w:outlineLvl w:val="1"/>
        <w:rPr>
          <w:rStyle w:val="32"/>
          <w:rFonts w:ascii="黑体" w:hAnsi="黑体" w:eastAsia="黑体"/>
          <w:b w:val="0"/>
        </w:rPr>
      </w:pPr>
      <w:bookmarkStart w:id="33" w:name="_Toc26752"/>
      <w:bookmarkStart w:id="34" w:name="_Toc15377206"/>
      <w:bookmarkStart w:id="35" w:name="_Toc15396604"/>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201295</wp:posOffset>
            </wp:positionH>
            <wp:positionV relativeFrom="paragraph">
              <wp:posOffset>266700</wp:posOffset>
            </wp:positionV>
            <wp:extent cx="5080000" cy="3810000"/>
            <wp:effectExtent l="4445" t="4445" r="20955" b="14605"/>
            <wp:wrapTopAndBottom/>
            <wp:docPr id="500" name="_x0000_s23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sz w:val="32"/>
          <w:szCs w:val="32"/>
        </w:rPr>
        <w:t>收</w:t>
      </w:r>
      <w:r>
        <w:rPr>
          <w:rStyle w:val="32"/>
          <w:rFonts w:hint="eastAsia" w:ascii="黑体" w:hAnsi="黑体" w:eastAsia="黑体"/>
          <w:b w:val="0"/>
        </w:rPr>
        <w:t>入决算情况说明</w:t>
      </w:r>
      <w:bookmarkEnd w:id="33"/>
      <w:bookmarkEnd w:id="34"/>
      <w:bookmarkEnd w:id="35"/>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21年本年收入合计2071.42万元，其中：一般公共预算财政拨款收入2071.42万元，占100</w:t>
      </w:r>
      <w:r>
        <w:rPr>
          <w:rFonts w:ascii="仿宋" w:hAnsi="仿宋" w:eastAsia="仿宋"/>
          <w:sz w:val="32"/>
          <w:szCs w:val="32"/>
        </w:rPr>
        <w:t>%</w:t>
      </w:r>
      <w:r>
        <w:rPr>
          <w:rFonts w:hint="eastAsia" w:ascii="仿宋" w:hAnsi="仿宋" w:eastAsia="仿宋"/>
          <w:sz w:val="32"/>
          <w:szCs w:val="32"/>
        </w:rPr>
        <w:t>。</w:t>
      </w:r>
    </w:p>
    <w:p>
      <w:pPr>
        <w:spacing w:line="560" w:lineRule="exact"/>
        <w:rPr>
          <w:rFonts w:ascii="仿宋_GB2312" w:eastAsia="仿宋_GB2312"/>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-1905</wp:posOffset>
            </wp:positionH>
            <wp:positionV relativeFrom="paragraph">
              <wp:posOffset>-8519795</wp:posOffset>
            </wp:positionV>
            <wp:extent cx="5080000" cy="3810000"/>
            <wp:effectExtent l="4445" t="4445" r="8255" b="8255"/>
            <wp:wrapSquare wrapText="bothSides"/>
            <wp:docPr id="501" name="_x0000_s23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30"/>
        <w:numPr>
          <w:ilvl w:val="0"/>
          <w:numId w:val="2"/>
        </w:numPr>
        <w:spacing w:line="560" w:lineRule="exact"/>
        <w:ind w:firstLineChars="0"/>
        <w:outlineLvl w:val="1"/>
        <w:rPr>
          <w:rStyle w:val="32"/>
          <w:rFonts w:ascii="黑体" w:hAnsi="黑体" w:eastAsia="黑体"/>
          <w:b w:val="0"/>
        </w:rPr>
      </w:pPr>
      <w:bookmarkStart w:id="36" w:name="_Toc15377207"/>
      <w:bookmarkStart w:id="37" w:name="_Toc15396605"/>
      <w:bookmarkStart w:id="38" w:name="_Toc11842"/>
      <w:r>
        <w:rPr>
          <w:rFonts w:hint="eastAsia" w:ascii="黑体" w:hAnsi="黑体" w:eastAsia="黑体"/>
          <w:sz w:val="32"/>
          <w:szCs w:val="32"/>
        </w:rPr>
        <w:t>支</w:t>
      </w:r>
      <w:r>
        <w:rPr>
          <w:rStyle w:val="32"/>
          <w:rFonts w:hint="eastAsia" w:ascii="黑体" w:hAnsi="黑体" w:eastAsia="黑体"/>
          <w:b w:val="0"/>
        </w:rPr>
        <w:t>出决算情况说明</w:t>
      </w:r>
      <w:bookmarkEnd w:id="36"/>
      <w:bookmarkEnd w:id="37"/>
      <w:bookmarkEnd w:id="38"/>
    </w:p>
    <w:p>
      <w:pPr>
        <w:spacing w:line="560" w:lineRule="exact"/>
        <w:ind w:firstLine="640" w:firstLineChars="200"/>
        <w:rPr>
          <w:rFonts w:ascii="仿宋" w:hAnsi="仿宋" w:eastAsia="仿宋"/>
          <w:sz w:val="32"/>
          <w:szCs w:val="32"/>
        </w:rPr>
      </w:pPr>
      <w:r>
        <w:rPr>
          <w:rFonts w:ascii="仿宋" w:hAnsi="仿宋" w:eastAsia="仿宋"/>
          <w:sz w:val="32"/>
          <w:szCs w:val="32"/>
        </w:rPr>
        <w:t>2021年支出合计2071.42万元，其中：基本支出965.20万元，占</w:t>
      </w:r>
      <w:r>
        <w:rPr>
          <w:rFonts w:hint="eastAsia" w:ascii="仿宋" w:hAnsi="仿宋" w:eastAsia="仿宋"/>
          <w:sz w:val="32"/>
          <w:szCs w:val="32"/>
        </w:rPr>
        <w:t>比</w:t>
      </w:r>
      <w:r>
        <w:rPr>
          <w:rFonts w:ascii="仿宋" w:hAnsi="仿宋" w:eastAsia="仿宋"/>
          <w:sz w:val="32"/>
          <w:szCs w:val="32"/>
        </w:rPr>
        <w:t>46.6%；</w:t>
      </w:r>
      <w:r>
        <w:rPr>
          <w:rFonts w:hint="eastAsia" w:ascii="仿宋" w:hAnsi="仿宋" w:eastAsia="仿宋"/>
          <w:sz w:val="32"/>
          <w:szCs w:val="32"/>
        </w:rPr>
        <w:t>项目支出1106万元，占53.4</w:t>
      </w:r>
      <w:r>
        <w:rPr>
          <w:rFonts w:ascii="仿宋" w:hAnsi="仿宋" w:eastAsia="仿宋"/>
          <w:sz w:val="32"/>
          <w:szCs w:val="32"/>
        </w:rPr>
        <w:t>%</w:t>
      </w:r>
      <w:r>
        <w:rPr>
          <w:rFonts w:hint="eastAsia" w:ascii="仿宋" w:hAnsi="仿宋" w:eastAsia="仿宋"/>
          <w:sz w:val="32"/>
          <w:szCs w:val="32"/>
        </w:rPr>
        <w:t>。</w:t>
      </w:r>
    </w:p>
    <w:p>
      <w:pPr>
        <w:spacing w:line="560" w:lineRule="exact"/>
        <w:ind w:firstLine="640"/>
        <w:rPr>
          <w:rFonts w:ascii="仿宋" w:hAnsi="仿宋" w:eastAsia="仿宋"/>
          <w:sz w:val="32"/>
          <w:szCs w:val="32"/>
          <w:shd w:val="pct10" w:color="auto" w:fill="FFFFFF"/>
        </w:rPr>
      </w:pPr>
      <w:r>
        <w:rPr>
          <w:rFonts w:hint="eastAsia" w:ascii="仿宋" w:hAnsi="仿宋" w:eastAsia="仿宋"/>
          <w:sz w:val="32"/>
          <w:szCs w:val="32"/>
          <w:shd w:val="pct10" w:color="auto" w:fill="FFFFFF"/>
        </w:rPr>
        <w:drawing>
          <wp:anchor distT="0" distB="0" distL="114300" distR="114300" simplePos="0" relativeHeight="251661312" behindDoc="1" locked="0" layoutInCell="1" allowOverlap="1">
            <wp:simplePos x="0" y="0"/>
            <wp:positionH relativeFrom="column">
              <wp:posOffset>67945</wp:posOffset>
            </wp:positionH>
            <wp:positionV relativeFrom="paragraph">
              <wp:posOffset>252095</wp:posOffset>
            </wp:positionV>
            <wp:extent cx="5080000" cy="3810000"/>
            <wp:effectExtent l="4445" t="4445" r="20955" b="14605"/>
            <wp:wrapTight wrapText="bothSides">
              <wp:wrapPolygon>
                <wp:start x="-19" y="-25"/>
                <wp:lineTo x="-19" y="21575"/>
                <wp:lineTo x="21527" y="21575"/>
                <wp:lineTo x="21527" y="-25"/>
                <wp:lineTo x="-19" y="-25"/>
              </wp:wrapPolygon>
            </wp:wrapTight>
            <wp:docPr id="502" name="_x0000_s239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outlineLvl w:val="1"/>
        <w:rPr>
          <w:rStyle w:val="32"/>
          <w:rFonts w:ascii="黑体" w:hAnsi="黑体" w:eastAsia="黑体"/>
          <w:b w:val="0"/>
        </w:rPr>
      </w:pPr>
      <w:bookmarkStart w:id="39" w:name="_Toc29785"/>
      <w:bookmarkStart w:id="40" w:name="_Toc15377208"/>
      <w:bookmarkStart w:id="41" w:name="_Toc15396606"/>
      <w:r>
        <w:rPr>
          <w:rFonts w:hint="eastAsia" w:ascii="黑体" w:hAnsi="黑体" w:eastAsia="黑体"/>
          <w:sz w:val="32"/>
          <w:szCs w:val="32"/>
          <w:u w:val="thick" w:color="FFB03A"/>
          <w:shd w:val="clear" w:fill="FFEFD8"/>
        </w:rPr>
        <w:t>四、</w:t>
      </w:r>
      <w:r>
        <w:rPr>
          <w:rFonts w:hint="eastAsia" w:ascii="黑体" w:hAnsi="黑体" w:eastAsia="黑体"/>
          <w:sz w:val="32"/>
          <w:szCs w:val="32"/>
        </w:rPr>
        <w:t>财</w:t>
      </w:r>
      <w:r>
        <w:rPr>
          <w:rStyle w:val="32"/>
          <w:rFonts w:hint="eastAsia" w:ascii="黑体" w:hAnsi="黑体" w:eastAsia="黑体"/>
          <w:b w:val="0"/>
        </w:rPr>
        <w:t>政拨款收入支出决算总体情况说明</w:t>
      </w:r>
      <w:bookmarkEnd w:id="39"/>
      <w:bookmarkEnd w:id="40"/>
      <w:bookmarkEnd w:id="41"/>
    </w:p>
    <w:p>
      <w:pPr>
        <w:spacing w:line="560" w:lineRule="exact"/>
        <w:ind w:firstLine="640"/>
        <w:rPr>
          <w:rFonts w:ascii="仿宋" w:hAnsi="仿宋" w:eastAsia="仿宋"/>
          <w:b/>
          <w:color w:val="000000" w:themeColor="text1"/>
          <w:sz w:val="32"/>
          <w:szCs w:val="32"/>
        </w:rPr>
      </w:pPr>
      <w:r>
        <w:rPr>
          <w:rFonts w:ascii="仿宋" w:hAnsi="仿宋" w:eastAsia="仿宋"/>
          <w:color w:val="000000" w:themeColor="text1"/>
          <w:sz w:val="32"/>
          <w:szCs w:val="32"/>
        </w:rPr>
        <w:t>20</w:t>
      </w:r>
      <w:r>
        <w:rPr>
          <w:rFonts w:hint="eastAsia" w:ascii="仿宋" w:hAnsi="仿宋" w:eastAsia="仿宋"/>
          <w:color w:val="000000" w:themeColor="text1"/>
          <w:sz w:val="32"/>
          <w:szCs w:val="32"/>
        </w:rPr>
        <w:t>21</w:t>
      </w:r>
      <w:r>
        <w:rPr>
          <w:rFonts w:hint="eastAsia" w:ascii="仿宋" w:hAnsi="仿宋" w:eastAsia="仿宋"/>
          <w:color w:val="000000"/>
          <w:sz w:val="32"/>
          <w:szCs w:val="32"/>
        </w:rPr>
        <w:t>年</w:t>
      </w:r>
      <w:r>
        <w:rPr>
          <w:rFonts w:hint="eastAsia" w:ascii="仿宋" w:hAnsi="仿宋" w:eastAsia="仿宋"/>
          <w:color w:val="000000" w:themeColor="text1"/>
          <w:sz w:val="32"/>
          <w:szCs w:val="32"/>
        </w:rPr>
        <w:t>财</w:t>
      </w:r>
      <w:r>
        <w:rPr>
          <w:rFonts w:hint="eastAsia" w:ascii="仿宋" w:hAnsi="仿宋" w:eastAsia="仿宋"/>
          <w:color w:val="000000"/>
          <w:sz w:val="32"/>
          <w:szCs w:val="32"/>
        </w:rPr>
        <w:t>政拨款收</w:t>
      </w:r>
      <w:r>
        <w:rPr>
          <w:rFonts w:hint="eastAsia" w:ascii="仿宋" w:hAnsi="仿宋" w:eastAsia="仿宋"/>
          <w:color w:val="000000" w:themeColor="text1"/>
          <w:sz w:val="32"/>
          <w:szCs w:val="32"/>
        </w:rPr>
        <w:t>入总计</w:t>
      </w:r>
      <w:r>
        <w:rPr>
          <w:rFonts w:hint="eastAsia" w:ascii="仿宋" w:hAnsi="仿宋" w:eastAsia="仿宋"/>
          <w:color w:val="000000"/>
          <w:sz w:val="32"/>
          <w:szCs w:val="32"/>
        </w:rPr>
        <w:t>2071</w:t>
      </w:r>
      <w:r>
        <w:rPr>
          <w:rFonts w:hint="eastAsia" w:ascii="仿宋" w:hAnsi="仿宋" w:eastAsia="仿宋"/>
          <w:color w:val="000000" w:themeColor="text1"/>
          <w:sz w:val="32"/>
          <w:szCs w:val="32"/>
        </w:rPr>
        <w:t>.</w:t>
      </w:r>
      <w:r>
        <w:rPr>
          <w:rFonts w:hint="eastAsia" w:ascii="仿宋" w:hAnsi="仿宋" w:eastAsia="仿宋"/>
          <w:color w:val="000000"/>
          <w:sz w:val="32"/>
          <w:szCs w:val="32"/>
        </w:rPr>
        <w:t>42</w:t>
      </w:r>
      <w:r>
        <w:rPr>
          <w:rFonts w:hint="eastAsia" w:ascii="仿宋" w:hAnsi="仿宋" w:eastAsia="仿宋"/>
          <w:color w:val="000000" w:themeColor="text1"/>
          <w:sz w:val="32"/>
          <w:szCs w:val="32"/>
        </w:rPr>
        <w:t>万元，</w:t>
      </w:r>
      <w:r>
        <w:rPr>
          <w:rFonts w:ascii="仿宋" w:hAnsi="仿宋" w:eastAsia="仿宋" w:cs="仿宋"/>
          <w:color w:val="000000" w:themeColor="text1"/>
          <w:sz w:val="32"/>
        </w:rPr>
        <w:t>支出总计</w:t>
      </w:r>
      <w:r>
        <w:rPr>
          <w:rFonts w:hint="eastAsia" w:ascii="仿宋" w:hAnsi="仿宋" w:eastAsia="仿宋"/>
          <w:color w:val="000000"/>
          <w:sz w:val="32"/>
          <w:szCs w:val="32"/>
        </w:rPr>
        <w:t>2071</w:t>
      </w:r>
      <w:r>
        <w:rPr>
          <w:rFonts w:hint="eastAsia" w:ascii="仿宋" w:hAnsi="仿宋" w:eastAsia="仿宋"/>
          <w:color w:val="000000" w:themeColor="text1"/>
          <w:sz w:val="32"/>
          <w:szCs w:val="32"/>
        </w:rPr>
        <w:t>.</w:t>
      </w:r>
      <w:r>
        <w:rPr>
          <w:rFonts w:hint="eastAsia" w:ascii="仿宋" w:hAnsi="仿宋" w:eastAsia="仿宋"/>
          <w:color w:val="000000"/>
          <w:sz w:val="32"/>
          <w:szCs w:val="32"/>
        </w:rPr>
        <w:t>42万元</w:t>
      </w:r>
      <w:r>
        <w:rPr>
          <w:rFonts w:hint="eastAsia" w:ascii="仿宋" w:hAnsi="仿宋" w:eastAsia="仿宋"/>
          <w:color w:val="000000" w:themeColor="text1"/>
          <w:sz w:val="32"/>
          <w:szCs w:val="32"/>
        </w:rPr>
        <w:t>。与</w:t>
      </w:r>
      <w:r>
        <w:rPr>
          <w:rFonts w:ascii="仿宋" w:hAnsi="仿宋" w:eastAsia="仿宋"/>
          <w:color w:val="000000" w:themeColor="text1"/>
          <w:sz w:val="32"/>
          <w:szCs w:val="32"/>
        </w:rPr>
        <w:t>20</w:t>
      </w:r>
      <w:r>
        <w:rPr>
          <w:rFonts w:hint="eastAsia" w:ascii="仿宋" w:hAnsi="仿宋" w:eastAsia="仿宋"/>
          <w:color w:val="000000" w:themeColor="text1"/>
          <w:sz w:val="32"/>
          <w:szCs w:val="32"/>
        </w:rPr>
        <w:t>20</w:t>
      </w:r>
      <w:r>
        <w:rPr>
          <w:rFonts w:hint="eastAsia" w:ascii="仿宋" w:hAnsi="仿宋" w:eastAsia="仿宋"/>
          <w:color w:val="000000"/>
          <w:sz w:val="32"/>
          <w:szCs w:val="32"/>
        </w:rPr>
        <w:t>年相比，</w:t>
      </w:r>
      <w:r>
        <w:rPr>
          <w:rFonts w:hint="eastAsia" w:ascii="仿宋" w:hAnsi="仿宋" w:eastAsia="仿宋"/>
          <w:color w:val="000000" w:themeColor="text1"/>
          <w:sz w:val="32"/>
          <w:szCs w:val="32"/>
        </w:rPr>
        <w:t>财</w:t>
      </w:r>
      <w:r>
        <w:rPr>
          <w:rFonts w:hint="eastAsia" w:ascii="仿宋" w:hAnsi="仿宋" w:eastAsia="仿宋"/>
          <w:color w:val="000000"/>
          <w:sz w:val="32"/>
          <w:szCs w:val="32"/>
        </w:rPr>
        <w:t>政拨款收、支总计各增加484</w:t>
      </w:r>
      <w:r>
        <w:rPr>
          <w:rFonts w:hint="eastAsia" w:ascii="仿宋" w:hAnsi="仿宋" w:eastAsia="仿宋"/>
          <w:color w:val="000000" w:themeColor="text1"/>
          <w:sz w:val="32"/>
          <w:szCs w:val="32"/>
        </w:rPr>
        <w:t>.</w:t>
      </w:r>
      <w:r>
        <w:rPr>
          <w:rFonts w:hint="eastAsia" w:ascii="仿宋" w:hAnsi="仿宋" w:eastAsia="仿宋"/>
          <w:color w:val="000000"/>
          <w:sz w:val="32"/>
          <w:szCs w:val="32"/>
        </w:rPr>
        <w:t>2</w:t>
      </w:r>
      <w:r>
        <w:rPr>
          <w:rFonts w:hint="eastAsia" w:ascii="仿宋" w:hAnsi="仿宋" w:eastAsia="仿宋"/>
          <w:color w:val="000000" w:themeColor="text1"/>
          <w:sz w:val="32"/>
          <w:szCs w:val="32"/>
        </w:rPr>
        <w:t>万元，增长</w:t>
      </w:r>
      <w:r>
        <w:rPr>
          <w:rFonts w:hint="eastAsia" w:ascii="仿宋" w:hAnsi="仿宋" w:eastAsia="仿宋"/>
          <w:color w:val="000000"/>
          <w:sz w:val="32"/>
          <w:szCs w:val="32"/>
        </w:rPr>
        <w:t>30</w:t>
      </w:r>
      <w:r>
        <w:rPr>
          <w:rFonts w:hint="eastAsia" w:ascii="仿宋" w:hAnsi="仿宋" w:eastAsia="仿宋"/>
          <w:color w:val="000000" w:themeColor="text1"/>
          <w:sz w:val="32"/>
          <w:szCs w:val="32"/>
        </w:rPr>
        <w:t>.</w:t>
      </w:r>
      <w:r>
        <w:rPr>
          <w:rFonts w:hint="eastAsia" w:ascii="仿宋" w:hAnsi="仿宋" w:eastAsia="仿宋"/>
          <w:color w:val="000000"/>
          <w:sz w:val="32"/>
          <w:szCs w:val="32"/>
        </w:rPr>
        <w:t>5</w:t>
      </w:r>
      <w:r>
        <w:rPr>
          <w:rFonts w:ascii="仿宋" w:hAnsi="仿宋" w:eastAsia="仿宋"/>
          <w:color w:val="000000" w:themeColor="text1"/>
          <w:sz w:val="32"/>
          <w:szCs w:val="32"/>
        </w:rPr>
        <w:t>%</w:t>
      </w:r>
      <w:r>
        <w:rPr>
          <w:rFonts w:hint="eastAsia" w:ascii="仿宋" w:hAnsi="仿宋" w:eastAsia="仿宋"/>
          <w:color w:val="000000" w:themeColor="text1"/>
          <w:sz w:val="32"/>
          <w:szCs w:val="32"/>
        </w:rPr>
        <w:t>。主要变动原因是2021年政府公共基础设施建设项目增加。</w:t>
      </w:r>
    </w:p>
    <w:p>
      <w:pPr>
        <w:spacing w:line="560" w:lineRule="exact"/>
        <w:ind w:firstLine="640" w:firstLineChars="200"/>
        <w:outlineLvl w:val="1"/>
        <w:rPr>
          <w:rStyle w:val="32"/>
          <w:rFonts w:ascii="黑体" w:hAnsi="黑体" w:eastAsia="黑体"/>
          <w:b w:val="0"/>
        </w:rPr>
      </w:pPr>
      <w:bookmarkStart w:id="42" w:name="_Toc26801"/>
      <w:bookmarkStart w:id="43" w:name="_Toc15377209"/>
      <w:bookmarkStart w:id="44" w:name="_Toc15396607"/>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251460</wp:posOffset>
            </wp:positionH>
            <wp:positionV relativeFrom="paragraph">
              <wp:posOffset>167005</wp:posOffset>
            </wp:positionV>
            <wp:extent cx="5061585" cy="3847465"/>
            <wp:effectExtent l="4445" t="4445" r="20320" b="15240"/>
            <wp:wrapSquare wrapText="bothSides"/>
            <wp:docPr id="503" name="_x0000_s239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w:t>
      </w:r>
      <w:r>
        <w:rPr>
          <w:rFonts w:hint="eastAsia" w:ascii="黑体" w:hAnsi="黑体" w:eastAsia="黑体"/>
        </w:rPr>
        <w:t>财政拨款支出决算情况说明</w:t>
      </w:r>
      <w:bookmarkEnd w:id="42"/>
      <w:bookmarkEnd w:id="43"/>
      <w:bookmarkEnd w:id="44"/>
    </w:p>
    <w:p>
      <w:pPr>
        <w:spacing w:line="560" w:lineRule="exact"/>
        <w:ind w:firstLine="643" w:firstLineChars="200"/>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20</w:t>
      </w:r>
      <w:r>
        <w:rPr>
          <w:rFonts w:hint="eastAsia" w:ascii="仿宋" w:hAnsi="仿宋" w:eastAsia="仿宋"/>
          <w:color w:val="000000" w:themeColor="text1"/>
          <w:sz w:val="32"/>
          <w:szCs w:val="32"/>
        </w:rPr>
        <w:t>21</w:t>
      </w:r>
      <w:r>
        <w:rPr>
          <w:rFonts w:hint="eastAsia" w:ascii="仿宋" w:hAnsi="仿宋" w:eastAsia="仿宋"/>
          <w:color w:val="000000"/>
          <w:sz w:val="32"/>
          <w:szCs w:val="32"/>
        </w:rPr>
        <w:t>年一般公共</w:t>
      </w:r>
      <w:r>
        <w:rPr>
          <w:rFonts w:hint="eastAsia" w:ascii="仿宋" w:hAnsi="仿宋" w:eastAsia="仿宋"/>
          <w:color w:val="000000" w:themeColor="text1"/>
          <w:sz w:val="32"/>
          <w:szCs w:val="32"/>
        </w:rPr>
        <w:t>预算</w:t>
      </w:r>
      <w:r>
        <w:rPr>
          <w:rFonts w:hint="eastAsia" w:ascii="仿宋" w:hAnsi="仿宋" w:eastAsia="仿宋"/>
          <w:color w:val="000000"/>
          <w:sz w:val="32"/>
          <w:szCs w:val="32"/>
        </w:rPr>
        <w:t>财政拨款支出2071</w:t>
      </w:r>
      <w:r>
        <w:rPr>
          <w:rFonts w:hint="eastAsia" w:ascii="仿宋" w:hAnsi="仿宋" w:eastAsia="仿宋"/>
          <w:color w:val="000000" w:themeColor="text1"/>
          <w:sz w:val="32"/>
          <w:szCs w:val="32"/>
        </w:rPr>
        <w:t>.</w:t>
      </w:r>
      <w:r>
        <w:rPr>
          <w:rFonts w:hint="eastAsia" w:ascii="仿宋" w:hAnsi="仿宋" w:eastAsia="仿宋"/>
          <w:color w:val="000000"/>
          <w:sz w:val="32"/>
          <w:szCs w:val="32"/>
        </w:rPr>
        <w:t>42万元，</w:t>
      </w:r>
      <w:r>
        <w:rPr>
          <w:rFonts w:hint="eastAsia" w:ascii="仿宋" w:hAnsi="仿宋" w:eastAsia="仿宋"/>
          <w:color w:val="000000" w:themeColor="text1"/>
          <w:sz w:val="32"/>
          <w:szCs w:val="32"/>
        </w:rPr>
        <w:t>占</w:t>
      </w:r>
      <w:r>
        <w:rPr>
          <w:rFonts w:hint="eastAsia" w:ascii="仿宋" w:hAnsi="仿宋" w:eastAsia="仿宋"/>
          <w:color w:val="000000"/>
          <w:sz w:val="32"/>
          <w:szCs w:val="32"/>
        </w:rPr>
        <w:t>本年支出合计的</w:t>
      </w:r>
      <w:r>
        <w:rPr>
          <w:rFonts w:hint="eastAsia" w:ascii="仿宋" w:hAnsi="仿宋" w:eastAsia="仿宋"/>
          <w:color w:val="000000" w:themeColor="text1"/>
          <w:sz w:val="32"/>
          <w:szCs w:val="32"/>
        </w:rPr>
        <w:t>100</w:t>
      </w:r>
      <w:r>
        <w:rPr>
          <w:rFonts w:ascii="仿宋" w:hAnsi="仿宋" w:eastAsia="仿宋"/>
          <w:color w:val="000000" w:themeColor="text1"/>
          <w:sz w:val="32"/>
          <w:szCs w:val="32"/>
        </w:rPr>
        <w:t>%</w:t>
      </w:r>
      <w:r>
        <w:rPr>
          <w:rFonts w:hint="eastAsia" w:ascii="仿宋" w:hAnsi="仿宋" w:eastAsia="仿宋"/>
          <w:color w:val="000000" w:themeColor="text1"/>
          <w:sz w:val="32"/>
          <w:szCs w:val="32"/>
        </w:rPr>
        <w:t>。与</w:t>
      </w:r>
      <w:r>
        <w:rPr>
          <w:rFonts w:ascii="仿宋" w:hAnsi="仿宋" w:eastAsia="仿宋"/>
          <w:color w:val="000000" w:themeColor="text1"/>
          <w:sz w:val="32"/>
          <w:szCs w:val="32"/>
        </w:rPr>
        <w:t>20</w:t>
      </w:r>
      <w:r>
        <w:rPr>
          <w:rFonts w:hint="eastAsia" w:ascii="仿宋" w:hAnsi="仿宋" w:eastAsia="仿宋"/>
          <w:color w:val="000000" w:themeColor="text1"/>
          <w:sz w:val="32"/>
          <w:szCs w:val="32"/>
        </w:rPr>
        <w:t>20</w:t>
      </w:r>
      <w:r>
        <w:rPr>
          <w:rFonts w:hint="eastAsia" w:ascii="仿宋" w:hAnsi="仿宋" w:eastAsia="仿宋"/>
          <w:color w:val="000000"/>
          <w:sz w:val="32"/>
          <w:szCs w:val="32"/>
        </w:rPr>
        <w:t>年相比，一般公共</w:t>
      </w:r>
      <w:r>
        <w:rPr>
          <w:rFonts w:hint="eastAsia" w:ascii="仿宋" w:hAnsi="仿宋" w:eastAsia="仿宋"/>
          <w:color w:val="000000" w:themeColor="text1"/>
          <w:sz w:val="32"/>
          <w:szCs w:val="32"/>
        </w:rPr>
        <w:t>预算</w:t>
      </w:r>
      <w:r>
        <w:rPr>
          <w:rFonts w:hint="eastAsia" w:ascii="仿宋" w:hAnsi="仿宋" w:eastAsia="仿宋"/>
          <w:color w:val="000000"/>
          <w:sz w:val="32"/>
          <w:szCs w:val="32"/>
        </w:rPr>
        <w:t>财政拨款</w:t>
      </w:r>
      <w:r>
        <w:rPr>
          <w:rFonts w:hint="eastAsia" w:ascii="仿宋" w:hAnsi="仿宋" w:eastAsia="仿宋"/>
          <w:color w:val="000000" w:themeColor="text1"/>
          <w:sz w:val="32"/>
          <w:szCs w:val="32"/>
        </w:rPr>
        <w:t>支出增加</w:t>
      </w:r>
      <w:r>
        <w:rPr>
          <w:rFonts w:hint="eastAsia" w:ascii="仿宋" w:hAnsi="仿宋" w:eastAsia="仿宋"/>
          <w:color w:val="000000"/>
          <w:sz w:val="32"/>
          <w:szCs w:val="32"/>
        </w:rPr>
        <w:t>484</w:t>
      </w:r>
      <w:r>
        <w:rPr>
          <w:rFonts w:hint="eastAsia" w:ascii="仿宋" w:hAnsi="仿宋" w:eastAsia="仿宋"/>
          <w:color w:val="000000" w:themeColor="text1"/>
          <w:sz w:val="32"/>
          <w:szCs w:val="32"/>
        </w:rPr>
        <w:t>.</w:t>
      </w:r>
      <w:r>
        <w:rPr>
          <w:rFonts w:hint="eastAsia" w:ascii="仿宋" w:hAnsi="仿宋" w:eastAsia="仿宋"/>
          <w:color w:val="000000"/>
          <w:sz w:val="32"/>
          <w:szCs w:val="32"/>
        </w:rPr>
        <w:t>2</w:t>
      </w:r>
      <w:r>
        <w:rPr>
          <w:rFonts w:hint="eastAsia" w:ascii="仿宋" w:hAnsi="仿宋" w:eastAsia="仿宋"/>
          <w:color w:val="000000" w:themeColor="text1"/>
          <w:sz w:val="32"/>
          <w:szCs w:val="32"/>
        </w:rPr>
        <w:t>万元，增长</w:t>
      </w:r>
      <w:r>
        <w:rPr>
          <w:rFonts w:hint="eastAsia" w:ascii="仿宋" w:hAnsi="仿宋" w:eastAsia="仿宋"/>
          <w:color w:val="000000"/>
          <w:sz w:val="32"/>
          <w:szCs w:val="32"/>
        </w:rPr>
        <w:t>30</w:t>
      </w:r>
      <w:r>
        <w:rPr>
          <w:rFonts w:hint="eastAsia" w:ascii="仿宋" w:hAnsi="仿宋" w:eastAsia="仿宋"/>
          <w:color w:val="000000" w:themeColor="text1"/>
          <w:sz w:val="32"/>
          <w:szCs w:val="32"/>
        </w:rPr>
        <w:t>.</w:t>
      </w:r>
      <w:r>
        <w:rPr>
          <w:rFonts w:hint="eastAsia" w:ascii="仿宋" w:hAnsi="仿宋" w:eastAsia="仿宋"/>
          <w:color w:val="000000"/>
          <w:sz w:val="32"/>
          <w:szCs w:val="32"/>
        </w:rPr>
        <w:t>5</w:t>
      </w:r>
      <w:r>
        <w:rPr>
          <w:rFonts w:ascii="仿宋" w:hAnsi="仿宋" w:eastAsia="仿宋"/>
          <w:color w:val="000000" w:themeColor="text1"/>
          <w:sz w:val="32"/>
          <w:szCs w:val="32"/>
        </w:rPr>
        <w:t>%</w:t>
      </w:r>
      <w:r>
        <w:rPr>
          <w:rFonts w:hint="eastAsia" w:ascii="仿宋" w:hAnsi="仿宋" w:eastAsia="仿宋"/>
          <w:color w:val="000000" w:themeColor="text1"/>
          <w:sz w:val="32"/>
          <w:szCs w:val="32"/>
        </w:rPr>
        <w:t>。主要变动原因是2021年政府公共基础设施建设项目增加。</w:t>
      </w:r>
    </w:p>
    <w:p>
      <w:pPr>
        <w:spacing w:line="56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1" locked="0" layoutInCell="1" allowOverlap="1">
            <wp:simplePos x="0" y="0"/>
            <wp:positionH relativeFrom="column">
              <wp:posOffset>410845</wp:posOffset>
            </wp:positionH>
            <wp:positionV relativeFrom="paragraph">
              <wp:posOffset>-3519805</wp:posOffset>
            </wp:positionV>
            <wp:extent cx="4833620" cy="3401060"/>
            <wp:effectExtent l="4445" t="4445" r="57785" b="61595"/>
            <wp:wrapTight wrapText="bothSides">
              <wp:wrapPolygon>
                <wp:start x="-20" y="-28"/>
                <wp:lineTo x="-20" y="21507"/>
                <wp:lineTo x="21518" y="21507"/>
                <wp:lineTo x="21518" y="-28"/>
                <wp:lineTo x="-20" y="-28"/>
              </wp:wrapPolygon>
            </wp:wrapTight>
            <wp:docPr id="504" name="_x0000_s23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60" w:lineRule="exact"/>
        <w:ind w:firstLine="643" w:firstLineChars="200"/>
        <w:rPr>
          <w:rFonts w:ascii="仿宋" w:hAnsi="仿宋" w:eastAsia="仿宋"/>
          <w:b/>
          <w:sz w:val="32"/>
          <w:szCs w:val="32"/>
        </w:rPr>
      </w:pPr>
      <w:bookmarkStart w:id="46" w:name="_Toc15377211"/>
      <w:r>
        <w:rPr>
          <w:rFonts w:hint="eastAsia" w:ascii="仿宋" w:hAnsi="仿宋" w:eastAsia="仿宋"/>
          <w:b/>
          <w:sz w:val="32"/>
          <w:szCs w:val="32"/>
        </w:rPr>
        <w:t>（二）一般公共预算财政拨款支出决算结构情况</w:t>
      </w:r>
      <w:bookmarkEnd w:id="46"/>
    </w:p>
    <w:p>
      <w:pPr>
        <w:spacing w:line="56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4384" behindDoc="1" locked="0" layoutInCell="1" allowOverlap="1">
            <wp:simplePos x="0" y="0"/>
            <wp:positionH relativeFrom="column">
              <wp:posOffset>404495</wp:posOffset>
            </wp:positionH>
            <wp:positionV relativeFrom="paragraph">
              <wp:posOffset>2522220</wp:posOffset>
            </wp:positionV>
            <wp:extent cx="5080000" cy="3810000"/>
            <wp:effectExtent l="4445" t="4445" r="20955" b="14605"/>
            <wp:wrapTight wrapText="bothSides">
              <wp:wrapPolygon>
                <wp:start x="-19" y="-25"/>
                <wp:lineTo x="-19" y="21575"/>
                <wp:lineTo x="21527" y="21575"/>
                <wp:lineTo x="21527" y="-25"/>
                <wp:lineTo x="-19" y="-25"/>
              </wp:wrapPolygon>
            </wp:wrapTight>
            <wp:docPr id="505" name="_x0000_s24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sz w:val="32"/>
          <w:szCs w:val="32"/>
        </w:rPr>
        <w:t>20</w:t>
      </w:r>
      <w:r>
        <w:rPr>
          <w:rFonts w:hint="eastAsia" w:ascii="仿宋" w:hAnsi="仿宋" w:eastAsia="仿宋"/>
          <w:sz w:val="32"/>
          <w:szCs w:val="32"/>
        </w:rPr>
        <w:t>21年一般公共预算财政拨款支出2071.43万元，主要用于以下方面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支出399.9万元，占19.31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文化旅游体育与传媒（类）支出4万元，占比2</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支出102.41万元，占4.9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32.19万元，占比1.5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78.11万元，占比3.8</w:t>
      </w:r>
      <w:r>
        <w:rPr>
          <w:rFonts w:ascii="仿宋" w:hAnsi="仿宋" w:eastAsia="仿宋"/>
          <w:sz w:val="32"/>
          <w:szCs w:val="32"/>
        </w:rPr>
        <w:t>%</w:t>
      </w:r>
      <w:r>
        <w:t>。</w:t>
      </w:r>
    </w:p>
    <w:p>
      <w:pPr>
        <w:pStyle w:val="23"/>
        <w:spacing w:line="560" w:lineRule="exact"/>
        <w:rPr>
          <w:rFonts w:hAnsi="仿宋"/>
          <w:color w:val="auto"/>
          <w:sz w:val="32"/>
          <w:szCs w:val="32"/>
        </w:rPr>
      </w:pPr>
    </w:p>
    <w:p>
      <w:pPr>
        <w:pStyle w:val="23"/>
        <w:spacing w:line="560" w:lineRule="exact"/>
        <w:rPr>
          <w:rFonts w:hAnsi="仿宋"/>
          <w:color w:val="auto"/>
          <w:sz w:val="32"/>
          <w:szCs w:val="32"/>
        </w:rPr>
      </w:pPr>
    </w:p>
    <w:p>
      <w:pPr>
        <w:spacing w:line="560" w:lineRule="exact"/>
        <w:ind w:firstLine="643" w:firstLineChars="200"/>
        <w:rPr>
          <w:rFonts w:ascii="仿宋" w:hAnsi="仿宋" w:eastAsia="仿宋"/>
          <w:b/>
          <w:sz w:val="32"/>
          <w:szCs w:val="32"/>
        </w:rPr>
      </w:pPr>
      <w:bookmarkStart w:id="47" w:name="_Toc15377212"/>
      <w:r>
        <w:rPr>
          <w:rFonts w:hint="eastAsia" w:ascii="仿宋" w:hAnsi="仿宋" w:eastAsia="仿宋"/>
          <w:b/>
          <w:sz w:val="32"/>
          <w:szCs w:val="32"/>
        </w:rPr>
        <w:t>（三）一般公共预算财政拨款支出决算具体情况</w:t>
      </w:r>
      <w:bookmarkEnd w:id="47"/>
    </w:p>
    <w:p>
      <w:pPr>
        <w:spacing w:line="560" w:lineRule="exact"/>
        <w:ind w:firstLine="643" w:firstLineChars="200"/>
        <w:rPr>
          <w:rFonts w:ascii="仿宋" w:hAnsi="仿宋" w:eastAsia="仿宋"/>
          <w:b/>
          <w:bCs/>
          <w:sz w:val="32"/>
          <w:szCs w:val="32"/>
        </w:rPr>
      </w:pPr>
      <w:bookmarkStart w:id="48" w:name="_Toc15378460"/>
      <w:bookmarkStart w:id="49" w:name="_Toc15377444"/>
      <w:bookmarkStart w:id="50" w:name="_Toc15377213"/>
      <w:r>
        <w:rPr>
          <w:rFonts w:hint="eastAsia" w:ascii="仿宋" w:hAnsi="仿宋" w:eastAsia="仿宋"/>
          <w:b/>
          <w:bCs/>
          <w:sz w:val="32"/>
          <w:szCs w:val="32"/>
        </w:rPr>
        <w:t>2021年一般公共预算支出决算数为4194.37，完成预算的100%。其中：</w:t>
      </w:r>
      <w:bookmarkEnd w:id="48"/>
      <w:bookmarkEnd w:id="49"/>
      <w:bookmarkEnd w:id="50"/>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1.一般公共服务（类）政府办公厅（室）及相关机构事务（款） 行政运行（项）: 支出决算为399.9万元，完成</w:t>
      </w:r>
      <w:r>
        <w:rPr>
          <w:rFonts w:hint="eastAsia" w:ascii="仿宋" w:hAnsi="仿宋" w:eastAsia="仿宋"/>
          <w:b/>
          <w:bCs/>
          <w:sz w:val="32"/>
          <w:szCs w:val="32"/>
          <w:lang w:eastAsia="zh-CN"/>
        </w:rPr>
        <w:t>预算的100%</w:t>
      </w:r>
      <w:r>
        <w:rPr>
          <w:rFonts w:hint="eastAsia" w:ascii="仿宋" w:hAnsi="仿宋" w:eastAsia="仿宋"/>
          <w:b/>
          <w:bCs/>
          <w:sz w:val="32"/>
          <w:szCs w:val="32"/>
        </w:rPr>
        <w:t>，决算数与预算数持平。</w:t>
      </w:r>
    </w:p>
    <w:p>
      <w:pPr>
        <w:pStyle w:val="3"/>
        <w:spacing w:before="93"/>
        <w:ind w:firstLine="643" w:firstLineChars="200"/>
        <w:rPr>
          <w:rFonts w:ascii="仿宋" w:hAnsi="仿宋" w:eastAsia="仿宋"/>
          <w:b/>
          <w:bCs/>
          <w:sz w:val="32"/>
          <w:szCs w:val="32"/>
        </w:rPr>
      </w:pPr>
      <w:r>
        <w:rPr>
          <w:rFonts w:hint="eastAsia" w:ascii="仿宋" w:hAnsi="仿宋" w:eastAsia="仿宋"/>
          <w:b/>
          <w:bCs/>
          <w:sz w:val="32"/>
          <w:szCs w:val="32"/>
        </w:rPr>
        <w:t>2.一般公共服务（类）政府办公厅（室）及相关机构事务（款）一般行政管理事务（项）：支出决算为18.26万元，完成</w:t>
      </w:r>
      <w:r>
        <w:rPr>
          <w:rFonts w:hint="eastAsia" w:ascii="仿宋" w:hAnsi="仿宋" w:eastAsia="仿宋"/>
          <w:b/>
          <w:bCs/>
          <w:sz w:val="32"/>
          <w:szCs w:val="32"/>
          <w:lang w:eastAsia="zh-CN"/>
        </w:rPr>
        <w:t>预算的100%</w:t>
      </w:r>
      <w:r>
        <w:rPr>
          <w:rFonts w:hint="eastAsia" w:ascii="仿宋" w:hAnsi="仿宋" w:eastAsia="仿宋"/>
          <w:b/>
          <w:bCs/>
          <w:sz w:val="32"/>
          <w:szCs w:val="32"/>
        </w:rPr>
        <w:t>，与预算数持平。</w:t>
      </w:r>
    </w:p>
    <w:p>
      <w:pPr>
        <w:pStyle w:val="3"/>
        <w:spacing w:before="93"/>
        <w:ind w:firstLine="643" w:firstLineChars="200"/>
        <w:rPr>
          <w:rFonts w:ascii="仿宋" w:hAnsi="仿宋" w:eastAsia="仿宋"/>
          <w:b/>
          <w:bCs/>
          <w:sz w:val="32"/>
          <w:szCs w:val="32"/>
        </w:rPr>
      </w:pPr>
      <w:r>
        <w:rPr>
          <w:rFonts w:hint="eastAsia" w:ascii="仿宋" w:hAnsi="仿宋" w:eastAsia="仿宋"/>
          <w:b/>
          <w:bCs/>
          <w:sz w:val="32"/>
          <w:szCs w:val="32"/>
        </w:rPr>
        <w:t>3.一般公共服务（类）财政事务（款）信访事务（项）: 支出决算为4万元，完成</w:t>
      </w:r>
      <w:r>
        <w:rPr>
          <w:rFonts w:hint="eastAsia" w:ascii="仿宋" w:hAnsi="仿宋" w:eastAsia="仿宋"/>
          <w:b/>
          <w:bCs/>
          <w:sz w:val="32"/>
          <w:szCs w:val="32"/>
          <w:lang w:eastAsia="zh-CN"/>
        </w:rPr>
        <w:t>预算的100%</w:t>
      </w:r>
      <w:r>
        <w:rPr>
          <w:rFonts w:hint="eastAsia" w:ascii="仿宋" w:hAnsi="仿宋" w:eastAsia="仿宋"/>
          <w:b/>
          <w:bCs/>
          <w:sz w:val="32"/>
          <w:szCs w:val="32"/>
        </w:rPr>
        <w:t>，与预算数持平。</w:t>
      </w:r>
    </w:p>
    <w:p>
      <w:pPr>
        <w:pStyle w:val="3"/>
        <w:spacing w:before="93"/>
        <w:ind w:firstLine="643" w:firstLineChars="200"/>
        <w:rPr>
          <w:rFonts w:ascii="仿宋" w:hAnsi="仿宋" w:eastAsia="仿宋"/>
          <w:b/>
          <w:bCs/>
          <w:sz w:val="32"/>
          <w:szCs w:val="32"/>
        </w:rPr>
      </w:pPr>
      <w:r>
        <w:rPr>
          <w:rFonts w:hint="eastAsia" w:ascii="仿宋" w:hAnsi="仿宋" w:eastAsia="仿宋"/>
          <w:b/>
          <w:bCs/>
          <w:sz w:val="32"/>
          <w:szCs w:val="32"/>
        </w:rPr>
        <w:t>4.一般公共服务（类）财政事务（款）事业运行（项）: 支出决算为11万元，完成</w:t>
      </w:r>
      <w:r>
        <w:rPr>
          <w:rFonts w:hint="eastAsia" w:ascii="仿宋" w:hAnsi="仿宋" w:eastAsia="仿宋"/>
          <w:b/>
          <w:bCs/>
          <w:sz w:val="32"/>
          <w:szCs w:val="32"/>
          <w:lang w:eastAsia="zh-CN"/>
        </w:rPr>
        <w:t>预算的100%</w:t>
      </w:r>
      <w:r>
        <w:rPr>
          <w:rFonts w:hint="eastAsia" w:ascii="仿宋" w:hAnsi="仿宋" w:eastAsia="仿宋"/>
          <w:b/>
          <w:bCs/>
          <w:sz w:val="32"/>
          <w:szCs w:val="32"/>
        </w:rPr>
        <w:t>，与预算数持平。</w:t>
      </w:r>
    </w:p>
    <w:p>
      <w:pPr>
        <w:pStyle w:val="3"/>
        <w:spacing w:before="93"/>
        <w:ind w:firstLine="643" w:firstLineChars="200"/>
        <w:rPr>
          <w:rFonts w:ascii="仿宋" w:hAnsi="仿宋" w:eastAsia="仿宋"/>
          <w:b/>
          <w:bCs/>
          <w:sz w:val="32"/>
          <w:szCs w:val="32"/>
        </w:rPr>
      </w:pPr>
      <w:r>
        <w:rPr>
          <w:rFonts w:hint="eastAsia" w:ascii="仿宋" w:hAnsi="仿宋" w:eastAsia="仿宋"/>
          <w:b/>
          <w:bCs/>
          <w:sz w:val="32"/>
          <w:szCs w:val="32"/>
        </w:rPr>
        <w:t>5.文化旅游体育与传媒支出（类）文化和旅游（款）其他文化和旅游支出（项）: 支出决算4万元，完成</w:t>
      </w:r>
      <w:r>
        <w:rPr>
          <w:rFonts w:hint="eastAsia" w:ascii="仿宋" w:hAnsi="仿宋" w:eastAsia="仿宋"/>
          <w:b/>
          <w:bCs/>
          <w:sz w:val="32"/>
          <w:szCs w:val="32"/>
          <w:lang w:eastAsia="zh-CN"/>
        </w:rPr>
        <w:t>预算的100%</w:t>
      </w:r>
      <w:r>
        <w:rPr>
          <w:rFonts w:hint="eastAsia" w:ascii="仿宋" w:hAnsi="仿宋" w:eastAsia="仿宋"/>
          <w:b/>
          <w:bCs/>
          <w:sz w:val="32"/>
          <w:szCs w:val="32"/>
        </w:rPr>
        <w:t>，与预算数持平。</w:t>
      </w:r>
    </w:p>
    <w:p>
      <w:pPr>
        <w:pStyle w:val="3"/>
        <w:spacing w:before="93"/>
        <w:ind w:firstLine="643" w:firstLineChars="200"/>
        <w:rPr>
          <w:rFonts w:ascii="仿宋" w:hAnsi="仿宋" w:eastAsia="仿宋"/>
          <w:b/>
          <w:bCs/>
          <w:sz w:val="32"/>
          <w:szCs w:val="32"/>
        </w:rPr>
      </w:pPr>
      <w:r>
        <w:rPr>
          <w:rFonts w:hint="eastAsia" w:ascii="仿宋" w:hAnsi="仿宋" w:eastAsia="仿宋"/>
          <w:b/>
          <w:bCs/>
          <w:sz w:val="32"/>
          <w:szCs w:val="32"/>
        </w:rPr>
        <w:t>6.社会保障和就业支出（类）行政事业单位养老支出（款） 机关事业单位基本养老保险缴费支出（项）: 支出决算为48.15万元，完成</w:t>
      </w:r>
      <w:r>
        <w:rPr>
          <w:rFonts w:hint="eastAsia" w:ascii="仿宋" w:hAnsi="仿宋" w:eastAsia="仿宋"/>
          <w:b/>
          <w:bCs/>
          <w:sz w:val="32"/>
          <w:szCs w:val="32"/>
          <w:lang w:eastAsia="zh-CN"/>
        </w:rPr>
        <w:t>预算的100%</w:t>
      </w:r>
      <w:r>
        <w:rPr>
          <w:rFonts w:hint="eastAsia" w:ascii="仿宋" w:hAnsi="仿宋" w:eastAsia="仿宋"/>
          <w:b/>
          <w:bCs/>
          <w:sz w:val="32"/>
          <w:szCs w:val="32"/>
        </w:rPr>
        <w:t>，与预算数持平。</w:t>
      </w:r>
    </w:p>
    <w:p>
      <w:pPr>
        <w:pStyle w:val="3"/>
        <w:spacing w:before="93"/>
        <w:ind w:firstLine="643" w:firstLineChars="200"/>
        <w:rPr>
          <w:rFonts w:ascii="仿宋" w:hAnsi="仿宋" w:eastAsia="仿宋"/>
          <w:b/>
          <w:bCs/>
          <w:sz w:val="32"/>
          <w:szCs w:val="32"/>
        </w:rPr>
      </w:pPr>
      <w:r>
        <w:rPr>
          <w:rFonts w:hint="eastAsia" w:ascii="仿宋" w:hAnsi="仿宋" w:eastAsia="仿宋"/>
          <w:b/>
          <w:bCs/>
          <w:sz w:val="32"/>
          <w:szCs w:val="32"/>
        </w:rPr>
        <w:t>7.社会保障和就业支出（类）行政事业单位养老支出（款）  机关事业单位职业年金缴费支出（项）: 支出决算为4.91万元，完成</w:t>
      </w:r>
      <w:r>
        <w:rPr>
          <w:rFonts w:hint="eastAsia" w:ascii="仿宋" w:hAnsi="仿宋" w:eastAsia="仿宋"/>
          <w:b/>
          <w:bCs/>
          <w:sz w:val="32"/>
          <w:szCs w:val="32"/>
          <w:lang w:eastAsia="zh-CN"/>
        </w:rPr>
        <w:t>预算的100%</w:t>
      </w:r>
      <w:r>
        <w:rPr>
          <w:rFonts w:hint="eastAsia" w:ascii="仿宋" w:hAnsi="仿宋" w:eastAsia="仿宋"/>
          <w:b/>
          <w:bCs/>
          <w:sz w:val="32"/>
          <w:szCs w:val="32"/>
        </w:rPr>
        <w:t>，与预算数持平。</w:t>
      </w:r>
    </w:p>
    <w:p>
      <w:pPr>
        <w:pStyle w:val="3"/>
        <w:spacing w:before="93"/>
        <w:ind w:firstLine="643" w:firstLineChars="200"/>
        <w:rPr>
          <w:rFonts w:ascii="仿宋" w:hAnsi="仿宋" w:eastAsia="仿宋"/>
          <w:b/>
          <w:bCs/>
          <w:sz w:val="32"/>
          <w:szCs w:val="32"/>
        </w:rPr>
      </w:pPr>
      <w:r>
        <w:rPr>
          <w:rFonts w:hint="eastAsia" w:ascii="仿宋" w:hAnsi="仿宋" w:eastAsia="仿宋"/>
          <w:b/>
          <w:bCs/>
          <w:sz w:val="32"/>
          <w:szCs w:val="32"/>
        </w:rPr>
        <w:t>8.社会保障和就业支出（类）就业补助（款）公益性岗位补贴（项）: 支出决算为35.85万元，完成</w:t>
      </w:r>
      <w:r>
        <w:rPr>
          <w:rFonts w:hint="eastAsia" w:ascii="仿宋" w:hAnsi="仿宋" w:eastAsia="仿宋"/>
          <w:b/>
          <w:bCs/>
          <w:sz w:val="32"/>
          <w:szCs w:val="32"/>
          <w:lang w:eastAsia="zh-CN"/>
        </w:rPr>
        <w:t>预算的100%</w:t>
      </w:r>
      <w:r>
        <w:rPr>
          <w:rFonts w:hint="eastAsia" w:ascii="仿宋" w:hAnsi="仿宋" w:eastAsia="仿宋"/>
          <w:b/>
          <w:bCs/>
          <w:sz w:val="32"/>
          <w:szCs w:val="32"/>
        </w:rPr>
        <w:t>，与预算数持平。</w:t>
      </w:r>
    </w:p>
    <w:p>
      <w:pPr>
        <w:pStyle w:val="3"/>
        <w:spacing w:before="93"/>
        <w:ind w:firstLine="643" w:firstLineChars="200"/>
        <w:rPr>
          <w:rFonts w:ascii="仿宋" w:hAnsi="仿宋" w:eastAsia="仿宋"/>
          <w:b/>
          <w:bCs/>
          <w:color w:val="1F497D" w:themeColor="text2"/>
          <w:sz w:val="32"/>
          <w:szCs w:val="32"/>
        </w:rPr>
      </w:pPr>
      <w:r>
        <w:rPr>
          <w:rFonts w:hint="eastAsia" w:ascii="仿宋" w:hAnsi="仿宋" w:eastAsia="仿宋"/>
          <w:b/>
          <w:bCs/>
          <w:sz w:val="32"/>
          <w:szCs w:val="32"/>
        </w:rPr>
        <w:t>9.社会保障和就业支出（类）就业补助（款）其他就业补助支出（项）: 支出决算为13.5万元，完成</w:t>
      </w:r>
      <w:r>
        <w:rPr>
          <w:rFonts w:hint="eastAsia" w:ascii="仿宋" w:hAnsi="仿宋" w:eastAsia="仿宋"/>
          <w:b/>
          <w:bCs/>
          <w:sz w:val="32"/>
          <w:szCs w:val="32"/>
          <w:lang w:eastAsia="zh-CN"/>
        </w:rPr>
        <w:t>预算的100%</w:t>
      </w:r>
      <w:r>
        <w:rPr>
          <w:rFonts w:hint="eastAsia" w:ascii="仿宋" w:hAnsi="仿宋" w:eastAsia="仿宋"/>
          <w:b/>
          <w:bCs/>
          <w:sz w:val="32"/>
          <w:szCs w:val="32"/>
        </w:rPr>
        <w:t>，与预算数持平。</w:t>
      </w:r>
    </w:p>
    <w:p>
      <w:pPr>
        <w:pStyle w:val="3"/>
        <w:spacing w:before="93"/>
        <w:ind w:firstLine="643" w:firstLineChars="200"/>
        <w:rPr>
          <w:rStyle w:val="11"/>
          <w:rFonts w:ascii="仿宋" w:hAnsi="仿宋" w:eastAsia="仿宋"/>
          <w:b w:val="0"/>
          <w:bCs/>
          <w:sz w:val="32"/>
          <w:szCs w:val="32"/>
        </w:rPr>
      </w:pPr>
      <w:r>
        <w:rPr>
          <w:rFonts w:hint="eastAsia" w:ascii="仿宋" w:hAnsi="仿宋" w:eastAsia="仿宋"/>
          <w:b/>
          <w:bCs/>
          <w:sz w:val="32"/>
          <w:szCs w:val="32"/>
        </w:rPr>
        <w:t>10.农林水支出</w:t>
      </w:r>
      <w:r>
        <w:rPr>
          <w:rStyle w:val="11"/>
          <w:rFonts w:hint="eastAsia" w:ascii="仿宋" w:hAnsi="仿宋" w:eastAsia="仿宋"/>
          <w:bCs/>
          <w:sz w:val="32"/>
          <w:szCs w:val="32"/>
        </w:rPr>
        <w:t>（类）扶贫（款）农村基础设施建设（项）</w:t>
      </w:r>
      <w:r>
        <w:rPr>
          <w:rStyle w:val="11"/>
          <w:rFonts w:ascii="仿宋" w:hAnsi="仿宋" w:eastAsia="仿宋"/>
          <w:bCs/>
          <w:sz w:val="32"/>
          <w:szCs w:val="32"/>
        </w:rPr>
        <w:t>:</w:t>
      </w:r>
      <w:r>
        <w:rPr>
          <w:rStyle w:val="11"/>
          <w:rFonts w:hint="eastAsia" w:ascii="仿宋" w:hAnsi="仿宋" w:eastAsia="仿宋"/>
          <w:b w:val="0"/>
          <w:bCs/>
          <w:sz w:val="32"/>
          <w:szCs w:val="32"/>
        </w:rPr>
        <w:t>支出决算为816.</w:t>
      </w:r>
      <w:r>
        <w:rPr>
          <w:rFonts w:hint="eastAsia" w:ascii="仿宋" w:hAnsi="仿宋" w:eastAsia="仿宋"/>
          <w:bCs/>
          <w:sz w:val="32"/>
          <w:szCs w:val="32"/>
        </w:rPr>
        <w:t>33万元，完成</w:t>
      </w:r>
      <w:r>
        <w:rPr>
          <w:rFonts w:hint="eastAsia" w:ascii="仿宋" w:hAnsi="仿宋" w:eastAsia="仿宋"/>
          <w:bCs/>
          <w:sz w:val="32"/>
          <w:szCs w:val="32"/>
          <w:lang w:eastAsia="zh-CN"/>
        </w:rPr>
        <w:t>预算的100%</w:t>
      </w:r>
      <w:r>
        <w:rPr>
          <w:rStyle w:val="11"/>
          <w:rFonts w:hint="eastAsia" w:ascii="仿宋" w:hAnsi="仿宋" w:eastAsia="仿宋"/>
          <w:b w:val="0"/>
          <w:bCs/>
          <w:sz w:val="32"/>
          <w:szCs w:val="32"/>
        </w:rPr>
        <w:t>，决算数等于预算</w:t>
      </w:r>
      <w:r>
        <w:rPr>
          <w:rFonts w:hint="eastAsia" w:ascii="仿宋" w:hAnsi="仿宋" w:eastAsia="仿宋"/>
          <w:bCs/>
          <w:sz w:val="32"/>
          <w:szCs w:val="32"/>
        </w:rPr>
        <w:t>数。</w:t>
      </w:r>
    </w:p>
    <w:p>
      <w:pPr>
        <w:pStyle w:val="3"/>
        <w:spacing w:before="93"/>
        <w:ind w:firstLine="643" w:firstLineChars="200"/>
        <w:rPr>
          <w:rStyle w:val="11"/>
          <w:rFonts w:ascii="仿宋" w:hAnsi="仿宋" w:eastAsia="仿宋"/>
          <w:b w:val="0"/>
          <w:bCs/>
          <w:sz w:val="32"/>
          <w:szCs w:val="32"/>
        </w:rPr>
      </w:pPr>
      <w:r>
        <w:rPr>
          <w:rFonts w:hint="eastAsia" w:ascii="仿宋" w:hAnsi="仿宋" w:eastAsia="仿宋"/>
          <w:b/>
          <w:bCs/>
          <w:sz w:val="32"/>
          <w:szCs w:val="32"/>
        </w:rPr>
        <w:t>11.农林水支出（类）扶贫（款）生产发展（项）</w:t>
      </w:r>
      <w:r>
        <w:rPr>
          <w:rStyle w:val="11"/>
          <w:rFonts w:ascii="仿宋" w:hAnsi="仿宋" w:eastAsia="仿宋"/>
          <w:bCs/>
          <w:sz w:val="32"/>
          <w:szCs w:val="32"/>
        </w:rPr>
        <w:t>:</w:t>
      </w:r>
      <w:r>
        <w:rPr>
          <w:rStyle w:val="11"/>
          <w:rFonts w:hint="eastAsia" w:ascii="仿宋" w:hAnsi="仿宋" w:eastAsia="仿宋"/>
          <w:b w:val="0"/>
          <w:bCs/>
          <w:sz w:val="32"/>
          <w:szCs w:val="32"/>
        </w:rPr>
        <w:t>支出决算为50.</w:t>
      </w:r>
      <w:r>
        <w:rPr>
          <w:rFonts w:hint="eastAsia" w:ascii="仿宋" w:hAnsi="仿宋" w:eastAsia="仿宋"/>
          <w:bCs/>
          <w:sz w:val="32"/>
          <w:szCs w:val="32"/>
        </w:rPr>
        <w:t>27万元，完成</w:t>
      </w:r>
      <w:r>
        <w:rPr>
          <w:rFonts w:hint="eastAsia" w:ascii="仿宋" w:hAnsi="仿宋" w:eastAsia="仿宋"/>
          <w:bCs/>
          <w:sz w:val="32"/>
          <w:szCs w:val="32"/>
          <w:lang w:eastAsia="zh-CN"/>
        </w:rPr>
        <w:t>预算的100%</w:t>
      </w:r>
      <w:r>
        <w:rPr>
          <w:rStyle w:val="11"/>
          <w:rFonts w:hint="eastAsia" w:ascii="仿宋" w:hAnsi="仿宋" w:eastAsia="仿宋"/>
          <w:b w:val="0"/>
          <w:bCs/>
          <w:sz w:val="32"/>
          <w:szCs w:val="32"/>
        </w:rPr>
        <w:t>，决算数等于预算</w:t>
      </w:r>
      <w:r>
        <w:rPr>
          <w:rFonts w:hint="eastAsia" w:ascii="仿宋" w:hAnsi="仿宋" w:eastAsia="仿宋"/>
          <w:bCs/>
          <w:sz w:val="32"/>
          <w:szCs w:val="32"/>
        </w:rPr>
        <w:t>数。</w:t>
      </w:r>
    </w:p>
    <w:p>
      <w:pPr>
        <w:pStyle w:val="3"/>
        <w:spacing w:before="93"/>
        <w:ind w:firstLine="643" w:firstLineChars="200"/>
        <w:rPr>
          <w:rStyle w:val="11"/>
          <w:rFonts w:ascii="仿宋" w:hAnsi="仿宋" w:eastAsia="仿宋"/>
          <w:b w:val="0"/>
          <w:bCs/>
          <w:sz w:val="32"/>
          <w:szCs w:val="32"/>
        </w:rPr>
      </w:pPr>
      <w:r>
        <w:rPr>
          <w:rFonts w:hint="eastAsia" w:ascii="仿宋" w:hAnsi="仿宋" w:eastAsia="仿宋"/>
          <w:b/>
          <w:bCs/>
          <w:sz w:val="32"/>
          <w:szCs w:val="32"/>
        </w:rPr>
        <w:t>12.农林水支出（类）扶贫（款）其他扶贫支出（项）</w:t>
      </w:r>
      <w:r>
        <w:rPr>
          <w:rStyle w:val="11"/>
          <w:rFonts w:ascii="仿宋" w:hAnsi="仿宋" w:eastAsia="仿宋"/>
          <w:bCs/>
          <w:sz w:val="32"/>
          <w:szCs w:val="32"/>
        </w:rPr>
        <w:t>:</w:t>
      </w:r>
      <w:r>
        <w:rPr>
          <w:rStyle w:val="11"/>
          <w:rFonts w:hint="eastAsia" w:ascii="仿宋" w:hAnsi="仿宋" w:eastAsia="仿宋"/>
          <w:b w:val="0"/>
          <w:bCs/>
          <w:sz w:val="32"/>
          <w:szCs w:val="32"/>
        </w:rPr>
        <w:t>支出决算为40.</w:t>
      </w:r>
      <w:r>
        <w:rPr>
          <w:rFonts w:hint="eastAsia" w:ascii="仿宋" w:hAnsi="仿宋" w:eastAsia="仿宋"/>
          <w:bCs/>
          <w:sz w:val="32"/>
          <w:szCs w:val="32"/>
        </w:rPr>
        <w:t>01万元，完成</w:t>
      </w:r>
      <w:r>
        <w:rPr>
          <w:rFonts w:hint="eastAsia" w:ascii="仿宋" w:hAnsi="仿宋" w:eastAsia="仿宋"/>
          <w:bCs/>
          <w:sz w:val="32"/>
          <w:szCs w:val="32"/>
          <w:lang w:eastAsia="zh-CN"/>
        </w:rPr>
        <w:t>预算的100%</w:t>
      </w:r>
      <w:r>
        <w:rPr>
          <w:rStyle w:val="11"/>
          <w:rFonts w:hint="eastAsia" w:ascii="仿宋" w:hAnsi="仿宋" w:eastAsia="仿宋"/>
          <w:b w:val="0"/>
          <w:bCs/>
          <w:sz w:val="32"/>
          <w:szCs w:val="32"/>
        </w:rPr>
        <w:t>，决算数等于预算</w:t>
      </w:r>
      <w:r>
        <w:rPr>
          <w:rFonts w:hint="eastAsia" w:ascii="仿宋" w:hAnsi="仿宋" w:eastAsia="仿宋"/>
          <w:bCs/>
          <w:sz w:val="32"/>
          <w:szCs w:val="32"/>
        </w:rPr>
        <w:t>数。</w:t>
      </w:r>
    </w:p>
    <w:p>
      <w:pPr>
        <w:pStyle w:val="3"/>
        <w:spacing w:before="93"/>
        <w:ind w:firstLine="643" w:firstLineChars="200"/>
        <w:rPr>
          <w:rStyle w:val="11"/>
          <w:rFonts w:ascii="仿宋" w:hAnsi="仿宋" w:eastAsia="仿宋"/>
          <w:b w:val="0"/>
          <w:bCs/>
          <w:sz w:val="32"/>
          <w:szCs w:val="32"/>
        </w:rPr>
      </w:pPr>
      <w:r>
        <w:rPr>
          <w:rFonts w:hint="eastAsia" w:ascii="仿宋" w:hAnsi="仿宋" w:eastAsia="仿宋"/>
          <w:b/>
          <w:bCs/>
          <w:sz w:val="32"/>
          <w:szCs w:val="32"/>
        </w:rPr>
        <w:t>13.农林水支出（类）农村综合改革（款）对村民委员会和村党支部的补助（项）</w:t>
      </w:r>
      <w:r>
        <w:rPr>
          <w:rStyle w:val="11"/>
          <w:rFonts w:ascii="仿宋" w:hAnsi="仿宋" w:eastAsia="仿宋"/>
          <w:bCs/>
          <w:sz w:val="32"/>
          <w:szCs w:val="32"/>
        </w:rPr>
        <w:t>:</w:t>
      </w:r>
      <w:r>
        <w:rPr>
          <w:rStyle w:val="11"/>
          <w:rFonts w:hint="eastAsia" w:ascii="仿宋" w:hAnsi="仿宋" w:eastAsia="仿宋"/>
          <w:b w:val="0"/>
          <w:bCs/>
          <w:sz w:val="32"/>
          <w:szCs w:val="32"/>
        </w:rPr>
        <w:t>支出决算为281.</w:t>
      </w:r>
      <w:r>
        <w:rPr>
          <w:rFonts w:hint="eastAsia" w:ascii="仿宋" w:hAnsi="仿宋" w:eastAsia="仿宋"/>
          <w:bCs/>
          <w:sz w:val="32"/>
          <w:szCs w:val="32"/>
        </w:rPr>
        <w:t>19万元，完成</w:t>
      </w:r>
      <w:r>
        <w:rPr>
          <w:rFonts w:hint="eastAsia" w:ascii="仿宋" w:hAnsi="仿宋" w:eastAsia="仿宋"/>
          <w:bCs/>
          <w:sz w:val="32"/>
          <w:szCs w:val="32"/>
          <w:lang w:eastAsia="zh-CN"/>
        </w:rPr>
        <w:t>预算的100%</w:t>
      </w:r>
      <w:r>
        <w:rPr>
          <w:rStyle w:val="11"/>
          <w:rFonts w:hint="eastAsia" w:ascii="仿宋" w:hAnsi="仿宋" w:eastAsia="仿宋"/>
          <w:b w:val="0"/>
          <w:bCs/>
          <w:sz w:val="32"/>
          <w:szCs w:val="32"/>
        </w:rPr>
        <w:t>，决算数等于预算</w:t>
      </w:r>
      <w:r>
        <w:rPr>
          <w:rFonts w:hint="eastAsia" w:ascii="仿宋" w:hAnsi="仿宋" w:eastAsia="仿宋"/>
          <w:bCs/>
          <w:sz w:val="32"/>
          <w:szCs w:val="32"/>
        </w:rPr>
        <w:t>数。</w:t>
      </w:r>
    </w:p>
    <w:p>
      <w:pPr>
        <w:pStyle w:val="3"/>
        <w:spacing w:before="93"/>
        <w:ind w:firstLine="643" w:firstLineChars="200"/>
        <w:rPr>
          <w:rStyle w:val="11"/>
          <w:rFonts w:ascii="仿宋" w:hAnsi="仿宋" w:eastAsia="仿宋"/>
          <w:b w:val="0"/>
          <w:bCs/>
          <w:sz w:val="32"/>
          <w:szCs w:val="32"/>
        </w:rPr>
      </w:pPr>
      <w:r>
        <w:rPr>
          <w:rFonts w:hint="eastAsia" w:ascii="仿宋" w:hAnsi="仿宋" w:eastAsia="仿宋"/>
          <w:b/>
          <w:bCs/>
          <w:sz w:val="32"/>
          <w:szCs w:val="32"/>
        </w:rPr>
        <w:t>14.农林水支出（类）农村综合改革（款）对村集体经济组织的补助（项）</w:t>
      </w:r>
      <w:r>
        <w:rPr>
          <w:rStyle w:val="11"/>
          <w:rFonts w:ascii="仿宋" w:hAnsi="仿宋" w:eastAsia="仿宋"/>
          <w:bCs/>
          <w:sz w:val="32"/>
          <w:szCs w:val="32"/>
        </w:rPr>
        <w:t>:</w:t>
      </w:r>
      <w:r>
        <w:rPr>
          <w:rStyle w:val="11"/>
          <w:rFonts w:hint="eastAsia" w:ascii="仿宋" w:hAnsi="仿宋" w:eastAsia="仿宋"/>
          <w:b w:val="0"/>
          <w:bCs/>
          <w:sz w:val="32"/>
          <w:szCs w:val="32"/>
        </w:rPr>
        <w:t>支出决算为80万元，完成</w:t>
      </w:r>
      <w:r>
        <w:rPr>
          <w:rStyle w:val="11"/>
          <w:rFonts w:hint="eastAsia" w:ascii="仿宋" w:hAnsi="仿宋" w:eastAsia="仿宋"/>
          <w:b w:val="0"/>
          <w:bCs/>
          <w:sz w:val="32"/>
          <w:szCs w:val="32"/>
          <w:lang w:eastAsia="zh-CN"/>
        </w:rPr>
        <w:t>预算的100%</w:t>
      </w:r>
      <w:r>
        <w:rPr>
          <w:rStyle w:val="11"/>
          <w:rFonts w:hint="eastAsia" w:ascii="仿宋" w:hAnsi="仿宋" w:eastAsia="仿宋"/>
          <w:b w:val="0"/>
          <w:bCs/>
          <w:sz w:val="32"/>
          <w:szCs w:val="32"/>
        </w:rPr>
        <w:t>，决算数等于预算</w:t>
      </w:r>
      <w:r>
        <w:rPr>
          <w:rFonts w:hint="eastAsia" w:ascii="仿宋" w:hAnsi="仿宋" w:eastAsia="仿宋"/>
          <w:bCs/>
          <w:sz w:val="32"/>
          <w:szCs w:val="32"/>
        </w:rPr>
        <w:t>数。</w:t>
      </w:r>
    </w:p>
    <w:p>
      <w:pPr>
        <w:spacing w:line="560" w:lineRule="exact"/>
        <w:ind w:firstLine="643"/>
        <w:rPr>
          <w:rFonts w:ascii="仿宋" w:hAnsi="仿宋" w:eastAsia="仿宋" w:cs="仿宋"/>
          <w:b/>
          <w:color w:val="000000" w:themeColor="text1"/>
          <w:sz w:val="32"/>
        </w:rPr>
      </w:pPr>
      <w:r>
        <w:rPr>
          <w:rFonts w:hint="eastAsia" w:ascii="仿宋" w:hAnsi="仿宋" w:eastAsia="仿宋" w:cs="仿宋"/>
          <w:b/>
          <w:color w:val="000000"/>
          <w:sz w:val="32"/>
        </w:rPr>
        <w:t>15</w:t>
      </w:r>
      <w:r>
        <w:rPr>
          <w:rFonts w:hint="eastAsia" w:ascii="仿宋" w:hAnsi="仿宋" w:eastAsia="仿宋" w:cs="仿宋"/>
          <w:b/>
          <w:color w:val="000000" w:themeColor="text1"/>
          <w:sz w:val="32"/>
        </w:rPr>
        <w:t>.</w:t>
      </w:r>
      <w:r>
        <w:rPr>
          <w:rFonts w:hint="eastAsia" w:ascii="仿宋" w:hAnsi="仿宋" w:eastAsia="仿宋" w:cs="仿宋"/>
          <w:b/>
          <w:color w:val="000000"/>
          <w:sz w:val="32"/>
        </w:rPr>
        <w:t>卫生健康支出（类）基层医疗卫生机构（款）乡镇卫生院（项）</w:t>
      </w:r>
      <w:r>
        <w:rPr>
          <w:rFonts w:hint="eastAsia" w:ascii="仿宋" w:hAnsi="仿宋" w:eastAsia="仿宋" w:cs="仿宋"/>
          <w:b/>
          <w:color w:val="000000" w:themeColor="text1"/>
          <w:sz w:val="32"/>
        </w:rPr>
        <w:t>:</w:t>
      </w:r>
      <w:r>
        <w:rPr>
          <w:rFonts w:hint="eastAsia" w:ascii="仿宋" w:hAnsi="仿宋" w:eastAsia="仿宋" w:cs="仿宋"/>
          <w:b/>
          <w:color w:val="000000"/>
          <w:sz w:val="32"/>
        </w:rPr>
        <w:t xml:space="preserve"> 支出决算为94</w:t>
      </w:r>
      <w:r>
        <w:rPr>
          <w:rFonts w:hint="eastAsia" w:ascii="仿宋" w:hAnsi="仿宋" w:eastAsia="仿宋" w:cs="仿宋"/>
          <w:b/>
          <w:color w:val="000000" w:themeColor="text1"/>
          <w:sz w:val="32"/>
        </w:rPr>
        <w:t>.</w:t>
      </w:r>
      <w:r>
        <w:rPr>
          <w:rFonts w:hint="eastAsia" w:ascii="仿宋" w:hAnsi="仿宋" w:eastAsia="仿宋" w:cs="仿宋"/>
          <w:b/>
          <w:color w:val="000000"/>
          <w:sz w:val="32"/>
        </w:rPr>
        <w:t>58万元，完成</w:t>
      </w:r>
      <w:r>
        <w:rPr>
          <w:rFonts w:hint="eastAsia" w:ascii="仿宋" w:hAnsi="仿宋" w:eastAsia="仿宋" w:cs="仿宋"/>
          <w:b/>
          <w:color w:val="000000"/>
          <w:sz w:val="32"/>
          <w:lang w:eastAsia="zh-CN"/>
        </w:rPr>
        <w:t>预算的100%</w:t>
      </w:r>
      <w:r>
        <w:rPr>
          <w:rFonts w:hint="eastAsia" w:ascii="仿宋" w:hAnsi="仿宋" w:eastAsia="仿宋" w:cs="仿宋"/>
          <w:b/>
          <w:color w:val="000000"/>
          <w:sz w:val="32"/>
        </w:rPr>
        <w:t>，与预算数持</w:t>
      </w:r>
      <w:r>
        <w:rPr>
          <w:rFonts w:hint="eastAsia" w:ascii="仿宋" w:hAnsi="仿宋" w:eastAsia="仿宋" w:cs="仿宋"/>
          <w:b/>
          <w:color w:val="000000" w:themeColor="text1"/>
          <w:sz w:val="32"/>
        </w:rPr>
        <w:t>平。</w:t>
      </w:r>
    </w:p>
    <w:p>
      <w:pPr>
        <w:spacing w:line="560" w:lineRule="exact"/>
        <w:ind w:firstLine="643"/>
        <w:rPr>
          <w:rFonts w:ascii="仿宋" w:hAnsi="仿宋" w:eastAsia="仿宋" w:cs="仿宋"/>
          <w:b/>
          <w:color w:val="000000" w:themeColor="text1"/>
          <w:sz w:val="32"/>
        </w:rPr>
      </w:pPr>
      <w:r>
        <w:rPr>
          <w:rFonts w:hint="eastAsia" w:ascii="仿宋" w:hAnsi="仿宋" w:eastAsia="仿宋" w:cs="仿宋"/>
          <w:b/>
          <w:color w:val="000000"/>
          <w:sz w:val="32"/>
        </w:rPr>
        <w:t>16</w:t>
      </w:r>
      <w:r>
        <w:rPr>
          <w:rFonts w:hint="eastAsia" w:ascii="仿宋" w:hAnsi="仿宋" w:eastAsia="仿宋" w:cs="仿宋"/>
          <w:b/>
          <w:color w:val="000000" w:themeColor="text1"/>
          <w:sz w:val="32"/>
        </w:rPr>
        <w:t>.</w:t>
      </w:r>
      <w:r>
        <w:rPr>
          <w:rFonts w:hint="eastAsia" w:ascii="仿宋" w:hAnsi="仿宋" w:eastAsia="仿宋" w:cs="仿宋"/>
          <w:b/>
          <w:color w:val="000000"/>
          <w:sz w:val="32"/>
        </w:rPr>
        <w:t>卫生健康支出（类）基层医疗卫生机构（款）其他基层医疗卫生机构支出（项）</w:t>
      </w:r>
      <w:r>
        <w:rPr>
          <w:rFonts w:hint="eastAsia" w:ascii="仿宋" w:hAnsi="仿宋" w:eastAsia="仿宋" w:cs="仿宋"/>
          <w:b/>
          <w:color w:val="000000" w:themeColor="text1"/>
          <w:sz w:val="32"/>
        </w:rPr>
        <w:t>:</w:t>
      </w:r>
      <w:r>
        <w:rPr>
          <w:rFonts w:hint="eastAsia" w:ascii="仿宋" w:hAnsi="仿宋" w:eastAsia="仿宋" w:cs="仿宋"/>
          <w:b/>
          <w:color w:val="000000"/>
          <w:sz w:val="32"/>
        </w:rPr>
        <w:t xml:space="preserve"> 支出决算为20</w:t>
      </w:r>
      <w:r>
        <w:rPr>
          <w:rFonts w:hint="eastAsia" w:ascii="仿宋" w:hAnsi="仿宋" w:eastAsia="仿宋" w:cs="仿宋"/>
          <w:b/>
          <w:color w:val="000000" w:themeColor="text1"/>
          <w:sz w:val="32"/>
        </w:rPr>
        <w:t>.</w:t>
      </w:r>
      <w:r>
        <w:rPr>
          <w:rFonts w:hint="eastAsia" w:ascii="仿宋" w:hAnsi="仿宋" w:eastAsia="仿宋" w:cs="仿宋"/>
          <w:b/>
          <w:color w:val="000000"/>
          <w:sz w:val="32"/>
        </w:rPr>
        <w:t>89万元，完成</w:t>
      </w:r>
      <w:r>
        <w:rPr>
          <w:rFonts w:hint="eastAsia" w:ascii="仿宋" w:hAnsi="仿宋" w:eastAsia="仿宋" w:cs="仿宋"/>
          <w:b/>
          <w:color w:val="000000"/>
          <w:sz w:val="32"/>
          <w:lang w:eastAsia="zh-CN"/>
        </w:rPr>
        <w:t>预算的100%</w:t>
      </w:r>
      <w:r>
        <w:rPr>
          <w:rFonts w:hint="eastAsia" w:ascii="仿宋" w:hAnsi="仿宋" w:eastAsia="仿宋" w:cs="仿宋"/>
          <w:b/>
          <w:color w:val="000000"/>
          <w:sz w:val="32"/>
        </w:rPr>
        <w:t>，与预算数持平。</w:t>
      </w:r>
    </w:p>
    <w:p>
      <w:pPr>
        <w:spacing w:line="560" w:lineRule="exact"/>
        <w:ind w:firstLine="643"/>
        <w:rPr>
          <w:rFonts w:ascii="仿宋" w:hAnsi="仿宋" w:eastAsia="仿宋" w:cs="仿宋"/>
          <w:b/>
          <w:color w:val="000000" w:themeColor="text1"/>
          <w:sz w:val="32"/>
        </w:rPr>
      </w:pPr>
      <w:r>
        <w:rPr>
          <w:rFonts w:hint="eastAsia" w:ascii="仿宋" w:hAnsi="仿宋" w:eastAsia="仿宋" w:cs="仿宋"/>
          <w:b/>
          <w:color w:val="000000"/>
          <w:sz w:val="32"/>
        </w:rPr>
        <w:t>17</w:t>
      </w:r>
      <w:r>
        <w:rPr>
          <w:rFonts w:hint="eastAsia" w:ascii="仿宋" w:hAnsi="仿宋" w:eastAsia="仿宋" w:cs="仿宋"/>
          <w:b/>
          <w:color w:val="000000" w:themeColor="text1"/>
          <w:sz w:val="32"/>
        </w:rPr>
        <w:t>.</w:t>
      </w:r>
      <w:r>
        <w:rPr>
          <w:rFonts w:hint="eastAsia" w:ascii="仿宋" w:hAnsi="仿宋" w:eastAsia="仿宋" w:cs="仿宋"/>
          <w:b/>
          <w:color w:val="000000"/>
          <w:sz w:val="32"/>
        </w:rPr>
        <w:t>卫生健康支出（类）公共卫生（款）基本公共卫生服务（项）</w:t>
      </w:r>
      <w:r>
        <w:rPr>
          <w:rFonts w:hint="eastAsia" w:ascii="仿宋" w:hAnsi="仿宋" w:eastAsia="仿宋" w:cs="仿宋"/>
          <w:b/>
          <w:color w:val="000000" w:themeColor="text1"/>
          <w:sz w:val="32"/>
        </w:rPr>
        <w:t>:</w:t>
      </w:r>
      <w:r>
        <w:rPr>
          <w:rFonts w:hint="eastAsia" w:ascii="仿宋" w:hAnsi="仿宋" w:eastAsia="仿宋" w:cs="仿宋"/>
          <w:b/>
          <w:color w:val="000000"/>
          <w:sz w:val="32"/>
        </w:rPr>
        <w:t xml:space="preserve"> 支出决算为75</w:t>
      </w:r>
      <w:r>
        <w:rPr>
          <w:rFonts w:hint="eastAsia" w:ascii="仿宋" w:hAnsi="仿宋" w:eastAsia="仿宋" w:cs="仿宋"/>
          <w:b/>
          <w:color w:val="000000" w:themeColor="text1"/>
          <w:sz w:val="32"/>
        </w:rPr>
        <w:t>.</w:t>
      </w:r>
      <w:r>
        <w:rPr>
          <w:rFonts w:hint="eastAsia" w:ascii="仿宋" w:hAnsi="仿宋" w:eastAsia="仿宋" w:cs="仿宋"/>
          <w:b/>
          <w:color w:val="000000"/>
          <w:sz w:val="32"/>
        </w:rPr>
        <w:t>24万元，完成</w:t>
      </w:r>
      <w:r>
        <w:rPr>
          <w:rFonts w:hint="eastAsia" w:ascii="仿宋" w:hAnsi="仿宋" w:eastAsia="仿宋" w:cs="仿宋"/>
          <w:b/>
          <w:color w:val="000000"/>
          <w:sz w:val="32"/>
          <w:lang w:eastAsia="zh-CN"/>
        </w:rPr>
        <w:t>预算的100%</w:t>
      </w:r>
      <w:r>
        <w:rPr>
          <w:rFonts w:hint="eastAsia" w:ascii="仿宋" w:hAnsi="仿宋" w:eastAsia="仿宋" w:cs="仿宋"/>
          <w:b/>
          <w:color w:val="000000"/>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sz w:val="32"/>
        </w:rPr>
        <w:t>18</w:t>
      </w:r>
      <w:r>
        <w:rPr>
          <w:rFonts w:hint="eastAsia" w:ascii="仿宋" w:hAnsi="仿宋" w:eastAsia="仿宋" w:cs="仿宋"/>
          <w:b/>
          <w:color w:val="000000" w:themeColor="text1"/>
          <w:sz w:val="32"/>
        </w:rPr>
        <w:t>.卫生健康支出</w:t>
      </w:r>
      <w:r>
        <w:rPr>
          <w:rFonts w:ascii="仿宋" w:hAnsi="仿宋" w:eastAsia="仿宋" w:cs="仿宋"/>
          <w:b/>
          <w:color w:val="000000" w:themeColor="text1"/>
          <w:sz w:val="32"/>
        </w:rPr>
        <w:t>（类）</w:t>
      </w:r>
      <w:r>
        <w:rPr>
          <w:rFonts w:hint="eastAsia" w:ascii="仿宋" w:hAnsi="仿宋" w:eastAsia="仿宋" w:cs="仿宋"/>
          <w:b/>
          <w:color w:val="000000"/>
          <w:sz w:val="32"/>
        </w:rPr>
        <w:t>行政事业单位</w:t>
      </w:r>
      <w:r>
        <w:rPr>
          <w:rFonts w:hint="eastAsia" w:ascii="仿宋" w:hAnsi="仿宋" w:eastAsia="仿宋" w:cs="仿宋"/>
          <w:b/>
          <w:color w:val="000000" w:themeColor="text1"/>
          <w:sz w:val="32"/>
        </w:rPr>
        <w:t>医疗</w:t>
      </w:r>
      <w:r>
        <w:rPr>
          <w:rFonts w:ascii="仿宋" w:hAnsi="仿宋" w:eastAsia="仿宋" w:cs="仿宋"/>
          <w:b/>
          <w:color w:val="000000" w:themeColor="text1"/>
          <w:sz w:val="32"/>
        </w:rPr>
        <w:t>（款）</w:t>
      </w:r>
      <w:r>
        <w:rPr>
          <w:rFonts w:hint="eastAsia" w:ascii="仿宋" w:hAnsi="仿宋" w:eastAsia="仿宋" w:cs="仿宋"/>
          <w:b/>
          <w:color w:val="000000"/>
          <w:sz w:val="32"/>
        </w:rPr>
        <w:t>行政单位</w:t>
      </w:r>
      <w:r>
        <w:rPr>
          <w:rFonts w:hint="eastAsia" w:ascii="仿宋" w:hAnsi="仿宋" w:eastAsia="仿宋" w:cs="仿宋"/>
          <w:b/>
          <w:color w:val="000000" w:themeColor="text1"/>
          <w:sz w:val="32"/>
        </w:rPr>
        <w:t>医疗</w:t>
      </w:r>
      <w:r>
        <w:rPr>
          <w:rFonts w:ascii="仿宋" w:hAnsi="仿宋" w:eastAsia="仿宋" w:cs="仿宋"/>
          <w:b/>
          <w:color w:val="000000"/>
          <w:sz w:val="32"/>
        </w:rPr>
        <w:t>（项）</w:t>
      </w:r>
      <w:r>
        <w:rPr>
          <w:rFonts w:ascii="仿宋" w:hAnsi="仿宋" w:eastAsia="仿宋" w:cs="仿宋"/>
          <w:b/>
          <w:color w:val="000000" w:themeColor="text1"/>
          <w:sz w:val="32"/>
        </w:rPr>
        <w:t>:</w:t>
      </w:r>
      <w:r>
        <w:rPr>
          <w:rFonts w:ascii="仿宋" w:hAnsi="仿宋" w:eastAsia="仿宋" w:cs="仿宋"/>
          <w:color w:val="000000" w:themeColor="text1"/>
          <w:sz w:val="32"/>
        </w:rPr>
        <w:t xml:space="preserve"> 支出决算为</w:t>
      </w:r>
      <w:r>
        <w:rPr>
          <w:rFonts w:hint="eastAsia" w:ascii="仿宋" w:hAnsi="仿宋" w:eastAsia="仿宋" w:cs="仿宋"/>
          <w:color w:val="000000"/>
          <w:sz w:val="32"/>
        </w:rPr>
        <w:t>15</w:t>
      </w:r>
      <w:r>
        <w:rPr>
          <w:rFonts w:hint="eastAsia" w:ascii="仿宋" w:hAnsi="仿宋" w:eastAsia="仿宋" w:cs="仿宋"/>
          <w:color w:val="000000" w:themeColor="text1"/>
          <w:sz w:val="32"/>
        </w:rPr>
        <w:t>.</w:t>
      </w:r>
      <w:r>
        <w:rPr>
          <w:rFonts w:hint="eastAsia" w:ascii="仿宋" w:hAnsi="仿宋" w:eastAsia="仿宋" w:cs="仿宋"/>
          <w:color w:val="000000"/>
          <w:sz w:val="32"/>
        </w:rPr>
        <w:t>34</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sz w:val="32"/>
        </w:rPr>
        <w:t>19</w:t>
      </w:r>
      <w:r>
        <w:rPr>
          <w:rFonts w:hint="eastAsia" w:ascii="仿宋" w:hAnsi="仿宋" w:eastAsia="仿宋" w:cs="仿宋"/>
          <w:b/>
          <w:color w:val="000000" w:themeColor="text1"/>
          <w:sz w:val="32"/>
        </w:rPr>
        <w:t>.卫生健康支出</w:t>
      </w:r>
      <w:r>
        <w:rPr>
          <w:rFonts w:ascii="仿宋" w:hAnsi="仿宋" w:eastAsia="仿宋" w:cs="仿宋"/>
          <w:b/>
          <w:color w:val="000000" w:themeColor="text1"/>
          <w:sz w:val="32"/>
        </w:rPr>
        <w:t>（类）</w:t>
      </w:r>
      <w:r>
        <w:rPr>
          <w:rFonts w:hint="eastAsia" w:ascii="仿宋" w:hAnsi="仿宋" w:eastAsia="仿宋" w:cs="仿宋"/>
          <w:b/>
          <w:color w:val="000000"/>
          <w:sz w:val="32"/>
        </w:rPr>
        <w:t>行政事业单位</w:t>
      </w:r>
      <w:r>
        <w:rPr>
          <w:rFonts w:hint="eastAsia" w:ascii="仿宋" w:hAnsi="仿宋" w:eastAsia="仿宋" w:cs="仿宋"/>
          <w:b/>
          <w:color w:val="000000" w:themeColor="text1"/>
          <w:sz w:val="32"/>
        </w:rPr>
        <w:t>医疗</w:t>
      </w:r>
      <w:r>
        <w:rPr>
          <w:rFonts w:ascii="仿宋" w:hAnsi="仿宋" w:eastAsia="仿宋" w:cs="仿宋"/>
          <w:b/>
          <w:color w:val="000000" w:themeColor="text1"/>
          <w:sz w:val="32"/>
        </w:rPr>
        <w:t>（款）</w:t>
      </w:r>
      <w:r>
        <w:rPr>
          <w:rFonts w:hint="eastAsia" w:ascii="仿宋" w:hAnsi="仿宋" w:eastAsia="仿宋" w:cs="仿宋"/>
          <w:b/>
          <w:color w:val="000000"/>
          <w:sz w:val="32"/>
        </w:rPr>
        <w:t>事业单位</w:t>
      </w:r>
      <w:r>
        <w:rPr>
          <w:rFonts w:hint="eastAsia" w:ascii="仿宋" w:hAnsi="仿宋" w:eastAsia="仿宋" w:cs="仿宋"/>
          <w:b/>
          <w:color w:val="000000" w:themeColor="text1"/>
          <w:sz w:val="32"/>
        </w:rPr>
        <w:t>医疗</w:t>
      </w:r>
      <w:r>
        <w:rPr>
          <w:rFonts w:ascii="仿宋" w:hAnsi="仿宋" w:eastAsia="仿宋" w:cs="仿宋"/>
          <w:b/>
          <w:color w:val="000000"/>
          <w:sz w:val="32"/>
        </w:rPr>
        <w:t>（项）</w:t>
      </w:r>
      <w:r>
        <w:rPr>
          <w:rFonts w:ascii="仿宋" w:hAnsi="仿宋" w:eastAsia="仿宋" w:cs="仿宋"/>
          <w:b/>
          <w:color w:val="000000" w:themeColor="text1"/>
          <w:sz w:val="32"/>
        </w:rPr>
        <w:t>:</w:t>
      </w:r>
      <w:r>
        <w:rPr>
          <w:rFonts w:ascii="仿宋" w:hAnsi="仿宋" w:eastAsia="仿宋" w:cs="仿宋"/>
          <w:color w:val="000000" w:themeColor="text1"/>
          <w:sz w:val="32"/>
        </w:rPr>
        <w:t xml:space="preserve"> 支出决算为</w:t>
      </w:r>
      <w:r>
        <w:rPr>
          <w:rFonts w:hint="eastAsia" w:ascii="仿宋" w:hAnsi="仿宋" w:eastAsia="仿宋" w:cs="仿宋"/>
          <w:color w:val="000000"/>
          <w:sz w:val="32"/>
        </w:rPr>
        <w:t>13</w:t>
      </w:r>
      <w:r>
        <w:rPr>
          <w:rFonts w:hint="eastAsia" w:ascii="仿宋" w:hAnsi="仿宋" w:eastAsia="仿宋" w:cs="仿宋"/>
          <w:color w:val="000000" w:themeColor="text1"/>
          <w:sz w:val="32"/>
        </w:rPr>
        <w:t>.</w:t>
      </w:r>
      <w:r>
        <w:rPr>
          <w:rFonts w:hint="eastAsia" w:ascii="仿宋" w:hAnsi="仿宋" w:eastAsia="仿宋" w:cs="仿宋"/>
          <w:color w:val="000000"/>
          <w:sz w:val="32"/>
        </w:rPr>
        <w:t>79</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sz w:val="32"/>
        </w:rPr>
        <w:t>20</w:t>
      </w:r>
      <w:r>
        <w:rPr>
          <w:rFonts w:hint="eastAsia" w:ascii="仿宋" w:hAnsi="仿宋" w:eastAsia="仿宋" w:cs="仿宋"/>
          <w:b/>
          <w:color w:val="000000" w:themeColor="text1"/>
          <w:sz w:val="32"/>
        </w:rPr>
        <w:t>.卫生健康支出</w:t>
      </w:r>
      <w:r>
        <w:rPr>
          <w:rFonts w:ascii="仿宋" w:hAnsi="仿宋" w:eastAsia="仿宋" w:cs="仿宋"/>
          <w:b/>
          <w:color w:val="000000" w:themeColor="text1"/>
          <w:sz w:val="32"/>
        </w:rPr>
        <w:t>（类）</w:t>
      </w:r>
      <w:r>
        <w:rPr>
          <w:rFonts w:hint="eastAsia" w:ascii="仿宋" w:hAnsi="仿宋" w:eastAsia="仿宋" w:cs="仿宋"/>
          <w:b/>
          <w:color w:val="000000"/>
          <w:sz w:val="32"/>
        </w:rPr>
        <w:t>行政事业单位</w:t>
      </w:r>
      <w:r>
        <w:rPr>
          <w:rFonts w:hint="eastAsia" w:ascii="仿宋" w:hAnsi="仿宋" w:eastAsia="仿宋" w:cs="仿宋"/>
          <w:b/>
          <w:color w:val="000000" w:themeColor="text1"/>
          <w:sz w:val="32"/>
        </w:rPr>
        <w:t>医疗补助</w:t>
      </w:r>
      <w:r>
        <w:rPr>
          <w:rFonts w:ascii="仿宋" w:hAnsi="仿宋" w:eastAsia="仿宋" w:cs="仿宋"/>
          <w:b/>
          <w:color w:val="000000" w:themeColor="text1"/>
          <w:sz w:val="32"/>
        </w:rPr>
        <w:t>（款）</w:t>
      </w:r>
      <w:r>
        <w:rPr>
          <w:rFonts w:hint="eastAsia" w:ascii="仿宋" w:hAnsi="仿宋" w:eastAsia="仿宋" w:cs="仿宋"/>
          <w:b/>
          <w:color w:val="000000"/>
          <w:sz w:val="32"/>
        </w:rPr>
        <w:t>公务员</w:t>
      </w:r>
      <w:r>
        <w:rPr>
          <w:rFonts w:hint="eastAsia" w:ascii="仿宋" w:hAnsi="仿宋" w:eastAsia="仿宋" w:cs="仿宋"/>
          <w:b/>
          <w:color w:val="000000" w:themeColor="text1"/>
          <w:sz w:val="32"/>
        </w:rPr>
        <w:t>医疗</w:t>
      </w:r>
      <w:r>
        <w:rPr>
          <w:rFonts w:hint="eastAsia" w:ascii="仿宋" w:hAnsi="仿宋" w:eastAsia="仿宋" w:cs="仿宋"/>
          <w:b/>
          <w:color w:val="000000"/>
          <w:sz w:val="32"/>
        </w:rPr>
        <w:t>补助</w:t>
      </w:r>
      <w:r>
        <w:rPr>
          <w:rFonts w:ascii="仿宋" w:hAnsi="仿宋" w:eastAsia="仿宋" w:cs="仿宋"/>
          <w:b/>
          <w:color w:val="000000"/>
          <w:sz w:val="32"/>
        </w:rPr>
        <w:t>（项）</w:t>
      </w:r>
      <w:r>
        <w:rPr>
          <w:rFonts w:ascii="仿宋" w:hAnsi="仿宋" w:eastAsia="仿宋" w:cs="仿宋"/>
          <w:b/>
          <w:color w:val="000000" w:themeColor="text1"/>
          <w:sz w:val="32"/>
        </w:rPr>
        <w:t>:</w:t>
      </w:r>
      <w:r>
        <w:rPr>
          <w:rFonts w:ascii="仿宋" w:hAnsi="仿宋" w:eastAsia="仿宋" w:cs="仿宋"/>
          <w:color w:val="000000" w:themeColor="text1"/>
          <w:sz w:val="32"/>
        </w:rPr>
        <w:t xml:space="preserve"> 支出决算为</w:t>
      </w:r>
      <w:r>
        <w:rPr>
          <w:rFonts w:hint="eastAsia" w:ascii="仿宋" w:hAnsi="仿宋" w:eastAsia="仿宋" w:cs="仿宋"/>
          <w:color w:val="000000"/>
          <w:sz w:val="32"/>
        </w:rPr>
        <w:t>3</w:t>
      </w:r>
      <w:r>
        <w:rPr>
          <w:rFonts w:hint="eastAsia" w:ascii="仿宋" w:hAnsi="仿宋" w:eastAsia="仿宋" w:cs="仿宋"/>
          <w:color w:val="000000" w:themeColor="text1"/>
          <w:sz w:val="32"/>
        </w:rPr>
        <w:t>.</w:t>
      </w:r>
      <w:r>
        <w:rPr>
          <w:rFonts w:hint="eastAsia" w:ascii="仿宋" w:hAnsi="仿宋" w:eastAsia="仿宋" w:cs="仿宋"/>
          <w:color w:val="000000"/>
          <w:sz w:val="32"/>
        </w:rPr>
        <w:t>05</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pStyle w:val="3"/>
        <w:spacing w:before="93"/>
        <w:ind w:firstLine="643" w:firstLineChars="200"/>
        <w:rPr>
          <w:rFonts w:ascii="仿宋" w:hAnsi="仿宋" w:eastAsia="仿宋" w:cs="仿宋"/>
          <w:b/>
          <w:color w:val="000000" w:themeColor="text1"/>
          <w:kern w:val="2"/>
          <w:sz w:val="32"/>
        </w:rPr>
      </w:pPr>
      <w:r>
        <w:rPr>
          <w:rFonts w:hint="eastAsia" w:ascii="仿宋" w:hAnsi="仿宋" w:eastAsia="仿宋" w:cs="仿宋"/>
          <w:b/>
          <w:color w:val="000000"/>
          <w:kern w:val="2"/>
          <w:sz w:val="32"/>
        </w:rPr>
        <w:t>21.住房保障支出（类）保障性安居工程支出（款）农村危房改造（项）</w:t>
      </w:r>
      <w:r>
        <w:rPr>
          <w:rFonts w:hint="eastAsia" w:ascii="仿宋" w:hAnsi="仿宋" w:eastAsia="仿宋" w:cs="仿宋"/>
          <w:b/>
          <w:color w:val="000000" w:themeColor="text1"/>
          <w:kern w:val="2"/>
          <w:sz w:val="32"/>
        </w:rPr>
        <w:t>:</w:t>
      </w:r>
      <w:r>
        <w:rPr>
          <w:rFonts w:hint="eastAsia" w:ascii="仿宋" w:hAnsi="仿宋" w:eastAsia="仿宋" w:cs="仿宋"/>
          <w:b/>
          <w:color w:val="000000"/>
          <w:kern w:val="2"/>
          <w:sz w:val="32"/>
        </w:rPr>
        <w:t>支出决算为42万元，完成</w:t>
      </w:r>
      <w:r>
        <w:rPr>
          <w:rFonts w:hint="eastAsia" w:ascii="仿宋" w:hAnsi="仿宋" w:eastAsia="仿宋" w:cs="仿宋"/>
          <w:b/>
          <w:color w:val="000000"/>
          <w:kern w:val="2"/>
          <w:sz w:val="32"/>
          <w:lang w:eastAsia="zh-CN"/>
        </w:rPr>
        <w:t>预算的100%</w:t>
      </w:r>
      <w:r>
        <w:rPr>
          <w:rFonts w:hint="eastAsia" w:ascii="仿宋" w:hAnsi="仿宋" w:eastAsia="仿宋" w:cs="仿宋"/>
          <w:b/>
          <w:color w:val="000000"/>
          <w:kern w:val="2"/>
          <w:sz w:val="32"/>
        </w:rPr>
        <w:t>，决算数等于预算数。</w:t>
      </w:r>
    </w:p>
    <w:p>
      <w:pPr>
        <w:pStyle w:val="3"/>
        <w:spacing w:before="93"/>
        <w:ind w:firstLine="643" w:firstLineChars="200"/>
        <w:rPr>
          <w:rFonts w:ascii="仿宋" w:hAnsi="仿宋" w:eastAsia="仿宋" w:cs="仿宋"/>
          <w:b/>
          <w:color w:val="000000" w:themeColor="text1"/>
          <w:kern w:val="2"/>
          <w:sz w:val="32"/>
        </w:rPr>
      </w:pPr>
      <w:r>
        <w:rPr>
          <w:rFonts w:hint="eastAsia" w:ascii="仿宋" w:hAnsi="仿宋" w:eastAsia="仿宋" w:cs="仿宋"/>
          <w:b/>
          <w:color w:val="000000"/>
          <w:kern w:val="2"/>
          <w:sz w:val="32"/>
        </w:rPr>
        <w:t>住房保障支出（类）住房改革支出（款）住房公积金（项）</w:t>
      </w:r>
      <w:r>
        <w:rPr>
          <w:rFonts w:hint="eastAsia" w:ascii="仿宋" w:hAnsi="仿宋" w:eastAsia="仿宋" w:cs="仿宋"/>
          <w:b/>
          <w:color w:val="000000" w:themeColor="text1"/>
          <w:kern w:val="2"/>
          <w:sz w:val="32"/>
        </w:rPr>
        <w:t>:</w:t>
      </w:r>
      <w:r>
        <w:rPr>
          <w:rFonts w:hint="eastAsia" w:ascii="仿宋" w:hAnsi="仿宋" w:eastAsia="仿宋" w:cs="仿宋"/>
          <w:b/>
          <w:color w:val="000000"/>
          <w:kern w:val="2"/>
          <w:sz w:val="32"/>
        </w:rPr>
        <w:t>支出决算为36.11万元，完成预算的100%，决算数等于预算数。</w:t>
      </w:r>
    </w:p>
    <w:p>
      <w:pPr>
        <w:tabs>
          <w:tab w:val="right" w:pos="8306"/>
        </w:tabs>
        <w:spacing w:line="560" w:lineRule="exact"/>
        <w:ind w:firstLine="640" w:firstLineChars="200"/>
        <w:outlineLvl w:val="1"/>
        <w:rPr>
          <w:rStyle w:val="32"/>
        </w:rPr>
      </w:pPr>
      <w:bookmarkStart w:id="51" w:name="_Toc15377214"/>
      <w:bookmarkStart w:id="52" w:name="_Toc20928"/>
      <w:bookmarkStart w:id="5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w:t>
      </w:r>
      <w:r>
        <w:rPr>
          <w:rFonts w:hint="eastAsia" w:ascii="黑体" w:hAnsi="黑体" w:eastAsia="黑体"/>
          <w:sz w:val="32"/>
          <w:szCs w:val="32"/>
        </w:rPr>
        <w:t>财政拨款基本支出决算情况说明</w:t>
      </w:r>
      <w:bookmarkEnd w:id="51"/>
      <w:bookmarkEnd w:id="52"/>
      <w:bookmarkEnd w:id="53"/>
      <w:r>
        <w:rPr>
          <w:rStyle w:val="32"/>
          <w:rFonts w:ascii="黑体" w:hAnsi="黑体" w:eastAsia="黑体"/>
          <w:b w:val="0"/>
        </w:rPr>
        <w:tab/>
      </w:r>
    </w:p>
    <w:p>
      <w:pPr>
        <w:spacing w:line="56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21年一般公共预算财政拨款基本支出2071.42万元，其中：</w:t>
      </w:r>
    </w:p>
    <w:p>
      <w:pPr>
        <w:spacing w:line="560" w:lineRule="exact"/>
        <w:ind w:firstLine="645"/>
        <w:rPr>
          <w:rFonts w:ascii="仿宋" w:hAnsi="仿宋" w:eastAsia="仿宋"/>
          <w:sz w:val="32"/>
          <w:szCs w:val="32"/>
        </w:rPr>
      </w:pPr>
      <w:r>
        <w:rPr>
          <w:rFonts w:hint="eastAsia" w:ascii="仿宋" w:hAnsi="仿宋" w:eastAsia="仿宋"/>
          <w:sz w:val="32"/>
          <w:szCs w:val="32"/>
        </w:rPr>
        <w:t>人员经费805.14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5"/>
        <w:rPr>
          <w:rFonts w:ascii="仿宋" w:hAnsi="仿宋" w:eastAsia="仿宋"/>
          <w:b/>
          <w:sz w:val="32"/>
          <w:szCs w:val="32"/>
        </w:rPr>
      </w:pPr>
      <w:r>
        <w:rPr>
          <w:rFonts w:hint="eastAsia" w:ascii="仿宋" w:hAnsi="仿宋" w:eastAsia="仿宋"/>
          <w:sz w:val="32"/>
          <w:szCs w:val="32"/>
        </w:rPr>
        <w:t>公用经费160.06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等。</w:t>
      </w:r>
    </w:p>
    <w:p>
      <w:pPr>
        <w:spacing w:line="560" w:lineRule="exact"/>
        <w:ind w:firstLine="640"/>
        <w:outlineLvl w:val="1"/>
        <w:rPr>
          <w:rStyle w:val="32"/>
          <w:rFonts w:ascii="黑体" w:hAnsi="黑体" w:eastAsia="黑体"/>
          <w:b w:val="0"/>
        </w:rPr>
      </w:pPr>
      <w:bookmarkStart w:id="54" w:name="_Toc15377215"/>
      <w:bookmarkStart w:id="55" w:name="_Toc13952"/>
      <w:bookmarkStart w:id="56" w:name="_Toc15396609"/>
      <w:r>
        <w:rPr>
          <w:rFonts w:hint="eastAsia" w:ascii="黑体" w:eastAsia="黑体"/>
          <w:sz w:val="32"/>
          <w:szCs w:val="32"/>
        </w:rPr>
        <w:t>七、</w:t>
      </w:r>
      <w:r>
        <w:rPr>
          <w:rStyle w:val="32"/>
          <w:rFonts w:hint="eastAsia" w:ascii="黑体" w:hAnsi="黑体" w:eastAsia="黑体"/>
        </w:rPr>
        <w:t>“</w:t>
      </w:r>
      <w:r>
        <w:rPr>
          <w:rStyle w:val="32"/>
          <w:rFonts w:hint="eastAsia" w:ascii="黑体" w:hAnsi="黑体" w:eastAsia="黑体"/>
          <w:b w:val="0"/>
        </w:rPr>
        <w:t>三公”经费财</w:t>
      </w:r>
      <w:r>
        <w:rPr>
          <w:rFonts w:hint="eastAsia" w:ascii="黑体" w:hAnsi="黑体" w:eastAsia="黑体"/>
          <w:sz w:val="32"/>
          <w:szCs w:val="32"/>
        </w:rPr>
        <w:t>政拨款支出决算情况说明</w:t>
      </w:r>
      <w:bookmarkEnd w:id="54"/>
      <w:bookmarkEnd w:id="55"/>
      <w:bookmarkEnd w:id="56"/>
    </w:p>
    <w:p>
      <w:pPr>
        <w:spacing w:line="560" w:lineRule="exact"/>
        <w:ind w:firstLine="640"/>
        <w:rPr>
          <w:rFonts w:ascii="仿宋" w:hAnsi="仿宋" w:eastAsia="仿宋"/>
          <w:b/>
          <w:sz w:val="32"/>
          <w:szCs w:val="32"/>
        </w:rPr>
      </w:pPr>
      <w:bookmarkStart w:id="57" w:name="_Toc15377216"/>
      <w:r>
        <w:rPr>
          <w:rFonts w:hint="eastAsia" w:ascii="仿宋" w:hAnsi="仿宋" w:eastAsia="仿宋"/>
          <w:b/>
          <w:sz w:val="32"/>
          <w:szCs w:val="32"/>
        </w:rPr>
        <w:t>（一）“三公”经费财政拨款支出决算总体情况说明</w:t>
      </w:r>
      <w:bookmarkEnd w:id="57"/>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21年“三公”经费财政拨款支出决算为1.1万元，完成</w:t>
      </w:r>
      <w:r>
        <w:rPr>
          <w:rFonts w:hint="eastAsia" w:ascii="仿宋" w:hAnsi="仿宋" w:eastAsia="仿宋"/>
          <w:sz w:val="32"/>
          <w:szCs w:val="32"/>
          <w:lang w:eastAsia="zh-CN"/>
        </w:rPr>
        <w:t>预算的100%</w:t>
      </w:r>
      <w:r>
        <w:rPr>
          <w:rFonts w:hint="eastAsia" w:ascii="仿宋" w:hAnsi="仿宋" w:eastAsia="仿宋"/>
          <w:sz w:val="32"/>
          <w:szCs w:val="32"/>
        </w:rPr>
        <w:t>，决算数与预算数持平。</w:t>
      </w:r>
    </w:p>
    <w:p>
      <w:pPr>
        <w:spacing w:line="560" w:lineRule="exact"/>
        <w:ind w:firstLine="640"/>
        <w:rPr>
          <w:rFonts w:ascii="仿宋" w:hAnsi="仿宋" w:eastAsia="仿宋"/>
          <w:b/>
          <w:sz w:val="32"/>
          <w:szCs w:val="32"/>
        </w:rPr>
      </w:pPr>
      <w:bookmarkStart w:id="58" w:name="_Toc15377217"/>
      <w:r>
        <w:rPr>
          <w:rFonts w:hint="eastAsia" w:ascii="仿宋" w:hAnsi="仿宋" w:eastAsia="仿宋"/>
          <w:b/>
          <w:sz w:val="32"/>
          <w:szCs w:val="32"/>
        </w:rPr>
        <w:t>（二）“三公”经费财政拨款支出决算具体情况说明</w:t>
      </w:r>
      <w:bookmarkEnd w:id="58"/>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21年“三公”经费财政拨款支出决算中，公务接待费支出</w:t>
      </w:r>
      <w:r>
        <w:rPr>
          <w:rFonts w:hint="eastAsia" w:ascii="仿宋" w:hAnsi="仿宋" w:eastAsia="仿宋"/>
          <w:sz w:val="32"/>
          <w:szCs w:val="32"/>
          <w:u w:val="none" w:color="46CD7E"/>
          <w:shd w:val="clear" w:fill="auto"/>
          <w:lang w:eastAsia="zh-CN"/>
        </w:rPr>
        <w:t>决算为</w:t>
      </w:r>
      <w:r>
        <w:rPr>
          <w:rFonts w:hint="eastAsia" w:ascii="仿宋" w:hAnsi="仿宋" w:eastAsia="仿宋"/>
          <w:sz w:val="32"/>
          <w:szCs w:val="32"/>
        </w:rPr>
        <w:t>1.1万元，占0.05</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黑体" w:eastAsia="黑体"/>
          <w:sz w:val="32"/>
          <w:szCs w:val="32"/>
        </w:rPr>
      </w:pPr>
      <w:bookmarkStart w:id="59" w:name="_Toc15377218"/>
      <w:bookmarkStart w:id="60" w:name="_Toc15396610"/>
      <w:r>
        <w:rPr>
          <w:rFonts w:hint="eastAsia" w:ascii="仿宋_GB2312" w:eastAsia="仿宋_GB2312"/>
          <w:b/>
          <w:sz w:val="32"/>
          <w:szCs w:val="32"/>
        </w:rPr>
        <w:t>公务接待费支出</w:t>
      </w:r>
      <w:r>
        <w:rPr>
          <w:rFonts w:hint="eastAsia" w:ascii="仿宋_GB2312" w:eastAsia="仿宋_GB2312"/>
          <w:sz w:val="32"/>
          <w:szCs w:val="32"/>
        </w:rPr>
        <w:t>1.1万元，</w:t>
      </w:r>
      <w:r>
        <w:rPr>
          <w:rStyle w:val="11"/>
          <w:rFonts w:hint="eastAsia" w:ascii="仿宋" w:hAnsi="仿宋" w:eastAsia="仿宋"/>
          <w:b w:val="0"/>
          <w:bCs/>
          <w:sz w:val="32"/>
          <w:szCs w:val="32"/>
        </w:rPr>
        <w:t>完成预算的100</w:t>
      </w:r>
      <w:r>
        <w:rPr>
          <w:rStyle w:val="11"/>
          <w:rFonts w:ascii="仿宋" w:hAnsi="仿宋" w:eastAsia="仿宋"/>
          <w:b w:val="0"/>
          <w:bCs/>
          <w:sz w:val="32"/>
          <w:szCs w:val="32"/>
        </w:rPr>
        <w:t>%</w:t>
      </w:r>
      <w:r>
        <w:rPr>
          <w:rStyle w:val="1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20年减少0.1万元，增长</w:t>
      </w:r>
      <w:r>
        <w:rPr>
          <w:rFonts w:ascii="仿宋_GB2312" w:eastAsia="仿宋_GB2312"/>
          <w:sz w:val="32"/>
          <w:szCs w:val="32"/>
        </w:rPr>
        <w:t>/</w:t>
      </w:r>
      <w:r>
        <w:rPr>
          <w:rFonts w:hint="eastAsia" w:ascii="仿宋_GB2312" w:eastAsia="仿宋_GB2312"/>
          <w:sz w:val="32"/>
          <w:szCs w:val="32"/>
        </w:rPr>
        <w:t>下降8.3</w:t>
      </w:r>
      <w:r>
        <w:rPr>
          <w:rFonts w:ascii="仿宋_GB2312" w:eastAsia="仿宋_GB2312"/>
          <w:sz w:val="32"/>
          <w:szCs w:val="32"/>
        </w:rPr>
        <w:t>%</w:t>
      </w:r>
      <w:r>
        <w:rPr>
          <w:rFonts w:hint="eastAsia" w:ascii="仿宋_GB2312" w:eastAsia="仿宋_GB2312"/>
          <w:sz w:val="32"/>
          <w:szCs w:val="32"/>
        </w:rPr>
        <w:t>。主要原因是政府按照上级过紧日子要求减少三公经费支出。其中：公务接待费减少0.1万元。</w:t>
      </w:r>
    </w:p>
    <w:p>
      <w:pPr>
        <w:spacing w:line="560" w:lineRule="exact"/>
        <w:outlineLvl w:val="1"/>
        <w:rPr>
          <w:rStyle w:val="32"/>
          <w:rFonts w:ascii="黑体" w:hAnsi="黑体" w:eastAsia="黑体"/>
          <w:b w:val="0"/>
        </w:rPr>
      </w:pPr>
      <w:bookmarkStart w:id="61" w:name="_Toc4588"/>
    </w:p>
    <w:p>
      <w:pPr>
        <w:spacing w:line="560" w:lineRule="exact"/>
        <w:ind w:firstLine="640" w:firstLineChars="200"/>
        <w:outlineLvl w:val="1"/>
        <w:rPr>
          <w:rStyle w:val="32"/>
          <w:rFonts w:ascii="黑体" w:hAnsi="黑体" w:eastAsia="黑体"/>
          <w:b w:val="0"/>
        </w:rPr>
      </w:pPr>
      <w:r>
        <w:rPr>
          <w:rStyle w:val="32"/>
          <w:rFonts w:hint="eastAsia" w:ascii="黑体" w:hAnsi="黑体" w:eastAsia="黑体"/>
          <w:b w:val="0"/>
        </w:rPr>
        <w:t>八、</w:t>
      </w:r>
      <w:r>
        <w:rPr>
          <w:rFonts w:hint="eastAsia" w:ascii="黑体" w:hAnsi="黑体" w:eastAsia="黑体"/>
          <w:sz w:val="32"/>
          <w:szCs w:val="32"/>
        </w:rPr>
        <w:t>政府性基金</w:t>
      </w:r>
      <w:r>
        <w:rPr>
          <w:rStyle w:val="32"/>
          <w:rFonts w:hint="eastAsia" w:ascii="黑体" w:hAnsi="黑体" w:eastAsia="黑体"/>
          <w:b w:val="0"/>
        </w:rPr>
        <w:t>预算</w:t>
      </w:r>
      <w:r>
        <w:rPr>
          <w:rFonts w:hint="eastAsia" w:ascii="黑体" w:hAnsi="黑体" w:eastAsia="黑体"/>
          <w:sz w:val="32"/>
          <w:szCs w:val="32"/>
        </w:rPr>
        <w:t>支出决算情况说明</w:t>
      </w:r>
      <w:bookmarkEnd w:id="59"/>
      <w:bookmarkEnd w:id="60"/>
      <w:bookmarkEnd w:id="61"/>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560" w:lineRule="exact"/>
        <w:ind w:firstLine="640"/>
        <w:outlineLvl w:val="1"/>
        <w:rPr>
          <w:rStyle w:val="32"/>
          <w:rFonts w:ascii="黑体" w:hAnsi="黑体" w:eastAsia="黑体"/>
          <w:b w:val="0"/>
        </w:rPr>
      </w:pPr>
      <w:bookmarkStart w:id="62" w:name="_Toc26192"/>
      <w:bookmarkStart w:id="63" w:name="_Toc15377219"/>
      <w:bookmarkStart w:id="64" w:name="_Toc15396611"/>
      <w:r>
        <w:rPr>
          <w:rStyle w:val="32"/>
          <w:rFonts w:hint="eastAsia" w:ascii="黑体" w:hAnsi="黑体" w:eastAsia="黑体"/>
          <w:b w:val="0"/>
        </w:rPr>
        <w:t>国有资本经营预算</w:t>
      </w:r>
      <w:r>
        <w:rPr>
          <w:rFonts w:hint="eastAsia" w:ascii="黑体" w:hAnsi="黑体" w:eastAsia="黑体"/>
          <w:sz w:val="32"/>
          <w:szCs w:val="32"/>
        </w:rPr>
        <w:t>支出决算情况说明</w:t>
      </w:r>
      <w:bookmarkEnd w:id="62"/>
      <w:bookmarkEnd w:id="63"/>
      <w:bookmarkEnd w:id="64"/>
    </w:p>
    <w:p>
      <w:pPr>
        <w:spacing w:line="56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560" w:lineRule="exact"/>
        <w:ind w:firstLine="640"/>
        <w:outlineLvl w:val="1"/>
        <w:rPr>
          <w:rStyle w:val="32"/>
          <w:rFonts w:ascii="黑体" w:hAnsi="黑体" w:eastAsia="黑体"/>
          <w:b w:val="0"/>
        </w:rPr>
      </w:pPr>
      <w:bookmarkStart w:id="65" w:name="_Toc15396612"/>
      <w:bookmarkStart w:id="66" w:name="_Toc27163"/>
      <w:bookmarkStart w:id="67" w:name="_Toc15377221"/>
      <w:r>
        <w:rPr>
          <w:rStyle w:val="32"/>
          <w:rFonts w:hint="eastAsia" w:ascii="黑体" w:hAnsi="黑体" w:eastAsia="黑体"/>
          <w:b w:val="0"/>
        </w:rPr>
        <w:t>其他重要事项的情况说明</w:t>
      </w:r>
      <w:bookmarkEnd w:id="65"/>
      <w:bookmarkEnd w:id="66"/>
      <w:bookmarkEnd w:id="67"/>
    </w:p>
    <w:p>
      <w:pPr>
        <w:spacing w:line="560" w:lineRule="exact"/>
        <w:ind w:firstLine="643" w:firstLineChars="200"/>
        <w:rPr>
          <w:rFonts w:ascii="仿宋" w:hAnsi="仿宋" w:eastAsia="仿宋"/>
          <w:sz w:val="32"/>
          <w:szCs w:val="32"/>
        </w:rPr>
      </w:pPr>
      <w:bookmarkStart w:id="68" w:name="_Toc15377222"/>
      <w:r>
        <w:rPr>
          <w:rFonts w:hint="eastAsia" w:ascii="仿宋" w:hAnsi="仿宋" w:eastAsia="仿宋"/>
          <w:b/>
          <w:sz w:val="32"/>
          <w:szCs w:val="32"/>
        </w:rPr>
        <w:t>（一）机关运行经费支出情况</w:t>
      </w:r>
      <w:bookmarkEnd w:id="68"/>
    </w:p>
    <w:p>
      <w:pPr>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21年，通江县龙凤场镇人民政府机关运行经费支出0万元，与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560" w:lineRule="exact"/>
        <w:ind w:firstLine="643" w:firstLineChars="200"/>
        <w:jc w:val="left"/>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pPr>
        <w:spacing w:line="560" w:lineRule="exact"/>
        <w:ind w:firstLine="640" w:firstLineChars="200"/>
        <w:rPr>
          <w:rFonts w:ascii="仿宋_GB2312" w:eastAsia="仿宋"/>
          <w:sz w:val="32"/>
          <w:szCs w:val="32"/>
        </w:rPr>
      </w:pPr>
      <w:r>
        <w:rPr>
          <w:rFonts w:ascii="仿宋_GB2312" w:eastAsia="仿宋_GB2312"/>
          <w:sz w:val="32"/>
          <w:szCs w:val="32"/>
        </w:rPr>
        <w:t>20</w:t>
      </w:r>
      <w:r>
        <w:rPr>
          <w:rFonts w:hint="eastAsia" w:ascii="仿宋_GB2312" w:eastAsia="仿宋_GB2312"/>
          <w:sz w:val="32"/>
          <w:szCs w:val="32"/>
        </w:rPr>
        <w:t>21年，通江县龙凤场镇人民政府采购支出总额2万元，主要用于</w:t>
      </w:r>
      <w:r>
        <w:rPr>
          <w:rFonts w:ascii="仿宋" w:hAnsi="仿宋" w:eastAsia="仿宋" w:cs="仿宋"/>
          <w:color w:val="000000"/>
          <w:sz w:val="32"/>
        </w:rPr>
        <w:t>日常工作办公设备采购</w:t>
      </w:r>
      <w:r>
        <w:rPr>
          <w:rFonts w:hint="eastAsia" w:ascii="仿宋" w:hAnsi="仿宋" w:eastAsia="仿宋" w:cs="仿宋"/>
          <w:color w:val="000000"/>
          <w:sz w:val="32"/>
        </w:rPr>
        <w:t>。</w:t>
      </w:r>
    </w:p>
    <w:p>
      <w:pPr>
        <w:autoSpaceDE w:val="0"/>
        <w:autoSpaceDN w:val="0"/>
        <w:adjustRightInd w:val="0"/>
        <w:spacing w:line="560" w:lineRule="exact"/>
        <w:ind w:firstLine="643" w:firstLineChars="200"/>
        <w:jc w:val="left"/>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日，通江县龙凤场镇人民政府共有车辆0辆。</w:t>
      </w:r>
    </w:p>
    <w:p>
      <w:pPr>
        <w:autoSpaceDE w:val="0"/>
        <w:autoSpaceDN w:val="0"/>
        <w:adjustRightInd w:val="0"/>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支持村集体经济发展项目等34个项目开展了预算事前绩效评估，对34个项目编制了绩效目标，预算执行过程中，选取34个项目开展绩效监控，年终执行完毕后，对34个项目开展了绩效自评。同时，本单位对2021年单位整体开展绩效自评，《2021年通江县龙凤场镇人民政府单位整体绩效评价报告》见附件（第四部分）。</w:t>
      </w:r>
    </w:p>
    <w:p>
      <w:pPr>
        <w:widowControl/>
        <w:spacing w:line="560" w:lineRule="exact"/>
        <w:jc w:val="left"/>
        <w:rPr>
          <w:rFonts w:ascii="仿宋_GB2312" w:eastAsia="仿宋_GB2312"/>
          <w:b/>
          <w:sz w:val="32"/>
          <w:szCs w:val="32"/>
        </w:rPr>
      </w:pPr>
      <w:r>
        <w:br w:type="page"/>
      </w:r>
    </w:p>
    <w:p>
      <w:pPr>
        <w:numPr>
          <w:ilvl w:val="0"/>
          <w:numId w:val="4"/>
        </w:numPr>
        <w:spacing w:line="560" w:lineRule="exact"/>
        <w:ind w:firstLine="660" w:firstLineChars="150"/>
        <w:jc w:val="center"/>
        <w:outlineLvl w:val="0"/>
        <w:rPr>
          <w:rStyle w:val="31"/>
          <w:rFonts w:ascii="黑体" w:hAnsi="黑体" w:eastAsia="黑体"/>
          <w:b w:val="0"/>
        </w:rPr>
      </w:pPr>
      <w:bookmarkStart w:id="71" w:name="_Toc32006"/>
      <w:bookmarkStart w:id="72" w:name="_Toc15396613"/>
      <w:bookmarkStart w:id="73" w:name="_Toc15377225"/>
      <w:r>
        <w:rPr>
          <w:rFonts w:hint="eastAsia" w:ascii="黑体" w:hAnsi="黑体" w:eastAsia="黑体"/>
          <w:sz w:val="44"/>
          <w:szCs w:val="44"/>
        </w:rPr>
        <w:t>名</w:t>
      </w:r>
      <w:r>
        <w:rPr>
          <w:rStyle w:val="31"/>
          <w:rFonts w:hint="eastAsia" w:ascii="黑体" w:hAnsi="黑体" w:eastAsia="黑体"/>
          <w:b w:val="0"/>
        </w:rPr>
        <w:t>词解释</w:t>
      </w:r>
      <w:bookmarkEnd w:id="71"/>
      <w:bookmarkEnd w:id="72"/>
      <w:bookmarkEnd w:id="73"/>
    </w:p>
    <w:p>
      <w:pPr>
        <w:spacing w:line="560" w:lineRule="exact"/>
        <w:jc w:val="left"/>
        <w:rPr>
          <w:rFonts w:ascii="宋体"/>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1.财政拨款收入：指单位从同级财政单位取得的财政预算资金。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4.其他收入：指单位取得的除上述收入以外的各项收入。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6.年初结转和结余：指以前年度尚未完成、结转到</w:t>
      </w:r>
      <w:r>
        <w:rPr>
          <w:rFonts w:hint="eastAsia" w:ascii="仿宋_GB2312" w:hAnsi="仿宋_GB2312" w:eastAsia="仿宋_GB2312" w:cs="仿宋_GB2312"/>
          <w:sz w:val="32"/>
          <w:szCs w:val="32"/>
          <w:u w:val="none" w:color="46CD7E"/>
          <w:shd w:val="clear" w:fill="auto"/>
          <w:lang w:eastAsia="zh-CN"/>
        </w:rPr>
        <w:t>本年度</w:t>
      </w:r>
      <w:r>
        <w:rPr>
          <w:rFonts w:hint="eastAsia" w:ascii="仿宋_GB2312" w:hAnsi="仿宋_GB2312" w:eastAsia="仿宋_GB2312" w:cs="仿宋_GB2312"/>
          <w:sz w:val="32"/>
          <w:szCs w:val="32"/>
        </w:rPr>
        <w:t xml:space="preserve">按有关规定继续使用的资金。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9.一般公共服务（类）人大事务（款）行政运行（项）：反映行政单位（包括实行公务员管理的事业单位）的基本支出。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10.一般公共服务（类）政府办公厅（室）及相关机构事务（款） 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11.一般公共服务（类）政府办公厅（室）及相关机构事务（款）信访事务（项）：反映各级政府用于接待群众来信来访方面的支出。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12.一般公共服务（类）政府办公厅（室）及相关机构事务（款）事业运行（项）：反映事业单位的基本支出，不包括行政单位（包括实行公务员管理的事业单位）后勤服务中心、医务室等附属事业单位。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13.一般公共服务（类）财政事务（款）行政运行（项）：反映行政单位（包括实行公务员管理的事业单位）的基本支出。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14.一般公共服务（类）党委办公厅（室）及相关机构事务（款）行政运行（项）：反映行政单位（包括实行公务员管理的事业单位）的基本支出。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15.教育支出（类）普通教育（款）学前教育（项）：反映各单位举办的学前教育支出。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16.教育支出（类）普通教育（款）小学教育（项）：反映各单位举办的小学教育支出。政府各单位对社会中介组织等举办的小学的资助，如各类捐赠、补贴等，也在本科目反映。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17.教育支出（类）普通教育（款）其他普通教育支出（项）：反映除上述项目以外其他用于普通教育方面的支出。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18.文化体育与传媒支出（类）文化（款）其他文化支出（项）：反映除上述项目以外其他用于文化方面的支出。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19.文化体育与传媒支出（类）新闻出版广播影视（款）广播（项）：反映广播电台、广播发射台、广播转播台及有线广播站的支出。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20.社会保障和就业支出（类）人力资源和社会保障管理事务（款）社会保险经办机构（项）：反映社会保险经办机构开展业务工作的支出。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21.社会保障和就业支出（类）行政事业单位</w:t>
      </w:r>
      <w:r>
        <w:rPr>
          <w:rFonts w:hint="eastAsia" w:ascii="仿宋_GB2312" w:hAnsi="仿宋_GB2312" w:eastAsia="仿宋_GB2312" w:cs="仿宋_GB2312"/>
          <w:sz w:val="32"/>
          <w:szCs w:val="32"/>
          <w:u w:val="thick" w:color="FFB03A"/>
          <w:shd w:val="clear" w:fill="FFEFD8"/>
        </w:rPr>
        <w:t>离退休</w:t>
      </w:r>
      <w:r>
        <w:rPr>
          <w:rFonts w:hint="eastAsia" w:ascii="仿宋_GB2312" w:hAnsi="仿宋_GB2312" w:eastAsia="仿宋_GB2312" w:cs="仿宋_GB2312"/>
          <w:sz w:val="32"/>
          <w:szCs w:val="32"/>
        </w:rPr>
        <w:t>（款） 机关事业单位基本养老保险缴费支出（项）: 反映实行归口管理的事业单位开支的离退休经费。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22.医疗卫生与计划生育支出（类）基层医疗卫生机构（款）乡镇卫生院（项）: 反映用于乡镇卫生院方面的支出。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23.医疗卫生与计划生育支出（类）基层医疗卫生机构（款）其他基层医疗卫生机构支出（项）:反映除上述项目以外的其他用于基层医疗卫生机构方面的支出。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24.医疗卫生与计划生育支出（类）公共卫生（款） 基本公共卫生服务（项）: 反映基本公共卫生服务支出。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25.节能环保支出（类）退耕还林（款）退耕还林（项）: 反映专项用于退耕户的医疗、教育等日常生活需要的支出。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26.农林水支出（类）农业（款）事业运行（项）: 反映用于农业事业单位基本支出，事业单位设施、系统运行与资产维护等方面的支出。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27.农林水支出（类）农业（款）农业生产支持补贴（项）: 反映对种粮农民直接补贴，对农业生产资料补贴、技术物化补贴，推广先进适用农机农艺技术等方面的支出。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28.农林水支出（类）农业（款）农村道路建设（项）:反映用于农村公路、乡村道路建设方面的支出。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29.农林水支出（类）林业（款）林业事业机构（项）: 反映用于林业事业单位的基本支出。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30.农林水支出（类）林业（款）森林生态效益补偿（项）: 反映由森林生态效益补偿基金安排用于公益林营造、抚育、管理和保护等方面的支出。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31.农林水支出（类）扶贫（款）生产发展（项）: 反映用于农村贫困地区发展种植业、养殖业、畜牧业、农副产品</w:t>
      </w:r>
      <w:r>
        <w:rPr>
          <w:rFonts w:hint="eastAsia" w:ascii="仿宋_GB2312" w:hAnsi="仿宋_GB2312" w:eastAsia="仿宋_GB2312" w:cs="仿宋_GB2312"/>
          <w:sz w:val="32"/>
          <w:szCs w:val="32"/>
          <w:u w:val="none" w:color="46CD7E"/>
          <w:shd w:val="clear" w:fill="auto"/>
          <w:lang w:eastAsia="zh-CN"/>
        </w:rPr>
        <w:t>加工业</w:t>
      </w:r>
      <w:r>
        <w:rPr>
          <w:rFonts w:hint="eastAsia" w:ascii="仿宋_GB2312" w:hAnsi="仿宋_GB2312" w:eastAsia="仿宋_GB2312" w:cs="仿宋_GB2312"/>
          <w:sz w:val="32"/>
          <w:szCs w:val="32"/>
        </w:rPr>
        <w:t>、林果基地建设等生产发展项目以及相关技术推广和培训、县乡村干部培训、贫困地区劳务输出培训等方面的项目支出。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32.农林水支出（类）扶贫（款）其他扶贫支出（项）:反映除上述项目以外其他用于扶贫方面的支出。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33.农林水支出（类）农村综合改革（款）对村民委员会和村党支部的补助（项）: 反映各级财政对村民委员会和村党支部的补助支出，以及支持建立县级基本财力保障机制安排的村级组织运转奖补资金。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34.交通运输支出（类）公路水路运输（款）公路运输管理（项）: 反映公路运输管理支出。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35.住房保障支出（类）住房改革支出（款）住房公积金（项）:反映行政事业单位按人事部和财政部规定的基本工资和津贴补贴</w:t>
      </w:r>
      <w:r>
        <w:rPr>
          <w:rFonts w:hint="eastAsia" w:ascii="仿宋_GB2312" w:hAnsi="仿宋_GB2312" w:eastAsia="仿宋_GB2312" w:cs="仿宋_GB2312"/>
          <w:sz w:val="32"/>
          <w:szCs w:val="32"/>
          <w:u w:val="none" w:color="46CD7E"/>
          <w:shd w:val="clear" w:fill="auto"/>
          <w:lang w:eastAsia="zh-CN"/>
        </w:rPr>
        <w:t>以及按规定</w:t>
      </w:r>
      <w:r>
        <w:rPr>
          <w:rFonts w:hint="eastAsia" w:ascii="仿宋_GB2312" w:hAnsi="仿宋_GB2312" w:eastAsia="仿宋_GB2312" w:cs="仿宋_GB2312"/>
          <w:sz w:val="32"/>
          <w:szCs w:val="32"/>
        </w:rPr>
        <w:t>比例为职工缴纳的住房公积金。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36.基本支出：指为保障机构正常运转、完成日常工作任务而发生的人员支出和公用支出。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37.项目支出：指在基本支出之外为完成特定行政任务和事业发展目标所发生的支出。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38.经营支出：指事业单位在专业业务活动及其辅助活动之外开展非独立核算经营活动发生的支出。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41.基本支出：指为保障机构正常运转、完成日常工作任务而发生的人员支出和公用支出。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42.项目支出：指在基本支出之外为完成特定行政任务和事业发展目标所发生的支出。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43.经营支出：指事业单位在专业业务活动及其辅助活动之外开展非独立核算经营活动发生的支出。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80" w:lineRule="exact"/>
        <w:jc w:val="center"/>
        <w:outlineLvl w:val="0"/>
        <w:rPr>
          <w:rStyle w:val="31"/>
          <w:rFonts w:ascii="黑体" w:hAnsi="黑体" w:eastAsia="黑体"/>
          <w:b w:val="0"/>
        </w:rPr>
      </w:pPr>
      <w:bookmarkStart w:id="74" w:name="_Toc15377226"/>
      <w:r>
        <w:br w:type="page"/>
      </w:r>
      <w:bookmarkStart w:id="75" w:name="_Toc15396614"/>
      <w:bookmarkStart w:id="76" w:name="_Toc17872"/>
      <w:r>
        <w:rPr>
          <w:rFonts w:hint="eastAsia" w:ascii="黑体" w:hAnsi="黑体" w:eastAsia="黑体"/>
          <w:sz w:val="44"/>
          <w:szCs w:val="44"/>
        </w:rPr>
        <w:t>第</w:t>
      </w:r>
      <w:r>
        <w:rPr>
          <w:rStyle w:val="31"/>
          <w:rFonts w:hint="eastAsia" w:ascii="黑体" w:hAnsi="黑体" w:eastAsia="黑体"/>
          <w:b w:val="0"/>
        </w:rPr>
        <w:t>四部分 附件</w:t>
      </w:r>
      <w:bookmarkEnd w:id="75"/>
      <w:bookmarkEnd w:id="76"/>
    </w:p>
    <w:p>
      <w:pPr>
        <w:spacing w:line="480" w:lineRule="exact"/>
        <w:jc w:val="left"/>
        <w:outlineLvl w:val="1"/>
        <w:rPr>
          <w:rFonts w:ascii="方正小标宋简体" w:hAnsi="方正小标宋简体" w:eastAsia="黑体" w:cs="方正小标宋简体"/>
          <w:sz w:val="44"/>
          <w:szCs w:val="44"/>
        </w:rPr>
      </w:pPr>
      <w:bookmarkStart w:id="77" w:name="_Toc4483"/>
      <w:r>
        <w:rPr>
          <w:rFonts w:hint="eastAsia" w:ascii="黑体" w:hAnsi="黑体" w:eastAsia="黑体" w:cs="黑体"/>
          <w:sz w:val="32"/>
          <w:szCs w:val="32"/>
        </w:rPr>
        <w:t>附件</w:t>
      </w:r>
      <w:bookmarkEnd w:id="77"/>
    </w:p>
    <w:p>
      <w:pPr>
        <w:spacing w:line="480"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2021年通江县龙凤场镇人民政府单位整体绩效评价报告</w:t>
      </w:r>
    </w:p>
    <w:p>
      <w:pPr>
        <w:widowControl/>
        <w:adjustRightInd w:val="0"/>
        <w:snapToGrid w:val="0"/>
        <w:spacing w:line="480"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单位概况</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龙凤场镇人民政府下属二级单位</w:t>
      </w:r>
      <w:r>
        <w:rPr>
          <w:rFonts w:hint="eastAsia" w:ascii="仿宋_GB2312" w:hAnsi="宋体" w:eastAsia="仿宋_GB2312" w:cs="宋体"/>
          <w:kern w:val="0"/>
          <w:sz w:val="32"/>
          <w:szCs w:val="32"/>
          <w:shd w:val="clear" w:color="auto" w:fill="FFFFFF"/>
        </w:rPr>
        <w:t>3</w:t>
      </w:r>
      <w:r>
        <w:rPr>
          <w:rFonts w:hint="eastAsia" w:ascii="仿宋_GB2312" w:hAnsi="宋体" w:eastAsia="仿宋_GB2312" w:cs="宋体"/>
          <w:kern w:val="0"/>
          <w:sz w:val="32"/>
          <w:szCs w:val="32"/>
          <w:shd w:val="clear" w:color="auto" w:fill="FFFFFF"/>
          <w:lang w:val="zh-CN"/>
        </w:rPr>
        <w:t>个，为龙凤场镇中心小学、</w:t>
      </w:r>
      <w:r>
        <w:rPr>
          <w:rFonts w:hint="eastAsia" w:ascii="仿宋_GB2312" w:hAnsi="宋体" w:eastAsia="仿宋_GB2312" w:cs="宋体"/>
          <w:kern w:val="0"/>
          <w:sz w:val="32"/>
          <w:szCs w:val="32"/>
          <w:shd w:val="clear" w:color="auto" w:fill="FFFFFF"/>
        </w:rPr>
        <w:t>长乐小学</w:t>
      </w:r>
      <w:r>
        <w:rPr>
          <w:rFonts w:hint="eastAsia" w:ascii="仿宋_GB2312" w:hAnsi="宋体" w:eastAsia="仿宋_GB2312" w:cs="宋体"/>
          <w:kern w:val="0"/>
          <w:sz w:val="32"/>
          <w:szCs w:val="32"/>
          <w:shd w:val="clear" w:color="auto" w:fill="FFFFFF"/>
          <w:lang w:val="zh-CN"/>
        </w:rPr>
        <w:t>及龙凤场镇卫生院。</w:t>
      </w:r>
    </w:p>
    <w:p>
      <w:pPr>
        <w:widowControl/>
        <w:numPr>
          <w:ilvl w:val="0"/>
          <w:numId w:val="5"/>
        </w:numPr>
        <w:adjustRightInd w:val="0"/>
        <w:snapToGrid w:val="0"/>
        <w:spacing w:line="560" w:lineRule="exact"/>
        <w:ind w:firstLine="64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zh-CN"/>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2.</w:t>
      </w:r>
      <w:r>
        <w:rPr>
          <w:rFonts w:hint="eastAsia" w:ascii="仿宋_GB2312" w:hAnsi="宋体" w:eastAsia="仿宋_GB2312" w:cs="宋体"/>
          <w:kern w:val="0"/>
          <w:sz w:val="32"/>
          <w:szCs w:val="32"/>
          <w:shd w:val="clear" w:color="auto" w:fill="FFFFFF"/>
          <w:lang w:val="zh-CN"/>
        </w:rPr>
        <w:t>制定并组织实施村镇建设规划，部署重点工程建设，地方道路建设及公共设施，水利设施的管理，负责土地、林木、水等自然资源和生态环境的保护，做好护林防火工作。</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3.</w:t>
      </w:r>
      <w:r>
        <w:rPr>
          <w:rFonts w:hint="eastAsia" w:ascii="仿宋_GB2312" w:hAnsi="宋体" w:eastAsia="仿宋_GB2312" w:cs="宋体"/>
          <w:kern w:val="0"/>
          <w:sz w:val="32"/>
          <w:szCs w:val="32"/>
          <w:shd w:val="clear" w:color="auto" w:fill="FFFFFF"/>
          <w:lang w:val="zh-CN"/>
        </w:rPr>
        <w:t>负责本行政区域内的民政、计划生育、文化教育、卫生、体育等社会公益事业的综合性工作，维护一切经济单位和个人的正当经济权益，取缔非法经济活动，调解和处理民事纠纷，打击</w:t>
      </w:r>
      <w:r>
        <w:rPr>
          <w:rFonts w:hint="eastAsia" w:ascii="仿宋_GB2312" w:hAnsi="宋体" w:eastAsia="仿宋_GB2312" w:cs="宋体"/>
          <w:kern w:val="0"/>
          <w:sz w:val="32"/>
          <w:szCs w:val="32"/>
          <w:u w:val="none" w:color="46CD7E"/>
          <w:shd w:val="clear" w:color="auto" w:fill="FFFFFF"/>
          <w:lang w:val="zh-CN"/>
        </w:rPr>
        <w:t>刑事犯罪和</w:t>
      </w:r>
      <w:r>
        <w:rPr>
          <w:rFonts w:hint="eastAsia" w:ascii="仿宋_GB2312" w:hAnsi="宋体" w:eastAsia="仿宋_GB2312" w:cs="宋体"/>
          <w:kern w:val="0"/>
          <w:sz w:val="32"/>
          <w:szCs w:val="32"/>
          <w:shd w:val="clear" w:color="auto" w:fill="FFFFFF"/>
          <w:lang w:val="zh-CN"/>
        </w:rPr>
        <w:t>维护社会稳定。</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4.</w:t>
      </w:r>
      <w:r>
        <w:rPr>
          <w:rFonts w:hint="eastAsia" w:ascii="仿宋_GB2312" w:hAnsi="宋体" w:eastAsia="仿宋_GB2312" w:cs="宋体"/>
          <w:kern w:val="0"/>
          <w:sz w:val="32"/>
          <w:szCs w:val="32"/>
          <w:shd w:val="clear" w:color="auto" w:fill="FFFFFF"/>
          <w:lang w:val="zh-CN"/>
        </w:rPr>
        <w:t>按计划组织本级财政收入和地方税的征收，完成国家财政计划，不断培植税源，管好财政资金，增强财政实力。</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5.</w:t>
      </w:r>
      <w:r>
        <w:rPr>
          <w:rFonts w:hint="eastAsia" w:ascii="仿宋_GB2312" w:hAnsi="宋体" w:eastAsia="仿宋_GB2312" w:cs="宋体"/>
          <w:kern w:val="0"/>
          <w:sz w:val="32"/>
          <w:szCs w:val="32"/>
          <w:shd w:val="clear" w:color="auto" w:fill="FFFFFF"/>
          <w:lang w:val="zh-CN"/>
        </w:rPr>
        <w:t>抓好精神文明建设，丰富群众文化生活，提倡移风易俗，反对封建迷信，破除陈规陋习，树立社会主义新风尚。</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rPr>
        <w:t xml:space="preserve">    6.</w:t>
      </w:r>
      <w:r>
        <w:rPr>
          <w:rFonts w:hint="eastAsia" w:ascii="仿宋_GB2312" w:hAnsi="宋体" w:eastAsia="仿宋_GB2312" w:cs="宋体"/>
          <w:kern w:val="0"/>
          <w:sz w:val="32"/>
          <w:szCs w:val="32"/>
          <w:shd w:val="clear" w:color="auto" w:fill="FFFFFF"/>
          <w:lang w:val="zh-CN"/>
        </w:rPr>
        <w:t>完成上级政府交办的其他事项。</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二、单位财政资金收支情况</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（一）20</w:t>
      </w:r>
      <w:r>
        <w:rPr>
          <w:rFonts w:hint="eastAsia" w:ascii="仿宋_GB2312" w:hAnsi="宋体" w:eastAsia="仿宋_GB2312" w:cs="宋体"/>
          <w:kern w:val="0"/>
          <w:sz w:val="32"/>
          <w:szCs w:val="32"/>
          <w:shd w:val="clear" w:color="auto" w:fill="FFFFFF"/>
        </w:rPr>
        <w:t>21</w:t>
      </w:r>
      <w:r>
        <w:rPr>
          <w:rFonts w:hint="eastAsia" w:ascii="仿宋_GB2312" w:hAnsi="宋体" w:eastAsia="仿宋_GB2312" w:cs="宋体"/>
          <w:kern w:val="0"/>
          <w:sz w:val="32"/>
          <w:szCs w:val="32"/>
          <w:shd w:val="clear" w:color="auto" w:fill="FFFFFF"/>
          <w:lang w:val="zh-CN"/>
        </w:rPr>
        <w:t>年本年收入合计</w:t>
      </w:r>
      <w:r>
        <w:rPr>
          <w:rFonts w:hint="eastAsia" w:ascii="仿宋_GB2312" w:hAnsi="宋体" w:eastAsia="仿宋_GB2312" w:cs="宋体"/>
          <w:kern w:val="0"/>
          <w:sz w:val="32"/>
          <w:szCs w:val="32"/>
          <w:shd w:val="clear" w:color="auto" w:fill="FFFFFF"/>
        </w:rPr>
        <w:t>2071.42</w:t>
      </w:r>
      <w:r>
        <w:rPr>
          <w:rFonts w:hint="eastAsia" w:ascii="仿宋_GB2312" w:hAnsi="宋体" w:eastAsia="仿宋_GB2312" w:cs="宋体"/>
          <w:kern w:val="0"/>
          <w:sz w:val="32"/>
          <w:szCs w:val="32"/>
          <w:shd w:val="clear" w:color="auto" w:fill="FFFFFF"/>
          <w:lang w:val="zh-CN"/>
        </w:rPr>
        <w:t>万元，其中：一般公共预算财政拨款收入399.9万元，占</w:t>
      </w:r>
      <w:r>
        <w:rPr>
          <w:rFonts w:hint="eastAsia" w:ascii="仿宋_GB2312" w:hAnsi="宋体" w:eastAsia="仿宋_GB2312" w:cs="宋体"/>
          <w:kern w:val="0"/>
          <w:sz w:val="32"/>
          <w:szCs w:val="32"/>
          <w:shd w:val="clear" w:color="auto" w:fill="FFFFFF"/>
        </w:rPr>
        <w:t>19.3</w:t>
      </w:r>
      <w:r>
        <w:rPr>
          <w:rFonts w:hint="eastAsia" w:ascii="仿宋_GB2312" w:hAnsi="宋体" w:eastAsia="仿宋_GB2312" w:cs="宋体"/>
          <w:kern w:val="0"/>
          <w:sz w:val="32"/>
          <w:szCs w:val="32"/>
          <w:shd w:val="clear" w:color="auto" w:fill="FFFFFF"/>
          <w:lang w:val="zh-CN"/>
        </w:rPr>
        <w:t>%；政府性基金预算财政拨款收入</w:t>
      </w:r>
      <w:r>
        <w:rPr>
          <w:rFonts w:hint="eastAsia" w:ascii="仿宋_GB2312" w:hAnsi="宋体" w:eastAsia="仿宋_GB2312" w:cs="宋体"/>
          <w:kern w:val="0"/>
          <w:sz w:val="32"/>
          <w:szCs w:val="32"/>
          <w:shd w:val="clear" w:color="auto" w:fill="FFFFFF"/>
        </w:rPr>
        <w:t>0</w:t>
      </w:r>
      <w:r>
        <w:rPr>
          <w:rFonts w:hint="eastAsia" w:ascii="仿宋_GB2312" w:hAnsi="宋体" w:eastAsia="仿宋_GB2312" w:cs="宋体"/>
          <w:kern w:val="0"/>
          <w:sz w:val="32"/>
          <w:szCs w:val="32"/>
          <w:shd w:val="clear" w:color="auto" w:fill="FFFFFF"/>
          <w:lang w:val="zh-CN"/>
        </w:rPr>
        <w:t>万元，占</w:t>
      </w:r>
      <w:r>
        <w:rPr>
          <w:rFonts w:hint="eastAsia" w:ascii="仿宋_GB2312" w:hAnsi="宋体" w:eastAsia="仿宋_GB2312" w:cs="宋体"/>
          <w:kern w:val="0"/>
          <w:sz w:val="32"/>
          <w:szCs w:val="32"/>
          <w:shd w:val="clear" w:color="auto" w:fill="FFFFFF"/>
        </w:rPr>
        <w:t>0</w:t>
      </w:r>
      <w:r>
        <w:rPr>
          <w:rFonts w:hint="eastAsia" w:ascii="仿宋_GB2312" w:hAnsi="宋体" w:eastAsia="仿宋_GB2312" w:cs="宋体"/>
          <w:kern w:val="0"/>
          <w:sz w:val="32"/>
          <w:szCs w:val="32"/>
          <w:shd w:val="clear" w:color="auto" w:fill="FFFFFF"/>
          <w:lang w:val="zh-CN"/>
        </w:rPr>
        <w:t>%；事业收入</w:t>
      </w:r>
      <w:r>
        <w:rPr>
          <w:rFonts w:hint="eastAsia" w:ascii="仿宋_GB2312" w:hAnsi="宋体" w:eastAsia="仿宋_GB2312" w:cs="宋体"/>
          <w:kern w:val="0"/>
          <w:sz w:val="32"/>
          <w:szCs w:val="32"/>
          <w:shd w:val="clear" w:color="auto" w:fill="FFFFFF"/>
        </w:rPr>
        <w:t>0</w:t>
      </w:r>
      <w:r>
        <w:rPr>
          <w:rFonts w:hint="eastAsia" w:ascii="仿宋_GB2312" w:hAnsi="宋体" w:eastAsia="仿宋_GB2312" w:cs="宋体"/>
          <w:kern w:val="0"/>
          <w:sz w:val="32"/>
          <w:szCs w:val="32"/>
          <w:shd w:val="clear" w:color="auto" w:fill="FFFFFF"/>
          <w:lang w:val="zh-CN"/>
        </w:rPr>
        <w:t>万元，占</w:t>
      </w:r>
      <w:r>
        <w:rPr>
          <w:rFonts w:hint="eastAsia" w:ascii="仿宋_GB2312" w:hAnsi="宋体" w:eastAsia="仿宋_GB2312" w:cs="宋体"/>
          <w:kern w:val="0"/>
          <w:sz w:val="32"/>
          <w:szCs w:val="32"/>
          <w:shd w:val="clear" w:color="auto" w:fill="FFFFFF"/>
        </w:rPr>
        <w:t>0</w:t>
      </w:r>
      <w:r>
        <w:rPr>
          <w:rFonts w:hint="eastAsia" w:ascii="仿宋_GB2312" w:hAnsi="宋体" w:eastAsia="仿宋_GB2312" w:cs="宋体"/>
          <w:kern w:val="0"/>
          <w:sz w:val="32"/>
          <w:szCs w:val="32"/>
          <w:shd w:val="clear" w:color="auto" w:fill="FFFFFF"/>
          <w:lang w:val="zh-CN"/>
        </w:rPr>
        <w:t>%；其他收入</w:t>
      </w:r>
      <w:r>
        <w:rPr>
          <w:rFonts w:hint="eastAsia" w:ascii="仿宋_GB2312" w:hAnsi="宋体" w:eastAsia="仿宋_GB2312" w:cs="宋体"/>
          <w:kern w:val="0"/>
          <w:sz w:val="32"/>
          <w:szCs w:val="32"/>
          <w:shd w:val="clear" w:color="auto" w:fill="FFFFFF"/>
        </w:rPr>
        <w:t>0</w:t>
      </w:r>
      <w:r>
        <w:rPr>
          <w:rFonts w:hint="eastAsia" w:ascii="仿宋_GB2312" w:hAnsi="宋体" w:eastAsia="仿宋_GB2312" w:cs="宋体"/>
          <w:kern w:val="0"/>
          <w:sz w:val="32"/>
          <w:szCs w:val="32"/>
          <w:shd w:val="clear" w:color="auto" w:fill="FFFFFF"/>
          <w:lang w:val="zh-CN"/>
        </w:rPr>
        <w:t>万元，占</w:t>
      </w:r>
      <w:r>
        <w:rPr>
          <w:rFonts w:hint="eastAsia" w:ascii="仿宋_GB2312" w:hAnsi="宋体" w:eastAsia="仿宋_GB2312" w:cs="宋体"/>
          <w:kern w:val="0"/>
          <w:sz w:val="32"/>
          <w:szCs w:val="32"/>
          <w:shd w:val="clear" w:color="auto" w:fill="FFFFFF"/>
        </w:rPr>
        <w:t>0</w:t>
      </w:r>
      <w:r>
        <w:rPr>
          <w:rFonts w:hint="eastAsia" w:ascii="仿宋_GB2312" w:hAnsi="宋体" w:eastAsia="仿宋_GB2312" w:cs="宋体"/>
          <w:kern w:val="0"/>
          <w:sz w:val="32"/>
          <w:szCs w:val="32"/>
          <w:shd w:val="clear" w:color="auto" w:fill="FFFFFF"/>
          <w:lang w:val="zh-CN"/>
        </w:rPr>
        <w:t>%。</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（二）20</w:t>
      </w:r>
      <w:r>
        <w:rPr>
          <w:rFonts w:hint="eastAsia" w:ascii="仿宋_GB2312" w:hAnsi="宋体" w:eastAsia="仿宋_GB2312" w:cs="宋体"/>
          <w:kern w:val="0"/>
          <w:sz w:val="32"/>
          <w:szCs w:val="32"/>
          <w:shd w:val="clear" w:color="auto" w:fill="FFFFFF"/>
        </w:rPr>
        <w:t>21</w:t>
      </w:r>
      <w:r>
        <w:rPr>
          <w:rFonts w:hint="eastAsia" w:ascii="仿宋_GB2312" w:hAnsi="宋体" w:eastAsia="仿宋_GB2312" w:cs="宋体"/>
          <w:kern w:val="0"/>
          <w:sz w:val="32"/>
          <w:szCs w:val="32"/>
          <w:shd w:val="clear" w:color="auto" w:fill="FFFFFF"/>
          <w:lang w:val="zh-CN"/>
        </w:rPr>
        <w:t>年本年支出合计2071.42万元，其中：基本支出965.2万元，占</w:t>
      </w:r>
      <w:r>
        <w:rPr>
          <w:rFonts w:hint="eastAsia" w:ascii="仿宋_GB2312" w:hAnsi="宋体" w:eastAsia="仿宋_GB2312" w:cs="宋体"/>
          <w:kern w:val="0"/>
          <w:sz w:val="32"/>
          <w:szCs w:val="32"/>
          <w:shd w:val="clear" w:color="auto" w:fill="FFFFFF"/>
        </w:rPr>
        <w:t>46.60</w:t>
      </w:r>
      <w:r>
        <w:rPr>
          <w:rFonts w:hint="eastAsia" w:ascii="仿宋_GB2312" w:hAnsi="宋体" w:eastAsia="仿宋_GB2312" w:cs="宋体"/>
          <w:kern w:val="0"/>
          <w:sz w:val="32"/>
          <w:szCs w:val="32"/>
          <w:shd w:val="clear" w:color="auto" w:fill="FFFFFF"/>
          <w:lang w:val="zh-CN"/>
        </w:rPr>
        <w:t>%；项目支出1106.22万元，占</w:t>
      </w:r>
      <w:r>
        <w:rPr>
          <w:rFonts w:hint="eastAsia" w:ascii="仿宋_GB2312" w:hAnsi="宋体" w:eastAsia="仿宋_GB2312" w:cs="宋体"/>
          <w:kern w:val="0"/>
          <w:sz w:val="32"/>
          <w:szCs w:val="32"/>
          <w:shd w:val="clear" w:color="auto" w:fill="FFFFFF"/>
        </w:rPr>
        <w:t>53.40</w:t>
      </w:r>
      <w:r>
        <w:rPr>
          <w:rFonts w:hint="eastAsia" w:ascii="仿宋_GB2312" w:hAnsi="宋体" w:eastAsia="仿宋_GB2312" w:cs="宋体"/>
          <w:kern w:val="0"/>
          <w:sz w:val="32"/>
          <w:szCs w:val="32"/>
          <w:shd w:val="clear" w:color="auto" w:fill="FFFFFF"/>
          <w:lang w:val="zh-CN"/>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三、单位整体预算绩效管理情况</w:t>
      </w:r>
    </w:p>
    <w:p>
      <w:pPr>
        <w:widowControl/>
        <w:adjustRightInd w:val="0"/>
        <w:snapToGrid w:val="0"/>
        <w:spacing w:line="56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在执行目标任务时，通江县龙凤场镇人民政府严格按照预算指标和项目进度进行资金申报、资金</w:t>
      </w:r>
      <w:r>
        <w:rPr>
          <w:rFonts w:hint="eastAsia" w:ascii="仿宋_GB2312" w:hAnsi="仿宋_GB2312" w:eastAsia="仿宋_GB2312" w:cs="仿宋_GB2312"/>
          <w:sz w:val="32"/>
          <w:szCs w:val="32"/>
          <w:u w:val="none" w:color="46CD7E"/>
          <w:shd w:val="clear" w:fill="auto"/>
          <w:lang w:eastAsia="zh-CN"/>
        </w:rPr>
        <w:t>拨付和</w:t>
      </w:r>
      <w:r>
        <w:rPr>
          <w:rFonts w:hint="eastAsia" w:ascii="仿宋_GB2312" w:hAnsi="仿宋_GB2312" w:eastAsia="仿宋_GB2312" w:cs="仿宋_GB2312"/>
          <w:sz w:val="32"/>
          <w:szCs w:val="32"/>
        </w:rPr>
        <w:t>使用，不随意扩大资金使用范围，坚决杜绝寅吃卯粮的现象，保证了目标任务按时完成，进度完成率100%；在资金使用上实行优先保障行政机关正常运行和脱贫攻坚民生项目所需经费，再保障干部职工工资、社会保险缴费等项目的支出，合理安排资金，发挥资金的最大效益，保证项目质量完成，质量完成率达100%。</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23"/>
        <w:spacing w:line="560" w:lineRule="exact"/>
        <w:ind w:firstLine="640" w:firstLineChars="200"/>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rPr>
        <w:t>项目实施完成后，通过绩效自评，社会效益满意度较高，由于受地理位置影响，除经济效益达不到目标任务外，其余效益指标均达到了100%。</w:t>
      </w:r>
    </w:p>
    <w:p>
      <w:pPr>
        <w:widowControl/>
        <w:adjustRightInd w:val="0"/>
        <w:snapToGrid w:val="0"/>
        <w:spacing w:line="560" w:lineRule="exact"/>
        <w:ind w:left="63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23"/>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一是项目资金拨付进度慢。存在部分项目资金申报不及时，项目资金拨付进度偏慢。</w:t>
      </w:r>
    </w:p>
    <w:p>
      <w:pPr>
        <w:pStyle w:val="23"/>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二是固定资产入账不及时，实际固定资产与账面资产金额有差异，未及时清点入账，未建立固定资产台账，固定资产管理有待加强。</w:t>
      </w:r>
    </w:p>
    <w:p>
      <w:pPr>
        <w:pStyle w:val="23"/>
        <w:spacing w:line="560" w:lineRule="exact"/>
        <w:ind w:firstLine="640" w:firstLineChars="200"/>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rPr>
        <w:t>三是基本支出中的日常公用费用预算标准低，基层公用经费开支大，政府除保障日常运转资金兑现外，还存在很大资金缺口。</w:t>
      </w:r>
    </w:p>
    <w:p>
      <w:pPr>
        <w:widowControl/>
        <w:numPr>
          <w:ilvl w:val="0"/>
          <w:numId w:val="5"/>
        </w:numPr>
        <w:adjustRightInd w:val="0"/>
        <w:snapToGrid w:val="0"/>
        <w:spacing w:line="560" w:lineRule="exact"/>
        <w:ind w:firstLine="64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改进建议。</w:t>
      </w:r>
    </w:p>
    <w:p>
      <w:pPr>
        <w:pStyle w:val="7"/>
        <w:widowControl/>
        <w:wordWrap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加强监管，做到监管机制环环相扣，不出现断层、在编制预算中遵循合法性原则、完整性原则、真实性原则、稳妥性原则、合作性原则、绩效性原则。</w:t>
      </w:r>
    </w:p>
    <w:p>
      <w:pPr>
        <w:pStyle w:val="7"/>
        <w:widowControl/>
        <w:wordWrap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绩效评价工作完成后，及时整理、归纳、分析绩效评价结果并及时反馈，建立激励与约束机制，强化绩效评价结果在项目申报和预算编制中的有效应用。根据绩效评价结果，改进管理措施，完善管理办法，调整和优化支出结构</w:t>
      </w:r>
      <w:r>
        <w:t>，</w:t>
      </w:r>
      <w:r>
        <w:rPr>
          <w:rFonts w:hint="eastAsia" w:ascii="仿宋_GB2312" w:hAnsi="仿宋_GB2312" w:eastAsia="仿宋_GB2312" w:cs="仿宋_GB2312"/>
          <w:kern w:val="2"/>
          <w:sz w:val="32"/>
          <w:szCs w:val="32"/>
        </w:rPr>
        <w:t>合理配置资源，加强预算支出财务管理。</w:t>
      </w:r>
    </w:p>
    <w:p>
      <w:pPr>
        <w:pStyle w:val="7"/>
        <w:widowControl/>
        <w:wordWrap w:val="0"/>
        <w:spacing w:line="560" w:lineRule="exact"/>
        <w:ind w:firstLine="640" w:firstLineChars="200"/>
        <w:rPr>
          <w:rFonts w:ascii="仿宋_GB2312" w:hAnsi="宋体" w:eastAsia="仿宋_GB2312" w:cs="宋体"/>
          <w:sz w:val="32"/>
          <w:szCs w:val="32"/>
          <w:shd w:val="clear" w:color="auto" w:fill="FFFFFF"/>
          <w:lang w:val="zh-CN"/>
        </w:rPr>
      </w:pPr>
      <w:r>
        <w:rPr>
          <w:rFonts w:ascii="仿宋_GB2312" w:hAnsi="仿宋_GB2312" w:eastAsia="仿宋_GB2312" w:cs="仿宋_GB2312"/>
          <w:kern w:val="2"/>
          <w:sz w:val="32"/>
          <w:szCs w:val="32"/>
        </w:rPr>
        <w:t>加强新《</w:t>
      </w:r>
      <w:r>
        <w:rPr>
          <w:rFonts w:hint="eastAsia" w:ascii="仿宋_GB2312" w:hAnsi="仿宋_GB2312" w:eastAsia="仿宋_GB2312" w:cs="仿宋_GB2312"/>
          <w:kern w:val="2"/>
          <w:sz w:val="32"/>
          <w:szCs w:val="32"/>
        </w:rPr>
        <w:t>中华人民共和国</w:t>
      </w:r>
      <w:r>
        <w:rPr>
          <w:rFonts w:ascii="仿宋_GB2312" w:hAnsi="仿宋_GB2312" w:eastAsia="仿宋_GB2312" w:cs="仿宋_GB2312"/>
          <w:kern w:val="2"/>
          <w:sz w:val="32"/>
          <w:szCs w:val="32"/>
        </w:rPr>
        <w:t>预算法》《</w:t>
      </w:r>
      <w:r>
        <w:rPr>
          <w:rFonts w:hint="eastAsia" w:ascii="仿宋_GB2312" w:hAnsi="仿宋_GB2312" w:eastAsia="仿宋_GB2312" w:cs="仿宋_GB2312"/>
          <w:kern w:val="2"/>
          <w:sz w:val="32"/>
          <w:szCs w:val="32"/>
        </w:rPr>
        <w:t>政府</w:t>
      </w:r>
      <w:r>
        <w:rPr>
          <w:rFonts w:ascii="仿宋_GB2312" w:hAnsi="仿宋_GB2312" w:eastAsia="仿宋_GB2312" w:cs="仿宋_GB2312"/>
          <w:kern w:val="2"/>
          <w:sz w:val="32"/>
          <w:szCs w:val="32"/>
        </w:rPr>
        <w:t>会计制度》等学习培训，规范</w:t>
      </w:r>
      <w:r>
        <w:rPr>
          <w:rFonts w:hint="eastAsia" w:ascii="仿宋_GB2312" w:hAnsi="仿宋_GB2312" w:eastAsia="仿宋_GB2312" w:cs="仿宋_GB2312"/>
          <w:kern w:val="2"/>
          <w:sz w:val="32"/>
          <w:szCs w:val="32"/>
        </w:rPr>
        <w:t>单位</w:t>
      </w:r>
      <w:r>
        <w:rPr>
          <w:rFonts w:ascii="仿宋_GB2312" w:hAnsi="仿宋_GB2312" w:eastAsia="仿宋_GB2312" w:cs="仿宋_GB2312"/>
          <w:kern w:val="2"/>
          <w:sz w:val="32"/>
          <w:szCs w:val="32"/>
        </w:rPr>
        <w:t>预算收支核算，制定和完善基本支出、项目支出等各项支出标准，严格按项目和进度执行预算，增强预算的约束力和严肃性。落实预算执行分析，及时了解预算执行差异，合理调整、纠正预算执行偏差，切实提高</w:t>
      </w:r>
      <w:r>
        <w:rPr>
          <w:rFonts w:hint="eastAsia" w:ascii="仿宋_GB2312" w:hAnsi="仿宋_GB2312" w:eastAsia="仿宋_GB2312" w:cs="仿宋_GB2312"/>
          <w:kern w:val="2"/>
          <w:sz w:val="32"/>
          <w:szCs w:val="32"/>
        </w:rPr>
        <w:t>单位</w:t>
      </w:r>
      <w:r>
        <w:rPr>
          <w:rFonts w:ascii="仿宋_GB2312" w:hAnsi="仿宋_GB2312" w:eastAsia="仿宋_GB2312" w:cs="仿宋_GB2312"/>
          <w:kern w:val="2"/>
          <w:sz w:val="32"/>
          <w:szCs w:val="32"/>
        </w:rPr>
        <w:t>预算收支管理水平。</w:t>
      </w:r>
    </w:p>
    <w:p>
      <w:pPr>
        <w:spacing w:line="560" w:lineRule="exact"/>
        <w:jc w:val="center"/>
        <w:outlineLvl w:val="0"/>
        <w:rPr>
          <w:rFonts w:ascii="仿宋" w:hAnsi="仿宋" w:eastAsia="仿宋"/>
        </w:rPr>
      </w:pPr>
      <w:bookmarkStart w:id="78" w:name="_Toc15396618"/>
      <w:bookmarkStart w:id="79" w:name="_Toc31788"/>
      <w:r>
        <w:rPr>
          <w:rFonts w:hint="eastAsia" w:ascii="黑体" w:hAnsi="黑体" w:eastAsia="黑体"/>
          <w:sz w:val="44"/>
          <w:szCs w:val="44"/>
        </w:rPr>
        <w:t>第</w:t>
      </w:r>
      <w:r>
        <w:rPr>
          <w:rStyle w:val="31"/>
          <w:rFonts w:hint="eastAsia" w:ascii="黑体" w:hAnsi="黑体" w:eastAsia="黑体"/>
          <w:b w:val="0"/>
        </w:rPr>
        <w:t>五部分 附表</w:t>
      </w:r>
      <w:bookmarkEnd w:id="74"/>
      <w:bookmarkEnd w:id="78"/>
      <w:bookmarkEnd w:id="79"/>
      <w:bookmarkStart w:id="80" w:name="_Toc15396619"/>
    </w:p>
    <w:p>
      <w:pPr>
        <w:pStyle w:val="15"/>
        <w:spacing w:line="560" w:lineRule="exact"/>
        <w:rPr>
          <w:rFonts w:ascii="仿宋" w:hAnsi="仿宋" w:eastAsia="仿宋"/>
        </w:rPr>
      </w:pPr>
      <w:bookmarkStart w:id="81" w:name="_Toc21274"/>
      <w:r>
        <w:rPr>
          <w:rFonts w:hint="eastAsia" w:ascii="仿宋" w:hAnsi="仿宋" w:eastAsia="仿宋"/>
          <w:b w:val="0"/>
        </w:rPr>
        <w:t>一、收</w:t>
      </w:r>
      <w:r>
        <w:rPr>
          <w:rStyle w:val="32"/>
          <w:rFonts w:hint="eastAsia" w:ascii="仿宋" w:hAnsi="仿宋" w:eastAsia="仿宋"/>
          <w:b w:val="0"/>
          <w:bCs w:val="0"/>
        </w:rPr>
        <w:t>入支出决算总表</w:t>
      </w:r>
      <w:bookmarkEnd w:id="80"/>
      <w:bookmarkEnd w:id="81"/>
    </w:p>
    <w:p>
      <w:pPr>
        <w:pStyle w:val="15"/>
        <w:spacing w:line="560" w:lineRule="exact"/>
        <w:rPr>
          <w:rFonts w:ascii="仿宋" w:hAnsi="仿宋" w:eastAsia="仿宋"/>
        </w:rPr>
      </w:pPr>
      <w:bookmarkStart w:id="82" w:name="_Toc18692"/>
      <w:bookmarkStart w:id="83" w:name="_Toc15396620"/>
      <w:r>
        <w:rPr>
          <w:rFonts w:hint="eastAsia" w:ascii="仿宋" w:hAnsi="仿宋" w:eastAsia="仿宋"/>
          <w:b w:val="0"/>
        </w:rPr>
        <w:t>二、收</w:t>
      </w:r>
      <w:r>
        <w:rPr>
          <w:rStyle w:val="32"/>
          <w:rFonts w:hint="eastAsia" w:ascii="仿宋" w:hAnsi="仿宋" w:eastAsia="仿宋"/>
          <w:b w:val="0"/>
          <w:bCs w:val="0"/>
        </w:rPr>
        <w:t>入决算表</w:t>
      </w:r>
      <w:bookmarkEnd w:id="82"/>
      <w:bookmarkEnd w:id="83"/>
    </w:p>
    <w:p>
      <w:pPr>
        <w:pStyle w:val="15"/>
        <w:spacing w:line="560" w:lineRule="exact"/>
        <w:rPr>
          <w:rFonts w:ascii="仿宋" w:hAnsi="仿宋" w:eastAsia="仿宋"/>
        </w:rPr>
      </w:pPr>
      <w:bookmarkStart w:id="84" w:name="_Toc15396621"/>
      <w:bookmarkStart w:id="85" w:name="_Toc30934"/>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84"/>
      <w:bookmarkEnd w:id="85"/>
    </w:p>
    <w:p>
      <w:pPr>
        <w:pStyle w:val="15"/>
        <w:spacing w:line="560" w:lineRule="exact"/>
        <w:rPr>
          <w:rFonts w:ascii="仿宋" w:hAnsi="仿宋" w:eastAsia="仿宋"/>
          <w:b w:val="0"/>
        </w:rPr>
      </w:pPr>
      <w:bookmarkStart w:id="86" w:name="_Toc28572"/>
      <w:bookmarkStart w:id="87"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86"/>
      <w:bookmarkEnd w:id="87"/>
    </w:p>
    <w:p>
      <w:pPr>
        <w:pStyle w:val="15"/>
        <w:spacing w:line="560" w:lineRule="exact"/>
        <w:rPr>
          <w:rStyle w:val="32"/>
          <w:rFonts w:ascii="仿宋" w:hAnsi="仿宋" w:eastAsia="仿宋"/>
          <w:b w:val="0"/>
          <w:bCs w:val="0"/>
        </w:rPr>
      </w:pPr>
      <w:bookmarkStart w:id="88" w:name="_Toc15396623"/>
      <w:bookmarkStart w:id="89" w:name="_Toc1995"/>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88"/>
      <w:bookmarkEnd w:id="89"/>
      <w:bookmarkStart w:id="90" w:name="_Toc15396624"/>
    </w:p>
    <w:p>
      <w:pPr>
        <w:pStyle w:val="15"/>
        <w:spacing w:line="560" w:lineRule="exact"/>
        <w:rPr>
          <w:rFonts w:ascii="仿宋" w:hAnsi="仿宋" w:eastAsia="仿宋"/>
        </w:rPr>
      </w:pPr>
      <w:bookmarkStart w:id="91" w:name="_Toc23591"/>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w:t>
      </w:r>
      <w:r>
        <w:rPr>
          <w:rFonts w:hint="eastAsia" w:ascii="仿宋" w:hAnsi="仿宋" w:eastAsia="仿宋"/>
          <w:b w:val="0"/>
          <w:bCs w:val="0"/>
        </w:rPr>
        <w:t>财政拨款支出决算表</w:t>
      </w:r>
      <w:bookmarkEnd w:id="90"/>
      <w:bookmarkEnd w:id="91"/>
    </w:p>
    <w:p>
      <w:pPr>
        <w:pStyle w:val="15"/>
        <w:spacing w:line="560" w:lineRule="exact"/>
        <w:rPr>
          <w:rFonts w:ascii="仿宋" w:hAnsi="仿宋" w:eastAsia="仿宋"/>
        </w:rPr>
      </w:pPr>
      <w:bookmarkStart w:id="92" w:name="_Toc15396625"/>
      <w:bookmarkStart w:id="93" w:name="_Toc4356"/>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w:t>
      </w:r>
      <w:r>
        <w:rPr>
          <w:rFonts w:hint="eastAsia" w:ascii="仿宋" w:hAnsi="仿宋" w:eastAsia="仿宋"/>
          <w:b w:val="0"/>
          <w:bCs w:val="0"/>
        </w:rPr>
        <w:t>财政拨款支出决算明细表</w:t>
      </w:r>
      <w:bookmarkEnd w:id="92"/>
      <w:bookmarkEnd w:id="93"/>
    </w:p>
    <w:p>
      <w:pPr>
        <w:pStyle w:val="15"/>
        <w:spacing w:line="560" w:lineRule="exact"/>
        <w:rPr>
          <w:rFonts w:ascii="仿宋" w:hAnsi="仿宋" w:eastAsia="仿宋"/>
        </w:rPr>
      </w:pPr>
      <w:bookmarkStart w:id="94" w:name="_Toc15396626"/>
      <w:bookmarkStart w:id="95" w:name="_Toc651"/>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w:t>
      </w:r>
      <w:r>
        <w:rPr>
          <w:rFonts w:hint="eastAsia" w:ascii="仿宋" w:hAnsi="仿宋" w:eastAsia="仿宋"/>
          <w:b w:val="0"/>
          <w:bCs w:val="0"/>
        </w:rPr>
        <w:t>财政拨款基本支出决算表</w:t>
      </w:r>
      <w:bookmarkEnd w:id="94"/>
      <w:bookmarkEnd w:id="95"/>
    </w:p>
    <w:p>
      <w:pPr>
        <w:pStyle w:val="15"/>
        <w:spacing w:line="560" w:lineRule="exact"/>
        <w:rPr>
          <w:rFonts w:ascii="仿宋" w:hAnsi="仿宋" w:eastAsia="仿宋"/>
        </w:rPr>
      </w:pPr>
      <w:bookmarkStart w:id="96" w:name="_Toc15396627"/>
      <w:bookmarkStart w:id="97" w:name="_Toc19405"/>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w:t>
      </w:r>
      <w:r>
        <w:rPr>
          <w:rFonts w:hint="eastAsia" w:ascii="仿宋" w:hAnsi="仿宋" w:eastAsia="仿宋"/>
          <w:b w:val="0"/>
          <w:bCs w:val="0"/>
        </w:rPr>
        <w:t>财政拨款项目支出决算表</w:t>
      </w:r>
      <w:bookmarkEnd w:id="96"/>
      <w:bookmarkEnd w:id="97"/>
    </w:p>
    <w:p>
      <w:pPr>
        <w:pStyle w:val="15"/>
        <w:spacing w:line="560" w:lineRule="exact"/>
        <w:rPr>
          <w:rFonts w:ascii="仿宋" w:hAnsi="仿宋" w:eastAsia="仿宋"/>
        </w:rPr>
      </w:pPr>
      <w:bookmarkStart w:id="98" w:name="_Toc15396628"/>
      <w:bookmarkStart w:id="99" w:name="_Toc27636"/>
      <w:r>
        <w:rPr>
          <w:rStyle w:val="32"/>
          <w:rFonts w:hint="eastAsia" w:ascii="仿宋" w:hAnsi="仿宋" w:eastAsia="仿宋"/>
          <w:b w:val="0"/>
          <w:bCs w:val="0"/>
        </w:rPr>
        <w:t>十、</w:t>
      </w:r>
      <w:r>
        <w:rPr>
          <w:rFonts w:hint="eastAsia" w:ascii="仿宋" w:hAnsi="仿宋" w:eastAsia="仿宋"/>
          <w:b w:val="0"/>
        </w:rPr>
        <w:t>一</w:t>
      </w:r>
      <w:r>
        <w:rPr>
          <w:rStyle w:val="32"/>
          <w:rFonts w:hint="eastAsia" w:ascii="仿宋" w:hAnsi="仿宋" w:eastAsia="仿宋"/>
          <w:b w:val="0"/>
          <w:bCs w:val="0"/>
        </w:rPr>
        <w:t>般公共预算</w:t>
      </w:r>
      <w:r>
        <w:rPr>
          <w:rFonts w:hint="eastAsia" w:ascii="仿宋" w:hAnsi="仿宋" w:eastAsia="仿宋"/>
          <w:b w:val="0"/>
          <w:bCs w:val="0"/>
        </w:rPr>
        <w:t>财政拨款“三公”经费支出决算表</w:t>
      </w:r>
      <w:bookmarkEnd w:id="98"/>
      <w:bookmarkEnd w:id="99"/>
    </w:p>
    <w:p>
      <w:pPr>
        <w:pStyle w:val="15"/>
        <w:spacing w:line="560" w:lineRule="exact"/>
        <w:rPr>
          <w:rFonts w:ascii="仿宋" w:hAnsi="仿宋" w:eastAsia="仿宋"/>
        </w:rPr>
      </w:pPr>
      <w:bookmarkStart w:id="100" w:name="_Toc15396629"/>
      <w:bookmarkStart w:id="101" w:name="_Toc22379"/>
      <w:r>
        <w:rPr>
          <w:rStyle w:val="32"/>
          <w:rFonts w:hint="eastAsia" w:ascii="仿宋" w:hAnsi="仿宋" w:eastAsia="仿宋"/>
          <w:b w:val="0"/>
          <w:bCs w:val="0"/>
        </w:rPr>
        <w:t>十一、</w:t>
      </w:r>
      <w:r>
        <w:rPr>
          <w:rFonts w:hint="eastAsia" w:ascii="仿宋" w:hAnsi="仿宋" w:eastAsia="仿宋"/>
          <w:b w:val="0"/>
        </w:rPr>
        <w:t>政</w:t>
      </w:r>
      <w:r>
        <w:rPr>
          <w:rStyle w:val="32"/>
          <w:rFonts w:hint="eastAsia" w:ascii="仿宋" w:hAnsi="仿宋" w:eastAsia="仿宋"/>
          <w:b w:val="0"/>
          <w:bCs w:val="0"/>
        </w:rPr>
        <w:t>府性基金预算</w:t>
      </w:r>
      <w:r>
        <w:rPr>
          <w:rFonts w:hint="eastAsia" w:ascii="仿宋" w:hAnsi="仿宋" w:eastAsia="仿宋"/>
          <w:b w:val="0"/>
          <w:bCs w:val="0"/>
        </w:rPr>
        <w:t>财政拨款收入支出决算表</w:t>
      </w:r>
      <w:bookmarkEnd w:id="100"/>
      <w:bookmarkEnd w:id="101"/>
    </w:p>
    <w:p>
      <w:pPr>
        <w:pStyle w:val="15"/>
        <w:spacing w:line="560" w:lineRule="exact"/>
        <w:rPr>
          <w:rFonts w:ascii="仿宋" w:hAnsi="仿宋" w:eastAsia="仿宋"/>
        </w:rPr>
      </w:pPr>
      <w:bookmarkStart w:id="102" w:name="_Toc15396630"/>
      <w:bookmarkStart w:id="103" w:name="_Toc12850"/>
      <w:r>
        <w:rPr>
          <w:rStyle w:val="32"/>
          <w:rFonts w:hint="eastAsia" w:ascii="仿宋" w:hAnsi="仿宋" w:eastAsia="仿宋"/>
          <w:b w:val="0"/>
          <w:bCs w:val="0"/>
        </w:rPr>
        <w:t>十二、</w:t>
      </w:r>
      <w:r>
        <w:rPr>
          <w:rFonts w:hint="eastAsia" w:ascii="仿宋" w:hAnsi="仿宋" w:eastAsia="仿宋"/>
          <w:b w:val="0"/>
        </w:rPr>
        <w:t>政</w:t>
      </w:r>
      <w:r>
        <w:rPr>
          <w:rStyle w:val="32"/>
          <w:rFonts w:hint="eastAsia" w:ascii="仿宋" w:hAnsi="仿宋" w:eastAsia="仿宋"/>
          <w:b w:val="0"/>
          <w:bCs w:val="0"/>
        </w:rPr>
        <w:t>府性基金预算</w:t>
      </w:r>
      <w:r>
        <w:rPr>
          <w:rFonts w:hint="eastAsia" w:ascii="仿宋" w:hAnsi="仿宋" w:eastAsia="仿宋"/>
          <w:b w:val="0"/>
          <w:bCs w:val="0"/>
        </w:rPr>
        <w:t>财政拨款“三公”经费支出决算表</w:t>
      </w:r>
      <w:bookmarkEnd w:id="102"/>
      <w:bookmarkEnd w:id="103"/>
    </w:p>
    <w:p>
      <w:pPr>
        <w:pStyle w:val="15"/>
        <w:spacing w:line="560" w:lineRule="exact"/>
        <w:rPr>
          <w:rStyle w:val="32"/>
          <w:rFonts w:ascii="仿宋" w:hAnsi="仿宋" w:eastAsia="仿宋"/>
          <w:b w:val="0"/>
          <w:bCs w:val="0"/>
        </w:rPr>
      </w:pPr>
      <w:bookmarkStart w:id="104" w:name="_Toc15396631"/>
      <w:bookmarkStart w:id="105" w:name="_Toc1924"/>
      <w:r>
        <w:rPr>
          <w:rStyle w:val="32"/>
          <w:rFonts w:hint="eastAsia" w:ascii="仿宋" w:hAnsi="仿宋" w:eastAsia="仿宋"/>
          <w:b w:val="0"/>
          <w:bCs w:val="0"/>
        </w:rPr>
        <w:t>十三、</w:t>
      </w:r>
      <w:r>
        <w:rPr>
          <w:rFonts w:hint="eastAsia" w:ascii="仿宋" w:hAnsi="仿宋" w:eastAsia="仿宋"/>
          <w:b w:val="0"/>
        </w:rPr>
        <w:t>国</w:t>
      </w:r>
      <w:r>
        <w:rPr>
          <w:rStyle w:val="32"/>
          <w:rFonts w:hint="eastAsia" w:ascii="仿宋" w:hAnsi="仿宋" w:eastAsia="仿宋"/>
          <w:b w:val="0"/>
          <w:bCs w:val="0"/>
        </w:rPr>
        <w:t>有资本经营预算财</w:t>
      </w:r>
      <w:r>
        <w:rPr>
          <w:rFonts w:hint="eastAsia" w:ascii="仿宋" w:hAnsi="仿宋" w:eastAsia="仿宋"/>
          <w:b w:val="0"/>
          <w:bCs w:val="0"/>
        </w:rPr>
        <w:t>政拨款收入</w:t>
      </w:r>
      <w:r>
        <w:rPr>
          <w:rStyle w:val="32"/>
          <w:rFonts w:hint="eastAsia" w:ascii="仿宋" w:hAnsi="仿宋" w:eastAsia="仿宋"/>
          <w:b w:val="0"/>
          <w:bCs w:val="0"/>
        </w:rPr>
        <w:t>支出决算表</w:t>
      </w:r>
      <w:bookmarkEnd w:id="104"/>
      <w:bookmarkEnd w:id="105"/>
    </w:p>
    <w:p>
      <w:pPr>
        <w:spacing w:line="560" w:lineRule="exact"/>
        <w:rPr>
          <w:rFonts w:eastAsia="仿宋"/>
          <w:sz w:val="32"/>
          <w:szCs w:val="32"/>
        </w:rPr>
      </w:pPr>
      <w:bookmarkStart w:id="106" w:name="_Toc24329"/>
      <w:r>
        <w:rPr>
          <w:rStyle w:val="32"/>
          <w:rFonts w:hint="eastAsia" w:ascii="仿宋" w:hAnsi="仿宋" w:eastAsia="仿宋"/>
          <w:b w:val="0"/>
          <w:bCs w:val="0"/>
        </w:rPr>
        <w:t>十四、</w:t>
      </w:r>
      <w:r>
        <w:rPr>
          <w:rFonts w:hint="eastAsia" w:ascii="仿宋" w:hAnsi="仿宋" w:eastAsia="仿宋"/>
          <w:sz w:val="32"/>
          <w:szCs w:val="32"/>
        </w:rPr>
        <w:t>国有资本经营</w:t>
      </w:r>
      <w:r>
        <w:rPr>
          <w:rStyle w:val="32"/>
          <w:rFonts w:hint="eastAsia" w:ascii="仿宋" w:hAnsi="仿宋" w:eastAsia="仿宋"/>
          <w:b w:val="0"/>
          <w:bCs w:val="0"/>
        </w:rPr>
        <w:t>预算</w:t>
      </w:r>
      <w:r>
        <w:rPr>
          <w:rFonts w:hint="eastAsia" w:ascii="仿宋" w:hAnsi="仿宋" w:eastAsia="仿宋"/>
          <w:sz w:val="32"/>
          <w:szCs w:val="32"/>
        </w:rPr>
        <w:t>财政拨款支出决算表</w:t>
      </w:r>
      <w:bookmarkEnd w:id="10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9"/>
          <w:jc w:val="center"/>
        </w:pPr>
        <w:r>
          <w:fldChar w:fldCharType="begin"/>
        </w:r>
        <w:r>
          <w:instrText xml:space="preserve">PAGE   \* MERGEFORMAT</w:instrText>
        </w:r>
        <w:r>
          <w:fldChar w:fldCharType="separate"/>
        </w:r>
        <w:r>
          <w:rPr>
            <w:lang w:val="zh-CN"/>
          </w:rPr>
          <w:t>23</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A54EA"/>
    <w:multiLevelType w:val="singleLevel"/>
    <w:tmpl w:val="082A54EA"/>
    <w:lvl w:ilvl="0" w:tentative="0">
      <w:start w:val="3"/>
      <w:numFmt w:val="chineseCounting"/>
      <w:suff w:val="space"/>
      <w:lvlText w:val="第%1部分"/>
      <w:lvlJc w:val="left"/>
      <w:rPr>
        <w:rFonts w:hint="eastAsia"/>
      </w:rPr>
    </w:lvl>
  </w:abstractNum>
  <w:abstractNum w:abstractNumId="1">
    <w:nsid w:val="4BDE3FEC"/>
    <w:multiLevelType w:val="singleLevel"/>
    <w:tmpl w:val="4BDE3FEC"/>
    <w:lvl w:ilvl="0" w:tentative="0">
      <w:start w:val="9"/>
      <w:numFmt w:val="chineseCounting"/>
      <w:suff w:val="nothing"/>
      <w:lvlText w:val="%1、"/>
      <w:lvlJc w:val="left"/>
      <w:rPr>
        <w:rFonts w:hint="eastAsia"/>
      </w:rPr>
    </w:lvl>
  </w:abstractNum>
  <w:abstractNum w:abstractNumId="2">
    <w:nsid w:val="51992857"/>
    <w:multiLevelType w:val="multilevel"/>
    <w:tmpl w:val="51992857"/>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C74701A"/>
    <w:multiLevelType w:val="singleLevel"/>
    <w:tmpl w:val="6C74701A"/>
    <w:lvl w:ilvl="0" w:tentative="0">
      <w:start w:val="2"/>
      <w:numFmt w:val="chineseCounting"/>
      <w:suff w:val="nothing"/>
      <w:lvlText w:val="（%1）"/>
      <w:lvlJc w:val="left"/>
      <w:pPr>
        <w:ind w:left="-10"/>
      </w:pPr>
      <w:rPr>
        <w:rFonts w:hint="eastAsia"/>
      </w:rPr>
    </w:lvl>
  </w:abstractNum>
  <w:abstractNum w:abstractNumId="4">
    <w:nsid w:val="75823C9B"/>
    <w:multiLevelType w:val="multilevel"/>
    <w:tmpl w:val="75823C9B"/>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ViMTY2MzAwNzZjNjc3NDcyZjNiODJhNzZkNmE1YzIifQ=="/>
  </w:docVars>
  <w:rsids>
    <w:rsidRoot w:val="00EA6701"/>
    <w:rsid w:val="00A7732B"/>
    <w:rsid w:val="00EA6701"/>
    <w:rsid w:val="00EB5506"/>
    <w:rsid w:val="2E9A0002"/>
    <w:rsid w:val="40464190"/>
    <w:rsid w:val="4EFC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5"/>
    <w:qFormat/>
    <w:uiPriority w:val="99"/>
    <w:pPr>
      <w:tabs>
        <w:tab w:val="center" w:pos="4153"/>
        <w:tab w:val="right" w:pos="8306"/>
      </w:tabs>
      <w:snapToGrid w:val="0"/>
      <w:jc w:val="left"/>
    </w:pPr>
    <w:rPr>
      <w:sz w:val="18"/>
      <w:szCs w:val="18"/>
    </w:rPr>
  </w:style>
  <w:style w:type="paragraph" w:styleId="6">
    <w:name w:val="header"/>
    <w:basedOn w:val="1"/>
    <w:link w:val="4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99"/>
    <w:rPr>
      <w:b/>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uiPriority w:val="99"/>
    <w:rPr>
      <w:sz w:val="21"/>
      <w:szCs w:val="21"/>
    </w:rPr>
  </w:style>
  <w:style w:type="paragraph" w:customStyle="1" w:styleId="14">
    <w:name w:val="Heading 1"/>
    <w:basedOn w:val="1"/>
    <w:next w:val="1"/>
    <w:link w:val="31"/>
    <w:qFormat/>
    <w:uiPriority w:val="9"/>
    <w:pPr>
      <w:keepNext/>
      <w:keepLines/>
      <w:spacing w:before="340" w:after="330" w:line="578" w:lineRule="auto"/>
      <w:outlineLvl w:val="0"/>
    </w:pPr>
    <w:rPr>
      <w:b/>
      <w:bCs/>
      <w:kern w:val="44"/>
      <w:sz w:val="44"/>
      <w:szCs w:val="44"/>
    </w:rPr>
  </w:style>
  <w:style w:type="paragraph" w:customStyle="1" w:styleId="1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6">
    <w:name w:val="Heading 3"/>
    <w:basedOn w:val="1"/>
    <w:next w:val="1"/>
    <w:link w:val="35"/>
    <w:unhideWhenUsed/>
    <w:qFormat/>
    <w:uiPriority w:val="9"/>
    <w:pPr>
      <w:keepNext/>
      <w:keepLines/>
      <w:spacing w:before="260" w:after="260" w:line="416" w:lineRule="auto"/>
      <w:outlineLvl w:val="2"/>
    </w:pPr>
    <w:rPr>
      <w:b/>
      <w:bCs/>
      <w:sz w:val="32"/>
      <w:szCs w:val="32"/>
    </w:rPr>
  </w:style>
  <w:style w:type="paragraph" w:customStyle="1" w:styleId="17">
    <w:name w:val="首行缩进"/>
    <w:basedOn w:val="1"/>
    <w:qFormat/>
    <w:uiPriority w:val="0"/>
    <w:pPr>
      <w:ind w:firstLine="480"/>
    </w:pPr>
    <w:rPr>
      <w:sz w:val="24"/>
      <w:szCs w:val="22"/>
      <w:lang w:val="zh-CN"/>
    </w:rPr>
  </w:style>
  <w:style w:type="paragraph" w:customStyle="1" w:styleId="18">
    <w:name w:val="TOC 3"/>
    <w:basedOn w:val="1"/>
    <w:next w:val="1"/>
    <w:unhideWhenUsed/>
    <w:qFormat/>
    <w:uiPriority w:val="39"/>
    <w:pPr>
      <w:tabs>
        <w:tab w:val="right" w:leader="dot" w:pos="8296"/>
      </w:tabs>
      <w:ind w:left="840" w:leftChars="400"/>
    </w:pPr>
  </w:style>
  <w:style w:type="paragraph" w:customStyle="1" w:styleId="19">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2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2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2">
    <w:name w:val="TOC 2"/>
    <w:basedOn w:val="1"/>
    <w:next w:val="1"/>
    <w:unhideWhenUsed/>
    <w:qFormat/>
    <w:uiPriority w:val="39"/>
    <w:pPr>
      <w:tabs>
        <w:tab w:val="right" w:leader="dot" w:pos="8296"/>
      </w:tabs>
      <w:ind w:left="420" w:leftChars="200"/>
    </w:p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4">
    <w:name w:val="Header Char"/>
    <w:basedOn w:val="10"/>
    <w:semiHidden/>
    <w:qFormat/>
    <w:uiPriority w:val="99"/>
    <w:rPr>
      <w:rFonts w:ascii="Times New Roman" w:hAnsi="Times New Roman"/>
      <w:sz w:val="18"/>
      <w:szCs w:val="18"/>
    </w:rPr>
  </w:style>
  <w:style w:type="character" w:customStyle="1" w:styleId="25">
    <w:name w:val="页眉 Char"/>
    <w:semiHidden/>
    <w:qFormat/>
    <w:locked/>
    <w:uiPriority w:val="99"/>
    <w:rPr>
      <w:sz w:val="18"/>
    </w:rPr>
  </w:style>
  <w:style w:type="character" w:customStyle="1" w:styleId="26">
    <w:name w:val="Footer Char"/>
    <w:basedOn w:val="10"/>
    <w:semiHidden/>
    <w:qFormat/>
    <w:uiPriority w:val="99"/>
    <w:rPr>
      <w:rFonts w:ascii="Times New Roman" w:hAnsi="Times New Roman"/>
      <w:sz w:val="18"/>
      <w:szCs w:val="18"/>
    </w:rPr>
  </w:style>
  <w:style w:type="character" w:customStyle="1" w:styleId="27">
    <w:name w:val="页脚 Char"/>
    <w:qFormat/>
    <w:locked/>
    <w:uiPriority w:val="99"/>
    <w:rPr>
      <w:sz w:val="18"/>
    </w:rPr>
  </w:style>
  <w:style w:type="character" w:customStyle="1" w:styleId="28">
    <w:name w:val="Body Text Char"/>
    <w:basedOn w:val="10"/>
    <w:semiHidden/>
    <w:qFormat/>
    <w:uiPriority w:val="99"/>
    <w:rPr>
      <w:rFonts w:ascii="Times New Roman" w:hAnsi="Times New Roman"/>
      <w:szCs w:val="24"/>
    </w:rPr>
  </w:style>
  <w:style w:type="character" w:customStyle="1" w:styleId="29">
    <w:name w:val="正文文本 Char"/>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Char"/>
    <w:basedOn w:val="10"/>
    <w:link w:val="14"/>
    <w:qFormat/>
    <w:uiPriority w:val="9"/>
    <w:rPr>
      <w:rFonts w:ascii="Times New Roman" w:hAnsi="Times New Roman"/>
      <w:b/>
      <w:bCs/>
      <w:kern w:val="44"/>
      <w:sz w:val="44"/>
      <w:szCs w:val="44"/>
    </w:rPr>
  </w:style>
  <w:style w:type="character" w:customStyle="1" w:styleId="32">
    <w:name w:val="标题 2 Char"/>
    <w:basedOn w:val="10"/>
    <w:link w:val="15"/>
    <w:qFormat/>
    <w:uiPriority w:val="9"/>
    <w:rPr>
      <w:rFonts w:asciiTheme="majorHAnsi" w:hAnsiTheme="majorHAnsi" w:eastAsiaTheme="majorEastAsia" w:cstheme="majorBidi"/>
      <w:b/>
      <w:bCs/>
      <w:kern w:val="2"/>
      <w:sz w:val="32"/>
      <w:szCs w:val="32"/>
    </w:rPr>
  </w:style>
  <w:style w:type="paragraph" w:customStyle="1" w:styleId="33">
    <w:name w:val="TOC 标题1"/>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0"/>
    <w:semiHidden/>
    <w:qFormat/>
    <w:uiPriority w:val="99"/>
    <w:rPr>
      <w:rFonts w:ascii="Times New Roman" w:hAnsi="Times New Roman"/>
      <w:kern w:val="2"/>
      <w:sz w:val="18"/>
      <w:szCs w:val="18"/>
    </w:rPr>
  </w:style>
  <w:style w:type="character" w:customStyle="1" w:styleId="35">
    <w:name w:val="标题 3 Char"/>
    <w:basedOn w:val="10"/>
    <w:link w:val="16"/>
    <w:qFormat/>
    <w:uiPriority w:val="9"/>
    <w:rPr>
      <w:rFonts w:ascii="Times New Roman" w:hAnsi="Times New Roman"/>
      <w:b/>
      <w:bCs/>
      <w:kern w:val="2"/>
      <w:sz w:val="32"/>
      <w:szCs w:val="32"/>
    </w:rPr>
  </w:style>
  <w:style w:type="paragraph" w:customStyle="1" w:styleId="36">
    <w:name w:val="TOC 标题2"/>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9">
    <w:name w:val="批注文字 Char"/>
    <w:basedOn w:val="10"/>
    <w:semiHidden/>
    <w:uiPriority w:val="99"/>
    <w:rPr>
      <w:kern w:val="2"/>
      <w:sz w:val="21"/>
      <w:szCs w:val="24"/>
    </w:rPr>
  </w:style>
  <w:style w:type="paragraph" w:customStyle="1" w:styleId="40">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1">
    <w:name w:val="页眉 Char1"/>
    <w:basedOn w:val="10"/>
    <w:semiHidden/>
    <w:uiPriority w:val="99"/>
    <w:rPr>
      <w:kern w:val="2"/>
      <w:sz w:val="18"/>
      <w:szCs w:val="18"/>
    </w:rPr>
  </w:style>
  <w:style w:type="paragraph" w:customStyle="1" w:styleId="42">
    <w:name w:val="Footer0"/>
    <w:basedOn w:val="1"/>
    <w:qFormat/>
    <w:uiPriority w:val="99"/>
    <w:pPr>
      <w:tabs>
        <w:tab w:val="center" w:pos="4153"/>
        <w:tab w:val="right" w:pos="8306"/>
      </w:tabs>
      <w:snapToGrid w:val="0"/>
      <w:jc w:val="left"/>
    </w:pPr>
    <w:rPr>
      <w:sz w:val="18"/>
      <w:szCs w:val="18"/>
    </w:rPr>
  </w:style>
  <w:style w:type="character" w:customStyle="1" w:styleId="43">
    <w:name w:val="页脚 Char1"/>
    <w:basedOn w:val="10"/>
    <w:uiPriority w:val="99"/>
    <w:rPr>
      <w:kern w:val="2"/>
      <w:sz w:val="18"/>
      <w:szCs w:val="18"/>
    </w:rPr>
  </w:style>
  <w:style w:type="character" w:customStyle="1" w:styleId="44">
    <w:name w:val="页眉 Char2"/>
    <w:basedOn w:val="10"/>
    <w:link w:val="6"/>
    <w:semiHidden/>
    <w:uiPriority w:val="99"/>
    <w:rPr>
      <w:kern w:val="2"/>
      <w:sz w:val="18"/>
      <w:szCs w:val="18"/>
    </w:rPr>
  </w:style>
  <w:style w:type="character" w:customStyle="1" w:styleId="45">
    <w:name w:val="页脚 Char2"/>
    <w:basedOn w:val="10"/>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55825"/>
          <c:y val="0.132"/>
          <c:w val="0.927925000000001"/>
          <c:h val="0.716566666666667"/>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1587.22</c:v>
                </c:pt>
                <c:pt idx="1">
                  <c:v>1587.22</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2071.42</c:v>
                </c:pt>
                <c:pt idx="1">
                  <c:v>2071.42</c:v>
                </c:pt>
              </c:numCache>
            </c:numRef>
          </c:val>
        </c:ser>
        <c:dLbls>
          <c:showLegendKey val="0"/>
          <c:showVal val="0"/>
          <c:showCatName val="0"/>
          <c:showSerName val="0"/>
          <c:showPercent val="0"/>
          <c:showBubbleSize val="0"/>
        </c:dLbls>
        <c:gapWidth val="102"/>
        <c:overlap val="-14"/>
        <c:axId val="106818176"/>
        <c:axId val="107272064"/>
      </c:barChart>
      <c:catAx>
        <c:axId val="106818176"/>
        <c:scaling>
          <c:orientation val="minMax"/>
        </c:scaling>
        <c:delete val="0"/>
        <c:axPos val="b"/>
        <c:numFmt formatCode="#,##0;\-#,##0"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272064"/>
        <c:crosses val="autoZero"/>
        <c:auto val="1"/>
        <c:lblAlgn val="ctr"/>
        <c:lblOffset val="100"/>
        <c:noMultiLvlLbl val="0"/>
      </c:catAx>
      <c:valAx>
        <c:axId val="107272064"/>
        <c:scaling>
          <c:orientation val="minMax"/>
          <c:max val="35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8181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5"/>
          <c:y val="0.164"/>
          <c:w val="0.623250000000001"/>
          <c:h val="0.831000000000001"/>
        </c:manualLayout>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Lbls>
            <c:delete val="1"/>
          </c:dLbls>
          <c:cat>
            <c:strRef>
              <c:extLst>
                <c:ext xmlns:c15="http://schemas.microsoft.com/office/drawing/2012/chart" uri="{02D57815-91ED-43cb-92C2-25804820EDAC}">
                  <c15:fullRef>
                    <c15:sqref>Sheet1!$A$2:$A$5</c15:sqref>
                  </c15:fullRef>
                </c:ext>
              </c:extLst>
              <c:f>Sheet1!$A$2</c:f>
              <c:strCache>
                <c:ptCount val="1"/>
                <c:pt idx="0">
                  <c:v>一般公共预算财政拨款收入</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89.46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46.6</c:v>
                </c:pt>
                <c:pt idx="1">
                  <c:v>53.4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2857.72</c:v>
                </c:pt>
                <c:pt idx="1">
                  <c:v>2857.72</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2941.44</c:v>
                </c:pt>
                <c:pt idx="1">
                  <c:v>2941.44</c:v>
                </c:pt>
              </c:numCache>
            </c:numRef>
          </c:val>
        </c:ser>
        <c:dLbls>
          <c:showLegendKey val="0"/>
          <c:showVal val="0"/>
          <c:showCatName val="0"/>
          <c:showSerName val="0"/>
          <c:showPercent val="0"/>
          <c:showBubbleSize val="0"/>
        </c:dLbls>
        <c:gapWidth val="219"/>
        <c:overlap val="-27"/>
        <c:axId val="254025088"/>
        <c:axId val="253777024"/>
      </c:barChart>
      <c:catAx>
        <c:axId val="2540250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777024"/>
        <c:crosses val="autoZero"/>
        <c:auto val="1"/>
        <c:lblAlgn val="ctr"/>
        <c:lblOffset val="100"/>
        <c:noMultiLvlLbl val="0"/>
      </c:catAx>
      <c:valAx>
        <c:axId val="253777024"/>
        <c:scaling>
          <c:orientation val="minMax"/>
          <c:max val="3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0250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rgbClr val="FF0000"/>
            </a:solidFill>
            <a:ln>
              <a:solidFill>
                <a:schemeClr val="bg1"/>
              </a:solid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2788.96</c:v>
                </c:pt>
                <c:pt idx="1">
                  <c:v>2861.19</c:v>
                </c:pt>
              </c:numCache>
            </c:numRef>
          </c:val>
        </c:ser>
        <c:dLbls>
          <c:showLegendKey val="0"/>
          <c:showVal val="0"/>
          <c:showCatName val="0"/>
          <c:showSerName val="0"/>
          <c:showPercent val="0"/>
          <c:showBubbleSize val="0"/>
        </c:dLbls>
        <c:gapWidth val="219"/>
        <c:overlap val="-27"/>
        <c:axId val="253809408"/>
        <c:axId val="253810944"/>
      </c:barChart>
      <c:catAx>
        <c:axId val="2538094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810944"/>
        <c:crosses val="autoZero"/>
        <c:auto val="1"/>
        <c:lblAlgn val="ctr"/>
        <c:lblOffset val="100"/>
        <c:noMultiLvlLbl val="0"/>
      </c:catAx>
      <c:valAx>
        <c:axId val="253810944"/>
        <c:scaling>
          <c:orientation val="minMax"/>
          <c:max val="3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8094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一般公共服务（类）</c:v>
                </c:pt>
                <c:pt idx="1">
                  <c:v>文化旅游体育与传媒（类）</c:v>
                </c:pt>
                <c:pt idx="2">
                  <c:v>社会保障和就业（类）</c:v>
                </c:pt>
                <c:pt idx="3">
                  <c:v>卫生健康</c:v>
                </c:pt>
                <c:pt idx="4">
                  <c:v>住房保障支出</c:v>
                </c:pt>
              </c:strCache>
            </c:strRef>
          </c:cat>
          <c:val>
            <c:numRef>
              <c:f>Sheet1!$B$2:$B$6</c:f>
              <c:numCache>
                <c:formatCode>General</c:formatCode>
                <c:ptCount val="5"/>
                <c:pt idx="0">
                  <c:v>399.9</c:v>
                </c:pt>
                <c:pt idx="1">
                  <c:v>4</c:v>
                </c:pt>
                <c:pt idx="2">
                  <c:v>102.41</c:v>
                </c:pt>
                <c:pt idx="3">
                  <c:v>32.19</c:v>
                </c:pt>
                <c:pt idx="4">
                  <c:v>78.11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TotalTime>12</TotalTime>
  <Pages>25</Pages>
  <Words>1709</Words>
  <Characters>9742</Characters>
  <Application>Microsoft Office Word</Application>
  <DocSecurity>0</DocSecurity>
  <Lines>81</Lines>
  <Paragraphs>22</Paragraphs>
  <ScaleCrop>false</ScaleCrop>
  <Company>四川省财政厅</Company>
  <LinksUpToDate>false</LinksUpToDate>
  <CharactersWithSpaces>11429</CharactersWithSpaces>
  <SharedDoc>false</SharedDoc>
  <HyperlinksChanged>false</HyperlinksChanged>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2022-09-22T09:40:15Z</dcterms:modified>
  <dc:title>四川省***</dc:title>
  <cp:revision>32</cp:revision>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7</cp:revision>
  <cp:lastPrinted>2022-08-08T09:11:00Z</cp:lastPrinted>
  <dcterms:created xsi:type="dcterms:W3CDTF">2020-08-05T01:49:00Z</dcterms:created>
  <dcterms:modified xsi:type="dcterms:W3CDTF">2023-03-01T06:56:00Z</dcterms:modified>
</cp:coreProperties>
</file>

<file path=customXml/item12.xml><?xml version="1.0" encoding="utf-8"?>
<Properties xmlns="http://schemas.openxmlformats.org/officeDocument/2006/extended-properties" xmlns:vt="http://schemas.openxmlformats.org/officeDocument/2006/docPropsVTypes">
  <Template>Normal.dotm</Template>
  <Company>四川省财政厅</Company>
  <Pages>24</Pages>
  <Words>8749</Words>
  <Characters>9430</Characters>
  <Lines>61</Lines>
  <Paragraphs>17</Paragraphs>
  <TotalTime>6</TotalTime>
  <ScaleCrop>false</ScaleCrop>
  <LinksUpToDate>false</LinksUpToDate>
  <CharactersWithSpaces>9607</CharactersWithSpaces>
  <Application>WPS Office_11.1.0.12358_F1E327BC-269C-435d-A152-05C5408002CA</Application>
  <DocSecurity>0</DocSecurity>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32</cp:revision>
  <cp:lastPrinted>2022-08-08T09:11:00Z</cp:lastPrinted>
  <dcterms:created xsi:type="dcterms:W3CDTF">2020-08-05T01:49:00Z</dcterms:created>
  <dcterms:modified xsi:type="dcterms:W3CDTF">2022-09-22T09:40:15Z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143C3A1996BB4154A6C56851A52CEDF9</vt:lpw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143C3A1996BB4154A6C56851A52CEDF9</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7</cp:revision>
  <cp:lastPrinted>2022-08-08T09:11:00Z</cp:lastPrinted>
  <dcterms:created xsi:type="dcterms:W3CDTF">2020-08-05T01:49:00Z</dcterms:created>
  <dcterms:modified xsi:type="dcterms:W3CDTF">2023-03-01T06:56:00Z</dcterms:modified>
</cp:coreProperties>
</file>

<file path=customXml/item5.xml><?xml version="1.0" encoding="utf-8"?>
<Properties xmlns:vt="http://schemas.openxmlformats.org/officeDocument/2006/docPropsVTypes" xmlns="http://schemas.openxmlformats.org/officeDocument/2006/extended-properties">
  <Template>Normal</Template>
  <TotalTime>12</TotalTime>
  <Pages>25</Pages>
  <Words>1709</Words>
  <Characters>9742</Characters>
  <Application>Microsoft Office Word</Application>
  <DocSecurity>0</DocSecurity>
  <Lines>81</Lines>
  <Paragraphs>22</Paragraphs>
  <Company>四川省财政厅</Company>
  <CharactersWithSpaces>11429</CharactersWithSpaces>
  <AppVersion>12.0000</AppVersion>
</Properties>
</file>

<file path=customXml/item6.xml><?xml version="1.0" encoding="utf-8"?>
<Properties xmlns:vt="http://schemas.openxmlformats.org/officeDocument/2006/docPropsVTypes" xmlns="http://schemas.openxmlformats.org/officeDocument/2006/extended-properties">
  <Template>Normal.dotm</Template>
  <TotalTime>6</TotalTime>
  <Pages>24</Pages>
  <Words>8749</Words>
  <Characters>9430</Characters>
  <Application>WPS Office_11.1.0.12358_F1E327BC-269C-435d-A152-05C5408002CA</Application>
  <DocSecurity>0</DocSecurity>
  <Lines>61</Lines>
  <Paragraphs>17</Paragraphs>
  <Company>四川省财政厅</Company>
  <CharactersWithSpaces>9607</CharactersWithSpaces>
  <AppVersion>14.0000</AppVersion>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143C3A1996BB4154A6C56851A52CEDF9</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143C3A1996BB4154A6C56851A52CEDF9</vt:lpstr>
  </property>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A431-4C70-486C-97A8-2AFA823E932E}">
  <ds:schemaRefs/>
</ds:datastoreItem>
</file>

<file path=customXml/itemProps10.xml><?xml version="1.0" encoding="utf-8"?>
<ds:datastoreItem xmlns:ds="http://schemas.openxmlformats.org/officeDocument/2006/customXml" ds:itemID="{DC7C7A5F-4F5D-4D86-B33E-C35FF9DC7296}">
  <ds:schemaRefs/>
</ds:datastoreItem>
</file>

<file path=customXml/itemProps11.xml><?xml version="1.0" encoding="utf-8"?>
<ds:datastoreItem xmlns:ds="http://schemas.openxmlformats.org/officeDocument/2006/customXml" ds:itemID="{E21C32E4-E11C-4E67-B095-07C947FA3474}">
  <ds:schemaRefs/>
</ds:datastoreItem>
</file>

<file path=customXml/itemProps12.xml><?xml version="1.0" encoding="utf-8"?>
<ds:datastoreItem xmlns:ds="http://schemas.openxmlformats.org/officeDocument/2006/customXml" ds:itemID="{744EE289-4074-43AD-BF21-E632EF05B97A}">
  <ds:schemaRefs/>
</ds:datastoreItem>
</file>

<file path=customXml/itemProps13.xml><?xml version="1.0" encoding="utf-8"?>
<ds:datastoreItem xmlns:ds="http://schemas.openxmlformats.org/officeDocument/2006/customXml" ds:itemID="{A93B823F-E0B7-429F-926B-D9B33CE6FAFA}">
  <ds:schemaRefs/>
</ds:datastoreItem>
</file>

<file path=customXml/itemProps2.xml><?xml version="1.0" encoding="utf-8"?>
<ds:datastoreItem xmlns:ds="http://schemas.openxmlformats.org/officeDocument/2006/customXml" ds:itemID="{3503D3A0-7716-4024-A82E-C409D0C6F5C0}">
  <ds:schemaRefs/>
</ds:datastoreItem>
</file>

<file path=customXml/itemProps3.xml><?xml version="1.0" encoding="utf-8"?>
<ds:datastoreItem xmlns:ds="http://schemas.openxmlformats.org/officeDocument/2006/customXml" ds:itemID="{0F6FB792-5193-4261-A42F-1602B721940F}">
  <ds:schemaRefs/>
</ds:datastoreItem>
</file>

<file path=customXml/itemProps4.xml><?xml version="1.0" encoding="utf-8"?>
<ds:datastoreItem xmlns:ds="http://schemas.openxmlformats.org/officeDocument/2006/customXml" ds:itemID="{6E53DEBD-477B-443F-A770-C900BA341CE4}">
  <ds:schemaRefs/>
</ds:datastoreItem>
</file>

<file path=customXml/itemProps5.xml><?xml version="1.0" encoding="utf-8"?>
<ds:datastoreItem xmlns:ds="http://schemas.openxmlformats.org/officeDocument/2006/customXml" ds:itemID="{36A931BA-BF3D-4527-8EBE-AAFA2448467D}">
  <ds:schemaRefs/>
</ds:datastoreItem>
</file>

<file path=customXml/itemProps6.xml><?xml version="1.0" encoding="utf-8"?>
<ds:datastoreItem xmlns:ds="http://schemas.openxmlformats.org/officeDocument/2006/customXml" ds:itemID="{0A809A6A-84CF-4CF4-BF38-175EB8DA0566}">
  <ds:schemaRefs/>
</ds:datastoreItem>
</file>

<file path=customXml/itemProps7.xml><?xml version="1.0" encoding="utf-8"?>
<ds:datastoreItem xmlns:ds="http://schemas.openxmlformats.org/officeDocument/2006/customXml" ds:itemID="{FD9276BD-0941-4224-8ABA-55EBC9D7DA09}">
  <ds:schemaRefs/>
</ds:datastoreItem>
</file>

<file path=customXml/itemProps8.xml><?xml version="1.0" encoding="utf-8"?>
<ds:datastoreItem xmlns:ds="http://schemas.openxmlformats.org/officeDocument/2006/customXml" ds:itemID="{F8D3580F-1202-424A-B4F7-B6075BAA0CA3}">
  <ds:schemaRefs/>
</ds:datastoreItem>
</file>

<file path=customXml/itemProps9.xml><?xml version="1.0" encoding="utf-8"?>
<ds:datastoreItem xmlns:ds="http://schemas.openxmlformats.org/officeDocument/2006/customXml" ds:itemID="{991825C6-87B7-4814-8FE3-3CE6C5D70D5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8755</Words>
  <Characters>9435</Characters>
  <Lines>81</Lines>
  <Paragraphs>22</Paragraphs>
  <TotalTime>13</TotalTime>
  <ScaleCrop>false</ScaleCrop>
  <LinksUpToDate>false</LinksUpToDate>
  <CharactersWithSpaces>9597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2022-08-08T09:11:00Z</cp:lastPrinted>
  <dcterms:modified xsi:type="dcterms:W3CDTF">2023-04-17T13:06:48Z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143C3A1996BB4154A6C56851A52CEDF9</vt:lpwstr>
  </property>
</Properties>
</file>