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600" w:lineRule="exact"/>
        <w:jc w:val="center"/>
        <w:rPr>
          <w:rFonts w:ascii="方正小标宋简体" w:hAnsi="方正小标宋简体" w:eastAsia="方正小标宋简体"/>
          <w:sz w:val="72"/>
          <w:szCs w:val="72"/>
        </w:rPr>
      </w:pPr>
    </w:p>
    <w:p>
      <w:pPr>
        <w:pStyle w:val="14"/>
        <w:spacing w:line="600" w:lineRule="exact"/>
        <w:jc w:val="center"/>
        <w:rPr>
          <w:rFonts w:ascii="方正小标宋简体" w:hAnsi="方正小标宋简体" w:eastAsia="方正小标宋简体"/>
          <w:sz w:val="72"/>
          <w:szCs w:val="72"/>
        </w:rPr>
      </w:pPr>
    </w:p>
    <w:p>
      <w:pPr>
        <w:pStyle w:val="14"/>
        <w:spacing w:line="600" w:lineRule="exact"/>
        <w:jc w:val="center"/>
        <w:rPr>
          <w:rFonts w:ascii="方正小标宋简体" w:hAnsi="方正小标宋简体" w:eastAsia="方正小标宋简体"/>
          <w:sz w:val="72"/>
          <w:szCs w:val="72"/>
        </w:rPr>
      </w:pPr>
    </w:p>
    <w:p>
      <w:pPr>
        <w:pStyle w:val="14"/>
        <w:spacing w:line="600" w:lineRule="exact"/>
        <w:jc w:val="center"/>
        <w:rPr>
          <w:rFonts w:ascii="方正小标宋简体" w:hAnsi="方正小标宋简体" w:eastAsia="方正小标宋简体"/>
          <w:sz w:val="72"/>
          <w:szCs w:val="72"/>
        </w:rPr>
      </w:pPr>
    </w:p>
    <w:p>
      <w:pPr>
        <w:pStyle w:val="14"/>
        <w:snapToGrid w:val="0"/>
        <w:spacing w:line="360" w:lineRule="auto"/>
        <w:jc w:val="center"/>
        <w:outlineLvl w:val="0"/>
        <w:rPr>
          <w:rFonts w:ascii="方正小标宋简体" w:hAnsi="方正小标宋简体" w:eastAsia="方正小标宋简体" w:cs="方正小标宋简体"/>
          <w:b/>
          <w:bCs/>
          <w:sz w:val="52"/>
          <w:szCs w:val="52"/>
        </w:rPr>
      </w:pPr>
      <w:bookmarkStart w:id="0" w:name="_Toc15396475"/>
      <w:bookmarkStart w:id="1" w:name="_Toc15377193"/>
      <w:bookmarkStart w:id="2" w:name="_Toc15377425"/>
      <w:bookmarkStart w:id="3" w:name="_Toc15378441"/>
      <w:bookmarkStart w:id="4" w:name="_Toc15396597"/>
      <w:bookmarkStart w:id="5" w:name="_Toc22679"/>
      <w:r>
        <w:rPr>
          <w:rFonts w:ascii="方正小标宋简体" w:hAnsi="方正小标宋简体" w:eastAsia="方正小标宋简体" w:cs="方正小标宋简体"/>
          <w:b/>
          <w:bCs/>
          <w:sz w:val="52"/>
          <w:szCs w:val="52"/>
        </w:rPr>
        <w:t>2021年度</w:t>
      </w:r>
      <w:bookmarkEnd w:id="0"/>
      <w:bookmarkEnd w:id="1"/>
      <w:bookmarkEnd w:id="2"/>
      <w:bookmarkEnd w:id="3"/>
      <w:bookmarkEnd w:id="4"/>
      <w:bookmarkEnd w:id="5"/>
    </w:p>
    <w:p>
      <w:pPr>
        <w:pStyle w:val="14"/>
        <w:snapToGrid w:val="0"/>
        <w:spacing w:line="360" w:lineRule="auto"/>
        <w:jc w:val="center"/>
        <w:outlineLvl w:val="0"/>
        <w:rPr>
          <w:rFonts w:ascii="方正小标宋简体" w:hAnsi="方正小标宋简体" w:eastAsia="方正小标宋简体" w:cs="方正小标宋简体"/>
          <w:sz w:val="52"/>
          <w:szCs w:val="52"/>
        </w:rPr>
      </w:pPr>
      <w:bookmarkStart w:id="6" w:name="_Toc15306267"/>
      <w:bookmarkStart w:id="7" w:name="_Toc5961"/>
      <w:r>
        <w:rPr>
          <w:rFonts w:ascii="方正小标宋简体" w:hAnsi="方正小标宋简体" w:eastAsia="方正小标宋简体" w:cs="方正小标宋简体"/>
          <w:sz w:val="52"/>
          <w:szCs w:val="52"/>
        </w:rPr>
        <w:t>四川省</w:t>
      </w:r>
      <w:bookmarkEnd w:id="6"/>
      <w:bookmarkStart w:id="8" w:name="_Toc15306268"/>
      <w:bookmarkEnd w:id="8"/>
      <w:r>
        <w:rPr>
          <w:rFonts w:hint="eastAsia" w:ascii="方正小标宋简体" w:hAnsi="方正小标宋简体" w:eastAsia="方正小标宋简体" w:cs="方正小标宋简体"/>
          <w:sz w:val="52"/>
          <w:szCs w:val="52"/>
        </w:rPr>
        <w:t>通江县龙凤场镇中心小学</w:t>
      </w:r>
      <w:bookmarkEnd w:id="7"/>
    </w:p>
    <w:p>
      <w:pPr>
        <w:pStyle w:val="14"/>
        <w:snapToGrid w:val="0"/>
        <w:spacing w:line="360" w:lineRule="auto"/>
        <w:jc w:val="center"/>
        <w:outlineLvl w:val="0"/>
        <w:rPr>
          <w:rFonts w:ascii="方正小标宋简体" w:hAnsi="方正小标宋简体" w:eastAsia="方正小标宋简体"/>
          <w:sz w:val="52"/>
          <w:szCs w:val="52"/>
        </w:rPr>
      </w:pPr>
      <w:bookmarkStart w:id="9" w:name="_Toc15396476"/>
      <w:bookmarkStart w:id="10" w:name="_Toc15377194"/>
      <w:bookmarkStart w:id="11" w:name="_Toc15377426"/>
      <w:bookmarkStart w:id="12" w:name="_Toc15396598"/>
      <w:bookmarkStart w:id="13" w:name="_Toc15378442"/>
      <w:bookmarkStart w:id="14" w:name="_Toc24372"/>
      <w:r>
        <w:rPr>
          <w:rFonts w:hint="eastAsia" w:ascii="方正小标宋简体" w:hAnsi="方正小标宋简体" w:eastAsia="方正小标宋简体" w:cs="方正小标宋简体"/>
          <w:sz w:val="52"/>
          <w:szCs w:val="52"/>
        </w:rPr>
        <w:t>单位</w:t>
      </w:r>
      <w:r>
        <w:rPr>
          <w:rFonts w:ascii="方正小标宋简体" w:hAnsi="方正小标宋简体" w:eastAsia="方正小标宋简体" w:cs="方正小标宋简体"/>
          <w:sz w:val="52"/>
          <w:szCs w:val="52"/>
        </w:rPr>
        <w:t>决算</w:t>
      </w:r>
      <w:bookmarkEnd w:id="9"/>
      <w:bookmarkEnd w:id="10"/>
      <w:bookmarkEnd w:id="11"/>
      <w:bookmarkEnd w:id="12"/>
      <w:bookmarkEnd w:id="13"/>
      <w:bookmarkStart w:id="15" w:name="_Toc153062681"/>
      <w:bookmarkEnd w:id="15"/>
      <w:r>
        <w:br w:type="page"/>
      </w:r>
      <w:bookmarkEnd w:id="14"/>
    </w:p>
    <w:p>
      <w:pPr>
        <w:pStyle w:val="14"/>
        <w:widowControl/>
        <w:jc w:val="center"/>
        <w:rPr>
          <w:rFonts w:ascii="黑体" w:hAnsi="黑体" w:eastAsia="黑体"/>
          <w:sz w:val="48"/>
          <w:szCs w:val="48"/>
        </w:rPr>
      </w:pPr>
      <w:r>
        <w:rPr>
          <w:rFonts w:ascii="黑体" w:hAnsi="黑体" w:eastAsia="黑体"/>
          <w:sz w:val="48"/>
          <w:szCs w:val="48"/>
        </w:rPr>
        <w:t>目录</w:t>
      </w:r>
    </w:p>
    <w:p>
      <w:pPr>
        <w:pStyle w:val="14"/>
        <w:widowControl/>
        <w:jc w:val="center"/>
        <w:rPr>
          <w:rFonts w:ascii="黑体" w:hAnsi="黑体" w:eastAsia="黑体" w:cstheme="minorBidi"/>
          <w:sz w:val="28"/>
          <w:szCs w:val="28"/>
        </w:rPr>
      </w:pPr>
    </w:p>
    <w:p>
      <w:pPr>
        <w:pStyle w:val="20"/>
      </w:pPr>
      <w:r>
        <w:t>公开时间：2022年</w:t>
      </w:r>
      <w:r>
        <w:rPr>
          <w:rFonts w:hint="eastAsia"/>
        </w:rPr>
        <w:t>8</w:t>
      </w:r>
      <w:r>
        <w:t>月</w:t>
      </w:r>
      <w:r>
        <w:rPr>
          <w:rFonts w:hint="eastAsia"/>
        </w:rPr>
        <w:t>25</w:t>
      </w:r>
      <w:r>
        <w:t>日</w:t>
      </w:r>
    </w:p>
    <w:p>
      <w:pPr>
        <w:pStyle w:val="14"/>
      </w:pPr>
    </w:p>
    <w:sdt>
      <w:sdtPr>
        <w:rPr>
          <w:rFonts w:ascii="宋体" w:hAnsi="宋体"/>
          <w:sz w:val="21"/>
        </w:rPr>
        <w:id w:val="147466442"/>
        <w:docPartObj>
          <w:docPartGallery w:val="Table of Contents"/>
          <w:docPartUnique/>
        </w:docPartObj>
      </w:sdtPr>
      <w:sdtEndPr>
        <w:rPr>
          <w:rFonts w:ascii="宋体" w:hAnsi="宋体"/>
          <w:b/>
          <w:sz w:val="21"/>
        </w:rPr>
      </w:sdtEndPr>
      <w:sdtContent>
        <w:p>
          <w:pPr>
            <w:pStyle w:val="25"/>
            <w:tabs>
              <w:tab w:val="right" w:leader="dot" w:pos="8306"/>
            </w:tabs>
            <w:rPr>
              <w:b/>
            </w:rPr>
          </w:pPr>
          <w:bookmarkStart w:id="16" w:name="_Toc15377196"/>
          <w:r>
            <w:fldChar w:fldCharType="begin"/>
          </w:r>
          <w:r>
            <w:instrText xml:space="preserve">TOC \o "1-2" \h \u</w:instrText>
          </w:r>
          <w:r>
            <w:fldChar w:fldCharType="separate"/>
          </w:r>
        </w:p>
        <w:p>
          <w:pPr>
            <w:pStyle w:val="25"/>
            <w:tabs>
              <w:tab w:val="right" w:leader="dot" w:pos="8306"/>
            </w:tabs>
            <w:rPr>
              <w:b/>
            </w:rPr>
          </w:pPr>
          <w:r>
            <w:fldChar w:fldCharType="begin"/>
          </w:r>
          <w:r>
            <w:instrText xml:space="preserve"> HYPERLINK \l "_Toc219" </w:instrText>
          </w:r>
          <w:r>
            <w:fldChar w:fldCharType="separate"/>
          </w:r>
          <w:r>
            <w:rPr>
              <w:rFonts w:ascii="黑体" w:hAnsi="黑体" w:eastAsia="黑体"/>
              <w:b/>
            </w:rPr>
            <w:t>第一部分 单位概况</w:t>
          </w:r>
          <w:r>
            <w:rPr>
              <w:b/>
            </w:rPr>
            <w:tab/>
          </w:r>
          <w:r>
            <w:rPr>
              <w:b/>
            </w:rPr>
            <w:fldChar w:fldCharType="begin"/>
          </w:r>
          <w:r>
            <w:rPr>
              <w:b/>
            </w:rPr>
            <w:instrText xml:space="preserve"> PAGEREF _Toc219 </w:instrText>
          </w:r>
          <w:r>
            <w:rPr>
              <w:b/>
            </w:rPr>
            <w:fldChar w:fldCharType="separate"/>
          </w:r>
          <w:r>
            <w:rPr>
              <w:b/>
            </w:rPr>
            <w:t>3</w:t>
          </w:r>
          <w:r>
            <w:rPr>
              <w:b/>
            </w:rPr>
            <w:fldChar w:fldCharType="end"/>
          </w:r>
          <w:r>
            <w:rPr>
              <w:b/>
            </w:rPr>
            <w:fldChar w:fldCharType="end"/>
          </w:r>
        </w:p>
        <w:p>
          <w:pPr>
            <w:pStyle w:val="26"/>
            <w:tabs>
              <w:tab w:val="right" w:leader="dot" w:pos="8306"/>
            </w:tabs>
            <w:ind w:left="400"/>
          </w:pPr>
          <w:r>
            <w:fldChar w:fldCharType="begin"/>
          </w:r>
          <w:r>
            <w:instrText xml:space="preserve"> HYPERLINK \l "_Toc24413" </w:instrText>
          </w:r>
          <w:r>
            <w:fldChar w:fldCharType="separate"/>
          </w:r>
          <w:r>
            <w:rPr>
              <w:rFonts w:ascii="黑体" w:hAnsi="黑体" w:eastAsia="黑体"/>
            </w:rPr>
            <w:t>一、职能简介</w:t>
          </w:r>
          <w:r>
            <w:tab/>
          </w:r>
          <w:r>
            <w:fldChar w:fldCharType="begin"/>
          </w:r>
          <w:r>
            <w:instrText xml:space="preserve"> PAGEREF _Toc24413 </w:instrText>
          </w:r>
          <w:r>
            <w:fldChar w:fldCharType="separate"/>
          </w:r>
          <w:r>
            <w:t>3</w:t>
          </w:r>
          <w:r>
            <w:fldChar w:fldCharType="end"/>
          </w:r>
          <w:r>
            <w:fldChar w:fldCharType="end"/>
          </w:r>
        </w:p>
        <w:p>
          <w:pPr>
            <w:pStyle w:val="26"/>
            <w:tabs>
              <w:tab w:val="right" w:leader="dot" w:pos="8306"/>
            </w:tabs>
            <w:ind w:left="400"/>
          </w:pPr>
          <w:r>
            <w:fldChar w:fldCharType="begin"/>
          </w:r>
          <w:r>
            <w:instrText xml:space="preserve"> HYPERLINK \l "_Toc10849" </w:instrText>
          </w:r>
          <w:r>
            <w:fldChar w:fldCharType="separate"/>
          </w:r>
          <w:r>
            <w:rPr>
              <w:rFonts w:ascii="黑体" w:hAnsi="黑体" w:eastAsia="黑体"/>
            </w:rPr>
            <w:t>二、2021年重点工作完成情况</w:t>
          </w:r>
          <w:r>
            <w:tab/>
          </w:r>
          <w:r>
            <w:fldChar w:fldCharType="begin"/>
          </w:r>
          <w:r>
            <w:instrText xml:space="preserve"> PAGEREF _Toc10849 </w:instrText>
          </w:r>
          <w:r>
            <w:fldChar w:fldCharType="separate"/>
          </w:r>
          <w:r>
            <w:t>3</w:t>
          </w:r>
          <w:r>
            <w:fldChar w:fldCharType="end"/>
          </w:r>
          <w:r>
            <w:fldChar w:fldCharType="end"/>
          </w:r>
        </w:p>
        <w:p>
          <w:pPr>
            <w:pStyle w:val="25"/>
            <w:tabs>
              <w:tab w:val="right" w:leader="dot" w:pos="8306"/>
            </w:tabs>
            <w:rPr>
              <w:b/>
            </w:rPr>
          </w:pPr>
          <w:r>
            <w:fldChar w:fldCharType="begin"/>
          </w:r>
          <w:r>
            <w:instrText xml:space="preserve"> HYPERLINK \l "_Toc17130" </w:instrText>
          </w:r>
          <w:r>
            <w:fldChar w:fldCharType="separate"/>
          </w:r>
          <w:r>
            <w:rPr>
              <w:rFonts w:ascii="黑体" w:hAnsi="黑体" w:eastAsia="黑体"/>
              <w:b/>
            </w:rPr>
            <w:t>第二部分 2021年度</w:t>
          </w:r>
          <w:r>
            <w:rPr>
              <w:rFonts w:ascii="黑体" w:hAnsi="黑体" w:eastAsia="黑体"/>
              <w:b/>
              <w:bCs/>
            </w:rPr>
            <w:t>单位决算情况说明</w:t>
          </w:r>
          <w:r>
            <w:rPr>
              <w:b/>
            </w:rPr>
            <w:tab/>
          </w:r>
          <w:r>
            <w:rPr>
              <w:b/>
            </w:rPr>
            <w:fldChar w:fldCharType="begin"/>
          </w:r>
          <w:r>
            <w:rPr>
              <w:b/>
            </w:rPr>
            <w:instrText xml:space="preserve"> PAGEREF _Toc17130 </w:instrText>
          </w:r>
          <w:r>
            <w:rPr>
              <w:b/>
            </w:rPr>
            <w:fldChar w:fldCharType="separate"/>
          </w:r>
          <w:r>
            <w:rPr>
              <w:b/>
            </w:rPr>
            <w:t>4</w:t>
          </w:r>
          <w:r>
            <w:rPr>
              <w:b/>
            </w:rPr>
            <w:fldChar w:fldCharType="end"/>
          </w:r>
          <w:r>
            <w:rPr>
              <w:b/>
            </w:rPr>
            <w:fldChar w:fldCharType="end"/>
          </w:r>
        </w:p>
        <w:p>
          <w:pPr>
            <w:pStyle w:val="26"/>
            <w:tabs>
              <w:tab w:val="right" w:leader="dot" w:pos="8306"/>
            </w:tabs>
            <w:ind w:left="400"/>
          </w:pPr>
          <w:r>
            <w:fldChar w:fldCharType="begin"/>
          </w:r>
          <w:r>
            <w:instrText xml:space="preserve"> HYPERLINK \l "_Toc17667" </w:instrText>
          </w:r>
          <w:r>
            <w:fldChar w:fldCharType="separate"/>
          </w:r>
          <w:r>
            <w:rPr>
              <w:rFonts w:hint="eastAsia" w:ascii="黑体" w:hAnsi="黑体" w:eastAsia="黑体"/>
              <w:szCs w:val="32"/>
            </w:rPr>
            <w:t>一、</w:t>
          </w:r>
          <w:r>
            <w:rPr>
              <w:rFonts w:ascii="黑体" w:hAnsi="黑体" w:eastAsia="黑体"/>
              <w:szCs w:val="32"/>
            </w:rPr>
            <w:t>收</w:t>
          </w:r>
          <w:r>
            <w:rPr>
              <w:rFonts w:ascii="黑体" w:hAnsi="黑体" w:eastAsia="黑体"/>
            </w:rPr>
            <w:t>入支出决算总体情况说明</w:t>
          </w:r>
          <w:r>
            <w:tab/>
          </w:r>
          <w:r>
            <w:fldChar w:fldCharType="begin"/>
          </w:r>
          <w:r>
            <w:instrText xml:space="preserve"> PAGEREF _Toc17667 </w:instrText>
          </w:r>
          <w:r>
            <w:fldChar w:fldCharType="separate"/>
          </w:r>
          <w:r>
            <w:t>4</w:t>
          </w:r>
          <w:r>
            <w:fldChar w:fldCharType="end"/>
          </w:r>
          <w:r>
            <w:fldChar w:fldCharType="end"/>
          </w:r>
        </w:p>
        <w:p>
          <w:pPr>
            <w:pStyle w:val="26"/>
            <w:tabs>
              <w:tab w:val="right" w:leader="dot" w:pos="8306"/>
            </w:tabs>
            <w:ind w:left="400"/>
          </w:pPr>
          <w:r>
            <w:fldChar w:fldCharType="begin"/>
          </w:r>
          <w:r>
            <w:instrText xml:space="preserve"> HYPERLINK \l "_Toc29255" </w:instrText>
          </w:r>
          <w:r>
            <w:fldChar w:fldCharType="separate"/>
          </w:r>
          <w:r>
            <w:rPr>
              <w:rFonts w:hint="eastAsia" w:ascii="黑体" w:hAnsi="黑体" w:eastAsia="黑体"/>
              <w:szCs w:val="32"/>
            </w:rPr>
            <w:t>二、</w:t>
          </w:r>
          <w:r>
            <w:rPr>
              <w:rFonts w:ascii="黑体" w:hAnsi="黑体" w:eastAsia="黑体"/>
              <w:szCs w:val="32"/>
            </w:rPr>
            <w:t>收</w:t>
          </w:r>
          <w:r>
            <w:rPr>
              <w:rFonts w:ascii="黑体" w:hAnsi="黑体" w:eastAsia="黑体"/>
            </w:rPr>
            <w:t>入决算情况说明</w:t>
          </w:r>
          <w:r>
            <w:tab/>
          </w:r>
          <w:r>
            <w:fldChar w:fldCharType="begin"/>
          </w:r>
          <w:r>
            <w:instrText xml:space="preserve"> PAGEREF _Toc29255 </w:instrText>
          </w:r>
          <w:r>
            <w:fldChar w:fldCharType="separate"/>
          </w:r>
          <w:r>
            <w:t>5</w:t>
          </w:r>
          <w:r>
            <w:fldChar w:fldCharType="end"/>
          </w:r>
          <w:r>
            <w:fldChar w:fldCharType="end"/>
          </w:r>
        </w:p>
        <w:p>
          <w:pPr>
            <w:pStyle w:val="26"/>
            <w:tabs>
              <w:tab w:val="right" w:leader="dot" w:pos="8306"/>
            </w:tabs>
            <w:ind w:left="400"/>
          </w:pPr>
          <w:r>
            <w:fldChar w:fldCharType="begin"/>
          </w:r>
          <w:r>
            <w:instrText xml:space="preserve"> HYPERLINK \l "_Toc26549" </w:instrText>
          </w:r>
          <w:r>
            <w:fldChar w:fldCharType="separate"/>
          </w:r>
          <w:r>
            <w:rPr>
              <w:rFonts w:hint="eastAsia" w:ascii="黑体" w:hAnsi="黑体" w:eastAsia="黑体"/>
              <w:szCs w:val="32"/>
            </w:rPr>
            <w:t>三、</w:t>
          </w:r>
          <w:r>
            <w:rPr>
              <w:rFonts w:ascii="黑体" w:hAnsi="黑体" w:eastAsia="黑体"/>
              <w:szCs w:val="32"/>
            </w:rPr>
            <w:t>支</w:t>
          </w:r>
          <w:r>
            <w:rPr>
              <w:rFonts w:ascii="黑体" w:hAnsi="黑体" w:eastAsia="黑体"/>
            </w:rPr>
            <w:t>出决算情况说明</w:t>
          </w:r>
          <w:r>
            <w:tab/>
          </w:r>
          <w:r>
            <w:fldChar w:fldCharType="begin"/>
          </w:r>
          <w:r>
            <w:instrText xml:space="preserve"> PAGEREF _Toc26549 </w:instrText>
          </w:r>
          <w:r>
            <w:fldChar w:fldCharType="separate"/>
          </w:r>
          <w:r>
            <w:t>5</w:t>
          </w:r>
          <w:r>
            <w:fldChar w:fldCharType="end"/>
          </w:r>
          <w:r>
            <w:fldChar w:fldCharType="end"/>
          </w:r>
        </w:p>
        <w:p>
          <w:pPr>
            <w:pStyle w:val="26"/>
            <w:tabs>
              <w:tab w:val="right" w:leader="dot" w:pos="8306"/>
            </w:tabs>
            <w:ind w:left="400"/>
          </w:pPr>
          <w:r>
            <w:fldChar w:fldCharType="begin"/>
          </w:r>
          <w:r>
            <w:instrText xml:space="preserve"> HYPERLINK \l "_Toc20885" </w:instrText>
          </w:r>
          <w:r>
            <w:fldChar w:fldCharType="separate"/>
          </w:r>
          <w:r>
            <w:rPr>
              <w:rFonts w:ascii="黑体" w:hAnsi="黑体" w:eastAsia="黑体"/>
              <w:szCs w:val="32"/>
            </w:rPr>
            <w:t>四、财</w:t>
          </w:r>
          <w:r>
            <w:rPr>
              <w:rFonts w:ascii="黑体" w:hAnsi="黑体" w:eastAsia="黑体"/>
            </w:rPr>
            <w:t>政拨款收入支出决算总体情况说明</w:t>
          </w:r>
          <w:r>
            <w:tab/>
          </w:r>
          <w:r>
            <w:fldChar w:fldCharType="begin"/>
          </w:r>
          <w:r>
            <w:instrText xml:space="preserve"> PAGEREF _Toc20885 </w:instrText>
          </w:r>
          <w:r>
            <w:fldChar w:fldCharType="separate"/>
          </w:r>
          <w:r>
            <w:t>6</w:t>
          </w:r>
          <w:r>
            <w:fldChar w:fldCharType="end"/>
          </w:r>
          <w:r>
            <w:fldChar w:fldCharType="end"/>
          </w:r>
        </w:p>
        <w:p>
          <w:pPr>
            <w:pStyle w:val="26"/>
            <w:tabs>
              <w:tab w:val="right" w:leader="dot" w:pos="8306"/>
            </w:tabs>
            <w:ind w:left="400"/>
          </w:pPr>
          <w:r>
            <w:fldChar w:fldCharType="begin"/>
          </w:r>
          <w:r>
            <w:instrText xml:space="preserve"> HYPERLINK \l "_Toc25075" </w:instrText>
          </w:r>
          <w:r>
            <w:fldChar w:fldCharType="separate"/>
          </w:r>
          <w:r>
            <w:rPr>
              <w:rFonts w:ascii="黑体" w:hAnsi="黑体" w:eastAsia="黑体"/>
              <w:szCs w:val="32"/>
            </w:rPr>
            <w:t>五、一</w:t>
          </w:r>
          <w:r>
            <w:rPr>
              <w:rFonts w:ascii="黑体" w:hAnsi="黑体" w:eastAsia="黑体"/>
            </w:rPr>
            <w:t>般公共预算财政拨款支出决算情况说明</w:t>
          </w:r>
          <w:r>
            <w:tab/>
          </w:r>
          <w:r>
            <w:fldChar w:fldCharType="begin"/>
          </w:r>
          <w:r>
            <w:instrText xml:space="preserve"> PAGEREF _Toc25075 </w:instrText>
          </w:r>
          <w:r>
            <w:fldChar w:fldCharType="separate"/>
          </w:r>
          <w:r>
            <w:t>6</w:t>
          </w:r>
          <w:r>
            <w:fldChar w:fldCharType="end"/>
          </w:r>
          <w:r>
            <w:fldChar w:fldCharType="end"/>
          </w:r>
        </w:p>
        <w:p>
          <w:pPr>
            <w:pStyle w:val="26"/>
            <w:tabs>
              <w:tab w:val="right" w:leader="dot" w:pos="8306"/>
            </w:tabs>
            <w:ind w:left="400"/>
          </w:pPr>
          <w:r>
            <w:fldChar w:fldCharType="begin"/>
          </w:r>
          <w:r>
            <w:instrText xml:space="preserve"> HYPERLINK \l "_Toc25603" </w:instrText>
          </w:r>
          <w:r>
            <w:fldChar w:fldCharType="separate"/>
          </w:r>
          <w:r>
            <w:rPr>
              <w:rFonts w:ascii="黑体" w:hAnsi="黑体" w:eastAsia="黑体"/>
              <w:szCs w:val="32"/>
            </w:rPr>
            <w:t>六、一</w:t>
          </w:r>
          <w:r>
            <w:rPr>
              <w:rFonts w:ascii="黑体" w:hAnsi="黑体" w:eastAsia="黑体"/>
            </w:rPr>
            <w:t>般公共预算财政拨款基本支出决算情况说明</w:t>
          </w:r>
          <w:r>
            <w:tab/>
          </w:r>
          <w:r>
            <w:fldChar w:fldCharType="begin"/>
          </w:r>
          <w:r>
            <w:instrText xml:space="preserve"> PAGEREF _Toc25603 </w:instrText>
          </w:r>
          <w:r>
            <w:fldChar w:fldCharType="separate"/>
          </w:r>
          <w:r>
            <w:t>9</w:t>
          </w:r>
          <w:r>
            <w:fldChar w:fldCharType="end"/>
          </w:r>
          <w:r>
            <w:fldChar w:fldCharType="end"/>
          </w:r>
        </w:p>
        <w:p>
          <w:pPr>
            <w:pStyle w:val="26"/>
            <w:tabs>
              <w:tab w:val="right" w:leader="dot" w:pos="8306"/>
            </w:tabs>
            <w:ind w:left="400"/>
          </w:pPr>
          <w:r>
            <w:fldChar w:fldCharType="begin"/>
          </w:r>
          <w:r>
            <w:instrText xml:space="preserve"> HYPERLINK \l "_Toc13000" </w:instrText>
          </w:r>
          <w:r>
            <w:fldChar w:fldCharType="separate"/>
          </w:r>
          <w:r>
            <w:rPr>
              <w:rFonts w:ascii="黑体" w:hAnsi="黑体" w:eastAsia="黑体"/>
              <w:szCs w:val="32"/>
            </w:rPr>
            <w:t>七、</w:t>
          </w:r>
          <w:r>
            <w:rPr>
              <w:rFonts w:ascii="黑体" w:hAnsi="黑体" w:eastAsia="黑体"/>
            </w:rPr>
            <w:t>“三公”经费财政拨款支出决算情况说明</w:t>
          </w:r>
          <w:r>
            <w:tab/>
          </w:r>
          <w:r>
            <w:fldChar w:fldCharType="begin"/>
          </w:r>
          <w:r>
            <w:instrText xml:space="preserve"> PAGEREF _Toc13000 </w:instrText>
          </w:r>
          <w:r>
            <w:fldChar w:fldCharType="separate"/>
          </w:r>
          <w:r>
            <w:t>9</w:t>
          </w:r>
          <w:r>
            <w:fldChar w:fldCharType="end"/>
          </w:r>
          <w:r>
            <w:fldChar w:fldCharType="end"/>
          </w:r>
        </w:p>
        <w:p>
          <w:pPr>
            <w:pStyle w:val="26"/>
            <w:tabs>
              <w:tab w:val="right" w:leader="dot" w:pos="8306"/>
            </w:tabs>
            <w:ind w:left="400"/>
          </w:pPr>
          <w:r>
            <w:fldChar w:fldCharType="begin"/>
          </w:r>
          <w:r>
            <w:instrText xml:space="preserve"> HYPERLINK \l "_Toc15432" </w:instrText>
          </w:r>
          <w:r>
            <w:fldChar w:fldCharType="separate"/>
          </w:r>
          <w:r>
            <w:rPr>
              <w:rFonts w:ascii="黑体" w:hAnsi="黑体" w:eastAsia="黑体"/>
              <w:szCs w:val="32"/>
            </w:rPr>
            <w:t>八、</w:t>
          </w:r>
          <w:r>
            <w:rPr>
              <w:rFonts w:ascii="黑体" w:hAnsi="黑体" w:eastAsia="黑体"/>
            </w:rPr>
            <w:t>政府性基金预算支出决算情况说明</w:t>
          </w:r>
          <w:r>
            <w:tab/>
          </w:r>
          <w:r>
            <w:fldChar w:fldCharType="begin"/>
          </w:r>
          <w:r>
            <w:instrText xml:space="preserve"> PAGEREF _Toc15432 </w:instrText>
          </w:r>
          <w:r>
            <w:fldChar w:fldCharType="separate"/>
          </w:r>
          <w:r>
            <w:t>11</w:t>
          </w:r>
          <w:r>
            <w:fldChar w:fldCharType="end"/>
          </w:r>
          <w:r>
            <w:fldChar w:fldCharType="end"/>
          </w:r>
        </w:p>
        <w:p>
          <w:pPr>
            <w:pStyle w:val="26"/>
            <w:tabs>
              <w:tab w:val="right" w:leader="dot" w:pos="8306"/>
            </w:tabs>
            <w:ind w:left="400"/>
          </w:pPr>
          <w:r>
            <w:fldChar w:fldCharType="begin"/>
          </w:r>
          <w:r>
            <w:instrText xml:space="preserve"> HYPERLINK \l "_Toc8266" </w:instrText>
          </w:r>
          <w:r>
            <w:fldChar w:fldCharType="separate"/>
          </w:r>
          <w:r>
            <w:rPr>
              <w:rFonts w:ascii="黑体" w:hAnsi="黑体" w:eastAsia="黑体"/>
              <w:szCs w:val="32"/>
            </w:rPr>
            <w:t>九、国有资本经营预算支出决算情况说明</w:t>
          </w:r>
          <w:r>
            <w:tab/>
          </w:r>
          <w:r>
            <w:fldChar w:fldCharType="begin"/>
          </w:r>
          <w:r>
            <w:instrText xml:space="preserve"> PAGEREF _Toc8266 </w:instrText>
          </w:r>
          <w:r>
            <w:fldChar w:fldCharType="separate"/>
          </w:r>
          <w:r>
            <w:t>11</w:t>
          </w:r>
          <w:r>
            <w:fldChar w:fldCharType="end"/>
          </w:r>
          <w:r>
            <w:fldChar w:fldCharType="end"/>
          </w:r>
        </w:p>
        <w:p>
          <w:pPr>
            <w:pStyle w:val="26"/>
            <w:tabs>
              <w:tab w:val="right" w:leader="dot" w:pos="8306"/>
            </w:tabs>
            <w:ind w:left="400"/>
          </w:pPr>
          <w:r>
            <w:fldChar w:fldCharType="begin"/>
          </w:r>
          <w:r>
            <w:instrText xml:space="preserve"> HYPERLINK \l "_Toc3314" </w:instrText>
          </w:r>
          <w:r>
            <w:fldChar w:fldCharType="separate"/>
          </w:r>
          <w:r>
            <w:rPr>
              <w:rFonts w:hint="eastAsia" w:ascii="黑体" w:hAnsi="黑体" w:eastAsia="黑体"/>
              <w:szCs w:val="32"/>
            </w:rPr>
            <w:t>十、</w:t>
          </w:r>
          <w:r>
            <w:rPr>
              <w:rFonts w:ascii="黑体" w:hAnsi="黑体" w:eastAsia="黑体"/>
              <w:szCs w:val="32"/>
            </w:rPr>
            <w:t>其他重要事项的情况说明</w:t>
          </w:r>
          <w:r>
            <w:tab/>
          </w:r>
          <w:r>
            <w:fldChar w:fldCharType="begin"/>
          </w:r>
          <w:r>
            <w:instrText xml:space="preserve"> PAGEREF _Toc3314 </w:instrText>
          </w:r>
          <w:r>
            <w:fldChar w:fldCharType="separate"/>
          </w:r>
          <w:r>
            <w:t>11</w:t>
          </w:r>
          <w:r>
            <w:fldChar w:fldCharType="end"/>
          </w:r>
          <w:r>
            <w:fldChar w:fldCharType="end"/>
          </w:r>
        </w:p>
        <w:p>
          <w:pPr>
            <w:pStyle w:val="25"/>
            <w:tabs>
              <w:tab w:val="right" w:leader="dot" w:pos="8306"/>
            </w:tabs>
            <w:rPr>
              <w:b/>
            </w:rPr>
          </w:pPr>
          <w:r>
            <w:fldChar w:fldCharType="begin"/>
          </w:r>
          <w:r>
            <w:instrText xml:space="preserve"> HYPERLINK \l "_Toc28256" </w:instrText>
          </w:r>
          <w:r>
            <w:fldChar w:fldCharType="separate"/>
          </w:r>
          <w:r>
            <w:rPr>
              <w:rFonts w:ascii="黑体" w:hAnsi="黑体" w:eastAsia="黑体" w:cs="黑体"/>
              <w:b/>
              <w:szCs w:val="44"/>
            </w:rPr>
            <w:t xml:space="preserve">第三部分 </w:t>
          </w:r>
          <w:r>
            <w:rPr>
              <w:rFonts w:ascii="黑体" w:hAnsi="黑体" w:eastAsia="黑体"/>
              <w:b/>
              <w:szCs w:val="44"/>
            </w:rPr>
            <w:t>名</w:t>
          </w:r>
          <w:r>
            <w:rPr>
              <w:rFonts w:ascii="黑体" w:hAnsi="黑体" w:eastAsia="黑体"/>
              <w:b/>
            </w:rPr>
            <w:t>词解释</w:t>
          </w:r>
          <w:r>
            <w:rPr>
              <w:b/>
            </w:rPr>
            <w:tab/>
          </w:r>
          <w:r>
            <w:rPr>
              <w:b/>
            </w:rPr>
            <w:fldChar w:fldCharType="begin"/>
          </w:r>
          <w:r>
            <w:rPr>
              <w:b/>
            </w:rPr>
            <w:instrText xml:space="preserve"> PAGEREF _Toc28256 </w:instrText>
          </w:r>
          <w:r>
            <w:rPr>
              <w:b/>
            </w:rPr>
            <w:fldChar w:fldCharType="separate"/>
          </w:r>
          <w:r>
            <w:rPr>
              <w:b/>
            </w:rPr>
            <w:t>12</w:t>
          </w:r>
          <w:r>
            <w:rPr>
              <w:b/>
            </w:rPr>
            <w:fldChar w:fldCharType="end"/>
          </w:r>
          <w:r>
            <w:rPr>
              <w:b/>
            </w:rPr>
            <w:fldChar w:fldCharType="end"/>
          </w:r>
        </w:p>
        <w:p>
          <w:pPr>
            <w:pStyle w:val="25"/>
            <w:tabs>
              <w:tab w:val="right" w:leader="dot" w:pos="8306"/>
            </w:tabs>
            <w:rPr>
              <w:b/>
            </w:rPr>
          </w:pPr>
          <w:r>
            <w:fldChar w:fldCharType="begin"/>
          </w:r>
          <w:r>
            <w:instrText xml:space="preserve"> HYPERLINK \l "_Toc16273" </w:instrText>
          </w:r>
          <w:r>
            <w:fldChar w:fldCharType="separate"/>
          </w:r>
          <w:r>
            <w:rPr>
              <w:rFonts w:hint="eastAsia" w:ascii="黑体" w:hAnsi="黑体" w:eastAsia="黑体"/>
              <w:b/>
            </w:rPr>
            <w:t xml:space="preserve">第四部分 </w:t>
          </w:r>
          <w:r>
            <w:rPr>
              <w:rFonts w:ascii="黑体" w:hAnsi="黑体" w:eastAsia="黑体"/>
              <w:b/>
            </w:rPr>
            <w:t>附件</w:t>
          </w:r>
          <w:r>
            <w:rPr>
              <w:b/>
            </w:rPr>
            <w:tab/>
          </w:r>
          <w:r>
            <w:rPr>
              <w:b/>
            </w:rPr>
            <w:fldChar w:fldCharType="begin"/>
          </w:r>
          <w:r>
            <w:rPr>
              <w:b/>
            </w:rPr>
            <w:instrText xml:space="preserve"> PAGEREF _Toc16273 </w:instrText>
          </w:r>
          <w:r>
            <w:rPr>
              <w:b/>
            </w:rPr>
            <w:fldChar w:fldCharType="separate"/>
          </w:r>
          <w:r>
            <w:rPr>
              <w:b/>
            </w:rPr>
            <w:t>14</w:t>
          </w:r>
          <w:r>
            <w:rPr>
              <w:b/>
            </w:rPr>
            <w:fldChar w:fldCharType="end"/>
          </w:r>
          <w:r>
            <w:rPr>
              <w:b/>
            </w:rPr>
            <w:fldChar w:fldCharType="end"/>
          </w:r>
        </w:p>
        <w:p>
          <w:pPr>
            <w:pStyle w:val="25"/>
            <w:tabs>
              <w:tab w:val="right" w:leader="dot" w:pos="8306"/>
            </w:tabs>
            <w:rPr>
              <w:b/>
            </w:rPr>
          </w:pPr>
          <w:r>
            <w:fldChar w:fldCharType="begin"/>
          </w:r>
          <w:r>
            <w:instrText xml:space="preserve"> HYPERLINK \l "_Toc10765" </w:instrText>
          </w:r>
          <w:r>
            <w:fldChar w:fldCharType="separate"/>
          </w:r>
          <w:r>
            <w:rPr>
              <w:rFonts w:ascii="黑体" w:hAnsi="黑体" w:eastAsia="黑体"/>
              <w:b/>
              <w:szCs w:val="44"/>
            </w:rPr>
            <w:t>第</w:t>
          </w:r>
          <w:r>
            <w:rPr>
              <w:rFonts w:ascii="黑体" w:hAnsi="黑体" w:eastAsia="黑体"/>
              <w:b/>
            </w:rPr>
            <w:t>五部分 附表</w:t>
          </w:r>
          <w:r>
            <w:rPr>
              <w:b/>
            </w:rPr>
            <w:tab/>
          </w:r>
          <w:r>
            <w:rPr>
              <w:b/>
            </w:rPr>
            <w:fldChar w:fldCharType="begin"/>
          </w:r>
          <w:r>
            <w:rPr>
              <w:b/>
            </w:rPr>
            <w:instrText xml:space="preserve"> PAGEREF _Toc10765 </w:instrText>
          </w:r>
          <w:r>
            <w:rPr>
              <w:b/>
            </w:rPr>
            <w:fldChar w:fldCharType="separate"/>
          </w:r>
          <w:r>
            <w:rPr>
              <w:b/>
            </w:rPr>
            <w:t>17</w:t>
          </w:r>
          <w:r>
            <w:rPr>
              <w:b/>
            </w:rPr>
            <w:fldChar w:fldCharType="end"/>
          </w:r>
          <w:r>
            <w:rPr>
              <w:b/>
            </w:rPr>
            <w:fldChar w:fldCharType="end"/>
          </w:r>
        </w:p>
        <w:p>
          <w:pPr>
            <w:pStyle w:val="26"/>
            <w:tabs>
              <w:tab w:val="right" w:leader="dot" w:pos="8306"/>
            </w:tabs>
            <w:ind w:left="400"/>
          </w:pPr>
          <w:r>
            <w:fldChar w:fldCharType="begin"/>
          </w:r>
          <w:r>
            <w:instrText xml:space="preserve"> HYPERLINK \l "_Toc19313" </w:instrText>
          </w:r>
          <w:r>
            <w:fldChar w:fldCharType="separate"/>
          </w:r>
          <w:r>
            <w:rPr>
              <w:rFonts w:ascii="仿宋" w:hAnsi="仿宋" w:eastAsia="仿宋"/>
            </w:rPr>
            <w:t>一、收入支出决算总表</w:t>
          </w:r>
          <w:r>
            <w:tab/>
          </w:r>
          <w:r>
            <w:fldChar w:fldCharType="begin"/>
          </w:r>
          <w:r>
            <w:instrText xml:space="preserve"> PAGEREF _Toc19313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"_Toc32331" </w:instrText>
          </w:r>
          <w:r>
            <w:fldChar w:fldCharType="separate"/>
          </w:r>
          <w:r>
            <w:rPr>
              <w:rFonts w:ascii="仿宋" w:hAnsi="仿宋" w:eastAsia="仿宋"/>
            </w:rPr>
            <w:t>二、收入决算表</w:t>
          </w:r>
          <w:r>
            <w:tab/>
          </w:r>
          <w:r>
            <w:fldChar w:fldCharType="begin"/>
          </w:r>
          <w:r>
            <w:instrText xml:space="preserve"> PAGEREF _Toc32331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"_Toc4446" </w:instrText>
          </w:r>
          <w:r>
            <w:fldChar w:fldCharType="separate"/>
          </w:r>
          <w:r>
            <w:rPr>
              <w:rFonts w:ascii="仿宋" w:hAnsi="仿宋" w:eastAsia="仿宋"/>
            </w:rPr>
            <w:t>三、支出决算表</w:t>
          </w:r>
          <w:r>
            <w:tab/>
          </w:r>
          <w:r>
            <w:fldChar w:fldCharType="begin"/>
          </w:r>
          <w:r>
            <w:instrText xml:space="preserve"> PAGEREF _Toc4446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"_Toc17198" </w:instrText>
          </w:r>
          <w:r>
            <w:fldChar w:fldCharType="separate"/>
          </w:r>
          <w:r>
            <w:rPr>
              <w:rFonts w:ascii="仿宋" w:hAnsi="仿宋" w:eastAsia="仿宋"/>
            </w:rPr>
            <w:t>四、财政拨款收入支出决算总表</w:t>
          </w:r>
          <w:r>
            <w:tab/>
          </w:r>
          <w:r>
            <w:fldChar w:fldCharType="begin"/>
          </w:r>
          <w:r>
            <w:instrText xml:space="preserve"> PAGEREF _Toc17198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"_Toc25303" </w:instrText>
          </w:r>
          <w:r>
            <w:fldChar w:fldCharType="separate"/>
          </w:r>
          <w:r>
            <w:rPr>
              <w:rFonts w:ascii="仿宋" w:hAnsi="仿宋" w:eastAsia="仿宋"/>
            </w:rPr>
            <w:t>五、财政拨款支出决算明细表</w:t>
          </w:r>
          <w:r>
            <w:tab/>
          </w:r>
          <w:r>
            <w:fldChar w:fldCharType="begin"/>
          </w:r>
          <w:r>
            <w:instrText xml:space="preserve"> PAGEREF _Toc25303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"_Toc16898" </w:instrText>
          </w:r>
          <w:r>
            <w:fldChar w:fldCharType="separate"/>
          </w:r>
          <w:r>
            <w:rPr>
              <w:rFonts w:ascii="仿宋" w:hAnsi="仿宋" w:eastAsia="仿宋"/>
            </w:rPr>
            <w:t>六、一般公共预算财政拨款支出决算表</w:t>
          </w:r>
          <w:r>
            <w:tab/>
          </w:r>
          <w:r>
            <w:fldChar w:fldCharType="begin"/>
          </w:r>
          <w:r>
            <w:instrText xml:space="preserve"> PAGEREF _Toc16898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"_Toc4543" </w:instrText>
          </w:r>
          <w:r>
            <w:fldChar w:fldCharType="separate"/>
          </w:r>
          <w:r>
            <w:rPr>
              <w:rFonts w:ascii="仿宋" w:hAnsi="仿宋" w:eastAsia="仿宋"/>
            </w:rPr>
            <w:t>七、一般公共预算财政拨款支出决算明细表</w:t>
          </w:r>
          <w:r>
            <w:tab/>
          </w:r>
          <w:r>
            <w:fldChar w:fldCharType="begin"/>
          </w:r>
          <w:r>
            <w:instrText xml:space="preserve"> PAGEREF _Toc4543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"_Toc9151" </w:instrText>
          </w:r>
          <w:r>
            <w:fldChar w:fldCharType="separate"/>
          </w:r>
          <w:r>
            <w:rPr>
              <w:rFonts w:ascii="仿宋" w:hAnsi="仿宋" w:eastAsia="仿宋"/>
            </w:rPr>
            <w:t>八、一般公共预算财政拨款基本支出决算表</w:t>
          </w:r>
          <w:r>
            <w:tab/>
          </w:r>
          <w:r>
            <w:fldChar w:fldCharType="begin"/>
          </w:r>
          <w:r>
            <w:instrText xml:space="preserve"> PAGEREF _Toc9151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"_Toc20295" </w:instrText>
          </w:r>
          <w:r>
            <w:fldChar w:fldCharType="separate"/>
          </w:r>
          <w:r>
            <w:rPr>
              <w:rFonts w:ascii="仿宋" w:hAnsi="仿宋" w:eastAsia="仿宋"/>
            </w:rPr>
            <w:t>九、一般公共预算财政拨款项目支出决算表</w:t>
          </w:r>
          <w:r>
            <w:tab/>
          </w:r>
          <w:r>
            <w:fldChar w:fldCharType="begin"/>
          </w:r>
          <w:r>
            <w:instrText xml:space="preserve"> PAGEREF _Toc20295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"_Toc14469" </w:instrText>
          </w:r>
          <w:r>
            <w:fldChar w:fldCharType="separate"/>
          </w:r>
          <w:r>
            <w:rPr>
              <w:rFonts w:ascii="仿宋" w:hAnsi="仿宋" w:eastAsia="仿宋"/>
            </w:rPr>
            <w:t>十、一般公共预算财政拨款“三公”经费支出决算表</w:t>
          </w:r>
          <w:r>
            <w:tab/>
          </w:r>
          <w:r>
            <w:fldChar w:fldCharType="begin"/>
          </w:r>
          <w:r>
            <w:instrText xml:space="preserve"> PAGEREF _Toc14469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"_Toc18430" </w:instrText>
          </w:r>
          <w:r>
            <w:fldChar w:fldCharType="separate"/>
          </w:r>
          <w:r>
            <w:rPr>
              <w:rFonts w:ascii="仿宋" w:hAnsi="仿宋" w:eastAsia="仿宋"/>
            </w:rPr>
            <w:t>十一、政府性基金预算财政拨款收入支出决算表</w:t>
          </w:r>
          <w:r>
            <w:tab/>
          </w:r>
          <w:r>
            <w:fldChar w:fldCharType="begin"/>
          </w:r>
          <w:r>
            <w:instrText xml:space="preserve"> PAGEREF _Toc18430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"_Toc19430" </w:instrText>
          </w:r>
          <w:r>
            <w:fldChar w:fldCharType="separate"/>
          </w:r>
          <w:r>
            <w:rPr>
              <w:rFonts w:ascii="仿宋" w:hAnsi="仿宋" w:eastAsia="仿宋"/>
            </w:rPr>
            <w:t>十二、政府性基金预算财政拨款“三公”经费支出决算表</w:t>
          </w:r>
          <w:r>
            <w:tab/>
          </w:r>
          <w:r>
            <w:fldChar w:fldCharType="begin"/>
          </w:r>
          <w:r>
            <w:instrText xml:space="preserve"> PAGEREF _Toc19430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"_Toc11620" </w:instrText>
          </w:r>
          <w:r>
            <w:fldChar w:fldCharType="separate"/>
          </w:r>
          <w:r>
            <w:rPr>
              <w:rFonts w:ascii="仿宋" w:hAnsi="仿宋" w:eastAsia="仿宋"/>
            </w:rPr>
            <w:t>十三、国有资本经营预算财政拨款收入支出决算表</w:t>
          </w:r>
          <w:r>
            <w:tab/>
          </w:r>
          <w:r>
            <w:fldChar w:fldCharType="begin"/>
          </w:r>
          <w:r>
            <w:instrText xml:space="preserve"> PAGEREF _Toc11620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"_Toc29881" </w:instrText>
          </w:r>
          <w:r>
            <w:fldChar w:fldCharType="separate"/>
          </w:r>
          <w:r>
            <w:rPr>
              <w:rFonts w:ascii="仿宋" w:hAnsi="仿宋" w:eastAsia="仿宋"/>
            </w:rPr>
            <w:t>十四、国有资本经营预算财政拨款支出决算表</w:t>
          </w:r>
          <w:r>
            <w:tab/>
          </w:r>
          <w:r>
            <w:fldChar w:fldCharType="begin"/>
          </w:r>
          <w:r>
            <w:instrText xml:space="preserve"> PAGEREF _Toc29881 </w:instrText>
          </w:r>
          <w:r>
            <w:fldChar w:fldCharType="separate"/>
          </w:r>
          <w:r>
            <w:t>17</w:t>
          </w:r>
          <w:r>
            <w:fldChar w:fldCharType="end"/>
          </w:r>
          <w:r>
            <w:fldChar w:fldCharType="end"/>
          </w:r>
        </w:p>
        <w:p>
          <w:r>
            <w:rPr>
              <w:b/>
            </w:rPr>
            <w:fldChar w:fldCharType="end"/>
          </w:r>
        </w:p>
      </w:sdtContent>
    </w:sdt>
    <w:p>
      <w:pPr>
        <w:pStyle w:val="14"/>
        <w:widowControl/>
        <w:spacing w:line="440" w:lineRule="exact"/>
        <w:jc w:val="left"/>
        <w:rPr>
          <w:rFonts w:ascii="仿宋" w:hAnsi="仿宋" w:eastAsia="仿宋"/>
          <w:bCs/>
          <w:sz w:val="24"/>
        </w:rPr>
      </w:pPr>
      <w:r>
        <w:br w:type="page"/>
      </w:r>
    </w:p>
    <w:p>
      <w:pPr>
        <w:pStyle w:val="13"/>
        <w:jc w:val="center"/>
        <w:rPr>
          <w:rStyle w:val="12"/>
          <w:rFonts w:ascii="黑体" w:hAnsi="黑体" w:eastAsia="黑体"/>
          <w:b/>
          <w:bCs w:val="0"/>
        </w:rPr>
      </w:pPr>
      <w:bookmarkStart w:id="17" w:name="_Toc219"/>
      <w:r>
        <w:rPr>
          <w:rFonts w:ascii="黑体" w:hAnsi="黑体" w:eastAsia="黑体"/>
          <w:b w:val="0"/>
        </w:rPr>
        <w:t>第一部分 单位</w:t>
      </w:r>
      <w:r>
        <w:rPr>
          <w:rStyle w:val="12"/>
          <w:rFonts w:ascii="黑体" w:hAnsi="黑体" w:eastAsia="黑体"/>
          <w:b w:val="0"/>
          <w:bCs w:val="0"/>
        </w:rPr>
        <w:t>概况</w:t>
      </w:r>
      <w:bookmarkEnd w:id="16"/>
      <w:bookmarkEnd w:id="17"/>
    </w:p>
    <w:p>
      <w:pPr>
        <w:pStyle w:val="17"/>
        <w:spacing w:after="0" w:line="560" w:lineRule="exact"/>
        <w:ind w:firstLine="640" w:firstLineChars="200"/>
      </w:pPr>
      <w:bookmarkStart w:id="18" w:name="_Toc24413"/>
      <w:bookmarkStart w:id="19" w:name="_Toc15396600"/>
      <w:bookmarkStart w:id="20" w:name="_Toc15377197"/>
      <w:r>
        <w:rPr>
          <w:rStyle w:val="16"/>
          <w:rFonts w:ascii="黑体" w:hAnsi="黑体" w:eastAsia="黑体"/>
          <w:b w:val="0"/>
          <w:bCs w:val="0"/>
        </w:rPr>
        <w:t>一、职能简介</w:t>
      </w:r>
      <w:bookmarkEnd w:id="18"/>
    </w:p>
    <w:p>
      <w:pPr>
        <w:ind w:firstLine="800" w:firstLineChars="250"/>
        <w:rPr>
          <w:rFonts w:ascii="仿宋" w:hAnsi="仿宋" w:eastAsia="仿宋"/>
          <w:kern w:val="2"/>
          <w:sz w:val="32"/>
          <w:szCs w:val="32"/>
        </w:rPr>
      </w:pPr>
      <w:r>
        <w:rPr>
          <w:rFonts w:hint="eastAsia" w:ascii="仿宋" w:hAnsi="仿宋" w:eastAsia="仿宋"/>
          <w:kern w:val="2"/>
          <w:sz w:val="32"/>
          <w:szCs w:val="32"/>
        </w:rPr>
        <w:t>1.认真贯彻落实党和国家的方针、政策，正确执行上级主管部门的决议和指示，全面实施素质教育，</w:t>
      </w:r>
      <w:r>
        <w:rPr>
          <w:rFonts w:hint="eastAsia" w:ascii="仿宋" w:hAnsi="仿宋" w:eastAsia="仿宋"/>
          <w:kern w:val="2"/>
          <w:sz w:val="32"/>
          <w:szCs w:val="32"/>
          <w:u w:val="none" w:color="46CD7E"/>
          <w:shd w:val="clear" w:fill="auto"/>
          <w:lang w:eastAsia="zh-CN"/>
        </w:rPr>
        <w:t>培养从</w:t>
      </w:r>
      <w:r>
        <w:rPr>
          <w:rFonts w:hint="eastAsia" w:ascii="仿宋" w:hAnsi="仿宋" w:eastAsia="仿宋"/>
          <w:kern w:val="2"/>
          <w:sz w:val="32"/>
          <w:szCs w:val="32"/>
        </w:rPr>
        <w:t>德、智、体、美等方面全面发展的社会主义事业的建设者和接班人。</w:t>
      </w:r>
    </w:p>
    <w:p>
      <w:pPr>
        <w:ind w:firstLine="800" w:firstLineChars="250"/>
        <w:rPr>
          <w:rFonts w:ascii="仿宋" w:hAnsi="仿宋" w:eastAsia="仿宋"/>
          <w:kern w:val="2"/>
          <w:sz w:val="32"/>
          <w:szCs w:val="32"/>
        </w:rPr>
      </w:pPr>
      <w:r>
        <w:rPr>
          <w:rFonts w:hint="eastAsia" w:ascii="仿宋" w:hAnsi="仿宋" w:eastAsia="仿宋"/>
          <w:kern w:val="2"/>
          <w:sz w:val="32"/>
          <w:szCs w:val="32"/>
        </w:rPr>
        <w:t>2.编制年度财政预算并执行，管理和监督各项财政收支。</w:t>
      </w:r>
    </w:p>
    <w:p>
      <w:pPr>
        <w:ind w:firstLine="800" w:firstLineChars="250"/>
        <w:rPr>
          <w:rFonts w:ascii="仿宋" w:hAnsi="仿宋" w:eastAsia="仿宋"/>
          <w:kern w:val="2"/>
          <w:sz w:val="32"/>
          <w:szCs w:val="32"/>
        </w:rPr>
      </w:pPr>
      <w:r>
        <w:rPr>
          <w:rFonts w:hint="eastAsia" w:ascii="仿宋" w:hAnsi="仿宋" w:eastAsia="仿宋"/>
          <w:kern w:val="2"/>
          <w:sz w:val="32"/>
          <w:szCs w:val="32"/>
        </w:rPr>
        <w:t>3.</w:t>
      </w:r>
      <w:r>
        <w:rPr>
          <w:rFonts w:hint="eastAsia" w:ascii="仿宋" w:hAnsi="仿宋" w:eastAsia="仿宋"/>
          <w:kern w:val="2"/>
          <w:sz w:val="32"/>
          <w:szCs w:val="32"/>
          <w:u w:val="none" w:color="46CD7E"/>
          <w:shd w:val="clear" w:fill="auto"/>
          <w:lang w:eastAsia="zh-CN"/>
        </w:rPr>
        <w:t>管理好</w:t>
      </w:r>
      <w:r>
        <w:rPr>
          <w:rFonts w:hint="eastAsia" w:ascii="仿宋" w:hAnsi="仿宋" w:eastAsia="仿宋"/>
          <w:kern w:val="2"/>
          <w:sz w:val="32"/>
          <w:szCs w:val="32"/>
        </w:rPr>
        <w:t>各类政策性补贴等资金，进一步完善财政补贴惠民资金“一卡（折）通”发放机制。</w:t>
      </w:r>
    </w:p>
    <w:p>
      <w:pPr>
        <w:ind w:firstLine="800" w:firstLineChars="250"/>
        <w:rPr>
          <w:rFonts w:ascii="仿宋" w:hAnsi="仿宋" w:eastAsia="仿宋"/>
          <w:kern w:val="2"/>
          <w:sz w:val="32"/>
          <w:szCs w:val="32"/>
        </w:rPr>
      </w:pPr>
      <w:r>
        <w:rPr>
          <w:rFonts w:hint="eastAsia" w:ascii="仿宋" w:hAnsi="仿宋" w:eastAsia="仿宋"/>
          <w:kern w:val="2"/>
          <w:sz w:val="32"/>
          <w:szCs w:val="32"/>
        </w:rPr>
        <w:t>4.负责对各类专项资金的监管，提高财政资金使用效率。</w:t>
      </w:r>
    </w:p>
    <w:p>
      <w:pPr>
        <w:ind w:firstLine="800" w:firstLineChars="250"/>
        <w:rPr>
          <w:rFonts w:ascii="仿宋" w:hAnsi="仿宋" w:eastAsia="仿宋"/>
          <w:kern w:val="2"/>
          <w:sz w:val="32"/>
          <w:szCs w:val="32"/>
        </w:rPr>
      </w:pPr>
      <w:r>
        <w:rPr>
          <w:rFonts w:hint="eastAsia" w:ascii="仿宋" w:hAnsi="仿宋" w:eastAsia="仿宋"/>
          <w:kern w:val="2"/>
          <w:sz w:val="32"/>
          <w:szCs w:val="32"/>
        </w:rPr>
        <w:t>5.管理好幼儿园非税收入。</w:t>
      </w:r>
    </w:p>
    <w:p>
      <w:pPr>
        <w:ind w:firstLine="800" w:firstLineChars="250"/>
        <w:rPr>
          <w:rFonts w:ascii="仿宋" w:hAnsi="仿宋" w:eastAsia="仿宋"/>
          <w:kern w:val="2"/>
          <w:sz w:val="32"/>
          <w:szCs w:val="32"/>
        </w:rPr>
      </w:pPr>
      <w:r>
        <w:rPr>
          <w:rFonts w:hint="eastAsia" w:ascii="仿宋" w:hAnsi="仿宋" w:eastAsia="仿宋"/>
          <w:kern w:val="2"/>
          <w:sz w:val="32"/>
          <w:szCs w:val="32"/>
        </w:rPr>
        <w:t>6.提供加强财政管理的政策建议，负责</w:t>
      </w:r>
      <w:r>
        <w:rPr>
          <w:rFonts w:hint="eastAsia" w:ascii="仿宋" w:hAnsi="仿宋" w:eastAsia="仿宋"/>
          <w:kern w:val="2"/>
          <w:sz w:val="32"/>
          <w:szCs w:val="32"/>
          <w:u w:val="none" w:color="FFB03A"/>
          <w:shd w:val="clear" w:fill="auto"/>
        </w:rPr>
        <w:t>财政</w:t>
      </w:r>
      <w:r>
        <w:rPr>
          <w:rFonts w:hint="eastAsia" w:ascii="仿宋" w:hAnsi="仿宋" w:eastAsia="仿宋"/>
          <w:kern w:val="2"/>
          <w:sz w:val="32"/>
          <w:szCs w:val="32"/>
        </w:rPr>
        <w:t>、税收的政策法规宣传工作。</w:t>
      </w:r>
    </w:p>
    <w:p>
      <w:pPr>
        <w:ind w:firstLine="800" w:firstLineChars="250"/>
        <w:rPr>
          <w:rFonts w:ascii="仿宋" w:hAnsi="仿宋" w:eastAsia="仿宋"/>
          <w:kern w:val="2"/>
          <w:sz w:val="32"/>
          <w:szCs w:val="32"/>
        </w:rPr>
      </w:pPr>
      <w:r>
        <w:rPr>
          <w:rFonts w:hint="eastAsia" w:ascii="仿宋" w:hAnsi="仿宋" w:eastAsia="仿宋"/>
          <w:kern w:val="2"/>
          <w:sz w:val="32"/>
          <w:szCs w:val="32"/>
        </w:rPr>
        <w:t>7.执行会计集中核算，严格按照上级财政部门规定的工作程序开展工作，充分发挥财政资金使用效率。</w:t>
      </w:r>
    </w:p>
    <w:p>
      <w:pPr>
        <w:ind w:firstLine="800" w:firstLineChars="250"/>
        <w:rPr>
          <w:rFonts w:ascii="仿宋" w:hAnsi="仿宋" w:eastAsia="仿宋"/>
          <w:kern w:val="2"/>
          <w:sz w:val="32"/>
          <w:szCs w:val="32"/>
        </w:rPr>
      </w:pPr>
      <w:r>
        <w:rPr>
          <w:rFonts w:hint="eastAsia" w:ascii="仿宋" w:hAnsi="仿宋" w:eastAsia="仿宋"/>
          <w:kern w:val="2"/>
          <w:sz w:val="32"/>
          <w:szCs w:val="32"/>
        </w:rPr>
        <w:t>8.负责本单位的国有资产监督管理工作。</w:t>
      </w:r>
    </w:p>
    <w:p>
      <w:pPr>
        <w:ind w:firstLine="800" w:firstLineChars="250"/>
        <w:rPr>
          <w:rFonts w:ascii="仿宋" w:hAnsi="仿宋" w:eastAsia="仿宋"/>
          <w:kern w:val="2"/>
          <w:sz w:val="32"/>
          <w:szCs w:val="32"/>
        </w:rPr>
      </w:pPr>
      <w:r>
        <w:rPr>
          <w:rFonts w:hint="eastAsia" w:ascii="仿宋" w:hAnsi="仿宋" w:eastAsia="仿宋"/>
          <w:kern w:val="2"/>
          <w:sz w:val="32"/>
          <w:szCs w:val="32"/>
        </w:rPr>
        <w:t>9.承办上级部门交办的其他事项。</w:t>
      </w:r>
    </w:p>
    <w:p>
      <w:pPr>
        <w:pStyle w:val="17"/>
        <w:spacing w:before="0" w:after="0" w:line="560" w:lineRule="exact"/>
        <w:ind w:firstLine="960" w:firstLineChars="300"/>
        <w:rPr>
          <w:rStyle w:val="16"/>
          <w:rFonts w:ascii="黑体" w:hAnsi="黑体" w:eastAsia="黑体"/>
          <w:b w:val="0"/>
          <w:bCs w:val="0"/>
        </w:rPr>
      </w:pPr>
      <w:bookmarkStart w:id="21" w:name="_Toc10849"/>
      <w:r>
        <w:rPr>
          <w:rStyle w:val="16"/>
          <w:rFonts w:ascii="黑体" w:hAnsi="黑体" w:eastAsia="黑体"/>
          <w:b w:val="0"/>
          <w:bCs w:val="0"/>
        </w:rPr>
        <w:t>二、2021年重点工作</w:t>
      </w:r>
      <w:bookmarkEnd w:id="19"/>
      <w:bookmarkEnd w:id="20"/>
      <w:r>
        <w:rPr>
          <w:rStyle w:val="16"/>
          <w:rFonts w:ascii="黑体" w:hAnsi="黑体" w:eastAsia="黑体"/>
          <w:b w:val="0"/>
          <w:bCs w:val="0"/>
        </w:rPr>
        <w:t>完成情况</w:t>
      </w:r>
      <w:bookmarkEnd w:id="21"/>
    </w:p>
    <w:p>
      <w:pPr>
        <w:ind w:firstLine="800" w:firstLineChars="250"/>
        <w:rPr>
          <w:rFonts w:ascii="仿宋" w:hAnsi="仿宋" w:eastAsia="仿宋"/>
          <w:kern w:val="2"/>
          <w:sz w:val="32"/>
          <w:szCs w:val="32"/>
        </w:rPr>
      </w:pPr>
      <w:r>
        <w:rPr>
          <w:rFonts w:hint="eastAsia" w:ascii="仿宋" w:hAnsi="仿宋" w:eastAsia="仿宋"/>
          <w:kern w:val="2"/>
          <w:sz w:val="32"/>
          <w:szCs w:val="32"/>
        </w:rPr>
        <w:t>通江县龙凤场镇中心小学在县委、县政府的领导下，在上级主管部门的指导下，2021年，我校完成工作情况：实施小学教育教学管理和小学义务教育。做好小学教育教学管理，教育经费管理、教师管理工作。做好小学教育教学管理和小学义务教育，培育在校学生。教育教学目标考评，促进基础教育发展。规范管理并充分使用教育经费，保障教育教学工作顺利进行。继续做好紧急疏散演练和食品安全检查。</w:t>
      </w:r>
    </w:p>
    <w:p>
      <w:pPr>
        <w:ind w:firstLine="800" w:firstLineChars="250"/>
        <w:rPr>
          <w:rFonts w:ascii="仿宋" w:hAnsi="仿宋" w:eastAsia="仿宋"/>
          <w:kern w:val="2"/>
          <w:sz w:val="32"/>
          <w:szCs w:val="32"/>
        </w:rPr>
      </w:pPr>
    </w:p>
    <w:p>
      <w:pPr>
        <w:pStyle w:val="13"/>
        <w:ind w:right="440"/>
        <w:jc w:val="center"/>
        <w:rPr>
          <w:rStyle w:val="12"/>
          <w:rFonts w:ascii="黑体" w:hAnsi="黑体" w:eastAsia="黑体"/>
          <w:b w:val="0"/>
          <w:bCs/>
        </w:rPr>
      </w:pPr>
      <w:bookmarkStart w:id="22" w:name="_Toc15396602"/>
      <w:bookmarkStart w:id="23" w:name="_Toc15377204"/>
      <w:bookmarkStart w:id="24" w:name="_Toc17130"/>
      <w:r>
        <w:rPr>
          <w:rFonts w:ascii="黑体" w:hAnsi="黑体" w:eastAsia="黑体"/>
          <w:b w:val="0"/>
        </w:rPr>
        <w:t>第二部分 2021年度</w:t>
      </w:r>
      <w:r>
        <w:rPr>
          <w:rStyle w:val="12"/>
          <w:rFonts w:ascii="黑体" w:hAnsi="黑体" w:eastAsia="黑体"/>
          <w:b w:val="0"/>
          <w:bCs/>
        </w:rPr>
        <w:t>单位决算情况说明</w:t>
      </w:r>
      <w:bookmarkEnd w:id="22"/>
      <w:bookmarkEnd w:id="23"/>
      <w:bookmarkEnd w:id="24"/>
    </w:p>
    <w:p>
      <w:pPr>
        <w:pStyle w:val="14"/>
      </w:pPr>
    </w:p>
    <w:p>
      <w:pPr>
        <w:pStyle w:val="23"/>
        <w:spacing w:line="600" w:lineRule="exact"/>
        <w:ind w:firstLine="640"/>
        <w:outlineLvl w:val="1"/>
        <w:rPr>
          <w:rStyle w:val="16"/>
          <w:rFonts w:ascii="黑体" w:hAnsi="黑体" w:eastAsia="黑体"/>
          <w:b w:val="0"/>
        </w:rPr>
      </w:pPr>
      <w:bookmarkStart w:id="25" w:name="_Toc15396603"/>
      <w:bookmarkStart w:id="26" w:name="_Toc15377205"/>
      <w:bookmarkStart w:id="27" w:name="_Toc17667"/>
      <w:r>
        <w:rPr>
          <w:rFonts w:hint="eastAsia" w:ascii="黑体" w:hAnsi="黑体" w:eastAsia="黑体"/>
          <w:sz w:val="32"/>
          <w:szCs w:val="32"/>
        </w:rPr>
        <w:t>一、</w:t>
      </w:r>
      <w:r>
        <w:rPr>
          <w:rFonts w:ascii="黑体" w:hAnsi="黑体" w:eastAsia="黑体"/>
          <w:sz w:val="32"/>
          <w:szCs w:val="32"/>
        </w:rPr>
        <w:t>收</w:t>
      </w:r>
      <w:r>
        <w:rPr>
          <w:rStyle w:val="16"/>
          <w:rFonts w:ascii="黑体" w:hAnsi="黑体" w:eastAsia="黑体"/>
          <w:b w:val="0"/>
        </w:rPr>
        <w:t>入支出</w:t>
      </w:r>
      <w:r>
        <w:rPr>
          <w:rFonts w:ascii="黑体" w:hAnsi="黑体" w:eastAsia="黑体"/>
          <w:sz w:val="32"/>
          <w:szCs w:val="32"/>
        </w:rPr>
        <w:t>决算总体情况说明</w:t>
      </w:r>
      <w:bookmarkEnd w:id="25"/>
      <w:bookmarkEnd w:id="26"/>
      <w:bookmarkEnd w:id="27"/>
    </w:p>
    <w:p>
      <w:pPr>
        <w:pStyle w:val="14"/>
        <w:spacing w:line="600" w:lineRule="exact"/>
        <w:ind w:firstLine="640" w:firstLineChars="200"/>
        <w:rPr>
          <w:rFonts w:ascii="仿宋" w:hAnsi="仿宋" w:eastAsia="仿宋"/>
          <w:sz w:val="32"/>
          <w:szCs w:val="32"/>
        </w:rPr>
      </w:pPr>
      <w:r>
        <w:rPr>
          <w:rFonts w:ascii="仿宋" w:hAnsi="仿宋" w:eastAsia="仿宋"/>
          <w:sz w:val="32"/>
          <w:szCs w:val="32"/>
        </w:rPr>
        <w:t>2021年度收、支总计</w:t>
      </w:r>
      <w:r>
        <w:rPr>
          <w:rFonts w:hint="eastAsia" w:ascii="仿宋" w:hAnsi="仿宋" w:eastAsia="仿宋"/>
          <w:sz w:val="32"/>
          <w:szCs w:val="32"/>
        </w:rPr>
        <w:t>1247.20</w:t>
      </w:r>
      <w:r>
        <w:rPr>
          <w:rFonts w:ascii="仿宋" w:hAnsi="仿宋" w:eastAsia="仿宋"/>
          <w:sz w:val="32"/>
          <w:szCs w:val="32"/>
        </w:rPr>
        <w:t>万元。与2020年相比，收、支总计各</w:t>
      </w:r>
      <w:r>
        <w:rPr>
          <w:rFonts w:hint="eastAsia" w:ascii="仿宋" w:hAnsi="仿宋" w:eastAsia="仿宋"/>
          <w:sz w:val="32"/>
          <w:szCs w:val="32"/>
        </w:rPr>
        <w:t>减少201.03</w:t>
      </w:r>
      <w:r>
        <w:rPr>
          <w:rFonts w:ascii="仿宋" w:hAnsi="仿宋" w:eastAsia="仿宋"/>
          <w:sz w:val="32"/>
          <w:szCs w:val="32"/>
        </w:rPr>
        <w:t>万元，</w:t>
      </w:r>
      <w:r>
        <w:rPr>
          <w:rFonts w:hint="eastAsia" w:ascii="仿宋" w:hAnsi="仿宋" w:eastAsia="仿宋"/>
          <w:sz w:val="32"/>
          <w:szCs w:val="32"/>
        </w:rPr>
        <w:t>减少16.12</w:t>
      </w:r>
      <w:r>
        <w:rPr>
          <w:rFonts w:ascii="仿宋" w:hAnsi="仿宋" w:eastAsia="仿宋"/>
          <w:sz w:val="32"/>
          <w:szCs w:val="32"/>
        </w:rPr>
        <w:t>%。主要变动原因是校舍维修项目投入</w:t>
      </w:r>
      <w:r>
        <w:rPr>
          <w:rFonts w:hint="eastAsia" w:ascii="仿宋" w:hAnsi="仿宋" w:eastAsia="仿宋"/>
          <w:sz w:val="32"/>
          <w:szCs w:val="32"/>
        </w:rPr>
        <w:t>减少</w:t>
      </w:r>
      <w:r>
        <w:rPr>
          <w:rFonts w:ascii="仿宋" w:hAnsi="仿宋" w:eastAsia="仿宋"/>
          <w:sz w:val="32"/>
          <w:szCs w:val="32"/>
        </w:rPr>
        <w:t>。</w:t>
      </w:r>
    </w:p>
    <w:p>
      <w:pPr>
        <w:pStyle w:val="15"/>
        <w:spacing w:before="93"/>
        <w:rPr>
          <w:rFonts w:ascii="仿宋" w:hAnsi="仿宋" w:eastAsia="仿宋"/>
          <w:sz w:val="32"/>
          <w:szCs w:val="32"/>
        </w:rPr>
      </w:pPr>
      <w:r>
        <w:drawing>
          <wp:inline distT="0" distB="0" distL="0" distR="0">
            <wp:extent cx="4860925" cy="2743200"/>
            <wp:effectExtent l="4445" t="4445" r="11430" b="14605"/>
            <wp:docPr id="156" name="_x0000_i11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5"/>
        <w:spacing w:before="93"/>
        <w:rPr>
          <w:rFonts w:ascii="仿宋" w:hAnsi="仿宋" w:eastAsia="仿宋"/>
          <w:sz w:val="32"/>
          <w:szCs w:val="32"/>
        </w:rPr>
      </w:pPr>
      <w:r>
        <w:rPr>
          <w:rFonts w:ascii="仿宋" w:hAnsi="仿宋" w:eastAsia="仿宋"/>
          <w:sz w:val="32"/>
          <w:szCs w:val="32"/>
        </w:rPr>
        <w:t>（图1：收、支决算总计变动情况图）</w:t>
      </w:r>
    </w:p>
    <w:p>
      <w:pPr>
        <w:pStyle w:val="23"/>
        <w:spacing w:line="600" w:lineRule="exact"/>
        <w:ind w:firstLine="640"/>
        <w:outlineLvl w:val="1"/>
        <w:rPr>
          <w:rStyle w:val="16"/>
          <w:rFonts w:ascii="黑体" w:hAnsi="黑体" w:eastAsia="黑体"/>
          <w:b w:val="0"/>
        </w:rPr>
      </w:pPr>
      <w:bookmarkStart w:id="28" w:name="_Toc15396604"/>
      <w:bookmarkStart w:id="29" w:name="_Toc15377206"/>
      <w:bookmarkStart w:id="30" w:name="_Toc29255"/>
      <w:r>
        <w:rPr>
          <w:rFonts w:hint="eastAsia" w:ascii="黑体" w:hAnsi="黑体" w:eastAsia="黑体"/>
          <w:sz w:val="32"/>
          <w:szCs w:val="32"/>
        </w:rPr>
        <w:t>二、</w:t>
      </w:r>
      <w:r>
        <w:rPr>
          <w:rFonts w:ascii="黑体" w:hAnsi="黑体" w:eastAsia="黑体"/>
          <w:sz w:val="32"/>
          <w:szCs w:val="32"/>
        </w:rPr>
        <w:t>收</w:t>
      </w:r>
      <w:r>
        <w:rPr>
          <w:rStyle w:val="16"/>
          <w:rFonts w:ascii="黑体" w:hAnsi="黑体" w:eastAsia="黑体"/>
          <w:b w:val="0"/>
        </w:rPr>
        <w:t>入决算情况说明</w:t>
      </w:r>
      <w:bookmarkEnd w:id="28"/>
      <w:bookmarkEnd w:id="29"/>
      <w:bookmarkEnd w:id="30"/>
    </w:p>
    <w:p>
      <w:pPr>
        <w:pStyle w:val="14"/>
        <w:spacing w:line="600" w:lineRule="exact"/>
        <w:ind w:firstLine="640" w:firstLineChars="200"/>
        <w:outlineLvl w:val="1"/>
        <w:rPr>
          <w:rFonts w:ascii="仿宋" w:hAnsi="仿宋" w:eastAsia="仿宋"/>
          <w:sz w:val="32"/>
          <w:szCs w:val="32"/>
        </w:rPr>
      </w:pPr>
      <w:bookmarkStart w:id="31" w:name="_Toc19392"/>
      <w:r>
        <w:rPr>
          <w:rFonts w:ascii="仿宋" w:hAnsi="仿宋" w:eastAsia="仿宋"/>
          <w:sz w:val="32"/>
          <w:szCs w:val="32"/>
        </w:rPr>
        <w:t>2021年本年收入合计</w:t>
      </w:r>
      <w:r>
        <w:rPr>
          <w:rFonts w:hint="eastAsia" w:ascii="仿宋" w:hAnsi="仿宋" w:eastAsia="仿宋"/>
          <w:sz w:val="32"/>
          <w:szCs w:val="32"/>
        </w:rPr>
        <w:t>1247.20</w:t>
      </w:r>
      <w:r>
        <w:rPr>
          <w:rFonts w:ascii="仿宋" w:hAnsi="仿宋" w:eastAsia="仿宋"/>
          <w:sz w:val="32"/>
          <w:szCs w:val="32"/>
        </w:rPr>
        <w:t>万元，其中：一般公共预算财政拨款收入</w:t>
      </w:r>
      <w:r>
        <w:rPr>
          <w:rFonts w:hint="eastAsia" w:ascii="仿宋" w:hAnsi="仿宋" w:eastAsia="仿宋"/>
          <w:sz w:val="32"/>
          <w:szCs w:val="32"/>
        </w:rPr>
        <w:t>1247.20</w:t>
      </w:r>
      <w:r>
        <w:rPr>
          <w:rFonts w:ascii="仿宋" w:hAnsi="仿宋" w:eastAsia="仿宋"/>
          <w:sz w:val="32"/>
          <w:szCs w:val="32"/>
        </w:rPr>
        <w:t>万元，占100%；政府性基金预算财政拨款收入0万元，占0%；国有资本经营</w:t>
      </w:r>
      <w:r>
        <w:rPr>
          <w:rFonts w:hint="eastAsia" w:ascii="仿宋" w:hAnsi="仿宋" w:eastAsia="仿宋"/>
          <w:sz w:val="32"/>
          <w:szCs w:val="32"/>
          <w:u w:val="none" w:color="46CD7E"/>
          <w:shd w:val="clear" w:fill="auto"/>
          <w:lang w:eastAsia="zh-CN"/>
        </w:rPr>
        <w:t>预算中</w:t>
      </w:r>
      <w:r>
        <w:rPr>
          <w:rFonts w:ascii="仿宋" w:hAnsi="仿宋" w:eastAsia="仿宋"/>
          <w:sz w:val="32"/>
          <w:szCs w:val="32"/>
        </w:rPr>
        <w:t>财政拨款收入0万元，占0%；上级补助收入0万元，占0%；</w:t>
      </w:r>
      <w:r>
        <w:rPr>
          <w:rFonts w:hint="eastAsia" w:ascii="仿宋" w:hAnsi="仿宋" w:eastAsia="仿宋"/>
          <w:sz w:val="32"/>
          <w:szCs w:val="32"/>
        </w:rPr>
        <w:t>营业</w:t>
      </w:r>
      <w:r>
        <w:rPr>
          <w:rFonts w:ascii="仿宋" w:hAnsi="仿宋" w:eastAsia="仿宋"/>
          <w:sz w:val="32"/>
          <w:szCs w:val="32"/>
        </w:rPr>
        <w:t>收入0万元，占</w:t>
      </w:r>
      <w:r>
        <w:rPr>
          <w:rFonts w:hint="eastAsia" w:ascii="仿宋" w:hAnsi="仿宋" w:eastAsia="仿宋"/>
          <w:sz w:val="32"/>
          <w:szCs w:val="32"/>
        </w:rPr>
        <w:t>比</w:t>
      </w:r>
      <w:r>
        <w:rPr>
          <w:rFonts w:ascii="仿宋" w:hAnsi="仿宋" w:eastAsia="仿宋"/>
          <w:sz w:val="32"/>
          <w:szCs w:val="32"/>
        </w:rPr>
        <w:t>0%；经营收入0万元，占</w:t>
      </w:r>
      <w:r>
        <w:rPr>
          <w:rFonts w:hint="eastAsia" w:ascii="仿宋" w:hAnsi="仿宋" w:eastAsia="仿宋"/>
          <w:sz w:val="32"/>
          <w:szCs w:val="32"/>
        </w:rPr>
        <w:t>比</w:t>
      </w:r>
      <w:r>
        <w:rPr>
          <w:rFonts w:ascii="仿宋" w:hAnsi="仿宋" w:eastAsia="仿宋"/>
          <w:sz w:val="32"/>
          <w:szCs w:val="32"/>
        </w:rPr>
        <w:t>0%；附属单位上缴收入0万元，占0%；其他收入0万元，占0%。</w:t>
      </w:r>
      <w:bookmarkEnd w:id="31"/>
    </w:p>
    <w:p>
      <w:pPr>
        <w:pStyle w:val="15"/>
        <w:spacing w:before="93"/>
        <w:rPr>
          <w:rFonts w:ascii="仿宋" w:hAnsi="仿宋" w:eastAsia="仿宋"/>
          <w:sz w:val="32"/>
          <w:szCs w:val="32"/>
        </w:rPr>
      </w:pPr>
      <w:r>
        <w:drawing>
          <wp:inline distT="0" distB="0" distL="0" distR="0">
            <wp:extent cx="5327650" cy="3133725"/>
            <wp:effectExtent l="0" t="0" r="0" b="0"/>
            <wp:docPr id="157" name="_x0000_i118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4"/>
        <w:spacing w:line="600" w:lineRule="exact"/>
        <w:ind w:firstLine="640" w:firstLineChars="200"/>
        <w:rPr>
          <w:rFonts w:ascii="仿宋" w:hAnsi="仿宋" w:eastAsia="仿宋"/>
          <w:sz w:val="32"/>
          <w:szCs w:val="32"/>
        </w:rPr>
      </w:pPr>
      <w:r>
        <w:rPr>
          <w:rFonts w:ascii="仿宋" w:hAnsi="仿宋" w:eastAsia="仿宋"/>
          <w:sz w:val="32"/>
          <w:szCs w:val="32"/>
        </w:rPr>
        <w:t>（图2：收入决算结构图）</w:t>
      </w:r>
    </w:p>
    <w:p>
      <w:pPr>
        <w:pStyle w:val="23"/>
        <w:spacing w:line="600" w:lineRule="exact"/>
        <w:ind w:left="400" w:leftChars="200" w:firstLine="320" w:firstLineChars="100"/>
        <w:outlineLvl w:val="1"/>
        <w:rPr>
          <w:rStyle w:val="16"/>
          <w:rFonts w:ascii="黑体" w:hAnsi="黑体" w:eastAsia="黑体"/>
          <w:b w:val="0"/>
        </w:rPr>
      </w:pPr>
      <w:bookmarkStart w:id="32" w:name="_Toc15396605"/>
      <w:bookmarkStart w:id="33" w:name="_Toc15377207"/>
      <w:bookmarkStart w:id="34" w:name="_Toc26549"/>
      <w:r>
        <w:rPr>
          <w:rFonts w:hint="eastAsia" w:ascii="黑体" w:hAnsi="黑体" w:eastAsia="黑体"/>
          <w:sz w:val="32"/>
          <w:szCs w:val="32"/>
        </w:rPr>
        <w:t>三、</w:t>
      </w:r>
      <w:r>
        <w:rPr>
          <w:rFonts w:ascii="黑体" w:hAnsi="黑体" w:eastAsia="黑体"/>
          <w:sz w:val="32"/>
          <w:szCs w:val="32"/>
        </w:rPr>
        <w:t>支</w:t>
      </w:r>
      <w:r>
        <w:rPr>
          <w:rStyle w:val="16"/>
          <w:rFonts w:ascii="黑体" w:hAnsi="黑体" w:eastAsia="黑体"/>
          <w:b w:val="0"/>
        </w:rPr>
        <w:t>出</w:t>
      </w:r>
      <w:r>
        <w:rPr>
          <w:rFonts w:ascii="黑体" w:hAnsi="黑体" w:eastAsia="黑体"/>
        </w:rPr>
        <w:t>决算情况说明</w:t>
      </w:r>
      <w:bookmarkEnd w:id="32"/>
      <w:bookmarkEnd w:id="33"/>
      <w:bookmarkEnd w:id="34"/>
    </w:p>
    <w:p>
      <w:pPr>
        <w:pStyle w:val="14"/>
        <w:spacing w:line="600" w:lineRule="exact"/>
        <w:ind w:firstLine="640" w:firstLineChars="200"/>
        <w:outlineLvl w:val="1"/>
        <w:rPr>
          <w:rFonts w:ascii="仿宋" w:hAnsi="仿宋" w:eastAsia="仿宋"/>
          <w:sz w:val="32"/>
          <w:szCs w:val="32"/>
        </w:rPr>
      </w:pPr>
      <w:bookmarkStart w:id="35" w:name="_Toc30246"/>
      <w:r>
        <w:rPr>
          <w:rFonts w:ascii="仿宋" w:hAnsi="仿宋" w:eastAsia="仿宋"/>
          <w:sz w:val="32"/>
          <w:szCs w:val="32"/>
        </w:rPr>
        <w:t>2021年本年支出合计</w:t>
      </w:r>
      <w:r>
        <w:rPr>
          <w:rFonts w:hint="eastAsia" w:ascii="仿宋" w:hAnsi="仿宋" w:eastAsia="仿宋"/>
          <w:sz w:val="32"/>
          <w:szCs w:val="32"/>
        </w:rPr>
        <w:t>1247.20</w:t>
      </w:r>
      <w:r>
        <w:rPr>
          <w:rFonts w:ascii="仿宋" w:hAnsi="仿宋" w:eastAsia="仿宋"/>
          <w:sz w:val="32"/>
          <w:szCs w:val="32"/>
        </w:rPr>
        <w:t>万元，其中：基本支出</w:t>
      </w:r>
      <w:r>
        <w:rPr>
          <w:rFonts w:hint="eastAsia" w:ascii="仿宋" w:hAnsi="仿宋" w:eastAsia="仿宋"/>
          <w:sz w:val="32"/>
          <w:szCs w:val="32"/>
        </w:rPr>
        <w:t>1136.85</w:t>
      </w:r>
      <w:r>
        <w:rPr>
          <w:rFonts w:ascii="仿宋" w:hAnsi="仿宋" w:eastAsia="仿宋"/>
          <w:sz w:val="32"/>
          <w:szCs w:val="32"/>
        </w:rPr>
        <w:t>万元，占</w:t>
      </w:r>
      <w:r>
        <w:rPr>
          <w:rFonts w:hint="eastAsia" w:ascii="仿宋" w:hAnsi="仿宋" w:eastAsia="仿宋"/>
          <w:sz w:val="32"/>
          <w:szCs w:val="32"/>
        </w:rPr>
        <w:t>91.15</w:t>
      </w:r>
      <w:r>
        <w:rPr>
          <w:rFonts w:ascii="仿宋" w:hAnsi="仿宋" w:eastAsia="仿宋"/>
          <w:sz w:val="32"/>
          <w:szCs w:val="32"/>
        </w:rPr>
        <w:t>%；项目支出</w:t>
      </w:r>
      <w:r>
        <w:rPr>
          <w:rFonts w:hint="eastAsia" w:ascii="仿宋" w:hAnsi="仿宋" w:eastAsia="仿宋"/>
          <w:sz w:val="32"/>
          <w:szCs w:val="32"/>
        </w:rPr>
        <w:t>110.35</w:t>
      </w:r>
      <w:r>
        <w:rPr>
          <w:rFonts w:ascii="仿宋" w:hAnsi="仿宋" w:eastAsia="仿宋"/>
          <w:sz w:val="32"/>
          <w:szCs w:val="32"/>
        </w:rPr>
        <w:t>万元，占</w:t>
      </w:r>
      <w:r>
        <w:rPr>
          <w:rFonts w:hint="eastAsia" w:ascii="仿宋" w:hAnsi="仿宋" w:eastAsia="仿宋"/>
          <w:sz w:val="32"/>
          <w:szCs w:val="32"/>
        </w:rPr>
        <w:t>8.85</w:t>
      </w:r>
      <w:r>
        <w:rPr>
          <w:rFonts w:ascii="仿宋" w:hAnsi="仿宋" w:eastAsia="仿宋"/>
          <w:sz w:val="32"/>
          <w:szCs w:val="32"/>
        </w:rPr>
        <w:t>%；上缴上级支出0万元，占0%；经营支出0万元，占0%；对附属单位补助支出0万元，占0%。</w:t>
      </w:r>
      <w:bookmarkEnd w:id="35"/>
    </w:p>
    <w:p>
      <w:pPr>
        <w:pStyle w:val="14"/>
        <w:spacing w:line="600" w:lineRule="exact"/>
        <w:ind w:firstLine="640"/>
        <w:rPr>
          <w:rFonts w:ascii="仿宋" w:hAnsi="仿宋" w:eastAsia="仿宋"/>
          <w:sz w:val="32"/>
          <w:szCs w:val="32"/>
          <w:shd w:val="clear" w:color="auto" w:fill="E5E5E5"/>
        </w:rPr>
      </w:pPr>
    </w:p>
    <w:p>
      <w:pPr>
        <w:pStyle w:val="15"/>
        <w:spacing w:before="93"/>
        <w:rPr>
          <w:rFonts w:ascii="仿宋" w:hAnsi="仿宋" w:eastAsia="仿宋"/>
          <w:sz w:val="32"/>
          <w:szCs w:val="32"/>
          <w:shd w:val="clear" w:color="auto" w:fill="E5E5E5"/>
        </w:rPr>
      </w:pPr>
      <w:r>
        <w:drawing>
          <wp:inline distT="0" distB="0" distL="0" distR="0">
            <wp:extent cx="5327015" cy="3133725"/>
            <wp:effectExtent l="4445" t="4445" r="21590" b="5080"/>
            <wp:docPr id="158" name="_x0000_i11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4"/>
        <w:spacing w:line="600" w:lineRule="exact"/>
        <w:ind w:firstLine="640" w:firstLineChars="200"/>
        <w:rPr>
          <w:rFonts w:ascii="仿宋_GB2312" w:hAnsi="仿宋_GB2312" w:eastAsia="仿宋_GB2312"/>
          <w:sz w:val="32"/>
          <w:szCs w:val="32"/>
        </w:rPr>
      </w:pPr>
      <w:r>
        <w:rPr>
          <w:rFonts w:ascii="仿宋" w:hAnsi="仿宋" w:eastAsia="仿宋"/>
          <w:sz w:val="32"/>
          <w:szCs w:val="32"/>
        </w:rPr>
        <w:t>（图3：支出决算结构图）</w:t>
      </w:r>
    </w:p>
    <w:p>
      <w:pPr>
        <w:pStyle w:val="14"/>
        <w:spacing w:line="600" w:lineRule="exact"/>
        <w:ind w:firstLine="640" w:firstLineChars="200"/>
        <w:outlineLvl w:val="1"/>
        <w:rPr>
          <w:rStyle w:val="16"/>
          <w:rFonts w:ascii="黑体" w:hAnsi="黑体" w:eastAsia="黑体"/>
          <w:b w:val="0"/>
        </w:rPr>
      </w:pPr>
      <w:bookmarkStart w:id="36" w:name="_Toc15396606"/>
      <w:bookmarkStart w:id="37" w:name="_Toc20885"/>
      <w:bookmarkStart w:id="38" w:name="_Toc15377208"/>
      <w:r>
        <w:rPr>
          <w:rFonts w:ascii="黑体" w:hAnsi="黑体" w:eastAsia="黑体"/>
          <w:sz w:val="32"/>
          <w:szCs w:val="32"/>
        </w:rPr>
        <w:t>四、财</w:t>
      </w:r>
      <w:r>
        <w:rPr>
          <w:rStyle w:val="16"/>
          <w:rFonts w:ascii="黑体" w:hAnsi="黑体" w:eastAsia="黑体"/>
          <w:b w:val="0"/>
        </w:rPr>
        <w:t>政拨款收入支出</w:t>
      </w:r>
      <w:r>
        <w:rPr>
          <w:rFonts w:ascii="黑体" w:hAnsi="黑体" w:eastAsia="黑体"/>
        </w:rPr>
        <w:t>决算总体情况说明</w:t>
      </w:r>
      <w:bookmarkEnd w:id="36"/>
      <w:bookmarkEnd w:id="37"/>
      <w:bookmarkEnd w:id="38"/>
    </w:p>
    <w:p>
      <w:pPr>
        <w:pStyle w:val="14"/>
        <w:spacing w:line="600" w:lineRule="exact"/>
        <w:ind w:firstLine="640"/>
        <w:rPr>
          <w:rFonts w:ascii="仿宋" w:hAnsi="仿宋" w:eastAsia="仿宋"/>
          <w:sz w:val="32"/>
          <w:szCs w:val="32"/>
        </w:rPr>
      </w:pPr>
      <w:r>
        <w:rPr>
          <w:rFonts w:ascii="仿宋" w:hAnsi="仿宋" w:eastAsia="仿宋"/>
          <w:sz w:val="32"/>
          <w:szCs w:val="32"/>
        </w:rPr>
        <w:t>2021年财政拨款收、支总计</w:t>
      </w:r>
      <w:r>
        <w:rPr>
          <w:rFonts w:hint="eastAsia" w:ascii="仿宋" w:hAnsi="仿宋" w:eastAsia="仿宋"/>
          <w:sz w:val="32"/>
          <w:szCs w:val="32"/>
        </w:rPr>
        <w:t>1247.20</w:t>
      </w:r>
      <w:r>
        <w:rPr>
          <w:rFonts w:ascii="仿宋" w:hAnsi="仿宋" w:eastAsia="仿宋"/>
          <w:sz w:val="32"/>
          <w:szCs w:val="32"/>
        </w:rPr>
        <w:t>万元。与2020年相比，财政拨款收、支总计各</w:t>
      </w:r>
      <w:r>
        <w:rPr>
          <w:rFonts w:hint="eastAsia" w:ascii="仿宋" w:hAnsi="仿宋" w:eastAsia="仿宋"/>
          <w:sz w:val="32"/>
          <w:szCs w:val="32"/>
        </w:rPr>
        <w:t>减少201.03</w:t>
      </w:r>
      <w:r>
        <w:rPr>
          <w:rFonts w:ascii="仿宋" w:hAnsi="仿宋" w:eastAsia="仿宋"/>
          <w:sz w:val="32"/>
          <w:szCs w:val="32"/>
        </w:rPr>
        <w:t>万元，</w:t>
      </w:r>
      <w:r>
        <w:rPr>
          <w:rFonts w:hint="eastAsia" w:ascii="仿宋" w:hAnsi="仿宋" w:eastAsia="仿宋"/>
          <w:sz w:val="32"/>
          <w:szCs w:val="32"/>
        </w:rPr>
        <w:t>减少16.12</w:t>
      </w:r>
      <w:r>
        <w:rPr>
          <w:rFonts w:ascii="仿宋" w:hAnsi="仿宋" w:eastAsia="仿宋"/>
          <w:sz w:val="32"/>
          <w:szCs w:val="32"/>
        </w:rPr>
        <w:t>%。主要变动原因是校舍维修项目投入</w:t>
      </w:r>
      <w:r>
        <w:rPr>
          <w:rFonts w:hint="eastAsia" w:ascii="仿宋" w:hAnsi="仿宋" w:eastAsia="仿宋"/>
          <w:sz w:val="32"/>
          <w:szCs w:val="32"/>
        </w:rPr>
        <w:t>减少</w:t>
      </w:r>
      <w:r>
        <w:rPr>
          <w:rFonts w:ascii="仿宋" w:hAnsi="仿宋" w:eastAsia="仿宋"/>
          <w:sz w:val="32"/>
          <w:szCs w:val="32"/>
        </w:rPr>
        <w:t>。</w:t>
      </w:r>
    </w:p>
    <w:p>
      <w:pPr>
        <w:pStyle w:val="15"/>
        <w:spacing w:before="93"/>
        <w:rPr>
          <w:rFonts w:ascii="仿宋" w:hAnsi="仿宋" w:eastAsia="仿宋"/>
          <w:sz w:val="32"/>
          <w:szCs w:val="32"/>
        </w:rPr>
      </w:pPr>
      <w:r>
        <w:drawing>
          <wp:inline distT="0" distB="0" distL="0" distR="0">
            <wp:extent cx="5215255" cy="2451735"/>
            <wp:effectExtent l="4445" t="4445" r="19050" b="20320"/>
            <wp:docPr id="159" name="_x0000_i119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4"/>
        <w:spacing w:line="600" w:lineRule="exact"/>
        <w:ind w:firstLine="640" w:firstLineChars="200"/>
        <w:rPr>
          <w:rFonts w:ascii="仿宋" w:hAnsi="仿宋" w:eastAsia="仿宋"/>
          <w:sz w:val="32"/>
          <w:szCs w:val="32"/>
        </w:rPr>
      </w:pPr>
      <w:r>
        <w:rPr>
          <w:rFonts w:ascii="仿宋" w:hAnsi="仿宋" w:eastAsia="仿宋"/>
          <w:sz w:val="32"/>
          <w:szCs w:val="32"/>
        </w:rPr>
        <w:t>（图4：财政拨款收、支决算总计变动情况）</w:t>
      </w:r>
    </w:p>
    <w:p>
      <w:pPr>
        <w:pStyle w:val="14"/>
        <w:spacing w:line="600" w:lineRule="exact"/>
        <w:ind w:firstLine="640" w:firstLineChars="200"/>
        <w:outlineLvl w:val="1"/>
        <w:rPr>
          <w:rStyle w:val="16"/>
          <w:rFonts w:ascii="黑体" w:hAnsi="黑体" w:eastAsia="黑体"/>
          <w:b w:val="0"/>
        </w:rPr>
      </w:pPr>
      <w:bookmarkStart w:id="39" w:name="_Toc25075"/>
      <w:bookmarkStart w:id="40" w:name="_Toc15396607"/>
      <w:bookmarkStart w:id="41" w:name="_Toc15377209"/>
      <w:r>
        <w:rPr>
          <w:rFonts w:ascii="黑体" w:hAnsi="黑体" w:eastAsia="黑体"/>
          <w:sz w:val="32"/>
          <w:szCs w:val="32"/>
        </w:rPr>
        <w:t>五、</w:t>
      </w:r>
      <w:r>
        <w:rPr>
          <w:rFonts w:ascii="黑体" w:hAnsi="黑体" w:eastAsia="黑体"/>
          <w:b/>
          <w:sz w:val="32"/>
          <w:szCs w:val="32"/>
        </w:rPr>
        <w:t>一</w:t>
      </w:r>
      <w:r>
        <w:rPr>
          <w:rStyle w:val="16"/>
          <w:rFonts w:ascii="黑体" w:hAnsi="黑体" w:eastAsia="黑体"/>
          <w:b w:val="0"/>
        </w:rPr>
        <w:t>般公共预算</w:t>
      </w:r>
      <w:r>
        <w:rPr>
          <w:rFonts w:ascii="黑体" w:hAnsi="黑体" w:eastAsia="黑体"/>
          <w:sz w:val="32"/>
          <w:szCs w:val="32"/>
        </w:rPr>
        <w:t>财政拨款支出决算情况说明</w:t>
      </w:r>
      <w:bookmarkEnd w:id="39"/>
      <w:bookmarkEnd w:id="40"/>
      <w:bookmarkEnd w:id="41"/>
    </w:p>
    <w:p>
      <w:pPr>
        <w:pStyle w:val="14"/>
        <w:spacing w:line="600" w:lineRule="exact"/>
        <w:ind w:firstLine="643" w:firstLineChars="200"/>
        <w:outlineLvl w:val="2"/>
        <w:rPr>
          <w:rFonts w:ascii="仿宋" w:hAnsi="仿宋" w:eastAsia="仿宋"/>
          <w:b/>
          <w:sz w:val="32"/>
          <w:szCs w:val="32"/>
        </w:rPr>
      </w:pPr>
      <w:bookmarkStart w:id="42" w:name="_Toc15377210"/>
      <w:r>
        <w:rPr>
          <w:rFonts w:ascii="仿宋" w:hAnsi="仿宋" w:eastAsia="仿宋"/>
          <w:b/>
          <w:sz w:val="32"/>
          <w:szCs w:val="32"/>
        </w:rPr>
        <w:t>（一）一般公共预算财政拨款支出决算总体情况</w:t>
      </w:r>
      <w:bookmarkEnd w:id="42"/>
    </w:p>
    <w:p>
      <w:pPr>
        <w:pStyle w:val="14"/>
        <w:spacing w:line="600" w:lineRule="exact"/>
        <w:ind w:firstLine="640" w:firstLineChars="200"/>
        <w:rPr>
          <w:rFonts w:ascii="仿宋" w:hAnsi="仿宋" w:eastAsia="仿宋"/>
          <w:sz w:val="32"/>
          <w:szCs w:val="32"/>
        </w:rPr>
      </w:pPr>
      <w:r>
        <w:rPr>
          <w:rFonts w:ascii="仿宋" w:hAnsi="仿宋" w:eastAsia="仿宋"/>
          <w:sz w:val="32"/>
          <w:szCs w:val="32"/>
        </w:rPr>
        <w:t>2021年一般公共预算财政拨款支出</w:t>
      </w:r>
      <w:r>
        <w:rPr>
          <w:rFonts w:hint="eastAsia" w:ascii="仿宋" w:hAnsi="仿宋" w:eastAsia="仿宋"/>
          <w:sz w:val="32"/>
          <w:szCs w:val="32"/>
        </w:rPr>
        <w:t>1247.20</w:t>
      </w:r>
      <w:r>
        <w:rPr>
          <w:rFonts w:ascii="仿宋" w:hAnsi="仿宋" w:eastAsia="仿宋"/>
          <w:sz w:val="32"/>
          <w:szCs w:val="32"/>
        </w:rPr>
        <w:t>万元，占本年支出合计的100%。与2020年相比，一般公共预算财政拨款支出</w:t>
      </w:r>
      <w:r>
        <w:rPr>
          <w:rFonts w:hint="eastAsia" w:ascii="仿宋" w:hAnsi="仿宋" w:eastAsia="仿宋"/>
          <w:sz w:val="32"/>
          <w:szCs w:val="32"/>
        </w:rPr>
        <w:t>减少201.03</w:t>
      </w:r>
      <w:r>
        <w:rPr>
          <w:rFonts w:ascii="仿宋" w:hAnsi="仿宋" w:eastAsia="仿宋"/>
          <w:sz w:val="32"/>
          <w:szCs w:val="32"/>
        </w:rPr>
        <w:t>万元，</w:t>
      </w:r>
      <w:r>
        <w:rPr>
          <w:rFonts w:hint="eastAsia" w:ascii="仿宋" w:hAnsi="仿宋" w:eastAsia="仿宋"/>
          <w:sz w:val="32"/>
          <w:szCs w:val="32"/>
        </w:rPr>
        <w:t>减少16.12</w:t>
      </w:r>
      <w:r>
        <w:rPr>
          <w:rFonts w:ascii="仿宋" w:hAnsi="仿宋" w:eastAsia="仿宋"/>
          <w:sz w:val="32"/>
          <w:szCs w:val="32"/>
        </w:rPr>
        <w:t>%。主要变动原因是校舍维修项目投入</w:t>
      </w:r>
      <w:r>
        <w:rPr>
          <w:rFonts w:hint="eastAsia" w:ascii="仿宋" w:hAnsi="仿宋" w:eastAsia="仿宋"/>
          <w:sz w:val="32"/>
          <w:szCs w:val="32"/>
        </w:rPr>
        <w:t>减少</w:t>
      </w:r>
      <w:r>
        <w:rPr>
          <w:rFonts w:ascii="仿宋" w:hAnsi="仿宋" w:eastAsia="仿宋"/>
          <w:sz w:val="32"/>
          <w:szCs w:val="32"/>
        </w:rPr>
        <w:t>。</w:t>
      </w:r>
    </w:p>
    <w:p>
      <w:pPr>
        <w:pStyle w:val="15"/>
        <w:spacing w:before="93"/>
        <w:rPr>
          <w:rFonts w:ascii="仿宋" w:hAnsi="仿宋" w:eastAsia="仿宋"/>
          <w:sz w:val="32"/>
          <w:szCs w:val="32"/>
        </w:rPr>
      </w:pPr>
      <w:r>
        <w:drawing>
          <wp:inline distT="0" distB="0" distL="0" distR="0">
            <wp:extent cx="5307965" cy="3177540"/>
            <wp:effectExtent l="0" t="0" r="0" b="0"/>
            <wp:docPr id="160" name="_x0000_i11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spacing w:line="600" w:lineRule="exact"/>
        <w:ind w:firstLine="640" w:firstLineChars="200"/>
        <w:rPr>
          <w:rFonts w:ascii="仿宋" w:hAnsi="仿宋" w:eastAsia="仿宋"/>
          <w:sz w:val="32"/>
          <w:szCs w:val="32"/>
        </w:rPr>
      </w:pPr>
      <w:r>
        <w:rPr>
          <w:rFonts w:ascii="仿宋" w:hAnsi="仿宋" w:eastAsia="仿宋"/>
          <w:sz w:val="32"/>
          <w:szCs w:val="32"/>
        </w:rPr>
        <w:t>（图5：一般公共预算财政拨款支出决算变动情况）</w:t>
      </w:r>
    </w:p>
    <w:p>
      <w:pPr>
        <w:pStyle w:val="14"/>
        <w:spacing w:line="600" w:lineRule="exact"/>
        <w:ind w:firstLine="643" w:firstLineChars="200"/>
        <w:outlineLvl w:val="2"/>
        <w:rPr>
          <w:rFonts w:ascii="仿宋" w:hAnsi="仿宋" w:eastAsia="仿宋"/>
          <w:b/>
          <w:sz w:val="32"/>
          <w:szCs w:val="32"/>
        </w:rPr>
      </w:pPr>
      <w:bookmarkStart w:id="43" w:name="_Toc15377211"/>
      <w:r>
        <w:rPr>
          <w:rFonts w:ascii="仿宋" w:hAnsi="仿宋" w:eastAsia="仿宋"/>
          <w:b/>
          <w:sz w:val="32"/>
          <w:szCs w:val="32"/>
        </w:rPr>
        <w:t>（二）一般公共预算财政拨款支出决算结构情况</w:t>
      </w:r>
      <w:bookmarkEnd w:id="43"/>
    </w:p>
    <w:p>
      <w:pPr>
        <w:pStyle w:val="14"/>
        <w:spacing w:line="600" w:lineRule="exact"/>
        <w:ind w:firstLine="640"/>
        <w:rPr>
          <w:rFonts w:ascii="仿宋" w:hAnsi="仿宋" w:eastAsia="仿宋"/>
          <w:b/>
          <w:sz w:val="32"/>
          <w:szCs w:val="32"/>
        </w:rPr>
      </w:pPr>
      <w:r>
        <w:rPr>
          <w:rFonts w:ascii="仿宋" w:hAnsi="仿宋" w:eastAsia="仿宋"/>
          <w:sz w:val="32"/>
          <w:szCs w:val="32"/>
        </w:rPr>
        <w:t>2021年一般公共预算财政拨款支出</w:t>
      </w:r>
      <w:r>
        <w:rPr>
          <w:rFonts w:hint="eastAsia" w:ascii="仿宋" w:hAnsi="仿宋" w:eastAsia="仿宋"/>
          <w:sz w:val="32"/>
          <w:szCs w:val="32"/>
        </w:rPr>
        <w:t>1247.20</w:t>
      </w:r>
      <w:r>
        <w:rPr>
          <w:rFonts w:ascii="仿宋" w:hAnsi="仿宋" w:eastAsia="仿宋"/>
          <w:sz w:val="32"/>
          <w:szCs w:val="32"/>
        </w:rPr>
        <w:t>万元，主要用于以下方面</w:t>
      </w:r>
      <w:r>
        <w:t>：</w:t>
      </w:r>
      <w:r>
        <w:rPr>
          <w:rFonts w:ascii="仿宋" w:hAnsi="仿宋" w:eastAsia="仿宋"/>
          <w:b/>
          <w:sz w:val="32"/>
          <w:szCs w:val="32"/>
        </w:rPr>
        <w:t>教育支出（类）</w:t>
      </w:r>
      <w:r>
        <w:rPr>
          <w:rFonts w:hint="eastAsia" w:ascii="仿宋" w:hAnsi="仿宋" w:eastAsia="仿宋"/>
          <w:b/>
          <w:sz w:val="32"/>
          <w:szCs w:val="32"/>
        </w:rPr>
        <w:t>1015.12</w:t>
      </w:r>
      <w:r>
        <w:rPr>
          <w:rFonts w:ascii="仿宋" w:hAnsi="仿宋" w:eastAsia="仿宋"/>
          <w:sz w:val="32"/>
          <w:szCs w:val="32"/>
        </w:rPr>
        <w:t>万元，占8</w:t>
      </w:r>
      <w:r>
        <w:rPr>
          <w:rFonts w:hint="eastAsia" w:ascii="仿宋" w:hAnsi="仿宋" w:eastAsia="仿宋"/>
          <w:sz w:val="32"/>
          <w:szCs w:val="32"/>
        </w:rPr>
        <w:t>1</w:t>
      </w:r>
      <w:r>
        <w:rPr>
          <w:rFonts w:ascii="仿宋" w:hAnsi="仿宋" w:eastAsia="仿宋"/>
          <w:sz w:val="32"/>
          <w:szCs w:val="32"/>
        </w:rPr>
        <w:t>%；</w:t>
      </w:r>
      <w:r>
        <w:rPr>
          <w:rFonts w:ascii="仿宋" w:hAnsi="仿宋" w:eastAsia="仿宋"/>
          <w:b/>
          <w:sz w:val="32"/>
          <w:szCs w:val="32"/>
        </w:rPr>
        <w:t>社会保障和就业（类）</w:t>
      </w:r>
      <w:r>
        <w:rPr>
          <w:rFonts w:ascii="仿宋" w:hAnsi="仿宋" w:eastAsia="仿宋"/>
          <w:sz w:val="32"/>
          <w:szCs w:val="32"/>
        </w:rPr>
        <w:t>支出</w:t>
      </w:r>
      <w:r>
        <w:rPr>
          <w:rFonts w:hint="eastAsia" w:ascii="仿宋" w:hAnsi="仿宋" w:eastAsia="仿宋"/>
          <w:sz w:val="32"/>
          <w:szCs w:val="32"/>
        </w:rPr>
        <w:t>102.72</w:t>
      </w:r>
      <w:r>
        <w:rPr>
          <w:rFonts w:ascii="仿宋" w:hAnsi="仿宋" w:eastAsia="仿宋"/>
          <w:sz w:val="32"/>
          <w:szCs w:val="32"/>
        </w:rPr>
        <w:t>万元，占</w:t>
      </w:r>
      <w:r>
        <w:rPr>
          <w:rFonts w:hint="eastAsia" w:ascii="仿宋" w:hAnsi="仿宋" w:eastAsia="仿宋"/>
          <w:sz w:val="32"/>
          <w:szCs w:val="32"/>
        </w:rPr>
        <w:t>比8</w:t>
      </w:r>
      <w:r>
        <w:rPr>
          <w:rFonts w:ascii="仿宋" w:hAnsi="仿宋" w:eastAsia="仿宋"/>
          <w:sz w:val="32"/>
          <w:szCs w:val="32"/>
        </w:rPr>
        <w:t>%；</w:t>
      </w:r>
      <w:r>
        <w:rPr>
          <w:rFonts w:ascii="仿宋" w:hAnsi="仿宋" w:eastAsia="仿宋"/>
          <w:b/>
          <w:bCs/>
          <w:sz w:val="32"/>
          <w:szCs w:val="32"/>
        </w:rPr>
        <w:t>卫生健康支出</w:t>
      </w:r>
      <w:r>
        <w:rPr>
          <w:rFonts w:hint="eastAsia" w:ascii="仿宋" w:hAnsi="仿宋" w:eastAsia="仿宋"/>
          <w:b/>
          <w:bCs/>
          <w:sz w:val="32"/>
          <w:szCs w:val="32"/>
        </w:rPr>
        <w:t>56.33</w:t>
      </w:r>
      <w:r>
        <w:rPr>
          <w:rFonts w:ascii="仿宋" w:hAnsi="仿宋" w:eastAsia="仿宋"/>
          <w:sz w:val="32"/>
          <w:szCs w:val="32"/>
        </w:rPr>
        <w:t>万元，占</w:t>
      </w:r>
      <w:r>
        <w:rPr>
          <w:rFonts w:hint="eastAsia" w:ascii="仿宋" w:hAnsi="仿宋" w:eastAsia="仿宋"/>
          <w:sz w:val="32"/>
          <w:szCs w:val="32"/>
        </w:rPr>
        <w:t>比5</w:t>
      </w:r>
      <w:r>
        <w:rPr>
          <w:rFonts w:ascii="仿宋" w:hAnsi="仿宋" w:eastAsia="仿宋"/>
          <w:sz w:val="32"/>
          <w:szCs w:val="32"/>
        </w:rPr>
        <w:t>%；</w:t>
      </w:r>
      <w:r>
        <w:rPr>
          <w:rFonts w:ascii="仿宋" w:hAnsi="仿宋" w:eastAsia="仿宋"/>
          <w:b/>
          <w:bCs/>
          <w:sz w:val="32"/>
          <w:szCs w:val="32"/>
        </w:rPr>
        <w:t>农林水支出</w:t>
      </w:r>
      <w:r>
        <w:rPr>
          <w:rFonts w:hint="eastAsia" w:ascii="仿宋" w:hAnsi="仿宋" w:eastAsia="仿宋"/>
          <w:b/>
          <w:bCs/>
          <w:sz w:val="32"/>
          <w:szCs w:val="32"/>
        </w:rPr>
        <w:t>1.25</w:t>
      </w:r>
      <w:r>
        <w:rPr>
          <w:rFonts w:ascii="仿宋" w:hAnsi="仿宋" w:eastAsia="仿宋"/>
          <w:sz w:val="32"/>
          <w:szCs w:val="32"/>
        </w:rPr>
        <w:t>万元，占0%；</w:t>
      </w:r>
      <w:r>
        <w:rPr>
          <w:rFonts w:ascii="仿宋" w:hAnsi="仿宋" w:eastAsia="仿宋"/>
          <w:b/>
          <w:bCs/>
          <w:sz w:val="32"/>
          <w:szCs w:val="32"/>
        </w:rPr>
        <w:t>住房保障支出</w:t>
      </w:r>
      <w:r>
        <w:rPr>
          <w:rFonts w:hint="eastAsia" w:ascii="仿宋" w:hAnsi="仿宋" w:eastAsia="仿宋"/>
          <w:b/>
          <w:bCs/>
          <w:sz w:val="32"/>
          <w:szCs w:val="32"/>
        </w:rPr>
        <w:t>71.77</w:t>
      </w:r>
      <w:r>
        <w:rPr>
          <w:rFonts w:ascii="仿宋" w:hAnsi="仿宋" w:eastAsia="仿宋"/>
          <w:sz w:val="32"/>
          <w:szCs w:val="32"/>
        </w:rPr>
        <w:t>万元，占</w:t>
      </w:r>
      <w:r>
        <w:rPr>
          <w:rFonts w:hint="eastAsia" w:ascii="仿宋" w:hAnsi="仿宋" w:eastAsia="仿宋"/>
          <w:sz w:val="32"/>
          <w:szCs w:val="32"/>
        </w:rPr>
        <w:t>比6</w:t>
      </w:r>
      <w:r>
        <w:rPr>
          <w:rFonts w:ascii="仿宋" w:hAnsi="仿宋" w:eastAsia="仿宋"/>
          <w:sz w:val="32"/>
          <w:szCs w:val="32"/>
        </w:rPr>
        <w:t>%。</w:t>
      </w:r>
    </w:p>
    <w:p>
      <w:pPr>
        <w:pStyle w:val="15"/>
        <w:spacing w:before="93"/>
        <w:rPr>
          <w:rFonts w:ascii="仿宋" w:hAnsi="仿宋" w:eastAsia="仿宋"/>
          <w:b/>
          <w:sz w:val="32"/>
          <w:szCs w:val="32"/>
        </w:rPr>
      </w:pPr>
      <w:r>
        <w:drawing>
          <wp:inline distT="0" distB="0" distL="0" distR="0">
            <wp:extent cx="5079365" cy="3924300"/>
            <wp:effectExtent l="4445" t="4445" r="21590" b="14605"/>
            <wp:docPr id="161" name="_x0000_i11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4"/>
        <w:spacing w:line="600" w:lineRule="exact"/>
        <w:ind w:firstLine="640" w:firstLineChars="200"/>
        <w:rPr>
          <w:rFonts w:ascii="仿宋" w:hAnsi="仿宋" w:eastAsia="仿宋"/>
          <w:sz w:val="32"/>
          <w:szCs w:val="32"/>
        </w:rPr>
      </w:pPr>
      <w:r>
        <w:rPr>
          <w:rFonts w:ascii="仿宋" w:hAnsi="仿宋" w:eastAsia="仿宋"/>
          <w:sz w:val="32"/>
          <w:szCs w:val="32"/>
        </w:rPr>
        <w:t>（图6：一般公共预算财政拨款支出决算结构）</w:t>
      </w:r>
    </w:p>
    <w:p>
      <w:pPr>
        <w:pStyle w:val="14"/>
        <w:spacing w:line="600" w:lineRule="exact"/>
        <w:ind w:firstLine="643" w:firstLineChars="200"/>
        <w:outlineLvl w:val="2"/>
        <w:rPr>
          <w:rFonts w:ascii="仿宋" w:hAnsi="仿宋" w:eastAsia="仿宋"/>
          <w:b/>
          <w:sz w:val="32"/>
          <w:szCs w:val="32"/>
        </w:rPr>
      </w:pPr>
      <w:bookmarkStart w:id="44" w:name="_Toc15377212"/>
      <w:r>
        <w:rPr>
          <w:rFonts w:ascii="仿宋" w:hAnsi="仿宋" w:eastAsia="仿宋"/>
          <w:b/>
          <w:sz w:val="32"/>
          <w:szCs w:val="32"/>
        </w:rPr>
        <w:t>（三）一般公共预算财政拨款支出决算具体情况</w:t>
      </w:r>
      <w:bookmarkEnd w:id="44"/>
    </w:p>
    <w:p>
      <w:pPr>
        <w:spacing w:line="600" w:lineRule="exact"/>
        <w:ind w:firstLine="643" w:firstLineChars="200"/>
        <w:rPr>
          <w:rStyle w:val="11"/>
          <w:rFonts w:ascii="仿宋" w:hAnsi="仿宋" w:eastAsia="仿宋"/>
          <w:bCs/>
          <w:sz w:val="32"/>
          <w:szCs w:val="32"/>
        </w:rPr>
      </w:pPr>
      <w:bookmarkStart w:id="45" w:name="_Toc15377444"/>
      <w:bookmarkStart w:id="46" w:name="_Toc15378460"/>
      <w:bookmarkStart w:id="47" w:name="_Toc15377213"/>
      <w:r>
        <w:rPr>
          <w:rFonts w:ascii="仿宋" w:hAnsi="仿宋" w:eastAsia="仿宋"/>
          <w:b/>
          <w:sz w:val="32"/>
          <w:szCs w:val="32"/>
        </w:rPr>
        <w:t>2021年一般公共预算支出决算数为</w:t>
      </w:r>
      <w:r>
        <w:rPr>
          <w:rFonts w:hint="eastAsia" w:ascii="仿宋" w:hAnsi="仿宋" w:eastAsia="仿宋"/>
          <w:b/>
          <w:sz w:val="32"/>
          <w:szCs w:val="32"/>
        </w:rPr>
        <w:t>1247.20</w:t>
      </w:r>
      <w:r>
        <w:rPr>
          <w:rFonts w:ascii="仿宋" w:hAnsi="仿宋" w:eastAsia="仿宋"/>
          <w:b/>
          <w:sz w:val="32"/>
          <w:szCs w:val="32"/>
        </w:rPr>
        <w:t>万元</w:t>
      </w:r>
      <w:r>
        <w:rPr>
          <w:rFonts w:ascii="仿宋" w:hAnsi="仿宋" w:eastAsia="仿宋"/>
          <w:sz w:val="32"/>
          <w:szCs w:val="32"/>
        </w:rPr>
        <w:t>，</w:t>
      </w:r>
      <w:r>
        <w:rPr>
          <w:rStyle w:val="11"/>
          <w:rFonts w:ascii="仿宋" w:hAnsi="仿宋" w:eastAsia="仿宋"/>
          <w:bCs/>
          <w:sz w:val="32"/>
          <w:szCs w:val="32"/>
        </w:rPr>
        <w:t>完成预算</w:t>
      </w:r>
      <w:r>
        <w:rPr>
          <w:rStyle w:val="11"/>
          <w:rFonts w:hint="eastAsia" w:ascii="仿宋" w:hAnsi="仿宋" w:eastAsia="仿宋"/>
          <w:bCs/>
          <w:sz w:val="32"/>
          <w:szCs w:val="32"/>
        </w:rPr>
        <w:t>的</w:t>
      </w:r>
      <w:r>
        <w:rPr>
          <w:rFonts w:ascii="仿宋" w:hAnsi="仿宋" w:eastAsia="仿宋"/>
          <w:bCs/>
          <w:sz w:val="32"/>
          <w:szCs w:val="32"/>
        </w:rPr>
        <w:t>100%。其中：</w:t>
      </w:r>
      <w:bookmarkEnd w:id="45"/>
      <w:bookmarkEnd w:id="46"/>
      <w:bookmarkEnd w:id="47"/>
    </w:p>
    <w:p>
      <w:pPr>
        <w:spacing w:line="600" w:lineRule="exact"/>
        <w:ind w:firstLine="643" w:firstLineChars="200"/>
        <w:rPr>
          <w:rStyle w:val="11"/>
          <w:rFonts w:ascii="仿宋" w:hAnsi="仿宋" w:eastAsia="仿宋"/>
          <w:b w:val="0"/>
          <w:bCs/>
          <w:sz w:val="32"/>
          <w:szCs w:val="32"/>
        </w:rPr>
      </w:pPr>
      <w:r>
        <w:rPr>
          <w:rStyle w:val="9"/>
          <w:rFonts w:ascii="仿宋" w:hAnsi="仿宋" w:eastAsia="仿宋"/>
          <w:bCs/>
          <w:color w:val="000000"/>
          <w:sz w:val="32"/>
          <w:szCs w:val="32"/>
        </w:rPr>
        <w:t>1.</w:t>
      </w:r>
      <w:r>
        <w:rPr>
          <w:rStyle w:val="11"/>
          <w:rFonts w:ascii="仿宋" w:hAnsi="仿宋" w:eastAsia="仿宋"/>
          <w:bCs/>
          <w:sz w:val="32"/>
          <w:szCs w:val="32"/>
        </w:rPr>
        <w:t>教育（类）</w:t>
      </w:r>
      <w:r>
        <w:rPr>
          <w:rFonts w:ascii="仿宋" w:hAnsi="仿宋" w:eastAsia="仿宋"/>
          <w:bCs/>
          <w:sz w:val="32"/>
          <w:szCs w:val="32"/>
        </w:rPr>
        <w:t>普通教育（款）小学教育（项）</w:t>
      </w:r>
      <w:r>
        <w:rPr>
          <w:rStyle w:val="11"/>
          <w:rFonts w:ascii="仿宋" w:hAnsi="仿宋" w:eastAsia="仿宋"/>
          <w:bCs/>
          <w:sz w:val="32"/>
          <w:szCs w:val="32"/>
        </w:rPr>
        <w:t>:</w:t>
      </w:r>
      <w:r>
        <w:rPr>
          <w:rStyle w:val="11"/>
          <w:rFonts w:ascii="仿宋" w:hAnsi="仿宋" w:eastAsia="仿宋"/>
          <w:b w:val="0"/>
          <w:bCs/>
          <w:sz w:val="32"/>
          <w:szCs w:val="32"/>
        </w:rPr>
        <w:t xml:space="preserve"> 支出</w:t>
      </w:r>
      <w:r>
        <w:rPr>
          <w:rFonts w:ascii="仿宋" w:hAnsi="仿宋" w:eastAsia="仿宋"/>
          <w:bCs/>
          <w:sz w:val="32"/>
          <w:szCs w:val="32"/>
        </w:rPr>
        <w:t>决算为</w:t>
      </w:r>
      <w:r>
        <w:rPr>
          <w:rStyle w:val="11"/>
          <w:rFonts w:hint="eastAsia" w:ascii="仿宋" w:hAnsi="仿宋" w:eastAsia="仿宋"/>
          <w:b w:val="0"/>
          <w:bCs/>
          <w:kern w:val="2"/>
          <w:sz w:val="32"/>
          <w:szCs w:val="32"/>
        </w:rPr>
        <w:t>1015.12</w:t>
      </w:r>
      <w:r>
        <w:rPr>
          <w:rStyle w:val="11"/>
          <w:rFonts w:ascii="仿宋" w:hAnsi="仿宋" w:eastAsia="仿宋"/>
          <w:b w:val="0"/>
          <w:bCs/>
          <w:sz w:val="32"/>
          <w:szCs w:val="32"/>
        </w:rPr>
        <w:t>万元，完成</w:t>
      </w:r>
      <w:r>
        <w:rPr>
          <w:rStyle w:val="11"/>
          <w:rFonts w:hint="eastAsia" w:ascii="仿宋" w:hAnsi="仿宋" w:eastAsia="仿宋"/>
          <w:b w:val="0"/>
          <w:bCs/>
          <w:sz w:val="32"/>
          <w:szCs w:val="32"/>
          <w:u w:val="none" w:color="46CD7E"/>
          <w:shd w:val="clear" w:fill="auto"/>
          <w:lang w:eastAsia="zh-CN"/>
        </w:rPr>
        <w:t>预算</w:t>
      </w:r>
      <w:r>
        <w:rPr>
          <w:rStyle w:val="11"/>
          <w:rFonts w:hint="eastAsia" w:ascii="仿宋" w:hAnsi="仿宋" w:eastAsia="仿宋"/>
          <w:b w:val="0"/>
          <w:bCs/>
          <w:sz w:val="32"/>
          <w:szCs w:val="32"/>
          <w:lang w:eastAsia="zh-CN"/>
        </w:rPr>
        <w:t>的100%</w:t>
      </w:r>
    </w:p>
    <w:p>
      <w:pPr>
        <w:pStyle w:val="14"/>
        <w:spacing w:line="600" w:lineRule="exact"/>
        <w:ind w:firstLine="643" w:firstLineChars="200"/>
        <w:rPr>
          <w:rFonts w:ascii="仿宋" w:hAnsi="仿宋" w:eastAsia="仿宋"/>
          <w:b/>
          <w:sz w:val="32"/>
          <w:szCs w:val="32"/>
        </w:rPr>
      </w:pPr>
      <w:r>
        <w:rPr>
          <w:rStyle w:val="11"/>
          <w:rFonts w:hint="eastAsia" w:ascii="仿宋" w:hAnsi="仿宋" w:eastAsia="仿宋"/>
          <w:bCs/>
          <w:sz w:val="32"/>
          <w:szCs w:val="32"/>
        </w:rPr>
        <w:t>5</w:t>
      </w:r>
      <w:r>
        <w:rPr>
          <w:rStyle w:val="11"/>
          <w:rFonts w:ascii="仿宋" w:hAnsi="仿宋" w:eastAsia="仿宋"/>
          <w:bCs/>
          <w:sz w:val="32"/>
          <w:szCs w:val="32"/>
        </w:rPr>
        <w:t>.社会保障和就业（类）</w:t>
      </w:r>
      <w:r>
        <w:rPr>
          <w:rFonts w:ascii="仿宋" w:hAnsi="仿宋" w:eastAsia="仿宋"/>
          <w:bCs/>
          <w:sz w:val="32"/>
          <w:szCs w:val="32"/>
        </w:rPr>
        <w:t>人力资源和社会保障管理事务（款）引进人才费用（项）</w:t>
      </w:r>
      <w:r>
        <w:rPr>
          <w:rStyle w:val="11"/>
          <w:rFonts w:ascii="仿宋" w:hAnsi="仿宋" w:eastAsia="仿宋"/>
          <w:bCs/>
          <w:sz w:val="32"/>
          <w:szCs w:val="32"/>
        </w:rPr>
        <w:t>:</w:t>
      </w:r>
      <w:r>
        <w:rPr>
          <w:rFonts w:ascii="仿宋" w:hAnsi="仿宋" w:eastAsia="仿宋"/>
          <w:bCs/>
          <w:sz w:val="32"/>
          <w:szCs w:val="32"/>
        </w:rPr>
        <w:t>行政事业养老支出（款）机关事业单位基本养老保险缴费支出（项）:</w:t>
      </w:r>
      <w:r>
        <w:rPr>
          <w:rStyle w:val="11"/>
          <w:rFonts w:ascii="仿宋" w:hAnsi="仿宋" w:eastAsia="仿宋"/>
          <w:b w:val="0"/>
          <w:bCs/>
          <w:sz w:val="32"/>
          <w:szCs w:val="32"/>
        </w:rPr>
        <w:t xml:space="preserve"> 支出</w:t>
      </w:r>
      <w:r>
        <w:rPr>
          <w:rFonts w:ascii="仿宋" w:hAnsi="仿宋" w:eastAsia="仿宋"/>
          <w:bCs/>
          <w:sz w:val="32"/>
          <w:szCs w:val="32"/>
        </w:rPr>
        <w:t>决算为</w:t>
      </w:r>
      <w:r>
        <w:rPr>
          <w:rStyle w:val="11"/>
          <w:rFonts w:hint="eastAsia" w:ascii="仿宋" w:hAnsi="仿宋" w:eastAsia="仿宋"/>
          <w:b w:val="0"/>
          <w:bCs/>
          <w:sz w:val="32"/>
          <w:szCs w:val="32"/>
        </w:rPr>
        <w:t>102.72</w:t>
      </w:r>
      <w:r>
        <w:rPr>
          <w:rStyle w:val="11"/>
          <w:rFonts w:ascii="仿宋" w:hAnsi="仿宋" w:eastAsia="仿宋"/>
          <w:b w:val="0"/>
          <w:bCs/>
          <w:sz w:val="32"/>
          <w:szCs w:val="32"/>
        </w:rPr>
        <w:t>万元，完成</w:t>
      </w:r>
      <w:r>
        <w:rPr>
          <w:rStyle w:val="11"/>
          <w:rFonts w:hint="eastAsia" w:ascii="仿宋" w:hAnsi="仿宋" w:eastAsia="仿宋"/>
          <w:b w:val="0"/>
          <w:bCs/>
          <w:sz w:val="32"/>
          <w:szCs w:val="32"/>
          <w:u w:val="none" w:color="46CD7E"/>
          <w:shd w:val="clear" w:fill="auto"/>
          <w:lang w:eastAsia="zh-CN"/>
        </w:rPr>
        <w:t>预算</w:t>
      </w:r>
      <w:r>
        <w:rPr>
          <w:rStyle w:val="11"/>
          <w:rFonts w:hint="eastAsia" w:ascii="仿宋" w:hAnsi="仿宋" w:eastAsia="仿宋"/>
          <w:b w:val="0"/>
          <w:bCs/>
          <w:sz w:val="32"/>
          <w:szCs w:val="32"/>
          <w:lang w:eastAsia="zh-CN"/>
        </w:rPr>
        <w:t>的100%</w:t>
      </w:r>
    </w:p>
    <w:p>
      <w:pPr>
        <w:pStyle w:val="14"/>
        <w:spacing w:line="600" w:lineRule="exact"/>
        <w:ind w:firstLine="643" w:firstLineChars="200"/>
        <w:rPr>
          <w:rFonts w:ascii="仿宋" w:hAnsi="仿宋" w:eastAsia="仿宋"/>
          <w:b/>
          <w:sz w:val="32"/>
          <w:szCs w:val="32"/>
        </w:rPr>
      </w:pPr>
      <w:r>
        <w:rPr>
          <w:rStyle w:val="11"/>
          <w:rFonts w:hint="eastAsia" w:ascii="仿宋" w:hAnsi="仿宋" w:eastAsia="仿宋"/>
          <w:bCs/>
          <w:sz w:val="32"/>
          <w:szCs w:val="32"/>
        </w:rPr>
        <w:t>6</w:t>
      </w:r>
      <w:r>
        <w:rPr>
          <w:rStyle w:val="11"/>
          <w:rFonts w:ascii="仿宋" w:hAnsi="仿宋" w:eastAsia="仿宋"/>
          <w:bCs/>
          <w:sz w:val="32"/>
          <w:szCs w:val="32"/>
        </w:rPr>
        <w:t>.</w:t>
      </w:r>
      <w:r>
        <w:rPr>
          <w:rFonts w:ascii="仿宋" w:hAnsi="仿宋" w:eastAsia="仿宋"/>
          <w:b/>
          <w:bCs/>
          <w:sz w:val="32"/>
          <w:szCs w:val="32"/>
        </w:rPr>
        <w:t>卫生健康</w:t>
      </w:r>
      <w:r>
        <w:rPr>
          <w:rStyle w:val="11"/>
          <w:rFonts w:ascii="仿宋" w:hAnsi="仿宋" w:eastAsia="仿宋"/>
          <w:bCs/>
          <w:sz w:val="32"/>
          <w:szCs w:val="32"/>
        </w:rPr>
        <w:t>（类）</w:t>
      </w:r>
      <w:r>
        <w:rPr>
          <w:rFonts w:ascii="仿宋" w:hAnsi="仿宋" w:eastAsia="仿宋"/>
          <w:bCs/>
          <w:sz w:val="32"/>
          <w:szCs w:val="32"/>
        </w:rPr>
        <w:t>行政事业单位医疗（款）事业单位医疗</w:t>
      </w:r>
      <w:r>
        <w:t>：</w:t>
      </w:r>
      <w:r>
        <w:rPr>
          <w:rStyle w:val="11"/>
          <w:rFonts w:ascii="仿宋" w:hAnsi="仿宋" w:eastAsia="仿宋"/>
          <w:b w:val="0"/>
          <w:bCs/>
          <w:sz w:val="32"/>
          <w:szCs w:val="32"/>
        </w:rPr>
        <w:t>支出</w:t>
      </w:r>
      <w:r>
        <w:rPr>
          <w:rFonts w:ascii="仿宋" w:hAnsi="仿宋" w:eastAsia="仿宋"/>
          <w:bCs/>
          <w:sz w:val="32"/>
          <w:szCs w:val="32"/>
        </w:rPr>
        <w:t>决算为</w:t>
      </w:r>
      <w:r>
        <w:rPr>
          <w:rStyle w:val="11"/>
          <w:rFonts w:hint="eastAsia" w:ascii="仿宋" w:hAnsi="仿宋" w:eastAsia="仿宋"/>
          <w:b w:val="0"/>
          <w:bCs/>
          <w:sz w:val="32"/>
          <w:szCs w:val="32"/>
        </w:rPr>
        <w:t>56.33</w:t>
      </w:r>
      <w:r>
        <w:rPr>
          <w:rStyle w:val="11"/>
          <w:rFonts w:ascii="仿宋" w:hAnsi="仿宋" w:eastAsia="仿宋"/>
          <w:b w:val="0"/>
          <w:bCs/>
          <w:sz w:val="32"/>
          <w:szCs w:val="32"/>
        </w:rPr>
        <w:t>万元，完成</w:t>
      </w:r>
      <w:r>
        <w:rPr>
          <w:rStyle w:val="11"/>
          <w:rFonts w:hint="eastAsia" w:ascii="仿宋" w:hAnsi="仿宋" w:eastAsia="仿宋"/>
          <w:b w:val="0"/>
          <w:bCs/>
          <w:sz w:val="32"/>
          <w:szCs w:val="32"/>
          <w:u w:val="none" w:color="46CD7E"/>
          <w:shd w:val="clear" w:fill="auto"/>
          <w:lang w:eastAsia="zh-CN"/>
        </w:rPr>
        <w:t>预算</w:t>
      </w:r>
      <w:r>
        <w:rPr>
          <w:rStyle w:val="11"/>
          <w:rFonts w:hint="eastAsia" w:ascii="仿宋" w:hAnsi="仿宋" w:eastAsia="仿宋"/>
          <w:b w:val="0"/>
          <w:bCs/>
          <w:sz w:val="32"/>
          <w:szCs w:val="32"/>
          <w:lang w:eastAsia="zh-CN"/>
        </w:rPr>
        <w:t>的100%</w:t>
      </w:r>
    </w:p>
    <w:p>
      <w:pPr>
        <w:pStyle w:val="14"/>
        <w:spacing w:line="600" w:lineRule="exact"/>
        <w:ind w:firstLine="643" w:firstLineChars="200"/>
        <w:rPr>
          <w:rStyle w:val="11"/>
          <w:rFonts w:ascii="仿宋" w:hAnsi="仿宋" w:eastAsia="仿宋"/>
          <w:b w:val="0"/>
          <w:bCs/>
          <w:sz w:val="32"/>
          <w:szCs w:val="32"/>
        </w:rPr>
      </w:pPr>
      <w:r>
        <w:rPr>
          <w:rStyle w:val="11"/>
          <w:rFonts w:hint="eastAsia" w:ascii="仿宋" w:hAnsi="仿宋" w:eastAsia="仿宋"/>
          <w:bCs/>
          <w:sz w:val="32"/>
          <w:szCs w:val="32"/>
        </w:rPr>
        <w:t>7.农林水支出</w:t>
      </w:r>
      <w:r>
        <w:rPr>
          <w:rFonts w:hint="eastAsia" w:ascii="仿宋" w:hAnsi="仿宋" w:eastAsia="仿宋"/>
          <w:bCs/>
          <w:sz w:val="32"/>
          <w:szCs w:val="32"/>
        </w:rPr>
        <w:t>（类</w:t>
      </w:r>
      <w:r>
        <w:rPr>
          <w:rStyle w:val="11"/>
          <w:rFonts w:hint="eastAsia" w:ascii="仿宋" w:hAnsi="仿宋" w:eastAsia="仿宋"/>
          <w:bCs/>
          <w:sz w:val="32"/>
          <w:szCs w:val="32"/>
        </w:rPr>
        <w:t>）</w:t>
      </w:r>
      <w:r>
        <w:rPr>
          <w:rFonts w:hint="eastAsia" w:ascii="仿宋" w:hAnsi="仿宋" w:eastAsia="仿宋"/>
          <w:bCs/>
          <w:sz w:val="32"/>
          <w:szCs w:val="32"/>
        </w:rPr>
        <w:t>扶贫（款</w:t>
      </w:r>
      <w:r>
        <w:t>）</w:t>
      </w:r>
      <w:r>
        <w:rPr>
          <w:rFonts w:hint="eastAsia" w:ascii="仿宋" w:hAnsi="仿宋" w:eastAsia="仿宋"/>
          <w:bCs/>
          <w:sz w:val="32"/>
          <w:szCs w:val="32"/>
        </w:rPr>
        <w:t>其他扶贫支出（项）：支</w:t>
      </w:r>
      <w:r>
        <w:rPr>
          <w:rStyle w:val="11"/>
          <w:rFonts w:ascii="仿宋" w:hAnsi="仿宋" w:eastAsia="仿宋"/>
          <w:b w:val="0"/>
          <w:bCs/>
          <w:sz w:val="32"/>
          <w:szCs w:val="32"/>
        </w:rPr>
        <w:t>出</w:t>
      </w:r>
      <w:r>
        <w:rPr>
          <w:rFonts w:ascii="仿宋" w:hAnsi="仿宋" w:eastAsia="仿宋"/>
          <w:bCs/>
          <w:sz w:val="32"/>
          <w:szCs w:val="32"/>
        </w:rPr>
        <w:t>决算为</w:t>
      </w:r>
      <w:r>
        <w:rPr>
          <w:rStyle w:val="11"/>
          <w:rFonts w:hint="eastAsia" w:ascii="仿宋" w:hAnsi="仿宋" w:eastAsia="仿宋"/>
          <w:b w:val="0"/>
          <w:bCs/>
          <w:sz w:val="32"/>
          <w:szCs w:val="32"/>
        </w:rPr>
        <w:t>1.25</w:t>
      </w:r>
      <w:r>
        <w:rPr>
          <w:rStyle w:val="11"/>
          <w:rFonts w:ascii="仿宋" w:hAnsi="仿宋" w:eastAsia="仿宋"/>
          <w:b w:val="0"/>
          <w:bCs/>
          <w:sz w:val="32"/>
          <w:szCs w:val="32"/>
        </w:rPr>
        <w:t>万元，完成</w:t>
      </w:r>
      <w:r>
        <w:rPr>
          <w:rStyle w:val="11"/>
          <w:rFonts w:hint="eastAsia" w:ascii="仿宋" w:hAnsi="仿宋" w:eastAsia="仿宋"/>
          <w:b w:val="0"/>
          <w:bCs/>
          <w:sz w:val="32"/>
          <w:szCs w:val="32"/>
          <w:u w:val="none" w:color="46CD7E"/>
          <w:shd w:val="clear" w:fill="auto"/>
          <w:lang w:eastAsia="zh-CN"/>
        </w:rPr>
        <w:t>预算</w:t>
      </w:r>
      <w:r>
        <w:rPr>
          <w:rStyle w:val="11"/>
          <w:rFonts w:hint="eastAsia" w:ascii="仿宋" w:hAnsi="仿宋" w:eastAsia="仿宋"/>
          <w:b w:val="0"/>
          <w:bCs/>
          <w:sz w:val="32"/>
          <w:szCs w:val="32"/>
          <w:lang w:eastAsia="zh-CN"/>
        </w:rPr>
        <w:t>的100%</w:t>
      </w:r>
    </w:p>
    <w:p>
      <w:pPr>
        <w:pStyle w:val="14"/>
        <w:spacing w:line="600" w:lineRule="exact"/>
        <w:ind w:firstLine="643" w:firstLineChars="200"/>
        <w:rPr>
          <w:rStyle w:val="11"/>
          <w:rFonts w:ascii="仿宋" w:hAnsi="仿宋" w:eastAsia="仿宋"/>
          <w:b w:val="0"/>
          <w:bCs/>
          <w:sz w:val="32"/>
          <w:szCs w:val="32"/>
        </w:rPr>
      </w:pPr>
      <w:r>
        <w:rPr>
          <w:rStyle w:val="11"/>
          <w:rFonts w:hint="eastAsia" w:ascii="仿宋" w:hAnsi="仿宋" w:eastAsia="仿宋"/>
          <w:bCs/>
          <w:sz w:val="32"/>
          <w:szCs w:val="32"/>
        </w:rPr>
        <w:t>8.住房保障支出</w:t>
      </w:r>
      <w:r>
        <w:rPr>
          <w:rFonts w:hint="eastAsia" w:ascii="仿宋" w:hAnsi="仿宋" w:eastAsia="仿宋"/>
          <w:bCs/>
          <w:sz w:val="32"/>
          <w:szCs w:val="32"/>
        </w:rPr>
        <w:t>（类</w:t>
      </w:r>
      <w:r>
        <w:rPr>
          <w:rStyle w:val="11"/>
          <w:rFonts w:hint="eastAsia" w:ascii="仿宋" w:hAnsi="仿宋" w:eastAsia="仿宋"/>
          <w:bCs/>
          <w:sz w:val="32"/>
          <w:szCs w:val="32"/>
        </w:rPr>
        <w:t>）</w:t>
      </w:r>
      <w:r>
        <w:rPr>
          <w:rFonts w:hint="eastAsia" w:ascii="仿宋" w:hAnsi="仿宋" w:eastAsia="仿宋"/>
          <w:bCs/>
          <w:sz w:val="32"/>
          <w:szCs w:val="32"/>
        </w:rPr>
        <w:t>住房改革支出（</w:t>
      </w:r>
      <w:r>
        <w:rPr>
          <w:rFonts w:hint="eastAsia" w:ascii="仿宋" w:hAnsi="仿宋" w:eastAsia="仿宋"/>
          <w:bCs/>
          <w:sz w:val="32"/>
          <w:szCs w:val="32"/>
          <w:u w:val="none" w:color="FFB03A"/>
          <w:shd w:val="clear" w:fill="auto"/>
        </w:rPr>
        <w:t>款</w:t>
      </w:r>
      <w:r>
        <w:rPr>
          <w:rFonts w:hint="eastAsia" w:ascii="仿宋" w:hAnsi="仿宋" w:eastAsia="仿宋"/>
          <w:bCs/>
          <w:sz w:val="32"/>
          <w:szCs w:val="32"/>
          <w:u w:val="thick" w:color="FFB03A"/>
          <w:shd w:val="clear" w:fill="FFEFD8"/>
          <w:lang w:eastAsia="zh-CN"/>
        </w:rPr>
        <w:t>）</w:t>
      </w:r>
      <w:r>
        <w:rPr>
          <w:rFonts w:hint="eastAsia" w:ascii="仿宋" w:hAnsi="仿宋" w:eastAsia="仿宋"/>
          <w:bCs/>
          <w:sz w:val="32"/>
          <w:szCs w:val="32"/>
        </w:rPr>
        <w:t>住房公积金（项）：支</w:t>
      </w:r>
      <w:r>
        <w:rPr>
          <w:rStyle w:val="11"/>
          <w:rFonts w:ascii="仿宋" w:hAnsi="仿宋" w:eastAsia="仿宋"/>
          <w:b w:val="0"/>
          <w:bCs/>
          <w:sz w:val="32"/>
          <w:szCs w:val="32"/>
        </w:rPr>
        <w:t>出</w:t>
      </w:r>
      <w:r>
        <w:rPr>
          <w:rFonts w:ascii="仿宋" w:hAnsi="仿宋" w:eastAsia="仿宋"/>
          <w:bCs/>
          <w:sz w:val="32"/>
          <w:szCs w:val="32"/>
        </w:rPr>
        <w:t>决算为</w:t>
      </w:r>
      <w:r>
        <w:rPr>
          <w:rStyle w:val="11"/>
          <w:rFonts w:hint="eastAsia" w:ascii="仿宋" w:hAnsi="仿宋" w:eastAsia="仿宋"/>
          <w:b w:val="0"/>
          <w:bCs/>
          <w:sz w:val="32"/>
          <w:szCs w:val="32"/>
        </w:rPr>
        <w:t>71.77</w:t>
      </w:r>
      <w:r>
        <w:rPr>
          <w:rStyle w:val="11"/>
          <w:rFonts w:ascii="仿宋" w:hAnsi="仿宋" w:eastAsia="仿宋"/>
          <w:b w:val="0"/>
          <w:bCs/>
          <w:sz w:val="32"/>
          <w:szCs w:val="32"/>
        </w:rPr>
        <w:t>万元，完成预算</w:t>
      </w:r>
      <w:r>
        <w:rPr>
          <w:rStyle w:val="11"/>
          <w:rFonts w:hint="eastAsia" w:ascii="仿宋" w:hAnsi="仿宋" w:eastAsia="仿宋"/>
          <w:b w:val="0"/>
          <w:bCs/>
          <w:sz w:val="32"/>
          <w:szCs w:val="32"/>
        </w:rPr>
        <w:t>的</w:t>
      </w:r>
      <w:r>
        <w:rPr>
          <w:rFonts w:ascii="仿宋" w:hAnsi="仿宋" w:eastAsia="仿宋"/>
          <w:bCs/>
          <w:sz w:val="32"/>
          <w:szCs w:val="32"/>
        </w:rPr>
        <w:t>100%。</w:t>
      </w:r>
    </w:p>
    <w:p>
      <w:pPr>
        <w:pStyle w:val="14"/>
        <w:tabs>
          <w:tab w:val="right" w:pos="8306"/>
        </w:tabs>
        <w:spacing w:line="600" w:lineRule="exact"/>
        <w:ind w:firstLine="640" w:firstLineChars="200"/>
        <w:outlineLvl w:val="1"/>
        <w:rPr>
          <w:rStyle w:val="16"/>
        </w:rPr>
      </w:pPr>
      <w:bookmarkStart w:id="48" w:name="_Toc15396608"/>
      <w:bookmarkStart w:id="49" w:name="_Toc25603"/>
      <w:bookmarkStart w:id="50" w:name="_Toc15377214"/>
      <w:r>
        <w:rPr>
          <w:rFonts w:ascii="黑体" w:hAnsi="黑体" w:eastAsia="黑体"/>
          <w:sz w:val="32"/>
          <w:szCs w:val="32"/>
        </w:rPr>
        <w:t>六</w:t>
      </w:r>
      <w:r>
        <w:rPr>
          <w:rFonts w:ascii="黑体" w:hAnsi="黑体" w:eastAsia="黑体"/>
          <w:b/>
          <w:sz w:val="32"/>
          <w:szCs w:val="32"/>
        </w:rPr>
        <w:t>、一</w:t>
      </w:r>
      <w:r>
        <w:rPr>
          <w:rStyle w:val="16"/>
          <w:rFonts w:ascii="黑体" w:hAnsi="黑体" w:eastAsia="黑体"/>
          <w:b w:val="0"/>
        </w:rPr>
        <w:t>般公共预算</w:t>
      </w:r>
      <w:r>
        <w:rPr>
          <w:rFonts w:ascii="黑体" w:hAnsi="黑体" w:eastAsia="黑体"/>
          <w:sz w:val="32"/>
          <w:szCs w:val="32"/>
        </w:rPr>
        <w:t>财政拨款基本支出决算情况说明</w:t>
      </w:r>
      <w:bookmarkEnd w:id="48"/>
      <w:bookmarkEnd w:id="49"/>
      <w:bookmarkEnd w:id="50"/>
      <w:r>
        <w:rPr>
          <w:rStyle w:val="16"/>
          <w:rFonts w:ascii="黑体" w:hAnsi="黑体" w:eastAsia="黑体"/>
          <w:b w:val="0"/>
        </w:rPr>
        <w:tab/>
      </w:r>
    </w:p>
    <w:p>
      <w:pPr>
        <w:pStyle w:val="14"/>
        <w:spacing w:line="600" w:lineRule="exact"/>
        <w:ind w:firstLine="645"/>
        <w:rPr>
          <w:rFonts w:ascii="仿宋" w:hAnsi="仿宋" w:eastAsia="仿宋"/>
          <w:sz w:val="32"/>
          <w:szCs w:val="32"/>
        </w:rPr>
      </w:pPr>
      <w:r>
        <w:rPr>
          <w:rFonts w:ascii="仿宋" w:hAnsi="仿宋" w:eastAsia="仿宋"/>
          <w:sz w:val="32"/>
          <w:szCs w:val="32"/>
        </w:rPr>
        <w:t>2021年一般公共预算财政拨款基本支出</w:t>
      </w:r>
      <w:r>
        <w:rPr>
          <w:rFonts w:hint="eastAsia" w:ascii="仿宋" w:hAnsi="仿宋" w:eastAsia="仿宋"/>
          <w:sz w:val="32"/>
          <w:szCs w:val="32"/>
        </w:rPr>
        <w:t>1136.85</w:t>
      </w:r>
      <w:r>
        <w:rPr>
          <w:rFonts w:ascii="仿宋" w:hAnsi="仿宋" w:eastAsia="仿宋"/>
          <w:sz w:val="32"/>
          <w:szCs w:val="32"/>
        </w:rPr>
        <w:t>万元，其中：</w:t>
      </w:r>
    </w:p>
    <w:p>
      <w:pPr>
        <w:pStyle w:val="14"/>
        <w:spacing w:line="600" w:lineRule="exact"/>
        <w:ind w:firstLine="645"/>
        <w:rPr>
          <w:rFonts w:ascii="仿宋" w:hAnsi="仿宋" w:eastAsia="仿宋"/>
          <w:sz w:val="32"/>
          <w:szCs w:val="32"/>
        </w:rPr>
      </w:pPr>
      <w:r>
        <w:rPr>
          <w:rFonts w:ascii="仿宋" w:hAnsi="仿宋" w:eastAsia="仿宋"/>
          <w:sz w:val="32"/>
          <w:szCs w:val="32"/>
        </w:rPr>
        <w:t>人员经费</w:t>
      </w:r>
      <w:r>
        <w:rPr>
          <w:rFonts w:hint="eastAsia" w:ascii="仿宋" w:hAnsi="仿宋" w:eastAsia="仿宋"/>
          <w:sz w:val="32"/>
          <w:szCs w:val="32"/>
        </w:rPr>
        <w:t>1046.47</w:t>
      </w:r>
      <w:r>
        <w:rPr>
          <w:rFonts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pPr>
        <w:pStyle w:val="14"/>
        <w:spacing w:line="600" w:lineRule="exact"/>
        <w:ind w:firstLine="645"/>
        <w:rPr>
          <w:rFonts w:ascii="仿宋" w:hAnsi="仿宋" w:eastAsia="仿宋"/>
          <w:b/>
          <w:sz w:val="32"/>
          <w:szCs w:val="32"/>
        </w:rPr>
      </w:pPr>
      <w:r>
        <w:rPr>
          <w:rFonts w:ascii="仿宋" w:hAnsi="仿宋" w:eastAsia="仿宋"/>
          <w:sz w:val="32"/>
          <w:szCs w:val="32"/>
        </w:rPr>
        <w:t>公用经费</w:t>
      </w:r>
      <w:r>
        <w:rPr>
          <w:rFonts w:hint="eastAsia" w:ascii="仿宋" w:hAnsi="仿宋" w:eastAsia="仿宋"/>
          <w:sz w:val="32"/>
          <w:szCs w:val="32"/>
        </w:rPr>
        <w:t>90.38</w:t>
      </w:r>
      <w:r>
        <w:rPr>
          <w:rFonts w:ascii="仿宋" w:hAnsi="仿宋" w:eastAsia="仿宋"/>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14"/>
        <w:spacing w:line="600" w:lineRule="exact"/>
        <w:ind w:firstLine="640" w:firstLineChars="200"/>
        <w:outlineLvl w:val="1"/>
        <w:rPr>
          <w:rStyle w:val="16"/>
          <w:rFonts w:ascii="黑体" w:hAnsi="黑体" w:eastAsia="黑体"/>
          <w:b w:val="0"/>
          <w:bCs w:val="0"/>
        </w:rPr>
      </w:pPr>
      <w:bookmarkStart w:id="51" w:name="_Toc15377215"/>
      <w:bookmarkStart w:id="52" w:name="_Toc13000"/>
      <w:bookmarkStart w:id="53" w:name="_Toc15396609"/>
      <w:r>
        <w:rPr>
          <w:rFonts w:ascii="黑体" w:hAnsi="黑体" w:eastAsia="黑体"/>
          <w:sz w:val="32"/>
          <w:szCs w:val="32"/>
        </w:rPr>
        <w:t>七、</w:t>
      </w:r>
      <w:r>
        <w:rPr>
          <w:rStyle w:val="16"/>
          <w:rFonts w:ascii="黑体" w:hAnsi="黑体" w:eastAsia="黑体"/>
        </w:rPr>
        <w:t>“</w:t>
      </w:r>
      <w:r>
        <w:rPr>
          <w:rStyle w:val="16"/>
          <w:rFonts w:ascii="黑体" w:hAnsi="黑体" w:eastAsia="黑体"/>
          <w:b w:val="0"/>
        </w:rPr>
        <w:t>三公”经费</w:t>
      </w:r>
      <w:r>
        <w:rPr>
          <w:rStyle w:val="16"/>
          <w:rFonts w:ascii="黑体" w:hAnsi="黑体" w:eastAsia="黑体"/>
          <w:b w:val="0"/>
          <w:bCs w:val="0"/>
        </w:rPr>
        <w:t>财政拨款支出决算情况说明</w:t>
      </w:r>
      <w:bookmarkEnd w:id="51"/>
      <w:bookmarkEnd w:id="52"/>
      <w:bookmarkEnd w:id="53"/>
    </w:p>
    <w:p>
      <w:pPr>
        <w:pStyle w:val="14"/>
        <w:spacing w:line="600" w:lineRule="exact"/>
        <w:ind w:firstLine="643" w:firstLineChars="200"/>
        <w:outlineLvl w:val="2"/>
        <w:rPr>
          <w:rFonts w:ascii="仿宋" w:hAnsi="仿宋" w:eastAsia="仿宋"/>
          <w:b/>
          <w:sz w:val="32"/>
          <w:szCs w:val="32"/>
        </w:rPr>
      </w:pPr>
      <w:bookmarkStart w:id="54" w:name="_Toc15377216"/>
      <w:r>
        <w:rPr>
          <w:rFonts w:ascii="仿宋" w:hAnsi="仿宋" w:eastAsia="仿宋"/>
          <w:b/>
          <w:sz w:val="32"/>
          <w:szCs w:val="32"/>
        </w:rPr>
        <w:t>（一）“三公”经费财政拨款支出决算总体情况说明</w:t>
      </w:r>
      <w:bookmarkEnd w:id="54"/>
    </w:p>
    <w:p>
      <w:pPr>
        <w:pStyle w:val="14"/>
        <w:spacing w:line="600" w:lineRule="exact"/>
        <w:ind w:firstLine="640"/>
        <w:rPr>
          <w:rFonts w:ascii="仿宋" w:hAnsi="仿宋" w:eastAsia="仿宋"/>
          <w:sz w:val="32"/>
          <w:szCs w:val="32"/>
        </w:rPr>
      </w:pPr>
      <w:r>
        <w:rPr>
          <w:rFonts w:ascii="仿宋" w:hAnsi="仿宋" w:eastAsia="仿宋"/>
          <w:sz w:val="32"/>
          <w:szCs w:val="32"/>
        </w:rPr>
        <w:t>2021年“三公”经费财政拨款支出决算为</w:t>
      </w:r>
      <w:r>
        <w:rPr>
          <w:rFonts w:hint="eastAsia" w:ascii="仿宋" w:hAnsi="仿宋" w:eastAsia="仿宋"/>
          <w:sz w:val="32"/>
          <w:szCs w:val="32"/>
        </w:rPr>
        <w:t>1</w:t>
      </w:r>
      <w:r>
        <w:rPr>
          <w:rFonts w:ascii="仿宋" w:hAnsi="仿宋" w:eastAsia="仿宋"/>
          <w:sz w:val="32"/>
          <w:szCs w:val="32"/>
        </w:rPr>
        <w:t>万元，完成</w:t>
      </w:r>
      <w:r>
        <w:rPr>
          <w:rFonts w:hint="eastAsia" w:ascii="仿宋" w:hAnsi="仿宋" w:eastAsia="仿宋"/>
          <w:sz w:val="32"/>
          <w:szCs w:val="32"/>
          <w:lang w:eastAsia="zh-CN"/>
        </w:rPr>
        <w:t>预算的100%</w:t>
      </w:r>
      <w:r>
        <w:rPr>
          <w:rFonts w:ascii="仿宋" w:hAnsi="仿宋" w:eastAsia="仿宋"/>
          <w:sz w:val="32"/>
          <w:szCs w:val="32"/>
        </w:rPr>
        <w:t>。</w:t>
      </w:r>
    </w:p>
    <w:p>
      <w:pPr>
        <w:pStyle w:val="14"/>
        <w:spacing w:line="600" w:lineRule="exact"/>
        <w:ind w:firstLine="643" w:firstLineChars="200"/>
        <w:outlineLvl w:val="2"/>
        <w:rPr>
          <w:rFonts w:ascii="仿宋" w:hAnsi="仿宋" w:eastAsia="仿宋"/>
          <w:b/>
          <w:sz w:val="32"/>
          <w:szCs w:val="32"/>
        </w:rPr>
      </w:pPr>
      <w:bookmarkStart w:id="55" w:name="_Toc15377217"/>
      <w:r>
        <w:rPr>
          <w:rFonts w:ascii="仿宋" w:hAnsi="仿宋" w:eastAsia="仿宋"/>
          <w:b/>
          <w:sz w:val="32"/>
          <w:szCs w:val="32"/>
        </w:rPr>
        <w:t>（二）“三公”经费财政拨款支出决算具体情况说明</w:t>
      </w:r>
      <w:bookmarkEnd w:id="55"/>
    </w:p>
    <w:p>
      <w:pPr>
        <w:pStyle w:val="14"/>
        <w:spacing w:line="600" w:lineRule="exact"/>
        <w:ind w:firstLine="640"/>
        <w:rPr>
          <w:rFonts w:ascii="仿宋" w:hAnsi="仿宋" w:eastAsia="仿宋"/>
          <w:sz w:val="32"/>
          <w:szCs w:val="32"/>
        </w:rPr>
      </w:pPr>
      <w:r>
        <w:rPr>
          <w:rFonts w:ascii="仿宋" w:hAnsi="仿宋" w:eastAsia="仿宋"/>
          <w:sz w:val="32"/>
          <w:szCs w:val="32"/>
        </w:rPr>
        <w:t>2021年“三公”经费财政拨款支出决算中，因公出国（境）费支出决算0万元；公务用车购置及运行维护费支出决算0万元；公务接待费支出决算</w:t>
      </w:r>
      <w:r>
        <w:rPr>
          <w:rFonts w:hint="eastAsia" w:ascii="仿宋" w:hAnsi="仿宋" w:eastAsia="仿宋"/>
          <w:sz w:val="32"/>
          <w:szCs w:val="32"/>
        </w:rPr>
        <w:t>1</w:t>
      </w:r>
      <w:r>
        <w:rPr>
          <w:rFonts w:ascii="仿宋" w:hAnsi="仿宋" w:eastAsia="仿宋"/>
          <w:sz w:val="32"/>
          <w:szCs w:val="32"/>
        </w:rPr>
        <w:t>万元，占100%。具体情况如下：</w:t>
      </w:r>
    </w:p>
    <w:p>
      <w:pPr>
        <w:pStyle w:val="15"/>
        <w:spacing w:before="93"/>
        <w:rPr>
          <w:rFonts w:ascii="仿宋" w:hAnsi="仿宋" w:eastAsia="仿宋"/>
          <w:sz w:val="32"/>
          <w:szCs w:val="32"/>
        </w:rPr>
      </w:pPr>
      <w:r>
        <w:drawing>
          <wp:inline distT="0" distB="0" distL="0" distR="0">
            <wp:extent cx="5345430" cy="2811145"/>
            <wp:effectExtent l="0" t="0" r="0" b="0"/>
            <wp:docPr id="162" name="_x0000_i11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4"/>
        <w:spacing w:line="600" w:lineRule="exact"/>
        <w:ind w:firstLine="640"/>
        <w:rPr>
          <w:rFonts w:ascii="仿宋" w:hAnsi="仿宋" w:eastAsia="仿宋"/>
          <w:sz w:val="32"/>
          <w:szCs w:val="32"/>
        </w:rPr>
      </w:pPr>
      <w:r>
        <w:rPr>
          <w:rFonts w:ascii="仿宋" w:hAnsi="仿宋" w:eastAsia="仿宋"/>
          <w:sz w:val="32"/>
          <w:szCs w:val="32"/>
        </w:rPr>
        <w:t>（图7：“三公”经费财政拨款支出结构）</w:t>
      </w:r>
    </w:p>
    <w:p>
      <w:pPr>
        <w:pStyle w:val="14"/>
        <w:spacing w:line="600" w:lineRule="exact"/>
        <w:ind w:firstLine="640"/>
        <w:rPr>
          <w:rFonts w:ascii="仿宋_GB2312" w:hAnsi="仿宋_GB2312" w:eastAsia="仿宋_GB2312"/>
          <w:b/>
          <w:sz w:val="32"/>
          <w:szCs w:val="32"/>
        </w:rPr>
      </w:pPr>
      <w:r>
        <w:rPr>
          <w:rFonts w:ascii="仿宋_GB2312" w:hAnsi="仿宋_GB2312" w:eastAsia="仿宋_GB2312"/>
          <w:b/>
          <w:sz w:val="32"/>
          <w:szCs w:val="32"/>
        </w:rPr>
        <w:t>1.因公出国（境）经费支出</w:t>
      </w:r>
      <w:r>
        <w:rPr>
          <w:rFonts w:ascii="仿宋_GB2312" w:hAnsi="仿宋_GB2312" w:eastAsia="仿宋_GB2312"/>
          <w:sz w:val="32"/>
          <w:szCs w:val="32"/>
        </w:rPr>
        <w:t>0万元。</w:t>
      </w:r>
    </w:p>
    <w:p>
      <w:pPr>
        <w:pStyle w:val="14"/>
        <w:spacing w:line="600" w:lineRule="exact"/>
        <w:ind w:firstLine="640"/>
        <w:rPr>
          <w:rFonts w:ascii="仿宋_GB2312" w:hAnsi="仿宋_GB2312" w:eastAsia="仿宋_GB2312"/>
          <w:b/>
          <w:sz w:val="32"/>
          <w:szCs w:val="32"/>
        </w:rPr>
      </w:pPr>
      <w:r>
        <w:rPr>
          <w:rFonts w:ascii="仿宋_GB2312" w:hAnsi="仿宋_GB2312" w:eastAsia="仿宋_GB2312"/>
          <w:b/>
          <w:sz w:val="32"/>
          <w:szCs w:val="32"/>
        </w:rPr>
        <w:t>2.公务用车购置及运行维护费支出</w:t>
      </w:r>
      <w:r>
        <w:rPr>
          <w:rFonts w:ascii="仿宋_GB2312" w:hAnsi="仿宋_GB2312" w:eastAsia="仿宋_GB2312"/>
          <w:sz w:val="32"/>
          <w:szCs w:val="32"/>
        </w:rPr>
        <w:t>0万元。</w:t>
      </w:r>
    </w:p>
    <w:p>
      <w:pPr>
        <w:pStyle w:val="14"/>
        <w:spacing w:line="600" w:lineRule="exact"/>
        <w:ind w:firstLine="640" w:firstLineChars="200"/>
        <w:rPr>
          <w:rFonts w:ascii="仿宋_GB2312" w:hAnsi="仿宋_GB2312" w:eastAsia="仿宋_GB2312"/>
          <w:b/>
          <w:sz w:val="32"/>
          <w:szCs w:val="32"/>
        </w:rPr>
      </w:pPr>
      <w:r>
        <w:rPr>
          <w:rFonts w:ascii="仿宋_GB2312" w:hAnsi="仿宋_GB2312" w:eastAsia="仿宋_GB2312"/>
          <w:sz w:val="32"/>
          <w:szCs w:val="32"/>
        </w:rPr>
        <w:t>其中：</w:t>
      </w:r>
      <w:r>
        <w:rPr>
          <w:rFonts w:ascii="仿宋_GB2312" w:hAnsi="仿宋_GB2312" w:eastAsia="仿宋_GB2312"/>
          <w:b/>
          <w:sz w:val="32"/>
          <w:szCs w:val="32"/>
        </w:rPr>
        <w:t>公务用车购置支出</w:t>
      </w:r>
      <w:r>
        <w:rPr>
          <w:rFonts w:ascii="仿宋_GB2312" w:hAnsi="仿宋_GB2312" w:eastAsia="仿宋_GB2312"/>
          <w:sz w:val="32"/>
          <w:szCs w:val="32"/>
        </w:rPr>
        <w:t>0万元。</w:t>
      </w:r>
    </w:p>
    <w:p>
      <w:pPr>
        <w:pStyle w:val="14"/>
        <w:spacing w:line="600" w:lineRule="exact"/>
        <w:ind w:firstLine="640"/>
        <w:rPr>
          <w:rFonts w:ascii="仿宋_GB2312" w:hAnsi="仿宋_GB2312" w:eastAsia="仿宋_GB2312"/>
          <w:sz w:val="32"/>
          <w:szCs w:val="32"/>
        </w:rPr>
      </w:pPr>
      <w:r>
        <w:rPr>
          <w:rFonts w:ascii="仿宋_GB2312" w:hAnsi="仿宋_GB2312" w:eastAsia="仿宋_GB2312"/>
          <w:b/>
          <w:sz w:val="32"/>
          <w:szCs w:val="32"/>
        </w:rPr>
        <w:t>公务用车运行维护费支出</w:t>
      </w:r>
      <w:r>
        <w:rPr>
          <w:rFonts w:ascii="仿宋_GB2312" w:hAnsi="仿宋_GB2312" w:eastAsia="仿宋_GB2312"/>
          <w:sz w:val="32"/>
          <w:szCs w:val="32"/>
        </w:rPr>
        <w:t>0万元。</w:t>
      </w:r>
    </w:p>
    <w:p>
      <w:pPr>
        <w:pStyle w:val="14"/>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公务接待费支出</w:t>
      </w:r>
      <w:r>
        <w:rPr>
          <w:rFonts w:hint="eastAsia" w:ascii="仿宋_GB2312" w:hAnsi="仿宋_GB2312" w:eastAsia="仿宋_GB2312"/>
          <w:b/>
          <w:sz w:val="32"/>
          <w:szCs w:val="32"/>
        </w:rPr>
        <w:t>1</w:t>
      </w:r>
      <w:r>
        <w:rPr>
          <w:rFonts w:ascii="仿宋_GB2312" w:hAnsi="仿宋_GB2312" w:eastAsia="仿宋_GB2312"/>
          <w:sz w:val="32"/>
          <w:szCs w:val="32"/>
        </w:rPr>
        <w:t>万元，</w:t>
      </w:r>
      <w:r>
        <w:rPr>
          <w:rStyle w:val="11"/>
          <w:rFonts w:ascii="仿宋" w:hAnsi="仿宋" w:eastAsia="仿宋"/>
          <w:b w:val="0"/>
          <w:bCs/>
          <w:sz w:val="32"/>
          <w:szCs w:val="32"/>
        </w:rPr>
        <w:t>完成预算</w:t>
      </w:r>
      <w:r>
        <w:rPr>
          <w:rStyle w:val="11"/>
          <w:rFonts w:hint="eastAsia" w:ascii="仿宋" w:hAnsi="仿宋" w:eastAsia="仿宋"/>
          <w:b w:val="0"/>
          <w:bCs/>
          <w:sz w:val="32"/>
          <w:szCs w:val="32"/>
        </w:rPr>
        <w:t>的</w:t>
      </w:r>
      <w:r>
        <w:rPr>
          <w:rFonts w:ascii="仿宋" w:hAnsi="仿宋" w:eastAsia="仿宋"/>
          <w:bCs/>
          <w:sz w:val="32"/>
          <w:szCs w:val="32"/>
        </w:rPr>
        <w:t>100%。</w:t>
      </w:r>
      <w:r>
        <w:rPr>
          <w:rFonts w:ascii="仿宋_GB2312" w:hAnsi="仿宋_GB2312" w:eastAsia="仿宋_GB2312"/>
          <w:sz w:val="32"/>
          <w:szCs w:val="32"/>
        </w:rPr>
        <w:t>公务接待费支出决算比2020年持平。其中：</w:t>
      </w:r>
    </w:p>
    <w:p>
      <w:pPr>
        <w:pStyle w:val="14"/>
        <w:spacing w:line="600" w:lineRule="exact"/>
        <w:ind w:firstLine="640"/>
        <w:rPr>
          <w:rFonts w:ascii="仿宋_GB2312" w:hAnsi="仿宋_GB2312" w:eastAsia="仿宋_GB2312"/>
          <w:sz w:val="32"/>
          <w:szCs w:val="32"/>
        </w:rPr>
      </w:pPr>
      <w:r>
        <w:rPr>
          <w:rFonts w:ascii="仿宋" w:hAnsi="仿宋" w:eastAsia="仿宋"/>
          <w:b/>
          <w:sz w:val="32"/>
          <w:szCs w:val="32"/>
        </w:rPr>
        <w:t>国内公务接待支出</w:t>
      </w:r>
      <w:r>
        <w:rPr>
          <w:rFonts w:hint="eastAsia" w:ascii="仿宋" w:hAnsi="仿宋" w:eastAsia="仿宋"/>
          <w:b/>
          <w:sz w:val="32"/>
          <w:szCs w:val="32"/>
        </w:rPr>
        <w:t>1</w:t>
      </w:r>
      <w:r>
        <w:rPr>
          <w:rFonts w:ascii="仿宋_GB2312" w:hAnsi="仿宋_GB2312" w:eastAsia="仿宋_GB2312"/>
          <w:sz w:val="32"/>
          <w:szCs w:val="32"/>
        </w:rPr>
        <w:t>万元，主要用于用餐费等。国内公务接待</w:t>
      </w:r>
      <w:r>
        <w:rPr>
          <w:rFonts w:hint="eastAsia" w:ascii="仿宋_GB2312" w:hAnsi="仿宋_GB2312" w:eastAsia="仿宋_GB2312"/>
          <w:sz w:val="32"/>
          <w:szCs w:val="32"/>
        </w:rPr>
        <w:t>25</w:t>
      </w:r>
      <w:r>
        <w:rPr>
          <w:rFonts w:ascii="仿宋_GB2312" w:hAnsi="仿宋_GB2312" w:eastAsia="仿宋_GB2312"/>
          <w:sz w:val="32"/>
          <w:szCs w:val="32"/>
        </w:rPr>
        <w:t>批次，</w:t>
      </w:r>
      <w:r>
        <w:rPr>
          <w:rFonts w:hint="eastAsia" w:ascii="仿宋_GB2312" w:hAnsi="仿宋_GB2312" w:eastAsia="仿宋_GB2312"/>
          <w:sz w:val="32"/>
          <w:szCs w:val="32"/>
        </w:rPr>
        <w:t>200</w:t>
      </w:r>
      <w:r>
        <w:rPr>
          <w:rFonts w:ascii="仿宋_GB2312" w:hAnsi="仿宋_GB2312" w:eastAsia="仿宋_GB2312"/>
          <w:sz w:val="32"/>
          <w:szCs w:val="32"/>
        </w:rPr>
        <w:t>人次（不包括陪同人员），共计支出</w:t>
      </w:r>
      <w:r>
        <w:rPr>
          <w:rFonts w:hint="eastAsia" w:ascii="仿宋_GB2312" w:hAnsi="仿宋_GB2312" w:eastAsia="仿宋_GB2312"/>
          <w:sz w:val="32"/>
          <w:szCs w:val="32"/>
        </w:rPr>
        <w:t>1</w:t>
      </w:r>
      <w:r>
        <w:rPr>
          <w:rFonts w:ascii="仿宋_GB2312" w:hAnsi="仿宋_GB2312" w:eastAsia="仿宋_GB2312"/>
          <w:sz w:val="32"/>
          <w:szCs w:val="32"/>
        </w:rPr>
        <w:t>万元。</w:t>
      </w:r>
    </w:p>
    <w:p>
      <w:pPr>
        <w:pStyle w:val="14"/>
        <w:spacing w:line="560" w:lineRule="exact"/>
        <w:ind w:firstLine="643" w:firstLineChars="200"/>
        <w:rPr>
          <w:rFonts w:ascii="黑体" w:hAnsi="黑体" w:eastAsia="黑体"/>
          <w:sz w:val="32"/>
          <w:szCs w:val="32"/>
        </w:rPr>
      </w:pPr>
      <w:r>
        <w:rPr>
          <w:rFonts w:ascii="仿宋" w:hAnsi="仿宋" w:eastAsia="仿宋"/>
          <w:b/>
          <w:sz w:val="32"/>
          <w:szCs w:val="32"/>
        </w:rPr>
        <w:t>外事接待支出</w:t>
      </w:r>
      <w:r>
        <w:rPr>
          <w:rFonts w:ascii="仿宋" w:hAnsi="仿宋" w:eastAsia="仿宋"/>
          <w:sz w:val="32"/>
          <w:szCs w:val="32"/>
        </w:rPr>
        <w:t>0</w:t>
      </w:r>
      <w:r>
        <w:rPr>
          <w:rFonts w:ascii="仿宋_GB2312" w:hAnsi="仿宋_GB2312" w:eastAsia="仿宋_GB2312"/>
          <w:sz w:val="32"/>
          <w:szCs w:val="32"/>
        </w:rPr>
        <w:t>万元。</w:t>
      </w:r>
      <w:bookmarkStart w:id="56" w:name="_Toc15377218"/>
      <w:bookmarkStart w:id="57" w:name="_Toc15396610"/>
    </w:p>
    <w:p>
      <w:pPr>
        <w:pStyle w:val="14"/>
        <w:spacing w:line="560" w:lineRule="exact"/>
        <w:ind w:firstLine="640" w:firstLineChars="200"/>
        <w:outlineLvl w:val="1"/>
        <w:rPr>
          <w:rStyle w:val="16"/>
          <w:rFonts w:ascii="黑体" w:hAnsi="黑体" w:eastAsia="黑体"/>
        </w:rPr>
      </w:pPr>
      <w:bookmarkStart w:id="58" w:name="_Toc15432"/>
      <w:r>
        <w:rPr>
          <w:rFonts w:ascii="黑体" w:hAnsi="黑体" w:eastAsia="黑体"/>
          <w:sz w:val="32"/>
          <w:szCs w:val="32"/>
        </w:rPr>
        <w:t>八、</w:t>
      </w:r>
      <w:r>
        <w:rPr>
          <w:rStyle w:val="16"/>
          <w:rFonts w:ascii="黑体" w:hAnsi="黑体" w:eastAsia="黑体"/>
          <w:b w:val="0"/>
        </w:rPr>
        <w:t>政府性基金预算</w:t>
      </w:r>
      <w:r>
        <w:rPr>
          <w:rFonts w:ascii="黑体" w:hAnsi="黑体" w:eastAsia="黑体"/>
        </w:rPr>
        <w:t>支出决算情况说明</w:t>
      </w:r>
      <w:bookmarkEnd w:id="56"/>
      <w:bookmarkEnd w:id="57"/>
      <w:bookmarkEnd w:id="58"/>
    </w:p>
    <w:p>
      <w:pPr>
        <w:pStyle w:val="14"/>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2021年政府性基金预算财政拨款支出0万元。</w:t>
      </w:r>
    </w:p>
    <w:p>
      <w:pPr>
        <w:pStyle w:val="14"/>
        <w:spacing w:line="560" w:lineRule="exact"/>
        <w:ind w:firstLine="640" w:firstLineChars="200"/>
        <w:outlineLvl w:val="1"/>
        <w:rPr>
          <w:rFonts w:ascii="黑体" w:hAnsi="黑体" w:eastAsia="黑体"/>
          <w:sz w:val="32"/>
          <w:szCs w:val="32"/>
        </w:rPr>
      </w:pPr>
      <w:bookmarkStart w:id="59" w:name="_Toc8266"/>
      <w:r>
        <w:rPr>
          <w:rFonts w:ascii="黑体" w:hAnsi="黑体" w:eastAsia="黑体"/>
          <w:sz w:val="32"/>
          <w:szCs w:val="32"/>
        </w:rPr>
        <w:t>九、</w:t>
      </w:r>
      <w:bookmarkStart w:id="60" w:name="_Toc15396611"/>
      <w:bookmarkStart w:id="61" w:name="_Toc15377219"/>
      <w:r>
        <w:rPr>
          <w:rFonts w:ascii="黑体" w:hAnsi="黑体" w:eastAsia="黑体"/>
          <w:sz w:val="32"/>
          <w:szCs w:val="32"/>
        </w:rPr>
        <w:t>国有资本经营预算支出决算情况说明</w:t>
      </w:r>
      <w:bookmarkEnd w:id="59"/>
      <w:bookmarkEnd w:id="60"/>
      <w:bookmarkEnd w:id="61"/>
    </w:p>
    <w:p>
      <w:pPr>
        <w:pStyle w:val="14"/>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2021年国有资本经营预算财政拨款支出0万元。</w:t>
      </w:r>
    </w:p>
    <w:p>
      <w:pPr>
        <w:pStyle w:val="14"/>
        <w:spacing w:line="560" w:lineRule="exact"/>
        <w:ind w:firstLine="640" w:firstLineChars="200"/>
        <w:outlineLvl w:val="1"/>
        <w:rPr>
          <w:rFonts w:ascii="黑体" w:hAnsi="黑体" w:eastAsia="黑体"/>
          <w:sz w:val="32"/>
          <w:szCs w:val="32"/>
        </w:rPr>
      </w:pPr>
      <w:bookmarkStart w:id="62" w:name="_Toc15377221"/>
      <w:bookmarkStart w:id="63" w:name="_Toc15396612"/>
      <w:bookmarkStart w:id="64" w:name="_Toc3314"/>
      <w:r>
        <w:rPr>
          <w:rFonts w:hint="eastAsia" w:ascii="黑体" w:hAnsi="黑体" w:eastAsia="黑体"/>
          <w:sz w:val="32"/>
          <w:szCs w:val="32"/>
        </w:rPr>
        <w:t>十、</w:t>
      </w:r>
      <w:r>
        <w:rPr>
          <w:rFonts w:ascii="黑体" w:hAnsi="黑体" w:eastAsia="黑体"/>
          <w:sz w:val="32"/>
          <w:szCs w:val="32"/>
        </w:rPr>
        <w:t>其他重要事项的情况说明</w:t>
      </w:r>
      <w:bookmarkEnd w:id="62"/>
      <w:bookmarkEnd w:id="63"/>
      <w:bookmarkEnd w:id="64"/>
    </w:p>
    <w:p>
      <w:pPr>
        <w:pStyle w:val="14"/>
        <w:spacing w:line="560" w:lineRule="exact"/>
        <w:ind w:firstLine="643" w:firstLineChars="200"/>
        <w:outlineLvl w:val="2"/>
        <w:rPr>
          <w:rFonts w:ascii="仿宋" w:hAnsi="仿宋" w:eastAsia="仿宋"/>
          <w:sz w:val="32"/>
          <w:szCs w:val="32"/>
        </w:rPr>
      </w:pPr>
      <w:bookmarkStart w:id="65" w:name="_Toc15377222"/>
      <w:r>
        <w:rPr>
          <w:rFonts w:ascii="仿宋" w:hAnsi="仿宋" w:eastAsia="仿宋"/>
          <w:b/>
          <w:sz w:val="32"/>
          <w:szCs w:val="32"/>
        </w:rPr>
        <w:t>（一）机关运行经费支出情况</w:t>
      </w:r>
      <w:bookmarkEnd w:id="65"/>
    </w:p>
    <w:p>
      <w:pPr>
        <w:pStyle w:val="14"/>
        <w:spacing w:line="560" w:lineRule="exact"/>
        <w:ind w:firstLine="640" w:firstLineChars="200"/>
        <w:rPr>
          <w:rFonts w:ascii="仿宋" w:hAnsi="仿宋" w:eastAsia="仿宋_GB2312"/>
          <w:b/>
          <w:sz w:val="32"/>
          <w:szCs w:val="32"/>
        </w:rPr>
      </w:pPr>
      <w:r>
        <w:rPr>
          <w:rFonts w:ascii="仿宋_GB2312" w:hAnsi="仿宋_GB2312" w:eastAsia="仿宋_GB2312"/>
          <w:sz w:val="32"/>
          <w:szCs w:val="32"/>
        </w:rPr>
        <w:t>2021年，</w:t>
      </w:r>
      <w:r>
        <w:rPr>
          <w:rFonts w:hint="eastAsia" w:ascii="仿宋_GB2312" w:hAnsi="仿宋_GB2312" w:eastAsia="仿宋_GB2312"/>
          <w:sz w:val="32"/>
          <w:szCs w:val="32"/>
        </w:rPr>
        <w:t>通江县龙凤场镇中心小学</w:t>
      </w:r>
      <w:r>
        <w:rPr>
          <w:rFonts w:ascii="仿宋_GB2312" w:hAnsi="仿宋_GB2312" w:eastAsia="仿宋_GB2312"/>
          <w:sz w:val="32"/>
          <w:szCs w:val="32"/>
        </w:rPr>
        <w:t>机关运行经费支出0万元。</w:t>
      </w:r>
    </w:p>
    <w:p>
      <w:pPr>
        <w:pStyle w:val="14"/>
        <w:autoSpaceDE w:val="0"/>
        <w:autoSpaceDN w:val="0"/>
        <w:spacing w:line="560" w:lineRule="exact"/>
        <w:ind w:firstLine="643" w:firstLineChars="200"/>
        <w:jc w:val="left"/>
        <w:outlineLvl w:val="2"/>
        <w:rPr>
          <w:rFonts w:ascii="仿宋" w:hAnsi="仿宋" w:eastAsia="仿宋"/>
          <w:b/>
          <w:sz w:val="32"/>
          <w:szCs w:val="32"/>
        </w:rPr>
      </w:pPr>
      <w:bookmarkStart w:id="66" w:name="_Toc15377223"/>
      <w:r>
        <w:rPr>
          <w:rFonts w:ascii="仿宋" w:hAnsi="仿宋" w:eastAsia="仿宋"/>
          <w:b/>
          <w:sz w:val="32"/>
          <w:szCs w:val="32"/>
        </w:rPr>
        <w:t>（二）政府采购支出情况</w:t>
      </w:r>
      <w:bookmarkEnd w:id="66"/>
    </w:p>
    <w:p>
      <w:pPr>
        <w:spacing w:line="560" w:lineRule="exact"/>
        <w:ind w:firstLine="640" w:firstLineChars="200"/>
        <w:rPr>
          <w:rFonts w:ascii="仿宋" w:hAnsi="仿宋" w:eastAsia="仿宋"/>
          <w:b/>
          <w:sz w:val="32"/>
          <w:szCs w:val="32"/>
        </w:rPr>
      </w:pPr>
      <w:r>
        <w:rPr>
          <w:rFonts w:ascii="仿宋_GB2312" w:hAnsi="仿宋_GB2312" w:eastAsia="仿宋_GB2312"/>
          <w:sz w:val="32"/>
          <w:szCs w:val="32"/>
        </w:rPr>
        <w:t>2021年，</w:t>
      </w:r>
      <w:r>
        <w:rPr>
          <w:rFonts w:hint="eastAsia" w:ascii="仿宋_GB2312" w:hAnsi="仿宋_GB2312" w:eastAsia="仿宋_GB2312"/>
          <w:sz w:val="32"/>
          <w:szCs w:val="32"/>
        </w:rPr>
        <w:t>通江县龙凤场镇中心小学</w:t>
      </w:r>
      <w:r>
        <w:rPr>
          <w:rFonts w:ascii="仿宋_GB2312" w:hAnsi="仿宋_GB2312" w:eastAsia="仿宋_GB2312"/>
          <w:sz w:val="32"/>
          <w:szCs w:val="32"/>
        </w:rPr>
        <w:t>政府采购支出</w:t>
      </w:r>
      <w:r>
        <w:rPr>
          <w:rFonts w:hint="eastAsia" w:ascii="仿宋_GB2312" w:hAnsi="仿宋_GB2312" w:eastAsia="仿宋_GB2312"/>
          <w:sz w:val="32"/>
          <w:szCs w:val="32"/>
          <w:u w:val="none" w:color="46CD7E"/>
          <w:shd w:val="clear" w:fill="auto"/>
          <w:lang w:eastAsia="zh-CN"/>
        </w:rPr>
        <w:t>总额为</w:t>
      </w:r>
      <w:r>
        <w:rPr>
          <w:rFonts w:ascii="仿宋_GB2312" w:hAnsi="仿宋_GB2312" w:eastAsia="仿宋_GB2312"/>
          <w:sz w:val="32"/>
          <w:szCs w:val="32"/>
        </w:rPr>
        <w:t>0万元。</w:t>
      </w:r>
      <w:r>
        <w:rPr>
          <w:rFonts w:hint="eastAsia" w:ascii="仿宋_GB2312" w:eastAsia="仿宋_GB2312"/>
          <w:color w:val="000000"/>
          <w:sz w:val="32"/>
          <w:szCs w:val="32"/>
        </w:rPr>
        <w:t>授予中小企业合同金额0万元。</w:t>
      </w:r>
    </w:p>
    <w:p>
      <w:pPr>
        <w:pStyle w:val="14"/>
        <w:autoSpaceDE w:val="0"/>
        <w:autoSpaceDN w:val="0"/>
        <w:spacing w:line="560" w:lineRule="exact"/>
        <w:ind w:firstLine="643" w:firstLineChars="200"/>
        <w:jc w:val="left"/>
        <w:outlineLvl w:val="2"/>
        <w:rPr>
          <w:rFonts w:ascii="仿宋" w:hAnsi="仿宋" w:eastAsia="仿宋"/>
          <w:b/>
          <w:sz w:val="32"/>
          <w:szCs w:val="32"/>
        </w:rPr>
      </w:pPr>
      <w:bookmarkStart w:id="67" w:name="_Toc15377224"/>
      <w:r>
        <w:rPr>
          <w:rFonts w:ascii="仿宋" w:hAnsi="仿宋" w:eastAsia="仿宋"/>
          <w:b/>
          <w:sz w:val="32"/>
          <w:szCs w:val="32"/>
        </w:rPr>
        <w:t>（三）国有资产占有使用情况</w:t>
      </w:r>
      <w:bookmarkEnd w:id="67"/>
    </w:p>
    <w:p>
      <w:pPr>
        <w:pStyle w:val="14"/>
        <w:autoSpaceDE w:val="0"/>
        <w:autoSpaceDN w:val="0"/>
        <w:spacing w:line="560" w:lineRule="exact"/>
        <w:ind w:firstLine="640" w:firstLineChars="200"/>
        <w:jc w:val="left"/>
        <w:rPr>
          <w:rFonts w:ascii="仿宋" w:hAnsi="仿宋" w:eastAsia="仿宋"/>
          <w:b/>
          <w:sz w:val="32"/>
          <w:szCs w:val="32"/>
        </w:rPr>
      </w:pPr>
      <w:r>
        <w:rPr>
          <w:rFonts w:ascii="仿宋_GB2312" w:hAnsi="仿宋_GB2312" w:eastAsia="仿宋_GB2312"/>
          <w:sz w:val="32"/>
          <w:szCs w:val="32"/>
        </w:rPr>
        <w:t>截至2021年12月31日，</w:t>
      </w:r>
      <w:r>
        <w:rPr>
          <w:rFonts w:hint="eastAsia" w:ascii="仿宋_GB2312" w:hAnsi="仿宋_GB2312" w:eastAsia="仿宋_GB2312"/>
          <w:sz w:val="32"/>
          <w:szCs w:val="32"/>
        </w:rPr>
        <w:t>通江县龙凤场镇中心小学</w:t>
      </w:r>
      <w:r>
        <w:rPr>
          <w:rFonts w:ascii="仿宋_GB2312" w:hAnsi="仿宋_GB2312" w:eastAsia="仿宋_GB2312"/>
          <w:sz w:val="32"/>
          <w:szCs w:val="32"/>
        </w:rPr>
        <w:t>共有车辆0辆</w:t>
      </w:r>
      <w:r>
        <w:rPr>
          <w:rFonts w:hint="eastAsia" w:ascii="仿宋_GB2312" w:hAnsi="仿宋_GB2312" w:eastAsia="仿宋_GB2312"/>
          <w:sz w:val="32"/>
          <w:szCs w:val="32"/>
        </w:rPr>
        <w:t>，</w:t>
      </w:r>
      <w:r>
        <w:rPr>
          <w:rFonts w:ascii="仿宋_GB2312" w:hAnsi="仿宋_GB2312" w:eastAsia="仿宋_GB2312"/>
          <w:sz w:val="32"/>
          <w:szCs w:val="32"/>
        </w:rPr>
        <w:t>单价50万元以上通用设备0台（套），单价100万元以上专用设备0台（套）。</w:t>
      </w:r>
    </w:p>
    <w:p>
      <w:pPr>
        <w:pStyle w:val="14"/>
        <w:autoSpaceDE w:val="0"/>
        <w:autoSpaceDN w:val="0"/>
        <w:spacing w:line="560" w:lineRule="exact"/>
        <w:ind w:firstLine="643" w:firstLineChars="200"/>
        <w:jc w:val="left"/>
        <w:outlineLvl w:val="2"/>
        <w:rPr>
          <w:rFonts w:ascii="仿宋" w:hAnsi="仿宋" w:eastAsia="仿宋"/>
          <w:b/>
          <w:sz w:val="32"/>
          <w:szCs w:val="32"/>
        </w:rPr>
      </w:pPr>
      <w:r>
        <w:rPr>
          <w:rFonts w:ascii="仿宋" w:hAnsi="仿宋" w:eastAsia="仿宋"/>
          <w:b/>
          <w:sz w:val="32"/>
          <w:szCs w:val="32"/>
        </w:rPr>
        <w:t>（四）预算绩效管理情况</w:t>
      </w:r>
    </w:p>
    <w:p>
      <w:pPr>
        <w:pStyle w:val="14"/>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2021年特定目标类部门预算项目绩效目标自评表见附件（第四部分）。</w:t>
      </w:r>
    </w:p>
    <w:p>
      <w:pPr>
        <w:pStyle w:val="14"/>
        <w:spacing w:line="560" w:lineRule="exact"/>
        <w:ind w:firstLine="640" w:firstLineChars="200"/>
        <w:rPr>
          <w:rFonts w:ascii="仿宋_GB2312" w:hAnsi="仿宋_GB2312" w:eastAsia="仿宋_GB2312" w:cs="仿宋_GB2312"/>
          <w:sz w:val="32"/>
          <w:szCs w:val="32"/>
        </w:rPr>
      </w:pPr>
    </w:p>
    <w:p>
      <w:pPr>
        <w:pStyle w:val="14"/>
        <w:spacing w:line="560" w:lineRule="exact"/>
        <w:ind w:firstLine="640" w:firstLineChars="200"/>
        <w:rPr>
          <w:rFonts w:ascii="仿宋_GB2312" w:hAnsi="仿宋_GB2312" w:eastAsia="仿宋_GB2312" w:cs="仿宋_GB2312"/>
          <w:sz w:val="32"/>
          <w:szCs w:val="32"/>
        </w:rPr>
      </w:pPr>
    </w:p>
    <w:p>
      <w:pPr>
        <w:pStyle w:val="14"/>
        <w:spacing w:line="560" w:lineRule="exact"/>
        <w:ind w:firstLine="640" w:firstLineChars="200"/>
        <w:rPr>
          <w:rFonts w:ascii="仿宋_GB2312" w:hAnsi="仿宋_GB2312" w:eastAsia="仿宋_GB2312" w:cs="仿宋_GB2312"/>
          <w:sz w:val="32"/>
          <w:szCs w:val="32"/>
        </w:rPr>
      </w:pPr>
    </w:p>
    <w:p>
      <w:pPr>
        <w:pStyle w:val="14"/>
        <w:spacing w:line="560" w:lineRule="exact"/>
        <w:ind w:firstLine="640" w:firstLineChars="200"/>
        <w:rPr>
          <w:rFonts w:ascii="仿宋_GB2312" w:hAnsi="仿宋_GB2312" w:eastAsia="仿宋_GB2312" w:cs="仿宋_GB2312"/>
          <w:sz w:val="32"/>
          <w:szCs w:val="32"/>
        </w:rPr>
      </w:pPr>
    </w:p>
    <w:p>
      <w:pPr>
        <w:pStyle w:val="14"/>
        <w:numPr>
          <w:ilvl w:val="0"/>
          <w:numId w:val="1"/>
        </w:numPr>
        <w:spacing w:line="600" w:lineRule="exact"/>
        <w:ind w:firstLine="660" w:firstLineChars="150"/>
        <w:jc w:val="center"/>
        <w:outlineLvl w:val="0"/>
        <w:rPr>
          <w:rStyle w:val="12"/>
          <w:rFonts w:ascii="黑体" w:hAnsi="黑体" w:eastAsia="黑体"/>
          <w:b w:val="0"/>
        </w:rPr>
      </w:pPr>
      <w:bookmarkStart w:id="68" w:name="_Toc28256"/>
      <w:bookmarkStart w:id="69" w:name="_Toc15396613"/>
      <w:bookmarkStart w:id="70" w:name="_Toc15377225"/>
      <w:r>
        <w:rPr>
          <w:rFonts w:ascii="黑体" w:hAnsi="黑体" w:eastAsia="黑体"/>
          <w:sz w:val="44"/>
          <w:szCs w:val="44"/>
        </w:rPr>
        <w:t>名</w:t>
      </w:r>
      <w:r>
        <w:rPr>
          <w:rStyle w:val="12"/>
          <w:rFonts w:ascii="黑体" w:hAnsi="黑体" w:eastAsia="黑体"/>
          <w:b w:val="0"/>
        </w:rPr>
        <w:t>词解释</w:t>
      </w:r>
      <w:bookmarkEnd w:id="68"/>
      <w:bookmarkEnd w:id="69"/>
      <w:bookmarkEnd w:id="70"/>
    </w:p>
    <w:p>
      <w:pPr>
        <w:pStyle w:val="22"/>
        <w:spacing w:line="560" w:lineRule="exact"/>
        <w:ind w:firstLine="640" w:firstLineChars="200"/>
        <w:rPr>
          <w:rFonts w:ascii="仿宋_GB2312" w:eastAsia="仿宋_GB2312"/>
          <w:sz w:val="32"/>
          <w:szCs w:val="32"/>
        </w:rPr>
      </w:pPr>
      <w:bookmarkStart w:id="71" w:name="_Toc15396614"/>
      <w:bookmarkStart w:id="72" w:name="_Toc15377226"/>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val="none" w:color="46CD7E"/>
          <w:shd w:val="clear" w:fill="auto"/>
          <w:lang w:eastAsia="zh-CN"/>
        </w:rPr>
        <w:t>本年度</w:t>
      </w:r>
      <w:r>
        <w:rPr>
          <w:rFonts w:hint="eastAsia" w:ascii="仿宋_GB2312" w:eastAsia="仿宋_GB2312"/>
          <w:sz w:val="32"/>
          <w:szCs w:val="32"/>
        </w:rPr>
        <w:t>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 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pPr>
        <w:ind w:firstLine="640" w:firstLineChars="200"/>
        <w:rPr>
          <w:rFonts w:ascii="仿宋" w:hAnsi="仿宋" w:eastAsia="仿宋"/>
          <w:b/>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 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部门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黑体" w:hAnsi="黑体" w:eastAsia="黑体"/>
          <w:sz w:val="44"/>
          <w:szCs w:val="44"/>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4"/>
        <w:spacing w:line="600" w:lineRule="exact"/>
        <w:jc w:val="center"/>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4"/>
        <w:numPr>
          <w:ilvl w:val="0"/>
          <w:numId w:val="2"/>
        </w:numPr>
        <w:spacing w:line="600" w:lineRule="exact"/>
        <w:jc w:val="center"/>
        <w:outlineLvl w:val="0"/>
        <w:rPr>
          <w:rStyle w:val="12"/>
          <w:rFonts w:ascii="黑体" w:hAnsi="黑体" w:eastAsia="黑体"/>
          <w:b w:val="0"/>
        </w:rPr>
      </w:pPr>
      <w:bookmarkStart w:id="73" w:name="_Toc16273"/>
      <w:r>
        <w:rPr>
          <w:rStyle w:val="12"/>
          <w:rFonts w:ascii="黑体" w:hAnsi="黑体" w:eastAsia="黑体"/>
          <w:b w:val="0"/>
        </w:rPr>
        <w:t>附件</w:t>
      </w:r>
      <w:bookmarkEnd w:id="71"/>
      <w:bookmarkEnd w:id="73"/>
    </w:p>
    <w:p>
      <w:pPr>
        <w:pStyle w:val="15"/>
      </w:pPr>
    </w:p>
    <w:p>
      <w:pPr>
        <w:pStyle w:val="14"/>
        <w:jc w:val="center"/>
        <w:outlineLvl w:val="1"/>
        <w:rPr>
          <w:rFonts w:ascii="华文中宋" w:hAnsi="华文中宋" w:eastAsia="华文中宋"/>
          <w:b/>
          <w:sz w:val="40"/>
          <w:szCs w:val="40"/>
        </w:rPr>
      </w:pPr>
      <w:bookmarkStart w:id="74" w:name="_Toc26750"/>
      <w:r>
        <w:rPr>
          <w:rFonts w:hint="eastAsia" w:ascii="华文中宋" w:hAnsi="华文中宋" w:eastAsia="华文中宋"/>
          <w:b/>
          <w:sz w:val="40"/>
          <w:szCs w:val="40"/>
        </w:rPr>
        <w:t>通江县龙凤场镇中心小学</w:t>
      </w:r>
      <w:bookmarkEnd w:id="74"/>
    </w:p>
    <w:p>
      <w:pPr>
        <w:pStyle w:val="24"/>
        <w:spacing w:line="240" w:lineRule="auto"/>
        <w:jc w:val="center"/>
        <w:outlineLvl w:val="1"/>
        <w:rPr>
          <w:rFonts w:ascii="华文中宋" w:hAnsi="华文中宋" w:eastAsia="华文中宋"/>
          <w:b/>
          <w:sz w:val="40"/>
          <w:szCs w:val="40"/>
        </w:rPr>
      </w:pPr>
      <w:bookmarkStart w:id="75" w:name="_Toc24934"/>
      <w:r>
        <w:rPr>
          <w:rFonts w:ascii="华文中宋" w:hAnsi="华文中宋" w:eastAsia="华文中宋"/>
          <w:b/>
          <w:sz w:val="40"/>
          <w:szCs w:val="40"/>
        </w:rPr>
        <w:t>关于2021年度财政资金整体</w:t>
      </w:r>
      <w:r>
        <w:rPr>
          <w:rFonts w:hint="eastAsia" w:ascii="华文中宋" w:hAnsi="华文中宋" w:eastAsia="华文中宋"/>
          <w:b/>
          <w:sz w:val="40"/>
          <w:szCs w:val="40"/>
          <w:u w:val="none" w:color="46CD7E"/>
          <w:shd w:val="clear" w:fill="auto"/>
          <w:lang w:eastAsia="zh-CN"/>
        </w:rPr>
        <w:t>支出进行</w:t>
      </w:r>
      <w:r>
        <w:rPr>
          <w:rFonts w:ascii="华文中宋" w:hAnsi="华文中宋" w:eastAsia="华文中宋"/>
          <w:b/>
          <w:sz w:val="40"/>
          <w:szCs w:val="40"/>
        </w:rPr>
        <w:t>绩效</w:t>
      </w:r>
    </w:p>
    <w:p>
      <w:pPr>
        <w:pStyle w:val="24"/>
        <w:spacing w:line="240" w:lineRule="auto"/>
        <w:jc w:val="center"/>
        <w:outlineLvl w:val="1"/>
        <w:rPr>
          <w:rFonts w:ascii="华文中宋" w:hAnsi="华文中宋" w:eastAsia="华文中宋"/>
          <w:b/>
          <w:sz w:val="40"/>
          <w:szCs w:val="40"/>
        </w:rPr>
      </w:pPr>
      <w:r>
        <w:rPr>
          <w:rFonts w:ascii="华文中宋" w:hAnsi="华文中宋" w:eastAsia="华文中宋"/>
          <w:b/>
          <w:sz w:val="40"/>
          <w:szCs w:val="40"/>
        </w:rPr>
        <w:t>自评</w:t>
      </w:r>
      <w:bookmarkEnd w:id="75"/>
      <w:bookmarkStart w:id="76" w:name="_Toc21"/>
      <w:r>
        <w:rPr>
          <w:rFonts w:ascii="华文中宋" w:hAnsi="华文中宋" w:eastAsia="华文中宋"/>
          <w:b/>
          <w:sz w:val="40"/>
          <w:szCs w:val="40"/>
        </w:rPr>
        <w:t>报告</w:t>
      </w:r>
      <w:bookmarkEnd w:id="76"/>
    </w:p>
    <w:p>
      <w:pPr>
        <w:pStyle w:val="24"/>
        <w:spacing w:line="240" w:lineRule="auto"/>
        <w:rPr>
          <w:rFonts w:ascii="宋体" w:hAnsi="宋体"/>
          <w:b/>
          <w:bCs/>
          <w:sz w:val="32"/>
          <w:szCs w:val="32"/>
        </w:rPr>
      </w:pPr>
    </w:p>
    <w:p>
      <w:pPr>
        <w:pStyle w:val="24"/>
        <w:spacing w:line="240" w:lineRule="auto"/>
        <w:rPr>
          <w:rFonts w:ascii="仿宋_GB2312" w:hAnsi="仿宋_GB2312" w:eastAsia="仿宋_GB2312" w:cs="Times New Roman"/>
          <w:color w:val="auto"/>
          <w:kern w:val="2"/>
          <w:sz w:val="32"/>
          <w:szCs w:val="32"/>
        </w:rPr>
      </w:pPr>
      <w:r>
        <w:rPr>
          <w:rFonts w:ascii="仿宋_GB2312" w:hAnsi="仿宋_GB2312" w:eastAsia="仿宋_GB2312" w:cs="Times New Roman"/>
          <w:color w:val="auto"/>
          <w:kern w:val="2"/>
          <w:sz w:val="32"/>
          <w:szCs w:val="32"/>
        </w:rPr>
        <w:t xml:space="preserve"> 为加强学校管理，充分发挥教育服务作用，调动我校人员的积极性。根据四川省教育系统绩效考核标准及通江县财政局关于全面实施预算绩效管理的通知《通财绩【2022】13号》文件精神，我校进行了自查自评，现将绩效自查情况报告如下：</w:t>
      </w:r>
    </w:p>
    <w:p>
      <w:pPr>
        <w:pStyle w:val="14"/>
        <w:tabs>
          <w:tab w:val="left" w:pos="6804"/>
          <w:tab w:val="left" w:pos="7088"/>
          <w:tab w:val="left" w:pos="7513"/>
          <w:tab w:val="left" w:pos="8080"/>
        </w:tabs>
        <w:spacing w:line="520" w:lineRule="exact"/>
        <w:ind w:firstLine="643" w:firstLineChars="200"/>
        <w:jc w:val="left"/>
        <w:outlineLvl w:val="1"/>
        <w:rPr>
          <w:rFonts w:ascii="仿宋_GB2312" w:hAnsi="仿宋_GB2312" w:eastAsia="仿宋_GB2312"/>
          <w:b/>
          <w:sz w:val="32"/>
          <w:szCs w:val="32"/>
        </w:rPr>
      </w:pPr>
      <w:bookmarkStart w:id="77" w:name="_Toc28567"/>
      <w:r>
        <w:rPr>
          <w:rFonts w:ascii="仿宋_GB2312" w:hAnsi="仿宋_GB2312" w:eastAsia="仿宋_GB2312"/>
          <w:b/>
          <w:sz w:val="32"/>
          <w:szCs w:val="32"/>
        </w:rPr>
        <w:t>一、学校基本情况</w:t>
      </w:r>
      <w:bookmarkEnd w:id="77"/>
    </w:p>
    <w:p>
      <w:pPr>
        <w:pStyle w:val="14"/>
        <w:snapToGrid w:val="0"/>
        <w:spacing w:line="560" w:lineRule="exact"/>
        <w:ind w:firstLine="720"/>
        <w:rPr>
          <w:rFonts w:ascii="仿宋_GB2312" w:hAnsi="仿宋_GB2312" w:eastAsia="仿宋_GB2312"/>
          <w:sz w:val="32"/>
          <w:szCs w:val="32"/>
        </w:rPr>
      </w:pPr>
      <w:r>
        <w:rPr>
          <w:rFonts w:hint="eastAsia" w:ascii="仿宋_GB2312" w:hAnsi="仿宋_GB2312" w:eastAsia="仿宋_GB2312"/>
          <w:sz w:val="32"/>
          <w:szCs w:val="32"/>
        </w:rPr>
        <w:t>通江县龙凤场镇中心小学</w:t>
      </w:r>
      <w:r>
        <w:rPr>
          <w:rFonts w:ascii="仿宋_GB2312" w:hAnsi="仿宋_GB2312" w:eastAsia="仿宋_GB2312"/>
          <w:sz w:val="32"/>
          <w:szCs w:val="32"/>
        </w:rPr>
        <w:t>属财政拨款事业单位，主要职能是认真贯彻落实党和国家的方针、政策，正确执行上级主管部门的决议和指示，全面实施素质教育，培养德、智、体、美等方面全面发展的社会主义事业的建设者和接班人。年末编制数86人，实际在岗教职工83人（其中，专技人员77人），遗属人员7人，年末财政供养人员90人。年末实有小学生</w:t>
      </w:r>
      <w:r>
        <w:rPr>
          <w:rFonts w:hint="eastAsia" w:ascii="仿宋_GB2312" w:hAnsi="仿宋_GB2312" w:eastAsia="仿宋_GB2312"/>
          <w:sz w:val="32"/>
          <w:szCs w:val="32"/>
        </w:rPr>
        <w:t>542</w:t>
      </w:r>
      <w:r>
        <w:rPr>
          <w:rFonts w:ascii="仿宋_GB2312" w:hAnsi="仿宋_GB2312" w:eastAsia="仿宋_GB2312"/>
          <w:sz w:val="32"/>
          <w:szCs w:val="32"/>
        </w:rPr>
        <w:t>人。</w:t>
      </w:r>
    </w:p>
    <w:p>
      <w:pPr>
        <w:pStyle w:val="14"/>
        <w:tabs>
          <w:tab w:val="left" w:pos="6804"/>
          <w:tab w:val="left" w:pos="7088"/>
          <w:tab w:val="left" w:pos="7513"/>
          <w:tab w:val="left" w:pos="8080"/>
        </w:tabs>
        <w:spacing w:line="520" w:lineRule="exact"/>
        <w:ind w:firstLine="643" w:firstLineChars="200"/>
        <w:jc w:val="left"/>
        <w:outlineLvl w:val="1"/>
        <w:rPr>
          <w:rFonts w:ascii="仿宋_GB2312" w:hAnsi="仿宋_GB2312" w:eastAsia="仿宋_GB2312"/>
          <w:b/>
          <w:sz w:val="32"/>
          <w:szCs w:val="32"/>
        </w:rPr>
      </w:pPr>
      <w:bookmarkStart w:id="78" w:name="_Toc11096"/>
      <w:r>
        <w:rPr>
          <w:rFonts w:ascii="仿宋_GB2312" w:hAnsi="仿宋_GB2312" w:eastAsia="仿宋_GB2312"/>
          <w:b/>
          <w:sz w:val="32"/>
          <w:szCs w:val="32"/>
        </w:rPr>
        <w:t>二、财政资金收支情况</w:t>
      </w:r>
      <w:bookmarkEnd w:id="78"/>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（一）财政资金收入</w:t>
      </w:r>
    </w:p>
    <w:p>
      <w:pPr>
        <w:pStyle w:val="14"/>
        <w:ind w:firstLine="640" w:firstLineChars="200"/>
        <w:rPr>
          <w:rFonts w:ascii="仿宋_GB2312" w:hAnsi="仿宋_GB2312" w:eastAsia="仿宋_GB2312"/>
          <w:sz w:val="32"/>
          <w:szCs w:val="32"/>
        </w:rPr>
      </w:pPr>
      <w:r>
        <w:rPr>
          <w:rFonts w:ascii="仿宋_GB2312" w:hAnsi="仿宋_GB2312" w:eastAsia="仿宋_GB2312"/>
          <w:sz w:val="32"/>
          <w:szCs w:val="32"/>
        </w:rPr>
        <w:t>2021年度财政拨款资金为</w:t>
      </w:r>
      <w:r>
        <w:rPr>
          <w:rFonts w:hint="eastAsia" w:ascii="仿宋_GB2312" w:hAnsi="仿宋_GB2312" w:eastAsia="仿宋_GB2312"/>
          <w:sz w:val="32"/>
          <w:szCs w:val="32"/>
        </w:rPr>
        <w:t>1247.20</w:t>
      </w:r>
      <w:r>
        <w:rPr>
          <w:rFonts w:ascii="仿宋_GB2312" w:hAnsi="仿宋_GB2312" w:eastAsia="仿宋_GB2312"/>
          <w:sz w:val="32"/>
          <w:szCs w:val="32"/>
        </w:rPr>
        <w:t>万元，其中：人员经费</w:t>
      </w:r>
      <w:r>
        <w:rPr>
          <w:rFonts w:hint="eastAsia" w:ascii="仿宋_GB2312" w:hAnsi="仿宋_GB2312" w:eastAsia="仿宋_GB2312"/>
          <w:sz w:val="32"/>
          <w:szCs w:val="32"/>
        </w:rPr>
        <w:t>1046.47</w:t>
      </w:r>
      <w:r>
        <w:rPr>
          <w:rFonts w:ascii="仿宋_GB2312" w:hAnsi="仿宋_GB2312" w:eastAsia="仿宋_GB2312"/>
          <w:sz w:val="32"/>
          <w:szCs w:val="32"/>
        </w:rPr>
        <w:t>万元，公用经费</w:t>
      </w:r>
      <w:r>
        <w:rPr>
          <w:rFonts w:hint="eastAsia" w:ascii="仿宋_GB2312" w:hAnsi="仿宋_GB2312" w:eastAsia="仿宋_GB2312"/>
          <w:sz w:val="32"/>
          <w:szCs w:val="32"/>
        </w:rPr>
        <w:t>90.38</w:t>
      </w:r>
      <w:r>
        <w:rPr>
          <w:rFonts w:ascii="仿宋_GB2312" w:hAnsi="仿宋_GB2312" w:eastAsia="仿宋_GB2312"/>
          <w:sz w:val="32"/>
          <w:szCs w:val="32"/>
        </w:rPr>
        <w:t>万元，项目资金</w:t>
      </w:r>
      <w:r>
        <w:rPr>
          <w:rFonts w:hint="eastAsia" w:ascii="仿宋_GB2312" w:hAnsi="仿宋_GB2312" w:eastAsia="仿宋_GB2312"/>
          <w:sz w:val="32"/>
          <w:szCs w:val="32"/>
        </w:rPr>
        <w:t>110.35</w:t>
      </w:r>
      <w:r>
        <w:rPr>
          <w:rFonts w:ascii="仿宋_GB2312" w:hAnsi="仿宋_GB2312" w:eastAsia="仿宋_GB2312"/>
          <w:sz w:val="32"/>
          <w:szCs w:val="32"/>
        </w:rPr>
        <w:t>万元。开支用于学校教职工工资福利支出及商品服务支出等，支出依据合规合法，资金支付与预算相符。</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（二）财政资金支出</w:t>
      </w:r>
    </w:p>
    <w:p>
      <w:pPr>
        <w:pStyle w:val="14"/>
        <w:ind w:firstLine="640" w:firstLineChars="200"/>
        <w:rPr>
          <w:rFonts w:ascii="仿宋_GB2312" w:hAnsi="仿宋_GB2312" w:eastAsia="仿宋_GB2312"/>
          <w:sz w:val="32"/>
          <w:szCs w:val="32"/>
        </w:rPr>
      </w:pPr>
      <w:r>
        <w:rPr>
          <w:rFonts w:ascii="仿宋_GB2312" w:hAnsi="仿宋_GB2312" w:eastAsia="仿宋_GB2312"/>
          <w:sz w:val="32"/>
          <w:szCs w:val="32"/>
        </w:rPr>
        <w:t>2021年度财政资金支出</w:t>
      </w:r>
      <w:r>
        <w:rPr>
          <w:rFonts w:hint="eastAsia" w:ascii="仿宋_GB2312" w:hAnsi="仿宋_GB2312" w:eastAsia="仿宋_GB2312"/>
          <w:sz w:val="32"/>
          <w:szCs w:val="32"/>
        </w:rPr>
        <w:t>1247.20</w:t>
      </w:r>
      <w:r>
        <w:rPr>
          <w:rFonts w:ascii="仿宋_GB2312" w:hAnsi="仿宋_GB2312" w:eastAsia="仿宋_GB2312"/>
          <w:sz w:val="32"/>
          <w:szCs w:val="32"/>
        </w:rPr>
        <w:t>万元，其中：人员经费</w:t>
      </w:r>
      <w:r>
        <w:rPr>
          <w:rFonts w:hint="eastAsia" w:ascii="仿宋_GB2312" w:hAnsi="仿宋_GB2312" w:eastAsia="仿宋_GB2312"/>
          <w:sz w:val="32"/>
          <w:szCs w:val="32"/>
        </w:rPr>
        <w:t>1046.47</w:t>
      </w:r>
      <w:r>
        <w:rPr>
          <w:rFonts w:ascii="仿宋_GB2312" w:hAnsi="仿宋_GB2312" w:eastAsia="仿宋_GB2312"/>
          <w:sz w:val="32"/>
          <w:szCs w:val="32"/>
        </w:rPr>
        <w:t>万元，公用经费</w:t>
      </w:r>
      <w:r>
        <w:rPr>
          <w:rFonts w:hint="eastAsia" w:ascii="仿宋_GB2312" w:hAnsi="仿宋_GB2312" w:eastAsia="仿宋_GB2312"/>
          <w:sz w:val="32"/>
          <w:szCs w:val="32"/>
        </w:rPr>
        <w:t>90.38</w:t>
      </w:r>
      <w:r>
        <w:rPr>
          <w:rFonts w:ascii="仿宋_GB2312" w:hAnsi="仿宋_GB2312" w:eastAsia="仿宋_GB2312"/>
          <w:sz w:val="32"/>
          <w:szCs w:val="32"/>
        </w:rPr>
        <w:t>万元，项目资金</w:t>
      </w:r>
      <w:r>
        <w:rPr>
          <w:rFonts w:hint="eastAsia" w:ascii="仿宋_GB2312" w:hAnsi="仿宋_GB2312" w:eastAsia="仿宋_GB2312"/>
          <w:sz w:val="32"/>
          <w:szCs w:val="32"/>
        </w:rPr>
        <w:t>110.35</w:t>
      </w:r>
      <w:r>
        <w:rPr>
          <w:rFonts w:ascii="仿宋_GB2312" w:hAnsi="仿宋_GB2312" w:eastAsia="仿宋_GB2312"/>
          <w:sz w:val="32"/>
          <w:szCs w:val="32"/>
        </w:rPr>
        <w:t>万元。</w:t>
      </w:r>
    </w:p>
    <w:p>
      <w:pPr>
        <w:pStyle w:val="14"/>
        <w:snapToGrid w:val="0"/>
        <w:spacing w:line="560" w:lineRule="exact"/>
        <w:ind w:firstLine="720"/>
        <w:outlineLvl w:val="1"/>
        <w:rPr>
          <w:rFonts w:ascii="仿宋_GB2312" w:hAnsi="仿宋_GB2312" w:eastAsia="仿宋_GB2312"/>
          <w:b/>
          <w:sz w:val="32"/>
          <w:szCs w:val="32"/>
        </w:rPr>
      </w:pPr>
      <w:bookmarkStart w:id="79" w:name="_Toc3781"/>
      <w:r>
        <w:rPr>
          <w:rFonts w:ascii="仿宋_GB2312" w:hAnsi="仿宋_GB2312" w:eastAsia="仿宋_GB2312"/>
          <w:b/>
          <w:sz w:val="32"/>
          <w:szCs w:val="32"/>
        </w:rPr>
        <w:t>三、学校整体预算绩效管理情况</w:t>
      </w:r>
      <w:bookmarkEnd w:id="79"/>
    </w:p>
    <w:p>
      <w:pPr>
        <w:pStyle w:val="14"/>
        <w:snapToGrid w:val="0"/>
        <w:spacing w:line="560" w:lineRule="exact"/>
        <w:ind w:firstLine="720"/>
        <w:rPr>
          <w:rFonts w:ascii="仿宋_GB2312" w:hAnsi="仿宋_GB2312" w:eastAsia="仿宋_GB2312"/>
          <w:b/>
          <w:sz w:val="32"/>
          <w:szCs w:val="32"/>
        </w:rPr>
      </w:pPr>
      <w:r>
        <w:rPr>
          <w:rFonts w:ascii="仿宋_GB2312" w:hAnsi="仿宋_GB2312" w:eastAsia="仿宋_GB2312"/>
          <w:b/>
          <w:sz w:val="32"/>
          <w:szCs w:val="32"/>
          <w:lang w:val="zh-CN"/>
        </w:rPr>
        <w:t>（一）学校预算项目绩效管理</w:t>
      </w:r>
      <w:r>
        <w:rPr>
          <w:rFonts w:ascii="仿宋_GB2312" w:hAnsi="仿宋_GB2312" w:eastAsia="仿宋_GB2312"/>
          <w:b/>
          <w:sz w:val="32"/>
          <w:szCs w:val="32"/>
        </w:rPr>
        <w:t>。</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w:t>
      </w:r>
      <w:r>
        <w:rPr>
          <w:rFonts w:hint="eastAsia" w:ascii="仿宋_GB2312" w:hAnsi="仿宋_GB2312" w:eastAsia="仿宋_GB2312"/>
          <w:sz w:val="32"/>
          <w:szCs w:val="32"/>
          <w:u w:val="none" w:color="46CD7E"/>
          <w:shd w:val="clear" w:fill="auto"/>
          <w:lang w:eastAsia="zh-CN"/>
        </w:rPr>
        <w:t>绩效管理</w:t>
      </w:r>
      <w:r>
        <w:rPr>
          <w:rFonts w:ascii="仿宋_GB2312" w:hAnsi="仿宋_GB2312" w:eastAsia="仿宋_GB2312"/>
          <w:sz w:val="32"/>
          <w:szCs w:val="32"/>
        </w:rPr>
        <w:t>实施细则，由学校工会监督执行，绩效考核按照学校绩效分配制度执行。</w:t>
      </w:r>
    </w:p>
    <w:p>
      <w:pPr>
        <w:pStyle w:val="14"/>
        <w:snapToGrid w:val="0"/>
        <w:spacing w:line="560" w:lineRule="exact"/>
        <w:ind w:firstLine="720"/>
        <w:rPr>
          <w:rFonts w:ascii="仿宋_GB2312" w:hAnsi="仿宋_GB2312" w:eastAsia="仿宋_GB2312"/>
          <w:b/>
          <w:sz w:val="32"/>
          <w:szCs w:val="32"/>
          <w:lang w:val="zh-CN"/>
        </w:rPr>
      </w:pPr>
      <w:r>
        <w:rPr>
          <w:rFonts w:ascii="仿宋_GB2312" w:hAnsi="仿宋_GB2312" w:eastAsia="仿宋_GB2312"/>
          <w:b/>
          <w:sz w:val="32"/>
          <w:szCs w:val="32"/>
          <w:lang w:val="zh-CN"/>
        </w:rPr>
        <w:t>（二）结果应用情况。</w:t>
      </w:r>
    </w:p>
    <w:p>
      <w:pPr>
        <w:pStyle w:val="14"/>
        <w:snapToGrid w:val="0"/>
        <w:spacing w:line="560" w:lineRule="exact"/>
        <w:ind w:firstLine="800" w:firstLineChars="250"/>
        <w:rPr>
          <w:rFonts w:ascii="仿宋_GB2312" w:hAnsi="仿宋_GB2312" w:eastAsia="仿宋_GB2312"/>
          <w:sz w:val="32"/>
          <w:szCs w:val="32"/>
        </w:rPr>
      </w:pPr>
      <w:r>
        <w:rPr>
          <w:rFonts w:ascii="仿宋_GB2312" w:hAnsi="仿宋_GB2312" w:eastAsia="仿宋_GB2312"/>
          <w:sz w:val="32"/>
          <w:szCs w:val="32"/>
        </w:rPr>
        <w:t>1.目标任务量完成情况。</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全校教职工</w:t>
      </w:r>
      <w:r>
        <w:rPr>
          <w:rFonts w:hint="eastAsia" w:ascii="仿宋_GB2312" w:hAnsi="仿宋_GB2312" w:eastAsia="仿宋_GB2312"/>
          <w:sz w:val="32"/>
          <w:szCs w:val="32"/>
          <w:u w:val="none" w:color="46CD7E"/>
          <w:shd w:val="clear" w:fill="auto"/>
          <w:lang w:eastAsia="zh-CN"/>
        </w:rPr>
        <w:t>完成了</w:t>
      </w:r>
      <w:r>
        <w:rPr>
          <w:rFonts w:ascii="仿宋_GB2312" w:hAnsi="仿宋_GB2312" w:eastAsia="仿宋_GB2312"/>
          <w:sz w:val="32"/>
          <w:szCs w:val="32"/>
        </w:rPr>
        <w:t>学期目标任务，达到了相关教学要求，学校</w:t>
      </w:r>
      <w:r>
        <w:rPr>
          <w:rFonts w:hint="eastAsia" w:ascii="仿宋_GB2312" w:hAnsi="仿宋_GB2312" w:eastAsia="仿宋_GB2312"/>
          <w:sz w:val="32"/>
          <w:szCs w:val="32"/>
          <w:u w:val="thick" w:color="46CD7E"/>
          <w:shd w:val="clear" w:fill="DAF5E5"/>
          <w:lang w:eastAsia="zh-CN"/>
        </w:rPr>
        <w:t>整体教学</w:t>
      </w:r>
      <w:r>
        <w:rPr>
          <w:rFonts w:ascii="仿宋_GB2312" w:hAnsi="仿宋_GB2312" w:eastAsia="仿宋_GB2312"/>
          <w:sz w:val="32"/>
          <w:szCs w:val="32"/>
        </w:rPr>
        <w:t>工作取得了较好成效。</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2.目标质量完成情况。</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按照年初目标任务，实际完成较好，个别教职工做得很优秀。</w:t>
      </w:r>
    </w:p>
    <w:p>
      <w:pPr>
        <w:pStyle w:val="14"/>
        <w:snapToGrid w:val="0"/>
        <w:spacing w:line="560" w:lineRule="exact"/>
        <w:ind w:firstLine="800" w:firstLineChars="250"/>
        <w:rPr>
          <w:rFonts w:ascii="仿宋_GB2312" w:hAnsi="仿宋_GB2312" w:eastAsia="仿宋_GB2312"/>
          <w:sz w:val="32"/>
          <w:szCs w:val="32"/>
        </w:rPr>
      </w:pPr>
      <w:r>
        <w:rPr>
          <w:rFonts w:ascii="仿宋_GB2312" w:hAnsi="仿宋_GB2312" w:eastAsia="仿宋_GB2312"/>
          <w:sz w:val="32"/>
          <w:szCs w:val="32"/>
        </w:rPr>
        <w:t>3.目标进度完成情况。</w:t>
      </w:r>
    </w:p>
    <w:p>
      <w:pPr>
        <w:pStyle w:val="14"/>
        <w:snapToGrid w:val="0"/>
        <w:spacing w:line="560" w:lineRule="exact"/>
        <w:ind w:firstLine="800" w:firstLineChars="250"/>
        <w:rPr>
          <w:rFonts w:ascii="仿宋_GB2312" w:hAnsi="仿宋_GB2312" w:eastAsia="仿宋_GB2312"/>
          <w:sz w:val="32"/>
          <w:szCs w:val="32"/>
        </w:rPr>
      </w:pPr>
      <w:r>
        <w:rPr>
          <w:rFonts w:ascii="仿宋_GB2312" w:hAnsi="仿宋_GB2312" w:eastAsia="仿宋_GB2312"/>
          <w:sz w:val="32"/>
          <w:szCs w:val="32"/>
        </w:rPr>
        <w:t>对照预定计划，全部完成了目标任务。</w:t>
      </w:r>
    </w:p>
    <w:p>
      <w:pPr>
        <w:pStyle w:val="14"/>
        <w:snapToGrid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4.项目效益情况实施目标绩效考核，充分调动了教职工积极性，学校各方面工作都有序，高质量完成，产生较好的社会效益，严格执行目标管理，充分保障学校正常运转。</w:t>
      </w:r>
    </w:p>
    <w:p>
      <w:pPr>
        <w:pStyle w:val="14"/>
        <w:tabs>
          <w:tab w:val="left" w:pos="6804"/>
          <w:tab w:val="left" w:pos="7088"/>
          <w:tab w:val="left" w:pos="7513"/>
          <w:tab w:val="left" w:pos="8080"/>
        </w:tabs>
        <w:spacing w:line="520" w:lineRule="exact"/>
        <w:ind w:firstLine="643" w:firstLineChars="200"/>
        <w:jc w:val="left"/>
        <w:outlineLvl w:val="1"/>
        <w:rPr>
          <w:rFonts w:ascii="仿宋_GB2312" w:hAnsi="仿宋_GB2312" w:eastAsia="仿宋_GB2312"/>
          <w:b/>
          <w:sz w:val="32"/>
          <w:szCs w:val="32"/>
        </w:rPr>
      </w:pPr>
      <w:bookmarkStart w:id="80" w:name="_Toc2594"/>
      <w:r>
        <w:rPr>
          <w:rFonts w:ascii="仿宋_GB2312" w:hAnsi="仿宋_GB2312" w:eastAsia="仿宋_GB2312"/>
          <w:b/>
          <w:sz w:val="32"/>
          <w:szCs w:val="32"/>
        </w:rPr>
        <w:t>四、评价结论及建议</w:t>
      </w:r>
      <w:bookmarkEnd w:id="80"/>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pStyle w:val="15"/>
        <w:spacing w:before="93"/>
        <w:rPr>
          <w:sz w:val="32"/>
          <w:szCs w:val="32"/>
        </w:rPr>
      </w:pPr>
    </w:p>
    <w:p>
      <w:pPr>
        <w:pStyle w:val="15"/>
        <w:spacing w:before="93"/>
        <w:rPr>
          <w:rFonts w:ascii="黑体" w:hAnsi="黑体" w:eastAsia="黑体" w:cs="黑体"/>
          <w:sz w:val="32"/>
          <w:szCs w:val="32"/>
        </w:rPr>
      </w:pPr>
    </w:p>
    <w:p>
      <w:pPr>
        <w:pStyle w:val="14"/>
        <w:spacing w:line="600" w:lineRule="exact"/>
        <w:jc w:val="center"/>
        <w:rPr>
          <w:rFonts w:ascii="黑体" w:hAnsi="黑体" w:eastAsia="黑体"/>
          <w:sz w:val="44"/>
          <w:szCs w:val="44"/>
        </w:rPr>
      </w:pPr>
      <w:bookmarkStart w:id="81" w:name="_Toc15396618"/>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bookmarkStart w:id="110" w:name="_GoBack"/>
      <w:bookmarkEnd w:id="110"/>
    </w:p>
    <w:p>
      <w:pPr>
        <w:pStyle w:val="14"/>
        <w:spacing w:line="600" w:lineRule="exact"/>
        <w:jc w:val="center"/>
        <w:outlineLvl w:val="0"/>
        <w:rPr>
          <w:rFonts w:ascii="仿宋" w:hAnsi="仿宋" w:eastAsia="仿宋"/>
        </w:rPr>
      </w:pPr>
      <w:bookmarkStart w:id="82" w:name="_Toc10765"/>
      <w:r>
        <w:rPr>
          <w:rFonts w:ascii="黑体" w:hAnsi="黑体" w:eastAsia="黑体"/>
          <w:sz w:val="44"/>
          <w:szCs w:val="44"/>
        </w:rPr>
        <w:t>第</w:t>
      </w:r>
      <w:r>
        <w:rPr>
          <w:rStyle w:val="12"/>
          <w:rFonts w:ascii="黑体" w:hAnsi="黑体" w:eastAsia="黑体"/>
          <w:b w:val="0"/>
        </w:rPr>
        <w:t>五部分 附表</w:t>
      </w:r>
      <w:bookmarkEnd w:id="72"/>
      <w:bookmarkEnd w:id="81"/>
      <w:bookmarkEnd w:id="82"/>
      <w:bookmarkStart w:id="83" w:name="_Toc15396619"/>
    </w:p>
    <w:p>
      <w:pPr>
        <w:pStyle w:val="17"/>
        <w:spacing w:before="0" w:after="0" w:line="640" w:lineRule="exact"/>
        <w:rPr>
          <w:rFonts w:ascii="仿宋" w:hAnsi="仿宋" w:eastAsia="仿宋"/>
          <w:b w:val="0"/>
        </w:rPr>
      </w:pPr>
      <w:bookmarkStart w:id="84" w:name="_Toc19313"/>
    </w:p>
    <w:p>
      <w:pPr>
        <w:pStyle w:val="17"/>
        <w:spacing w:before="0" w:after="0" w:line="640" w:lineRule="exact"/>
        <w:rPr>
          <w:rFonts w:ascii="仿宋" w:hAnsi="仿宋" w:eastAsia="仿宋"/>
        </w:rPr>
      </w:pPr>
      <w:r>
        <w:rPr>
          <w:rFonts w:ascii="仿宋" w:hAnsi="仿宋" w:eastAsia="仿宋"/>
          <w:b w:val="0"/>
        </w:rPr>
        <w:t>一、收</w:t>
      </w:r>
      <w:r>
        <w:rPr>
          <w:rStyle w:val="16"/>
          <w:rFonts w:ascii="仿宋" w:hAnsi="仿宋" w:eastAsia="仿宋"/>
          <w:b w:val="0"/>
          <w:bCs w:val="0"/>
        </w:rPr>
        <w:t>入支出</w:t>
      </w:r>
      <w:r>
        <w:rPr>
          <w:rFonts w:ascii="仿宋" w:hAnsi="仿宋" w:eastAsia="仿宋"/>
          <w:b w:val="0"/>
          <w:bCs w:val="0"/>
        </w:rPr>
        <w:t>决算总表</w:t>
      </w:r>
      <w:bookmarkEnd w:id="83"/>
      <w:bookmarkEnd w:id="84"/>
    </w:p>
    <w:p>
      <w:pPr>
        <w:pStyle w:val="17"/>
        <w:spacing w:before="0" w:after="0" w:line="640" w:lineRule="exact"/>
        <w:rPr>
          <w:rFonts w:ascii="仿宋" w:hAnsi="仿宋" w:eastAsia="仿宋"/>
        </w:rPr>
      </w:pPr>
      <w:bookmarkStart w:id="85" w:name="_Toc15396620"/>
      <w:bookmarkStart w:id="86" w:name="_Toc32331"/>
      <w:r>
        <w:rPr>
          <w:rFonts w:ascii="仿宋" w:hAnsi="仿宋" w:eastAsia="仿宋"/>
          <w:b w:val="0"/>
        </w:rPr>
        <w:t>二、收</w:t>
      </w:r>
      <w:r>
        <w:rPr>
          <w:rStyle w:val="16"/>
          <w:rFonts w:ascii="仿宋" w:hAnsi="仿宋" w:eastAsia="仿宋"/>
          <w:b w:val="0"/>
          <w:bCs w:val="0"/>
        </w:rPr>
        <w:t>入决算表</w:t>
      </w:r>
      <w:bookmarkEnd w:id="85"/>
      <w:bookmarkEnd w:id="86"/>
    </w:p>
    <w:p>
      <w:pPr>
        <w:pStyle w:val="17"/>
        <w:spacing w:before="0" w:after="0" w:line="640" w:lineRule="exact"/>
        <w:rPr>
          <w:rFonts w:ascii="仿宋" w:hAnsi="仿宋" w:eastAsia="仿宋"/>
        </w:rPr>
      </w:pPr>
      <w:bookmarkStart w:id="87" w:name="_Toc15396621"/>
      <w:bookmarkStart w:id="88" w:name="_Toc4446"/>
      <w:r>
        <w:rPr>
          <w:rStyle w:val="16"/>
          <w:rFonts w:ascii="仿宋" w:hAnsi="仿宋" w:eastAsia="仿宋"/>
          <w:b w:val="0"/>
          <w:bCs w:val="0"/>
        </w:rPr>
        <w:t>三、</w:t>
      </w:r>
      <w:r>
        <w:rPr>
          <w:rFonts w:ascii="仿宋" w:hAnsi="仿宋" w:eastAsia="仿宋"/>
          <w:b w:val="0"/>
        </w:rPr>
        <w:t>支</w:t>
      </w:r>
      <w:r>
        <w:rPr>
          <w:rStyle w:val="16"/>
          <w:rFonts w:ascii="仿宋" w:hAnsi="仿宋" w:eastAsia="仿宋"/>
          <w:b w:val="0"/>
          <w:bCs w:val="0"/>
        </w:rPr>
        <w:t>出</w:t>
      </w:r>
      <w:r>
        <w:rPr>
          <w:rFonts w:ascii="仿宋" w:hAnsi="仿宋" w:eastAsia="仿宋"/>
          <w:b w:val="0"/>
          <w:bCs w:val="0"/>
        </w:rPr>
        <w:t>决算表</w:t>
      </w:r>
      <w:bookmarkEnd w:id="87"/>
      <w:bookmarkEnd w:id="88"/>
    </w:p>
    <w:p>
      <w:pPr>
        <w:pStyle w:val="17"/>
        <w:spacing w:before="0" w:after="0" w:line="640" w:lineRule="exact"/>
        <w:rPr>
          <w:rFonts w:ascii="仿宋" w:hAnsi="仿宋" w:eastAsia="仿宋"/>
          <w:b w:val="0"/>
        </w:rPr>
      </w:pPr>
      <w:bookmarkStart w:id="89" w:name="_Toc17198"/>
      <w:bookmarkStart w:id="90" w:name="_Toc15396622"/>
      <w:r>
        <w:rPr>
          <w:rStyle w:val="16"/>
          <w:rFonts w:ascii="仿宋" w:hAnsi="仿宋" w:eastAsia="仿宋"/>
          <w:b w:val="0"/>
          <w:bCs w:val="0"/>
        </w:rPr>
        <w:t>四、</w:t>
      </w:r>
      <w:r>
        <w:rPr>
          <w:rFonts w:ascii="仿宋" w:hAnsi="仿宋" w:eastAsia="仿宋"/>
          <w:b w:val="0"/>
        </w:rPr>
        <w:t>财</w:t>
      </w:r>
      <w:r>
        <w:rPr>
          <w:rStyle w:val="16"/>
          <w:rFonts w:ascii="仿宋" w:hAnsi="仿宋" w:eastAsia="仿宋"/>
          <w:b w:val="0"/>
          <w:bCs w:val="0"/>
        </w:rPr>
        <w:t>政拨款收入支出</w:t>
      </w:r>
      <w:r>
        <w:rPr>
          <w:rFonts w:ascii="仿宋" w:hAnsi="仿宋" w:eastAsia="仿宋"/>
          <w:b w:val="0"/>
          <w:bCs w:val="0"/>
        </w:rPr>
        <w:t>决算总表</w:t>
      </w:r>
      <w:bookmarkEnd w:id="89"/>
      <w:bookmarkEnd w:id="90"/>
    </w:p>
    <w:p>
      <w:pPr>
        <w:pStyle w:val="17"/>
        <w:spacing w:before="0" w:after="0" w:line="640" w:lineRule="exact"/>
        <w:rPr>
          <w:rStyle w:val="16"/>
          <w:rFonts w:ascii="仿宋" w:hAnsi="仿宋" w:eastAsia="仿宋"/>
          <w:b w:val="0"/>
          <w:bCs w:val="0"/>
        </w:rPr>
      </w:pPr>
      <w:bookmarkStart w:id="91" w:name="_Toc25303"/>
      <w:bookmarkStart w:id="92" w:name="_Toc15396623"/>
      <w:r>
        <w:rPr>
          <w:rStyle w:val="16"/>
          <w:rFonts w:ascii="仿宋" w:hAnsi="仿宋" w:eastAsia="仿宋"/>
          <w:b w:val="0"/>
          <w:bCs w:val="0"/>
        </w:rPr>
        <w:t>五、</w:t>
      </w:r>
      <w:r>
        <w:rPr>
          <w:rFonts w:ascii="仿宋" w:hAnsi="仿宋" w:eastAsia="仿宋"/>
          <w:b w:val="0"/>
        </w:rPr>
        <w:t>财</w:t>
      </w:r>
      <w:r>
        <w:rPr>
          <w:rStyle w:val="16"/>
          <w:rFonts w:ascii="仿宋" w:hAnsi="仿宋" w:eastAsia="仿宋"/>
          <w:b w:val="0"/>
          <w:bCs w:val="0"/>
        </w:rPr>
        <w:t>政拨款支出</w:t>
      </w:r>
      <w:r>
        <w:rPr>
          <w:rFonts w:ascii="仿宋" w:hAnsi="仿宋" w:eastAsia="仿宋"/>
          <w:b w:val="0"/>
          <w:bCs w:val="0"/>
        </w:rPr>
        <w:t>决算明细表</w:t>
      </w:r>
      <w:bookmarkEnd w:id="91"/>
      <w:bookmarkEnd w:id="92"/>
      <w:bookmarkStart w:id="93" w:name="_Toc15396624"/>
    </w:p>
    <w:p>
      <w:pPr>
        <w:pStyle w:val="17"/>
        <w:spacing w:before="0" w:after="0" w:line="640" w:lineRule="exact"/>
        <w:rPr>
          <w:rFonts w:ascii="仿宋" w:hAnsi="仿宋" w:eastAsia="仿宋"/>
        </w:rPr>
      </w:pPr>
      <w:bookmarkStart w:id="94" w:name="_Toc16898"/>
      <w:r>
        <w:rPr>
          <w:rStyle w:val="16"/>
          <w:rFonts w:ascii="仿宋" w:hAnsi="仿宋" w:eastAsia="仿宋"/>
          <w:b w:val="0"/>
          <w:bCs w:val="0"/>
        </w:rPr>
        <w:t>六、</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财政拨款支出决算表</w:t>
      </w:r>
      <w:bookmarkEnd w:id="93"/>
      <w:bookmarkEnd w:id="94"/>
    </w:p>
    <w:p>
      <w:pPr>
        <w:pStyle w:val="17"/>
        <w:spacing w:before="0" w:after="0" w:line="640" w:lineRule="exact"/>
        <w:rPr>
          <w:rFonts w:ascii="仿宋" w:hAnsi="仿宋" w:eastAsia="仿宋"/>
        </w:rPr>
      </w:pPr>
      <w:bookmarkStart w:id="95" w:name="_Toc4543"/>
      <w:bookmarkStart w:id="96" w:name="_Toc15396625"/>
      <w:r>
        <w:rPr>
          <w:rStyle w:val="16"/>
          <w:rFonts w:ascii="仿宋" w:hAnsi="仿宋" w:eastAsia="仿宋"/>
          <w:b w:val="0"/>
          <w:bCs w:val="0"/>
        </w:rPr>
        <w:t>七、</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财政拨款支出决算明细表</w:t>
      </w:r>
      <w:bookmarkEnd w:id="95"/>
      <w:bookmarkEnd w:id="96"/>
    </w:p>
    <w:p>
      <w:pPr>
        <w:pStyle w:val="17"/>
        <w:spacing w:before="0" w:after="0" w:line="640" w:lineRule="exact"/>
        <w:rPr>
          <w:rFonts w:ascii="仿宋" w:hAnsi="仿宋" w:eastAsia="仿宋"/>
        </w:rPr>
      </w:pPr>
      <w:bookmarkStart w:id="97" w:name="_Toc15396626"/>
      <w:bookmarkStart w:id="98" w:name="_Toc9151"/>
      <w:r>
        <w:rPr>
          <w:rStyle w:val="16"/>
          <w:rFonts w:ascii="仿宋" w:hAnsi="仿宋" w:eastAsia="仿宋"/>
          <w:b w:val="0"/>
          <w:bCs w:val="0"/>
        </w:rPr>
        <w:t>八、</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财政拨款基本支出决算表</w:t>
      </w:r>
      <w:bookmarkEnd w:id="97"/>
      <w:bookmarkEnd w:id="98"/>
    </w:p>
    <w:p>
      <w:pPr>
        <w:pStyle w:val="17"/>
        <w:spacing w:before="0" w:after="0" w:line="640" w:lineRule="exact"/>
        <w:rPr>
          <w:rFonts w:ascii="仿宋" w:hAnsi="仿宋" w:eastAsia="仿宋"/>
        </w:rPr>
      </w:pPr>
      <w:bookmarkStart w:id="99" w:name="_Toc15396627"/>
      <w:bookmarkStart w:id="100" w:name="_Toc20295"/>
      <w:r>
        <w:rPr>
          <w:rStyle w:val="16"/>
          <w:rFonts w:ascii="仿宋" w:hAnsi="仿宋" w:eastAsia="仿宋"/>
          <w:b w:val="0"/>
          <w:bCs w:val="0"/>
        </w:rPr>
        <w:t>九、</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财政拨款项目支出决算表</w:t>
      </w:r>
      <w:bookmarkEnd w:id="99"/>
      <w:bookmarkEnd w:id="100"/>
    </w:p>
    <w:p>
      <w:pPr>
        <w:pStyle w:val="17"/>
        <w:spacing w:before="0" w:after="0" w:line="640" w:lineRule="exact"/>
        <w:rPr>
          <w:rFonts w:ascii="仿宋" w:hAnsi="仿宋" w:eastAsia="仿宋"/>
        </w:rPr>
      </w:pPr>
      <w:bookmarkStart w:id="101" w:name="_Toc14469"/>
      <w:bookmarkStart w:id="102" w:name="_Toc15396628"/>
      <w:r>
        <w:rPr>
          <w:rStyle w:val="16"/>
          <w:rFonts w:ascii="仿宋" w:hAnsi="仿宋" w:eastAsia="仿宋"/>
          <w:b w:val="0"/>
          <w:bCs w:val="0"/>
        </w:rPr>
        <w:t>十、</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财政拨款“三公”经费支出决算表</w:t>
      </w:r>
      <w:bookmarkEnd w:id="101"/>
      <w:bookmarkEnd w:id="102"/>
    </w:p>
    <w:p>
      <w:pPr>
        <w:pStyle w:val="17"/>
        <w:spacing w:before="0" w:after="0" w:line="640" w:lineRule="exact"/>
        <w:rPr>
          <w:rFonts w:ascii="仿宋" w:hAnsi="仿宋" w:eastAsia="仿宋"/>
        </w:rPr>
      </w:pPr>
      <w:bookmarkStart w:id="103" w:name="_Toc18430"/>
      <w:bookmarkStart w:id="104" w:name="_Toc15396629"/>
      <w:r>
        <w:rPr>
          <w:rStyle w:val="16"/>
          <w:rFonts w:ascii="仿宋" w:hAnsi="仿宋" w:eastAsia="仿宋"/>
          <w:b w:val="0"/>
          <w:bCs w:val="0"/>
        </w:rPr>
        <w:t>十一、</w:t>
      </w:r>
      <w:r>
        <w:rPr>
          <w:rFonts w:ascii="仿宋" w:hAnsi="仿宋" w:eastAsia="仿宋"/>
          <w:b w:val="0"/>
        </w:rPr>
        <w:t>政</w:t>
      </w:r>
      <w:r>
        <w:rPr>
          <w:rStyle w:val="16"/>
          <w:rFonts w:ascii="仿宋" w:hAnsi="仿宋" w:eastAsia="仿宋"/>
          <w:b w:val="0"/>
          <w:bCs w:val="0"/>
        </w:rPr>
        <w:t>府性基金预算</w:t>
      </w:r>
      <w:r>
        <w:rPr>
          <w:rFonts w:ascii="仿宋" w:hAnsi="仿宋" w:eastAsia="仿宋"/>
          <w:b w:val="0"/>
          <w:bCs w:val="0"/>
        </w:rPr>
        <w:t>财政拨款收入支出决算表</w:t>
      </w:r>
      <w:bookmarkEnd w:id="103"/>
      <w:bookmarkEnd w:id="104"/>
    </w:p>
    <w:p>
      <w:pPr>
        <w:pStyle w:val="17"/>
        <w:spacing w:before="0" w:after="0" w:line="640" w:lineRule="exact"/>
        <w:rPr>
          <w:rFonts w:ascii="仿宋" w:hAnsi="仿宋" w:eastAsia="仿宋"/>
        </w:rPr>
      </w:pPr>
      <w:bookmarkStart w:id="105" w:name="_Toc15396630"/>
      <w:bookmarkStart w:id="106" w:name="_Toc19430"/>
      <w:r>
        <w:rPr>
          <w:rStyle w:val="16"/>
          <w:rFonts w:ascii="仿宋" w:hAnsi="仿宋" w:eastAsia="仿宋"/>
          <w:b w:val="0"/>
          <w:bCs w:val="0"/>
        </w:rPr>
        <w:t>十二、</w:t>
      </w:r>
      <w:r>
        <w:rPr>
          <w:rFonts w:ascii="仿宋" w:hAnsi="仿宋" w:eastAsia="仿宋"/>
          <w:b w:val="0"/>
        </w:rPr>
        <w:t>政</w:t>
      </w:r>
      <w:r>
        <w:rPr>
          <w:rStyle w:val="16"/>
          <w:rFonts w:ascii="仿宋" w:hAnsi="仿宋" w:eastAsia="仿宋"/>
          <w:b w:val="0"/>
          <w:bCs w:val="0"/>
        </w:rPr>
        <w:t>府性基金预算</w:t>
      </w:r>
      <w:r>
        <w:rPr>
          <w:rFonts w:ascii="仿宋" w:hAnsi="仿宋" w:eastAsia="仿宋"/>
          <w:b w:val="0"/>
          <w:bCs w:val="0"/>
        </w:rPr>
        <w:t>财政拨款“三公”经费支出决算表</w:t>
      </w:r>
      <w:bookmarkEnd w:id="105"/>
      <w:bookmarkEnd w:id="106"/>
    </w:p>
    <w:p>
      <w:pPr>
        <w:pStyle w:val="17"/>
        <w:spacing w:before="0" w:after="0" w:line="640" w:lineRule="exact"/>
        <w:rPr>
          <w:rStyle w:val="16"/>
          <w:rFonts w:ascii="仿宋" w:hAnsi="仿宋" w:eastAsia="仿宋"/>
          <w:b w:val="0"/>
          <w:bCs w:val="0"/>
        </w:rPr>
      </w:pPr>
      <w:bookmarkStart w:id="107" w:name="_Toc15396631"/>
      <w:bookmarkStart w:id="108" w:name="_Toc11620"/>
      <w:r>
        <w:rPr>
          <w:rStyle w:val="16"/>
          <w:rFonts w:ascii="仿宋" w:hAnsi="仿宋" w:eastAsia="仿宋"/>
          <w:b w:val="0"/>
          <w:bCs w:val="0"/>
        </w:rPr>
        <w:t>十三、</w:t>
      </w:r>
      <w:r>
        <w:rPr>
          <w:rFonts w:ascii="仿宋" w:hAnsi="仿宋" w:eastAsia="仿宋"/>
          <w:b w:val="0"/>
        </w:rPr>
        <w:t>国</w:t>
      </w:r>
      <w:r>
        <w:rPr>
          <w:rStyle w:val="16"/>
          <w:rFonts w:ascii="仿宋" w:hAnsi="仿宋" w:eastAsia="仿宋"/>
          <w:b w:val="0"/>
          <w:bCs w:val="0"/>
        </w:rPr>
        <w:t>有资本经营预算</w:t>
      </w:r>
      <w:r>
        <w:rPr>
          <w:rFonts w:ascii="仿宋" w:hAnsi="仿宋" w:eastAsia="仿宋"/>
          <w:b w:val="0"/>
          <w:bCs w:val="0"/>
        </w:rPr>
        <w:t>财政拨款收入支出决算表</w:t>
      </w:r>
      <w:bookmarkEnd w:id="107"/>
      <w:bookmarkEnd w:id="108"/>
    </w:p>
    <w:p>
      <w:pPr>
        <w:pStyle w:val="14"/>
        <w:spacing w:line="640" w:lineRule="exact"/>
        <w:rPr>
          <w:rFonts w:eastAsia="仿宋"/>
          <w:sz w:val="32"/>
          <w:szCs w:val="32"/>
        </w:rPr>
      </w:pPr>
      <w:bookmarkStart w:id="109" w:name="_Toc29881"/>
      <w:r>
        <w:rPr>
          <w:rStyle w:val="16"/>
          <w:rFonts w:ascii="仿宋" w:hAnsi="仿宋" w:eastAsia="仿宋"/>
          <w:b w:val="0"/>
          <w:bCs w:val="0"/>
        </w:rPr>
        <w:t>十四、国有资本经营预算</w:t>
      </w:r>
      <w:r>
        <w:rPr>
          <w:rFonts w:ascii="仿宋" w:hAnsi="仿宋" w:eastAsia="仿宋"/>
          <w:sz w:val="32"/>
          <w:szCs w:val="32"/>
        </w:rPr>
        <w:t>财政拨款支出决算表</w:t>
      </w:r>
      <w:bookmarkEnd w:id="109"/>
    </w:p>
    <w:sectPr>
      <w:headerReference r:id="rId3" w:type="default"/>
      <w:footerReference r:id="rId4" w:type="default"/>
      <w:pgSz w:w="11906" w:h="16838"/>
      <w:pgMar w:top="1440" w:right="1800" w:bottom="1440" w:left="1800" w:header="851" w:footer="992" w:gutter="0"/>
      <w:pgNumType w:start="1"/>
      <w:cols w:space="425" w:num="1"/>
      <w:formProt w:val="0"/>
      <w:titlePg/>
      <w:docGrid w:type="lines" w:linePitch="312" w:charSpace="2877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Calibri">
    <w:panose1 w:val="020F0502020204030204"/>
    <w:charset w:val="01"/>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fldChar w:fldCharType="begin"/>
    </w:r>
    <w:r>
      <w:rPr>
        <w:lang w:val="zh-CN"/>
      </w:rPr>
      <w:instrText xml:space="preserve">PAGE</w:instrText>
    </w:r>
    <w:r>
      <w:rPr>
        <w:lang w:val="zh-CN"/>
      </w:rPr>
      <w:fldChar w:fldCharType="separate"/>
    </w:r>
    <w:r>
      <w:rPr>
        <w:lang w:val="zh-CN"/>
      </w:rPr>
      <w:t>17</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22213"/>
    <w:multiLevelType w:val="multilevel"/>
    <w:tmpl w:val="0BE22213"/>
    <w:lvl w:ilvl="0" w:tentative="0">
      <w:start w:val="3"/>
      <w:numFmt w:val="chineseCountingThousand"/>
      <w:suff w:val="space"/>
      <w:lvlText w:val="第%1部分"/>
      <w:lvlJc w:val="left"/>
      <w:pPr>
        <w:tabs>
          <w:tab w:val="left" w:pos="0"/>
        </w:tabs>
        <w:ind w:left="0" w:firstLine="0"/>
      </w:pPr>
      <w:rPr>
        <w:rFonts w:ascii="黑体" w:hAnsi="黑体" w:eastAsia="黑体" w:cs="黑体"/>
        <w:sz w:val="44"/>
        <w:szCs w:val="4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7C730ED8"/>
    <w:multiLevelType w:val="singleLevel"/>
    <w:tmpl w:val="7C730ED8"/>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dit="trackedChanges" w:enforcement="0"/>
  <w:defaultTabStop w:val="420"/>
  <w:autoHyphenation/>
  <w:characterSpacingControl w:val="doNotCompress"/>
  <w:compat>
    <w:balanceSingleByteDoubleByteWidth/>
    <w:ulTrailSpace/>
    <w:doNotExpandShiftReturn/>
    <w:useFELayout/>
    <w:compatSetting w:name="compatibilityMode" w:uri="http://schemas.microsoft.com/office/word" w:val="12"/>
  </w:compat>
  <w:docVars>
    <w:docVar w:name="commondata" w:val="eyJoZGlkIjoiZmViMTY2MzAwNzZjNjc3NDcyZjNiODJhNzZkNmE1YzIifQ=="/>
  </w:docVars>
  <w:rsids>
    <w:rsidRoot w:val="0049358A"/>
    <w:rsid w:val="00187732"/>
    <w:rsid w:val="0049358A"/>
    <w:rsid w:val="00C80A26"/>
    <w:rsid w:val="06751699"/>
    <w:rsid w:val="0F6A3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semiHidden/>
    <w:unhideWhenUsed/>
    <w:qFormat/>
    <w:uiPriority w:val="99"/>
    <w:rPr>
      <w:sz w:val="18"/>
      <w:szCs w:val="18"/>
    </w:rPr>
  </w:style>
  <w:style w:type="paragraph" w:styleId="4">
    <w:name w:val="footer"/>
    <w:basedOn w:val="1"/>
    <w:link w:val="34"/>
    <w:qFormat/>
    <w:uiPriority w:val="99"/>
    <w:pPr>
      <w:tabs>
        <w:tab w:val="center" w:pos="4153"/>
        <w:tab w:val="right" w:pos="8306"/>
      </w:tabs>
      <w:snapToGrid w:val="0"/>
      <w:jc w:val="left"/>
    </w:pPr>
    <w:rPr>
      <w:sz w:val="18"/>
      <w:szCs w:val="18"/>
    </w:rPr>
  </w:style>
  <w:style w:type="paragraph" w:styleId="5">
    <w:name w:val="header"/>
    <w:basedOn w:val="1"/>
    <w:link w:val="33"/>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annotation reference"/>
    <w:basedOn w:val="8"/>
    <w:semiHidden/>
    <w:unhideWhenUsed/>
    <w:uiPriority w:val="99"/>
    <w:rPr>
      <w:sz w:val="21"/>
      <w:szCs w:val="21"/>
    </w:rPr>
  </w:style>
  <w:style w:type="character" w:customStyle="1" w:styleId="11">
    <w:name w:val="要点1"/>
    <w:basedOn w:val="8"/>
    <w:qFormat/>
    <w:uiPriority w:val="99"/>
    <w:rPr>
      <w:b/>
    </w:rPr>
  </w:style>
  <w:style w:type="character" w:customStyle="1" w:styleId="12">
    <w:name w:val="标题 1 Char"/>
    <w:basedOn w:val="8"/>
    <w:qFormat/>
    <w:uiPriority w:val="9"/>
    <w:rPr>
      <w:rFonts w:ascii="Times New Roman" w:hAnsi="Times New Roman"/>
      <w:b/>
      <w:bCs/>
      <w:kern w:val="2"/>
      <w:sz w:val="44"/>
      <w:szCs w:val="44"/>
    </w:rPr>
  </w:style>
  <w:style w:type="paragraph" w:customStyle="1" w:styleId="13">
    <w:name w:val="标题 11"/>
    <w:basedOn w:val="14"/>
    <w:qFormat/>
    <w:uiPriority w:val="9"/>
    <w:pPr>
      <w:keepNext/>
      <w:keepLines/>
      <w:spacing w:before="340" w:after="330" w:line="578" w:lineRule="auto"/>
      <w:outlineLvl w:val="0"/>
    </w:pPr>
    <w:rPr>
      <w:b/>
      <w:bCs/>
      <w:sz w:val="44"/>
      <w:szCs w:val="44"/>
    </w:rPr>
  </w:style>
  <w:style w:type="paragraph" w:customStyle="1" w:styleId="1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文本1"/>
    <w:basedOn w:val="14"/>
    <w:qFormat/>
    <w:uiPriority w:val="99"/>
    <w:rPr>
      <w:rFonts w:ascii="仿宋_GB2312" w:hAnsi="仿宋_GB2312" w:eastAsia="仿宋_GB2312"/>
      <w:kern w:val="0"/>
      <w:sz w:val="30"/>
    </w:rPr>
  </w:style>
  <w:style w:type="character" w:customStyle="1" w:styleId="16">
    <w:name w:val="标题 2 Char"/>
    <w:basedOn w:val="8"/>
    <w:qFormat/>
    <w:uiPriority w:val="9"/>
    <w:rPr>
      <w:rFonts w:asciiTheme="majorHAnsi" w:hAnsiTheme="majorHAnsi" w:eastAsiaTheme="majorEastAsia" w:cstheme="majorBidi"/>
      <w:b/>
      <w:bCs/>
      <w:kern w:val="2"/>
      <w:sz w:val="32"/>
      <w:szCs w:val="32"/>
    </w:rPr>
  </w:style>
  <w:style w:type="paragraph" w:customStyle="1" w:styleId="17">
    <w:name w:val="标题 21"/>
    <w:basedOn w:val="14"/>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customStyle="1" w:styleId="18">
    <w:name w:val="页脚1"/>
    <w:basedOn w:val="14"/>
    <w:qFormat/>
    <w:uiPriority w:val="99"/>
    <w:pPr>
      <w:tabs>
        <w:tab w:val="center" w:pos="4153"/>
        <w:tab w:val="right" w:pos="8306"/>
      </w:tabs>
      <w:snapToGrid w:val="0"/>
      <w:jc w:val="left"/>
    </w:pPr>
    <w:rPr>
      <w:rFonts w:ascii="Calibri" w:hAnsi="Calibri"/>
      <w:kern w:val="0"/>
      <w:sz w:val="18"/>
      <w:szCs w:val="18"/>
    </w:rPr>
  </w:style>
  <w:style w:type="paragraph" w:customStyle="1" w:styleId="19">
    <w:name w:val="页眉1"/>
    <w:basedOn w:val="14"/>
    <w:semiHidden/>
    <w:qFormat/>
    <w:uiPriority w:val="99"/>
    <w:pPr>
      <w:pBdr>
        <w:bottom w:val="single" w:color="000000" w:sz="6" w:space="1"/>
      </w:pBdr>
      <w:tabs>
        <w:tab w:val="center" w:pos="4153"/>
        <w:tab w:val="right" w:pos="8306"/>
      </w:tabs>
      <w:snapToGrid w:val="0"/>
      <w:jc w:val="center"/>
    </w:pPr>
    <w:rPr>
      <w:rFonts w:ascii="Calibri" w:hAnsi="Calibri"/>
      <w:kern w:val="0"/>
      <w:sz w:val="18"/>
      <w:szCs w:val="18"/>
    </w:rPr>
  </w:style>
  <w:style w:type="paragraph" w:customStyle="1" w:styleId="20">
    <w:name w:val="目录 11"/>
    <w:basedOn w:val="14"/>
    <w:unhideWhenUsed/>
    <w:qFormat/>
    <w:uiPriority w:val="39"/>
    <w:pPr>
      <w:tabs>
        <w:tab w:val="right" w:leader="dot" w:pos="8296"/>
      </w:tabs>
      <w:spacing w:before="93"/>
      <w:jc w:val="center"/>
    </w:pPr>
    <w:rPr>
      <w:rFonts w:ascii="仿宋" w:hAnsi="仿宋" w:eastAsia="仿宋"/>
      <w:sz w:val="28"/>
      <w:szCs w:val="28"/>
    </w:rPr>
  </w:style>
  <w:style w:type="paragraph" w:customStyle="1" w:styleId="21">
    <w:name w:val="目录 21"/>
    <w:basedOn w:val="14"/>
    <w:unhideWhenUsed/>
    <w:qFormat/>
    <w:uiPriority w:val="39"/>
    <w:pPr>
      <w:tabs>
        <w:tab w:val="right" w:leader="dot" w:pos="8296"/>
      </w:tabs>
      <w:ind w:left="420" w:leftChars="200"/>
    </w:pPr>
  </w:style>
  <w:style w:type="paragraph" w:customStyle="1" w:styleId="22">
    <w:name w:val="Default"/>
    <w:qFormat/>
    <w:uiPriority w:val="99"/>
    <w:pPr>
      <w:widowControl w:val="0"/>
    </w:pPr>
    <w:rPr>
      <w:rFonts w:ascii="仿宋" w:hAnsi="仿宋" w:eastAsia="仿宋" w:cs="仿宋"/>
      <w:color w:val="000000"/>
      <w:sz w:val="24"/>
      <w:szCs w:val="24"/>
      <w:lang w:val="en-US" w:eastAsia="zh-CN" w:bidi="ar-SA"/>
    </w:rPr>
  </w:style>
  <w:style w:type="paragraph" w:customStyle="1" w:styleId="23">
    <w:name w:val="列表段落"/>
    <w:basedOn w:val="14"/>
    <w:qFormat/>
    <w:uiPriority w:val="34"/>
    <w:pPr>
      <w:ind w:firstLine="200" w:firstLineChars="200"/>
    </w:pPr>
  </w:style>
  <w:style w:type="paragraph" w:customStyle="1" w:styleId="24">
    <w:name w:val="四号正文"/>
    <w:basedOn w:val="14"/>
    <w:qFormat/>
    <w:uiPriority w:val="0"/>
    <w:pPr>
      <w:spacing w:line="360" w:lineRule="auto"/>
    </w:pPr>
    <w:rPr>
      <w:rFonts w:ascii="??" w:hAnsi="??" w:cs="宋体"/>
      <w:color w:val="000000"/>
      <w:kern w:val="0"/>
      <w:sz w:val="28"/>
      <w:szCs w:val="21"/>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Char"/>
    <w:basedOn w:val="8"/>
    <w:semiHidden/>
    <w:uiPriority w:val="99"/>
  </w:style>
  <w:style w:type="paragraph" w:customStyle="1" w:styleId="28">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29">
    <w:name w:val="页眉 Char"/>
    <w:basedOn w:val="8"/>
    <w:semiHidden/>
    <w:uiPriority w:val="99"/>
    <w:rPr>
      <w:sz w:val="18"/>
      <w:szCs w:val="18"/>
    </w:rPr>
  </w:style>
  <w:style w:type="paragraph" w:customStyle="1" w:styleId="30">
    <w:name w:val="Footer"/>
    <w:basedOn w:val="1"/>
    <w:qFormat/>
    <w:uiPriority w:val="99"/>
    <w:pPr>
      <w:tabs>
        <w:tab w:val="center" w:pos="4153"/>
        <w:tab w:val="right" w:pos="8306"/>
      </w:tabs>
      <w:snapToGrid w:val="0"/>
      <w:jc w:val="left"/>
    </w:pPr>
    <w:rPr>
      <w:sz w:val="18"/>
      <w:szCs w:val="18"/>
    </w:rPr>
  </w:style>
  <w:style w:type="character" w:customStyle="1" w:styleId="31">
    <w:name w:val="页脚 Char"/>
    <w:basedOn w:val="8"/>
    <w:uiPriority w:val="99"/>
    <w:rPr>
      <w:sz w:val="18"/>
      <w:szCs w:val="18"/>
    </w:rPr>
  </w:style>
  <w:style w:type="character" w:customStyle="1" w:styleId="32">
    <w:name w:val="批注框文本 Char"/>
    <w:basedOn w:val="8"/>
    <w:semiHidden/>
    <w:uiPriority w:val="99"/>
    <w:rPr>
      <w:sz w:val="18"/>
      <w:szCs w:val="18"/>
    </w:rPr>
  </w:style>
  <w:style w:type="character" w:customStyle="1" w:styleId="33">
    <w:name w:val="页眉 Char1"/>
    <w:basedOn w:val="8"/>
    <w:link w:val="5"/>
    <w:semiHidden/>
    <w:uiPriority w:val="99"/>
    <w:rPr>
      <w:sz w:val="18"/>
      <w:szCs w:val="18"/>
    </w:rPr>
  </w:style>
  <w:style w:type="character" w:customStyle="1" w:styleId="34">
    <w:name w:val="页脚 Char1"/>
    <w:basedOn w:val="8"/>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0" i="0" u="none" strike="noStrike" kern="1200" spc="-1" baseline="0">
                <a:solidFill>
                  <a:srgbClr val="595959"/>
                </a:solidFill>
                <a:latin typeface="Calibri" panose="020F0502020204030204"/>
                <a:ea typeface="+mn-ea"/>
                <a:cs typeface="+mn-cs"/>
              </a:defRPr>
            </a:pPr>
            <a:r>
              <a:rPr lang="en-US" sz="1400" b="0" strike="noStrike" spc="-1">
                <a:solidFill>
                  <a:srgbClr val="595959"/>
                </a:solidFill>
                <a:latin typeface="Calibri" panose="020F0502020204030204"/>
              </a:rPr>
              <a:t>2021年、2020年收、支决算变动情况图</a:t>
            </a:r>
            <a:endParaRPr lang="en-US" sz="1400" b="0" strike="noStrike" spc="-1">
              <a:solidFill>
                <a:srgbClr val="595959"/>
              </a:solidFill>
              <a:latin typeface="Calibri" panose="020F0502020204030204"/>
            </a:endParaRPr>
          </a:p>
        </c:rich>
      </c:tx>
      <c:layout/>
      <c:overlay val="0"/>
      <c:spPr>
        <a:noFill/>
        <a:ln w="0">
          <a:noFill/>
        </a:ln>
      </c:spPr>
    </c:title>
    <c:autoTitleDeleted val="0"/>
    <c:plotArea>
      <c:layout>
        <c:manualLayout>
          <c:layoutTarget val="inner"/>
          <c:xMode val="edge"/>
          <c:yMode val="edge"/>
          <c:x val="0.0585823227903488"/>
          <c:y val="0.127555555555556"/>
          <c:w val="0.8938125"/>
          <c:h val="0.716111111111111"/>
        </c:manualLayout>
      </c:layout>
      <c:barChart>
        <c:barDir val="col"/>
        <c:grouping val="clustered"/>
        <c:varyColors val="0"/>
        <c:ser>
          <c:idx val="0"/>
          <c:order val="0"/>
          <c:tx>
            <c:strRef>
              <c:f>Sheet1!$B$1</c:f>
              <c:strCache>
                <c:ptCount val="1"/>
                <c:pt idx="0">
                  <c:v>2021年收支决算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1"/>
            <c:showLeaderLines val="0"/>
            <c:extLst>
              <c:ext xmlns:c15="http://schemas.microsoft.com/office/drawing/2012/chart" uri="{CE6537A1-D6FC-4f65-9D91-7224C49458BB}">
                <c15:layout/>
                <c15:showLeaderLines val="0"/>
                <c15:leaderLines/>
              </c:ext>
            </c:extLst>
          </c:dLbls>
          <c:val>
            <c:numRef>
              <c:f>Sheet1!$B$2</c:f>
              <c:numCache>
                <c:formatCode>General</c:formatCode>
                <c:ptCount val="1"/>
                <c:pt idx="0">
                  <c:v>1247.2</c:v>
                </c:pt>
              </c:numCache>
            </c:numRef>
          </c:val>
        </c:ser>
        <c:ser>
          <c:idx val="1"/>
          <c:order val="1"/>
          <c:tx>
            <c:strRef>
              <c:f>Sheet1!$C$1</c:f>
              <c:strCache>
                <c:ptCount val="1"/>
                <c:pt idx="0">
                  <c:v>2020年收支决算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1"/>
            <c:showLeaderLines val="0"/>
            <c:extLst>
              <c:ext xmlns:c15="http://schemas.microsoft.com/office/drawing/2012/chart" uri="{CE6537A1-D6FC-4f65-9D91-7224C49458BB}">
                <c15:layout/>
                <c15:showLeaderLines val="0"/>
                <c15:leaderLines/>
              </c:ext>
            </c:extLst>
          </c:dLbls>
          <c:val>
            <c:numRef>
              <c:f>Sheet1!$C$2</c:f>
              <c:numCache>
                <c:formatCode>General</c:formatCode>
                <c:ptCount val="1"/>
                <c:pt idx="0">
                  <c:v>1448.23</c:v>
                </c:pt>
              </c:numCache>
            </c:numRef>
          </c:val>
        </c:ser>
        <c:dLbls>
          <c:showLegendKey val="0"/>
          <c:showVal val="1"/>
          <c:showCatName val="0"/>
          <c:showSerName val="0"/>
          <c:showPercent val="0"/>
          <c:showBubbleSize val="1"/>
        </c:dLbls>
        <c:gapWidth val="219"/>
        <c:overlap val="-27"/>
        <c:axId val="208286464"/>
        <c:axId val="264869376"/>
      </c:barChart>
      <c:catAx>
        <c:axId val="208286464"/>
        <c:scaling>
          <c:orientation val="minMax"/>
        </c:scaling>
        <c:delete val="0"/>
        <c:axPos val="b"/>
        <c:numFmt formatCode="[$-804]yyyy/m/d" sourceLinked="0"/>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264869376"/>
        <c:crosses val="autoZero"/>
        <c:auto val="1"/>
        <c:lblAlgn val="ctr"/>
        <c:lblOffset val="100"/>
        <c:noMultiLvlLbl val="0"/>
      </c:catAx>
      <c:valAx>
        <c:axId val="264869376"/>
        <c:scaling>
          <c:orientation val="minMax"/>
          <c:max val="1600"/>
        </c:scaling>
        <c:delete val="0"/>
        <c:axPos val="l"/>
        <c:majorGridlines>
          <c:spPr>
            <a:ln w="9360" cap="flat" cmpd="sng" algn="ctr">
              <a:solidFill>
                <a:srgbClr val="D9D9D9"/>
              </a:solidFill>
              <a:prstDash val="solid"/>
              <a:round/>
            </a:ln>
          </c:spPr>
        </c:majorGridlines>
        <c:numFmt formatCode="General" sourceLinked="0"/>
        <c:majorTickMark val="none"/>
        <c:minorTickMark val="none"/>
        <c:tickLblPos val="nextTo"/>
        <c:spPr>
          <a:ln w="936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208286464"/>
        <c:crosses val="autoZero"/>
        <c:crossBetween val="between"/>
      </c:valAx>
      <c:spPr>
        <a:noFill/>
        <a:ln w="0">
          <a:noFill/>
        </a:ln>
      </c:spPr>
    </c:plotArea>
    <c:legend>
      <c:legendPos val="b"/>
      <c:layout>
        <c:manualLayout>
          <c:xMode val="edge"/>
          <c:yMode val="edge"/>
          <c:x val="0.266125"/>
          <c:y val="0.924"/>
          <c:w val="0.551409463091443"/>
          <c:h val="0.0557839759973331"/>
        </c:manualLayout>
      </c:layout>
      <c:overlay val="0"/>
      <c:spPr>
        <a:noFill/>
        <a:ln w="0">
          <a:noFill/>
        </a:ln>
      </c:spPr>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legend>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0" i="0" u="none" strike="noStrike" kern="1200" spc="4" baseline="0">
                <a:solidFill>
                  <a:srgbClr val="808080"/>
                </a:solidFill>
                <a:latin typeface="Calibri" panose="020F0502020204030204"/>
                <a:ea typeface="+mn-ea"/>
                <a:cs typeface="+mn-cs"/>
              </a:defRPr>
            </a:pPr>
            <a:r>
              <a:rPr lang="en-US" sz="1400" b="0" strike="noStrike" spc="4">
                <a:solidFill>
                  <a:srgbClr val="808080"/>
                </a:solidFill>
                <a:latin typeface="Calibri" panose="020F0502020204030204"/>
              </a:rPr>
              <a:t>2021年收入决算结构图</a:t>
            </a:r>
            <a:endParaRPr lang="en-US" sz="1400" b="0" strike="noStrike" spc="4">
              <a:solidFill>
                <a:srgbClr val="808080"/>
              </a:solidFill>
              <a:latin typeface="Calibri" panose="020F0502020204030204"/>
            </a:endParaRPr>
          </a:p>
        </c:rich>
      </c:tx>
      <c:layout/>
      <c:overlay val="0"/>
      <c:spPr>
        <a:noFill/>
        <a:ln w="0">
          <a:noFill/>
        </a:ln>
      </c:spPr>
    </c:title>
    <c:autoTitleDeleted val="0"/>
    <c:plotArea>
      <c:layout/>
      <c:pieChart>
        <c:varyColors val="1"/>
        <c:ser>
          <c:idx val="0"/>
          <c:order val="0"/>
          <c:tx>
            <c:strRef>
              <c:f>label 0</c:f>
              <c:strCache>
                <c:ptCount val="1"/>
                <c:pt idx="0">
                  <c:v>2021年收入决算结构图</c:v>
                </c:pt>
              </c:strCache>
            </c:strRef>
          </c:tx>
          <c:spPr>
            <a:solidFill>
              <a:srgbClr val="4F81BD"/>
            </a:solidFill>
            <a:ln w="0">
              <a:noFill/>
            </a:ln>
          </c:spPr>
          <c:explosion val="0"/>
          <c:dPt>
            <c:idx val="0"/>
            <c:bubble3D val="0"/>
            <c:spPr>
              <a:gradFill>
                <a:gsLst>
                  <a:gs pos="0">
                    <a:srgbClr val="BFD4FE"/>
                  </a:gs>
                  <a:gs pos="100000">
                    <a:srgbClr val="E5EFFF"/>
                  </a:gs>
                </a:gsLst>
                <a:lin ang="16200000"/>
              </a:gradFill>
              <a:ln w="9360">
                <a:solidFill>
                  <a:srgbClr val="4D7EB8"/>
                </a:solidFill>
                <a:round/>
              </a:ln>
            </c:spPr>
          </c:dPt>
          <c:dLbls>
            <c:dLbl>
              <c:idx val="0"/>
              <c:layout/>
              <c:tx>
                <c:rich>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r>
                      <a:rPr sz="1000" b="0" strike="noStrike" spc="-1">
                        <a:solidFill>
                          <a:srgbClr val="000000"/>
                        </a:solidFill>
                        <a:latin typeface="Calibri" panose="020F0502020204030204"/>
                      </a:rPr>
                      <a:t>100%</a:t>
                    </a:r>
                    <a:endParaRPr sz="1000" b="0" strike="noStrike" spc="-1">
                      <a:solidFill>
                        <a:srgbClr val="000000"/>
                      </a:solidFill>
                      <a:latin typeface="Calibri" panose="020F0502020204030204"/>
                    </a:endParaRPr>
                  </a:p>
                </c:rich>
              </c:tx>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1"/>
              <c:showCatName val="0"/>
              <c:showSerName val="0"/>
              <c:showPercent val="0"/>
              <c:showBubbleSize val="1"/>
              <c:separator>; </c:separator>
              <c:extLst>
                <c:ext xmlns:c15="http://schemas.microsoft.com/office/drawing/2012/chart" uri="{CE6537A1-D6FC-4f65-9D91-7224C49458BB}"/>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595959"/>
                    </a:solidFill>
                    <a:latin typeface="Calibri" panose="020F0502020204030204"/>
                    <a:ea typeface="+mn-ea"/>
                    <a:cs typeface="+mn-cs"/>
                  </a:defRPr>
                </a:pPr>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1"/>
                <c:pt idx="0">
                  <c:v>一般公共预算财政拨款收入</c:v>
                </c:pt>
              </c:strCache>
            </c:strRef>
          </c:cat>
          <c:val>
            <c:numRef>
              <c:f>0</c:f>
              <c:numCache>
                <c:formatCode>General</c:formatCode>
                <c:ptCount val="1"/>
                <c:pt idx="0">
                  <c:v>1821.21</c:v>
                </c:pt>
              </c:numCache>
            </c:numRef>
          </c:val>
        </c:ser>
        <c:dLbls>
          <c:showLegendKey val="0"/>
          <c:showVal val="1"/>
          <c:showCatName val="0"/>
          <c:showSerName val="0"/>
          <c:showPercent val="0"/>
          <c:showBubbleSize val="1"/>
          <c:showLeaderLines val="1"/>
        </c:dLbls>
        <c:firstSliceAng val="0"/>
      </c:pieChart>
      <c:spPr>
        <a:noFill/>
        <a:ln w="0">
          <a:noFill/>
        </a:ln>
      </c:spPr>
    </c:plotArea>
    <c:legend>
      <c:legendPos val="b"/>
      <c:layout/>
      <c:overlay val="0"/>
      <c:spPr>
        <a:noFill/>
        <a:ln w="0">
          <a:noFill/>
        </a:ln>
      </c:spPr>
      <c:txPr>
        <a:bodyPr rot="0" spcFirstLastPara="0" vertOverflow="ellipsis" vert="horz" wrap="square" anchor="ctr" anchorCtr="1"/>
        <a:lstStyle/>
        <a:p>
          <a:pPr>
            <a:defRPr lang="zh-CN" sz="900" b="0" i="0" u="none" strike="noStrike" kern="1200" spc="-1" baseline="0">
              <a:solidFill>
                <a:srgbClr val="808080"/>
              </a:solidFill>
              <a:latin typeface="Calibri" panose="020F0502020204030204"/>
              <a:ea typeface="+mn-ea"/>
              <a:cs typeface="+mn-cs"/>
            </a:defRPr>
          </a:pPr>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spc="-1" baseline="0">
                <a:solidFill>
                  <a:srgbClr val="000000"/>
                </a:solidFill>
                <a:latin typeface="Calibri" panose="020F0502020204030204"/>
                <a:ea typeface="+mn-ea"/>
                <a:cs typeface="+mn-cs"/>
              </a:defRPr>
            </a:pPr>
            <a:r>
              <a:rPr sz="1800" b="1" strike="noStrike" spc="-1">
                <a:solidFill>
                  <a:srgbClr val="000000"/>
                </a:solidFill>
                <a:latin typeface="Calibri" panose="020F0502020204030204"/>
              </a:rPr>
              <a:t>2021年支出决算结构图</a:t>
            </a:r>
            <a:endParaRPr sz="1800" b="1" strike="noStrike" spc="-1">
              <a:solidFill>
                <a:srgbClr val="000000"/>
              </a:solidFill>
              <a:latin typeface="Calibri" panose="020F0502020204030204"/>
            </a:endParaRPr>
          </a:p>
        </c:rich>
      </c:tx>
      <c:layout/>
      <c:overlay val="0"/>
      <c:spPr>
        <a:noFill/>
        <a:ln w="0">
          <a:noFill/>
        </a:ln>
      </c:spPr>
    </c:title>
    <c:autoTitleDeleted val="0"/>
    <c:plotArea>
      <c:layout/>
      <c:pieChart>
        <c:varyColors val="1"/>
        <c:ser>
          <c:idx val="0"/>
          <c:order val="0"/>
          <c:tx>
            <c:strRef>
              <c:f>label 0</c:f>
              <c:strCache>
                <c:ptCount val="1"/>
                <c:pt idx="0">
                  <c:v>2021年支出决算结构图</c:v>
                </c:pt>
              </c:strCache>
            </c:strRef>
          </c:tx>
          <c:spPr>
            <a:solidFill>
              <a:srgbClr val="4F81BD"/>
            </a:solidFill>
            <a:ln w="0">
              <a:noFill/>
            </a:ln>
          </c:spPr>
          <c:explosion val="0"/>
          <c:dPt>
            <c:idx val="0"/>
            <c:bubble3D val="0"/>
            <c:spPr>
              <a:gradFill>
                <a:gsLst>
                  <a:gs pos="0">
                    <a:srgbClr val="BFD4FE"/>
                  </a:gs>
                  <a:gs pos="100000">
                    <a:srgbClr val="E5EFFF"/>
                  </a:gs>
                </a:gsLst>
                <a:lin ang="16200000"/>
              </a:gradFill>
              <a:ln w="9360">
                <a:solidFill>
                  <a:srgbClr val="4D7EB8"/>
                </a:solidFill>
                <a:round/>
              </a:ln>
            </c:spPr>
          </c:dPt>
          <c:dPt>
            <c:idx val="1"/>
            <c:bubble3D val="0"/>
            <c:spPr>
              <a:gradFill>
                <a:gsLst>
                  <a:gs pos="0">
                    <a:srgbClr val="FFC1BE"/>
                  </a:gs>
                  <a:gs pos="100000">
                    <a:srgbClr val="FFE5E5"/>
                  </a:gs>
                </a:gsLst>
                <a:lin ang="16200000"/>
              </a:gradFill>
              <a:ln w="9360">
                <a:solidFill>
                  <a:srgbClr val="BB4E4B"/>
                </a:solidFill>
                <a:round/>
              </a:ln>
            </c:spPr>
          </c:dPt>
          <c:dPt>
            <c:idx val="2"/>
            <c:bubble3D val="0"/>
            <c:spPr>
              <a:solidFill>
                <a:srgbClr val="9BBB59"/>
              </a:solidFill>
              <a:ln w="0">
                <a:noFill/>
              </a:ln>
            </c:spPr>
          </c:dPt>
          <c:dPt>
            <c:idx val="3"/>
            <c:bubble3D val="0"/>
            <c:spPr>
              <a:solidFill>
                <a:srgbClr val="8064A2"/>
              </a:solidFill>
              <a:ln w="0">
                <a:noFill/>
              </a:ln>
            </c:spPr>
          </c:dPt>
          <c:dPt>
            <c:idx val="4"/>
            <c:bubble3D val="0"/>
            <c:spPr>
              <a:solidFill>
                <a:srgbClr val="4BACC6"/>
              </a:solidFill>
              <a:ln w="0">
                <a:noFill/>
              </a:ln>
            </c:spPr>
          </c:dPt>
          <c:dLbls>
            <c:dLbl>
              <c:idx val="0"/>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91.15</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dLbl>
              <c:idx val="1"/>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8.85</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5"/>
                <c:pt idx="0">
                  <c:v>基本支出</c:v>
                </c:pt>
                <c:pt idx="1">
                  <c:v>项目支出</c:v>
                </c:pt>
                <c:pt idx="2">
                  <c:v>上缴上级支出</c:v>
                </c:pt>
                <c:pt idx="3">
                  <c:v>经营支出</c:v>
                </c:pt>
                <c:pt idx="4">
                  <c:v>对附属单位补助支出</c:v>
                </c:pt>
              </c:strCache>
            </c:strRef>
          </c:cat>
          <c:val>
            <c:numRef>
              <c:f>0</c:f>
              <c:numCache>
                <c:formatCode>General</c:formatCode>
                <c:ptCount val="5"/>
                <c:pt idx="0">
                  <c:v>320.07</c:v>
                </c:pt>
                <c:pt idx="1">
                  <c:v>43.98</c:v>
                </c:pt>
                <c:pt idx="2">
                  <c:v>0</c:v>
                </c:pt>
                <c:pt idx="3">
                  <c:v>0</c:v>
                </c:pt>
                <c:pt idx="4">
                  <c:v>0</c:v>
                </c:pt>
              </c:numCache>
            </c:numRef>
          </c:val>
        </c:ser>
        <c:dLbls>
          <c:showLegendKey val="0"/>
          <c:showVal val="0"/>
          <c:showCatName val="0"/>
          <c:showSerName val="0"/>
          <c:showPercent val="1"/>
          <c:showBubbleSize val="1"/>
          <c:showLeaderLines val="1"/>
        </c:dLbls>
        <c:firstSliceAng val="0"/>
      </c:pieChart>
      <c:spPr>
        <a:noFill/>
        <a:ln w="0">
          <a:noFill/>
        </a:ln>
      </c:spPr>
    </c:plotArea>
    <c:legend>
      <c:legendPos val="r"/>
      <c:layout/>
      <c:overlay val="0"/>
      <c:spPr>
        <a:noFill/>
        <a:ln w="0">
          <a:noFill/>
        </a:ln>
      </c:spPr>
      <c:txPr>
        <a:bodyPr rot="0" spcFirstLastPara="0" vertOverflow="ellipsis" vert="horz" wrap="square" anchor="ctr" anchorCtr="1"/>
        <a:lstStyle/>
        <a:p>
          <a:pPr>
            <a:defRPr lang="zh-CN" sz="1000" b="0" i="0" u="none" strike="noStrike" kern="1200" spc="-1" baseline="0">
              <a:solidFill>
                <a:srgbClr val="000000"/>
              </a:solidFill>
              <a:latin typeface="Calibri" panose="020F0502020204030204"/>
              <a:ea typeface="+mn-ea"/>
              <a:cs typeface="+mn-cs"/>
            </a:defRPr>
          </a:pPr>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sz="1400" b="0" strike="noStrike" spc="-1">
                <a:solidFill>
                  <a:srgbClr val="595959"/>
                </a:solidFill>
                <a:latin typeface="Calibri" panose="020F0502020204030204"/>
              </a:rPr>
              <a:t>财政拨款收、支决算总计变动情况</a:t>
            </a:r>
            <a:endParaRPr sz="1400" b="0" strike="noStrike" spc="-1">
              <a:solidFill>
                <a:srgbClr val="595959"/>
              </a:solidFill>
              <a:latin typeface="Calibri" panose="020F0502020204030204"/>
            </a:endParaRPr>
          </a:p>
        </c:rich>
      </c:tx>
      <c:layout>
        <c:manualLayout>
          <c:xMode val="edge"/>
          <c:yMode val="edge"/>
          <c:x val="0.163053983156151"/>
          <c:y val="0.0389133627019091"/>
        </c:manualLayout>
      </c:layout>
      <c:overlay val="0"/>
      <c:spPr>
        <a:noFill/>
        <a:ln w="0">
          <a:noFill/>
        </a:ln>
      </c:spPr>
    </c:title>
    <c:autoTitleDeleted val="0"/>
    <c:plotArea>
      <c:layout>
        <c:manualLayout>
          <c:layoutTarget val="inner"/>
          <c:xMode val="edge"/>
          <c:yMode val="edge"/>
          <c:x val="0.0716668695969804"/>
          <c:y val="0.186998186998187"/>
          <c:w val="0.896554243272859"/>
          <c:h val="0.575084175084176"/>
        </c:manualLayout>
      </c:layout>
      <c:barChart>
        <c:barDir val="col"/>
        <c:grouping val="clustered"/>
        <c:varyColors val="0"/>
        <c:ser>
          <c:idx val="0"/>
          <c:order val="0"/>
          <c:tx>
            <c:strRef>
              <c:f>Sheet1!$B$1</c:f>
              <c:strCache>
                <c:ptCount val="1"/>
                <c:pt idx="0">
                  <c:v>2021年财政拨款收、支决算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1"/>
            <c:showLeaderLines val="0"/>
            <c:extLst>
              <c:ext xmlns:c15="http://schemas.microsoft.com/office/drawing/2012/chart" uri="{CE6537A1-D6FC-4f65-9D91-7224C49458BB}">
                <c15:layout/>
                <c15:showLeaderLines val="0"/>
                <c15:leaderLines/>
              </c:ext>
            </c:extLst>
          </c:dLbls>
          <c:val>
            <c:numRef>
              <c:f>Sheet1!$B$2</c:f>
              <c:numCache>
                <c:formatCode>General</c:formatCode>
                <c:ptCount val="1"/>
                <c:pt idx="0">
                  <c:v>1247.2</c:v>
                </c:pt>
              </c:numCache>
            </c:numRef>
          </c:val>
        </c:ser>
        <c:ser>
          <c:idx val="1"/>
          <c:order val="1"/>
          <c:tx>
            <c:strRef>
              <c:f>Sheet1!$C$1</c:f>
              <c:strCache>
                <c:ptCount val="1"/>
                <c:pt idx="0">
                  <c:v>2020年财政拨款收、支决算</c:v>
                </c:pt>
              </c:strCache>
            </c:strRef>
          </c:tx>
          <c:invertIfNegative val="0"/>
          <c:dLbls>
            <c:delete val="1"/>
          </c:dLbls>
          <c:val>
            <c:numRef>
              <c:f>Sheet1!$C$2</c:f>
              <c:numCache>
                <c:formatCode>General</c:formatCode>
                <c:ptCount val="1"/>
                <c:pt idx="0">
                  <c:v>0</c:v>
                </c:pt>
              </c:numCache>
            </c:numRef>
          </c:val>
        </c:ser>
        <c:dLbls>
          <c:showLegendKey val="0"/>
          <c:showVal val="1"/>
          <c:showCatName val="0"/>
          <c:showSerName val="0"/>
          <c:showPercent val="0"/>
          <c:showBubbleSize val="1"/>
        </c:dLbls>
        <c:gapWidth val="219"/>
        <c:overlap val="-27"/>
        <c:axId val="208770944"/>
        <c:axId val="208772480"/>
      </c:barChart>
      <c:catAx>
        <c:axId val="208770944"/>
        <c:scaling>
          <c:orientation val="minMax"/>
        </c:scaling>
        <c:delete val="0"/>
        <c:axPos val="b"/>
        <c:numFmt formatCode="[$-804]yyyy/m/d" sourceLinked="0"/>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208772480"/>
        <c:crosses val="autoZero"/>
        <c:auto val="1"/>
        <c:lblAlgn val="ctr"/>
        <c:lblOffset val="100"/>
        <c:noMultiLvlLbl val="0"/>
      </c:catAx>
      <c:valAx>
        <c:axId val="208772480"/>
        <c:scaling>
          <c:orientation val="minMax"/>
          <c:max val="1600"/>
        </c:scaling>
        <c:delete val="0"/>
        <c:axPos val="l"/>
        <c:majorGridlines>
          <c:spPr>
            <a:ln w="9360" cap="flat" cmpd="sng" algn="ctr">
              <a:solidFill>
                <a:srgbClr val="D9D9D9"/>
              </a:solidFill>
              <a:prstDash val="solid"/>
              <a:round/>
            </a:ln>
          </c:spPr>
        </c:majorGridlines>
        <c:numFmt formatCode="General" sourceLinked="0"/>
        <c:majorTickMark val="none"/>
        <c:minorTickMark val="none"/>
        <c:tickLblPos val="nextTo"/>
        <c:spPr>
          <a:ln w="936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208770944"/>
        <c:crosses val="autoZero"/>
        <c:crossBetween val="between"/>
      </c:valAx>
      <c:spPr>
        <a:noFill/>
        <a:ln w="0">
          <a:noFill/>
        </a:ln>
      </c:spPr>
    </c:plotArea>
    <c:legend>
      <c:legendPos val="b"/>
      <c:layout>
        <c:manualLayout>
          <c:xMode val="edge"/>
          <c:yMode val="edge"/>
          <c:x val="0.2660625"/>
          <c:y val="0.897111111111111"/>
          <c:w val="0.551409463091443"/>
          <c:h val="0.0562284698299811"/>
        </c:manualLayout>
      </c:layout>
      <c:overlay val="0"/>
      <c:spPr>
        <a:noFill/>
        <a:ln w="0">
          <a:noFill/>
        </a:ln>
      </c:spPr>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legend>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sz="1400" b="0" strike="noStrike" spc="-1">
                <a:solidFill>
                  <a:srgbClr val="595959"/>
                </a:solidFill>
                <a:latin typeface="Calibri" panose="020F0502020204030204"/>
              </a:rPr>
              <a:t>一般公共预算财政拨款支出决算总计变动情况</a:t>
            </a:r>
            <a:endParaRPr sz="1400" b="0" strike="noStrike" spc="-1">
              <a:solidFill>
                <a:srgbClr val="595959"/>
              </a:solidFill>
              <a:latin typeface="Calibri" panose="020F0502020204030204"/>
            </a:endParaRPr>
          </a:p>
        </c:rich>
      </c:tx>
      <c:layout>
        <c:manualLayout>
          <c:xMode val="edge"/>
          <c:yMode val="edge"/>
          <c:x val="0.163185024416712"/>
          <c:y val="0.0387491502379334"/>
        </c:manualLayout>
      </c:layout>
      <c:overlay val="0"/>
      <c:spPr>
        <a:noFill/>
        <a:ln w="0">
          <a:noFill/>
        </a:ln>
      </c:spPr>
    </c:title>
    <c:autoTitleDeleted val="0"/>
    <c:plotArea>
      <c:layout>
        <c:manualLayout>
          <c:layoutTarget val="inner"/>
          <c:xMode val="edge"/>
          <c:yMode val="edge"/>
          <c:x val="0.0786875"/>
          <c:y val="0.117"/>
          <c:w val="0.8938125"/>
          <c:h val="0.716444444444445"/>
        </c:manualLayout>
      </c:layout>
      <c:barChart>
        <c:barDir val="col"/>
        <c:grouping val="clustered"/>
        <c:varyColors val="0"/>
        <c:ser>
          <c:idx val="0"/>
          <c:order val="0"/>
          <c:tx>
            <c:strRef>
              <c:f>Sheet1!$B$1</c:f>
              <c:strCache>
                <c:ptCount val="1"/>
                <c:pt idx="0">
                  <c:v>2021年一般财政公共预算拨款支出决算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1"/>
            <c:showLeaderLines val="0"/>
            <c:extLst>
              <c:ext xmlns:c15="http://schemas.microsoft.com/office/drawing/2012/chart" uri="{CE6537A1-D6FC-4f65-9D91-7224C49458BB}">
                <c15:layout/>
                <c15:showLeaderLines val="0"/>
                <c15:leaderLines/>
              </c:ext>
            </c:extLst>
          </c:dLbls>
          <c:val>
            <c:numRef>
              <c:f>{1247.2}</c:f>
              <c:numCache>
                <c:formatCode>General</c:formatCode>
                <c:ptCount val="1"/>
                <c:pt idx="0">
                  <c:v>1247.2</c:v>
                </c:pt>
              </c:numCache>
            </c:numRef>
          </c:val>
        </c:ser>
        <c:ser>
          <c:idx val="1"/>
          <c:order val="1"/>
          <c:tx>
            <c:strRef>
              <c:f>Sheet1!$C$1</c:f>
              <c:strCache>
                <c:ptCount val="1"/>
                <c:pt idx="0">
                  <c:v>2020年一般财政公共预算拨款支出决算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1"/>
            <c:showLeaderLines val="0"/>
            <c:extLst>
              <c:ext xmlns:c15="http://schemas.microsoft.com/office/drawing/2012/chart" uri="{CE6537A1-D6FC-4f65-9D91-7224C49458BB}">
                <c15:layout/>
                <c15:showLeaderLines val="0"/>
                <c15:leaderLines/>
              </c:ext>
            </c:extLst>
          </c:dLbls>
          <c:val>
            <c:numRef>
              <c:f>{1448.23}</c:f>
              <c:numCache>
                <c:formatCode>General</c:formatCode>
                <c:ptCount val="1"/>
                <c:pt idx="0">
                  <c:v>1448.23</c:v>
                </c:pt>
              </c:numCache>
            </c:numRef>
          </c:val>
        </c:ser>
        <c:dLbls>
          <c:showLegendKey val="0"/>
          <c:showVal val="1"/>
          <c:showCatName val="0"/>
          <c:showSerName val="0"/>
          <c:showPercent val="0"/>
          <c:showBubbleSize val="1"/>
        </c:dLbls>
        <c:gapWidth val="219"/>
        <c:overlap val="-27"/>
        <c:axId val="208757504"/>
        <c:axId val="208759040"/>
      </c:barChart>
      <c:catAx>
        <c:axId val="208757504"/>
        <c:scaling>
          <c:orientation val="minMax"/>
        </c:scaling>
        <c:delete val="0"/>
        <c:axPos val="b"/>
        <c:numFmt formatCode="[$-804]yyyy/m/d" sourceLinked="0"/>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208759040"/>
        <c:crosses val="autoZero"/>
        <c:auto val="1"/>
        <c:lblAlgn val="ctr"/>
        <c:lblOffset val="100"/>
        <c:noMultiLvlLbl val="0"/>
      </c:catAx>
      <c:valAx>
        <c:axId val="208759040"/>
        <c:scaling>
          <c:orientation val="minMax"/>
          <c:max val="1600"/>
        </c:scaling>
        <c:delete val="0"/>
        <c:axPos val="l"/>
        <c:majorGridlines>
          <c:spPr>
            <a:ln w="9360" cap="flat" cmpd="sng" algn="ctr">
              <a:solidFill>
                <a:srgbClr val="D9D9D9"/>
              </a:solidFill>
              <a:prstDash val="solid"/>
              <a:round/>
            </a:ln>
          </c:spPr>
        </c:majorGridlines>
        <c:numFmt formatCode="General" sourceLinked="0"/>
        <c:majorTickMark val="none"/>
        <c:minorTickMark val="none"/>
        <c:tickLblPos val="nextTo"/>
        <c:spPr>
          <a:ln w="936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208757504"/>
        <c:crosses val="autoZero"/>
        <c:crossBetween val="between"/>
      </c:valAx>
      <c:spPr>
        <a:noFill/>
        <a:ln w="0">
          <a:noFill/>
        </a:ln>
      </c:spPr>
    </c:plotArea>
    <c:legend>
      <c:legendPos val="b"/>
      <c:layout>
        <c:manualLayout>
          <c:xMode val="edge"/>
          <c:yMode val="edge"/>
          <c:x val="0.266125"/>
          <c:y val="0.924"/>
          <c:w val="0.551409463091443"/>
          <c:h val="0.0557839759973331"/>
        </c:manualLayout>
      </c:layout>
      <c:overlay val="0"/>
      <c:spPr>
        <a:noFill/>
        <a:ln w="0">
          <a:noFill/>
        </a:ln>
      </c:spPr>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legend>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spc="-1" baseline="0">
                <a:solidFill>
                  <a:srgbClr val="000000"/>
                </a:solidFill>
                <a:latin typeface="Calibri" panose="020F0502020204030204"/>
                <a:ea typeface="+mn-ea"/>
                <a:cs typeface="+mn-cs"/>
              </a:defRPr>
            </a:pPr>
            <a:r>
              <a:rPr sz="1800" b="1" strike="noStrike" spc="-1">
                <a:solidFill>
                  <a:srgbClr val="000000"/>
                </a:solidFill>
                <a:latin typeface="Calibri" panose="020F0502020204030204"/>
              </a:rPr>
              <a:t>金额（元）</a:t>
            </a:r>
            <a:endParaRPr sz="1800" b="1" strike="noStrike" spc="-1">
              <a:solidFill>
                <a:srgbClr val="000000"/>
              </a:solidFill>
              <a:latin typeface="Calibri" panose="020F0502020204030204"/>
            </a:endParaRPr>
          </a:p>
        </c:rich>
      </c:tx>
      <c:layout/>
      <c:overlay val="0"/>
      <c:spPr>
        <a:noFill/>
        <a:ln w="0">
          <a:noFill/>
        </a:ln>
      </c:spPr>
    </c:title>
    <c:autoTitleDeleted val="0"/>
    <c:plotArea>
      <c:layout/>
      <c:pieChart>
        <c:varyColors val="1"/>
        <c:ser>
          <c:idx val="0"/>
          <c:order val="0"/>
          <c:tx>
            <c:strRef>
              <c:f>label 0</c:f>
              <c:strCache>
                <c:ptCount val="1"/>
                <c:pt idx="0">
                  <c:v>金额（元）</c:v>
                </c:pt>
              </c:strCache>
            </c:strRef>
          </c:tx>
          <c:spPr>
            <a:solidFill>
              <a:srgbClr val="4F81BD"/>
            </a:solidFill>
            <a:ln w="0">
              <a:noFill/>
            </a:ln>
          </c:spPr>
          <c:explosion val="0"/>
          <c:dPt>
            <c:idx val="0"/>
            <c:bubble3D val="0"/>
            <c:spPr>
              <a:solidFill>
                <a:srgbClr val="4F81BD"/>
              </a:solidFill>
              <a:ln w="19080">
                <a:solidFill>
                  <a:srgbClr val="FFFFFF"/>
                </a:solidFill>
                <a:round/>
              </a:ln>
            </c:spPr>
          </c:dPt>
          <c:dPt>
            <c:idx val="1"/>
            <c:bubble3D val="0"/>
            <c:spPr>
              <a:solidFill>
                <a:srgbClr val="C0504D"/>
              </a:solidFill>
              <a:ln w="19080">
                <a:solidFill>
                  <a:srgbClr val="FFFFFF"/>
                </a:solidFill>
                <a:round/>
              </a:ln>
            </c:spPr>
          </c:dPt>
          <c:dPt>
            <c:idx val="2"/>
            <c:bubble3D val="0"/>
            <c:spPr>
              <a:solidFill>
                <a:srgbClr val="9BBB59"/>
              </a:solidFill>
              <a:ln w="19080">
                <a:solidFill>
                  <a:srgbClr val="FFFFFF"/>
                </a:solidFill>
                <a:round/>
              </a:ln>
            </c:spPr>
          </c:dPt>
          <c:dPt>
            <c:idx val="3"/>
            <c:bubble3D val="0"/>
            <c:spPr>
              <a:solidFill>
                <a:srgbClr val="8064A2"/>
              </a:solidFill>
              <a:ln w="19080">
                <a:solidFill>
                  <a:srgbClr val="FFFFFF"/>
                </a:solidFill>
                <a:round/>
              </a:ln>
            </c:spPr>
          </c:dPt>
          <c:dPt>
            <c:idx val="4"/>
            <c:bubble3D val="0"/>
            <c:spPr>
              <a:solidFill>
                <a:srgbClr val="4BACC6"/>
              </a:solidFill>
              <a:ln w="19080">
                <a:solidFill>
                  <a:srgbClr val="FFFFFF"/>
                </a:solidFill>
                <a:round/>
              </a:ln>
            </c:spPr>
          </c:dPt>
          <c:dLbls>
            <c:dLbl>
              <c:idx val="0"/>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t>8</a:t>
                    </a:r>
                    <a:r>
                      <a:rPr lang="en-US" altLang="zh-CN"/>
                      <a:t>1</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dLbl>
              <c:idx val="1"/>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8</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dLbl>
              <c:idx val="2"/>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5</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dLbl>
              <c:idx val="4"/>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6</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5"/>
                <c:pt idx="0">
                  <c:v>教育支出</c:v>
                </c:pt>
                <c:pt idx="1">
                  <c:v>社会保障和就业支出</c:v>
                </c:pt>
                <c:pt idx="2">
                  <c:v>卫生健康支出</c:v>
                </c:pt>
                <c:pt idx="3">
                  <c:v>农林水支出</c:v>
                </c:pt>
                <c:pt idx="4">
                  <c:v>住房保障支出</c:v>
                </c:pt>
              </c:strCache>
            </c:strRef>
          </c:cat>
          <c:val>
            <c:numRef>
              <c:f>0</c:f>
              <c:numCache>
                <c:formatCode>General</c:formatCode>
                <c:ptCount val="5"/>
                <c:pt idx="0">
                  <c:v>300.51</c:v>
                </c:pt>
                <c:pt idx="1">
                  <c:v>32.35</c:v>
                </c:pt>
                <c:pt idx="2">
                  <c:v>13.64</c:v>
                </c:pt>
                <c:pt idx="3">
                  <c:v>0.5</c:v>
                </c:pt>
                <c:pt idx="4">
                  <c:v>17.55</c:v>
                </c:pt>
              </c:numCache>
            </c:numRef>
          </c:val>
        </c:ser>
        <c:dLbls>
          <c:showLegendKey val="0"/>
          <c:showVal val="0"/>
          <c:showCatName val="0"/>
          <c:showSerName val="0"/>
          <c:showPercent val="1"/>
          <c:showBubbleSize val="1"/>
          <c:showLeaderLines val="1"/>
        </c:dLbls>
        <c:firstSliceAng val="0"/>
      </c:pieChart>
      <c:spPr>
        <a:noFill/>
        <a:ln w="0">
          <a:noFill/>
        </a:ln>
      </c:spPr>
    </c:plotArea>
    <c:legend>
      <c:legendPos val="r"/>
      <c:layout/>
      <c:overlay val="0"/>
      <c:spPr>
        <a:noFill/>
        <a:ln w="0">
          <a:noFill/>
        </a:ln>
      </c:spPr>
      <c:txPr>
        <a:bodyPr rot="0" spcFirstLastPara="0" vertOverflow="ellipsis" vert="horz" wrap="square" anchor="ctr" anchorCtr="1"/>
        <a:lstStyle/>
        <a:p>
          <a:pPr>
            <a:defRPr lang="zh-CN" sz="1000" b="0" i="0" u="none" strike="noStrike" kern="1200" spc="-1" baseline="0">
              <a:solidFill>
                <a:srgbClr val="000000"/>
              </a:solidFill>
              <a:latin typeface="Calibri" panose="020F0502020204030204"/>
              <a:ea typeface="+mn-ea"/>
              <a:cs typeface="+mn-cs"/>
            </a:defRPr>
          </a:pPr>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sz="1400" b="0" strike="noStrike" spc="-1">
                <a:solidFill>
                  <a:srgbClr val="595959"/>
                </a:solidFill>
                <a:latin typeface="Calibri" panose="020F0502020204030204"/>
              </a:rPr>
              <a:t>“三公经”费财政拨款支出结构图</a:t>
            </a:r>
            <a:endParaRPr sz="1400" b="0" strike="noStrike" spc="-1">
              <a:solidFill>
                <a:srgbClr val="595959"/>
              </a:solidFill>
              <a:latin typeface="Calibri" panose="020F0502020204030204"/>
            </a:endParaRPr>
          </a:p>
        </c:rich>
      </c:tx>
      <c:layout/>
      <c:overlay val="0"/>
      <c:spPr>
        <a:noFill/>
        <a:ln w="0">
          <a:noFill/>
        </a:ln>
      </c:spPr>
    </c:title>
    <c:autoTitleDeleted val="0"/>
    <c:plotArea>
      <c:layout/>
      <c:pieChart>
        <c:varyColors val="1"/>
        <c:ser>
          <c:idx val="0"/>
          <c:order val="0"/>
          <c:tx>
            <c:strRef>
              <c:f>label 0</c:f>
              <c:strCache>
                <c:ptCount val="1"/>
                <c:pt idx="0">
                  <c:v>销售额</c:v>
                </c:pt>
              </c:strCache>
            </c:strRef>
          </c:tx>
          <c:spPr>
            <a:solidFill>
              <a:srgbClr val="4F81BD"/>
            </a:solidFill>
            <a:ln w="0">
              <a:noFill/>
            </a:ln>
          </c:spPr>
          <c:explosion val="0"/>
          <c:dPt>
            <c:idx val="0"/>
            <c:bubble3D val="0"/>
            <c:spPr>
              <a:solidFill>
                <a:srgbClr val="4F81BD"/>
              </a:solidFill>
              <a:ln w="19080">
                <a:solidFill>
                  <a:srgbClr val="FFFFFF"/>
                </a:solidFill>
                <a:round/>
              </a:ln>
            </c:spPr>
          </c:dPt>
          <c:dPt>
            <c:idx val="1"/>
            <c:bubble3D val="0"/>
            <c:spPr>
              <a:solidFill>
                <a:srgbClr val="C0504D"/>
              </a:solidFill>
              <a:ln w="19080">
                <a:solidFill>
                  <a:srgbClr val="FFFFFF"/>
                </a:solidFill>
                <a:round/>
              </a:ln>
            </c:spPr>
          </c:dPt>
          <c:dPt>
            <c:idx val="2"/>
            <c:bubble3D val="0"/>
            <c:spPr>
              <a:solidFill>
                <a:srgbClr val="9BBB59"/>
              </a:solidFill>
              <a:ln w="19080">
                <a:solidFill>
                  <a:srgbClr val="FFFFFF"/>
                </a:solidFill>
                <a:round/>
              </a:ln>
            </c:spPr>
          </c:dPt>
          <c:dPt>
            <c:idx val="3"/>
            <c:bubble3D val="0"/>
            <c:spPr>
              <a:solidFill>
                <a:srgbClr val="8064A2"/>
              </a:solidFill>
              <a:ln w="19080">
                <a:solidFill>
                  <a:srgbClr val="FFFFFF"/>
                </a:solidFill>
                <a:round/>
              </a:ln>
            </c:spPr>
          </c:dPt>
          <c:dLbls>
            <c:dLbl>
              <c:idx val="2"/>
              <c:layout/>
              <c:tx>
                <c:rich>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r>
                      <a:rPr sz="1000" b="0" strike="noStrike" spc="-1">
                        <a:solidFill>
                          <a:srgbClr val="000000"/>
                        </a:solidFill>
                        <a:latin typeface="Calibri" panose="020F0502020204030204"/>
                      </a:rPr>
                      <a:t>100%</a:t>
                    </a:r>
                    <a:endParaRPr sz="1000" b="0" strike="noStrike" spc="-1">
                      <a:solidFill>
                        <a:srgbClr val="000000"/>
                      </a:solidFill>
                      <a:latin typeface="Calibri" panose="020F0502020204030204"/>
                    </a:endParaRPr>
                  </a:p>
                </c:rich>
              </c:tx>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1"/>
              <c:showCatName val="0"/>
              <c:showSerName val="0"/>
              <c:showPercent val="0"/>
              <c:showBubbleSize val="1"/>
              <c:separator>; </c:separator>
              <c:extLst>
                <c:ext xmlns:c15="http://schemas.microsoft.com/office/drawing/2012/chart" uri="{CE6537A1-D6FC-4f65-9D91-7224C49458BB}"/>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4"/>
                <c:pt idx="0">
                  <c:v>     因公出国（境）费</c:v>
                </c:pt>
                <c:pt idx="1">
                  <c:v>     公务用车购置及运行维护费</c:v>
                </c:pt>
                <c:pt idx="2">
                  <c:v>     公务接待费</c:v>
                </c:pt>
              </c:strCache>
            </c:strRef>
          </c:cat>
          <c:val>
            <c:numRef>
              <c:f>0</c:f>
              <c:numCache>
                <c:formatCode>General</c:formatCode>
                <c:ptCount val="4"/>
                <c:pt idx="0">
                  <c:v>0</c:v>
                </c:pt>
                <c:pt idx="1">
                  <c:v>0</c:v>
                </c:pt>
                <c:pt idx="2">
                  <c:v>10200</c:v>
                </c:pt>
              </c:numCache>
            </c:numRef>
          </c:val>
        </c:ser>
        <c:dLbls>
          <c:showLegendKey val="0"/>
          <c:showVal val="1"/>
          <c:showCatName val="0"/>
          <c:showSerName val="0"/>
          <c:showPercent val="0"/>
          <c:showBubbleSize val="1"/>
          <c:showLeaderLines val="1"/>
        </c:dLbls>
        <c:firstSliceAng val="0"/>
      </c:pieChart>
      <c:spPr>
        <a:noFill/>
        <a:ln w="0">
          <a:noFill/>
        </a:ln>
      </c:spPr>
    </c:plotArea>
    <c:legend>
      <c:legendPos val="b"/>
      <c:layout/>
      <c:overlay val="0"/>
      <c:spPr>
        <a:noFill/>
        <a:ln w="0">
          <a:noFill/>
        </a:ln>
      </c:spPr>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22</cp:revision>
  <cp:lastPrinted>2022-09-06T14:16:00Z</cp:lastPrinted>
  <dcterms:created xsi:type="dcterms:W3CDTF">2020-08-05T01:49:00Z</dcterms:created>
  <dcterms:modified xsi:type="dcterms:W3CDTF">2022-11-04T07:12:20Z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2022-09-06T14:16:00Z</cp:lastPrinted>
  <dcterms:modified xsi:type="dcterms:W3CDTF">2022-11-04T07:12:20Z</dcterms:modified>
  <dc:title>四川省***</dc:title>
  <cp:revision>22</cp:revision>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26</cp:revision>
  <cp:lastPrinted>2022-09-06T14:16:00Z</cp:lastPrinted>
  <dcterms:created xsi:type="dcterms:W3CDTF">2020-08-05T01:49:00Z</dcterms:created>
  <dcterms:modified xsi:type="dcterms:W3CDTF">2023-02-24T00:51:00Z</dcterms:modified>
</cp:coreProperties>
</file>

<file path=customXml/item12.xml><?xml version="1.0" encoding="utf-8"?>
<Properties xmlns="http://schemas.openxmlformats.org/officeDocument/2006/custom-properties" xmlns:vt="http://schemas.openxmlformats.org/officeDocument/2006/docPropsVTypes">
  <property fmtid="{D5CDD505-2E9C-101B-9397-08002B2CF9AE}" pid="2" name="ICV">
    <vt:lpwstr>53FE8F97FCF64496AD8B8824D9BCC224</vt:lpwstr>
  </property>
  <property fmtid="{D5CDD505-2E9C-101B-9397-08002B2CF9AE}" pid="3" name="KSOProductBuildVer">
    <vt:lpwstr>2052-11.1.0.9208</vt:lpwstr>
  </property>
</Properties>
</file>

<file path=customXml/item13.xml><?xml version="1.0" encoding="utf-8"?>
<Properties xmlns="http://schemas.openxmlformats.org/officeDocument/2006/custom-properties" xmlns:vt="http://schemas.openxmlformats.org/officeDocument/2006/docPropsVTypes">
  <property fmtid="{D5CDD505-2E9C-101B-9397-08002B2CF9AE}" pid="2" name="ICV">
    <vt:lpwstr>53FE8F97FCF64496AD8B8824D9BCC224</vt:lpwstr>
  </property>
  <property fmtid="{D5CDD505-2E9C-101B-9397-08002B2CF9AE}" pid="3" name="KSOProductBuildVer">
    <vt:lpwstr>2052-11.1.0.9208</vt:lpwstr>
  </property>
</Properties>
</file>

<file path=customXml/item2.xml><?xml version="1.0" encoding="utf-8"?>
<Properties xmlns:vt="http://schemas.openxmlformats.org/officeDocument/2006/docPropsVTypes" xmlns="http://schemas.openxmlformats.org/officeDocument/2006/extended-properties">
  <Template>Normal</Template>
  <TotalTime>8</TotalTime>
  <Pages>11</Pages>
  <Words>6046</Words>
  <Characters>7910</Characters>
  <Application>WPS Office_11.1.0.9208_F1E327BC-269C-435d-A152-05C5408002CA</Application>
  <Paragraphs>175</Paragraphs>
  <Company>四川省财政厅</Company>
  <CharactersWithSpaces>7991</CharactersWithSpaces>
  <AppVersion>12.0000</AppVersion>
</Properties>
</file>

<file path=customXml/item3.xml><?xml version="1.0" encoding="utf-8"?>
<Properties xmlns="http://schemas.openxmlformats.org/officeDocument/2006/extended-properties" xmlns:vt="http://schemas.openxmlformats.org/officeDocument/2006/docPropsVTypes">
  <Template>Normal</Template>
  <Company>四川省财政厅</Company>
  <Pages>11</Pages>
  <Words>6046</Words>
  <Characters>7910</Characters>
  <Paragraphs>175</Paragraphs>
  <TotalTime>8</TotalTime>
  <ScaleCrop>false</ScaleCrop>
  <LinksUpToDate>false</LinksUpToDate>
  <CharactersWithSpaces>7991</CharactersWithSpaces>
  <Application>WPS Office_11.1.0.9208_F1E327BC-269C-435d-A152-05C5408002CA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26</cp:revision>
  <cp:lastPrinted>2022-09-06T14:16:00Z</cp:lastPrinted>
  <dcterms:created xsi:type="dcterms:W3CDTF">2020-08-05T01:49:00Z</dcterms:created>
  <dcterms:modified xsi:type="dcterms:W3CDTF">2023-02-24T00:51:00Z</dcterms:modified>
</cp:coreProperties>
</file>

<file path=customXml/item5.xml><?xml version="1.0" encoding="utf-8"?>
<Properties xmlns:vt="http://schemas.openxmlformats.org/officeDocument/2006/docPropsVTypes" xmlns="http://schemas.openxmlformats.org/officeDocument/2006/extended-properties">
  <Template>Normal</Template>
  <TotalTime>13</TotalTime>
  <Pages>17</Pages>
  <Words>1122</Words>
  <Characters>6397</Characters>
  <Application>Microsoft Office Word</Application>
  <DocSecurity>0</DocSecurity>
  <Lines>53</Lines>
  <Paragraphs>15</Paragraphs>
  <Company>四川省财政厅</Company>
  <CharactersWithSpaces>7504</CharactersWithSpaces>
  <AppVersion>12.0000</AppVersion>
</Properties>
</file>

<file path=customXml/item6.xml><?xml version="1.0" encoding="utf-8"?>
<Properties xmlns="http://schemas.openxmlformats.org/officeDocument/2006/extended-properties" xmlns:vt="http://schemas.openxmlformats.org/officeDocument/2006/docPropsVTypes">
  <Template>Normal</Template>
  <TotalTime>13</TotalTime>
  <Pages>17</Pages>
  <Words>1122</Words>
  <Characters>6397</Characters>
  <Application>Microsoft Office Word</Application>
  <DocSecurity>0</DocSecurity>
  <Lines>53</Lines>
  <Paragraphs>15</Paragraphs>
  <ScaleCrop>false</ScaleCrop>
  <Company>四川省财政厅</Company>
  <LinksUpToDate>false</LinksUpToDate>
  <CharactersWithSpaces>7504</CharactersWithSpaces>
  <SharedDoc>false</SharedDoc>
  <HyperlinksChanged>false</HyperlinksChanged>
  <AppVersion>12.0000</AppVersion>
</Properties>
</file>

<file path=customXml/item7.xml><?xml version="1.0" encoding="utf-8"?>
<Properties xmlns:vt="http://schemas.openxmlformats.org/officeDocument/2006/docPropsVTypes" xmlns="http://schemas.openxmlformats.org/officeDocument/2006/custom-properties">
  <property fmtid="{D5CDD505-2E9C-101B-9397-08002B2CF9AE}" pid="2" name="ICV">
    <vt:lpstr>53FE8F97FCF64496AD8B8824D9BCC224</vt:lpstr>
  </property>
  <property fmtid="{D5CDD505-2E9C-101B-9397-08002B2CF9AE}" pid="3" name="KSOProductBuildVer">
    <vt:lpstr>2052-11.1.0.9208</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ICV">
    <vt:lpstr>53FE8F97FCF64496AD8B8824D9BCC224</vt:lpstr>
  </property>
  <property fmtid="{D5CDD505-2E9C-101B-9397-08002B2CF9AE}" pid="3" name="KSOProductBuildVer">
    <vt:lpstr>2052-11.1.0.9208</vt:lpstr>
  </property>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BCBA-89E1-43EF-BCE1-136C291A3FD6}">
  <ds:schemaRefs/>
</ds:datastoreItem>
</file>

<file path=customXml/itemProps10.xml><?xml version="1.0" encoding="utf-8"?>
<ds:datastoreItem xmlns:ds="http://schemas.openxmlformats.org/officeDocument/2006/customXml" ds:itemID="{3E628156-9DAA-4E41-8149-C43090540095}">
  <ds:schemaRefs/>
</ds:datastoreItem>
</file>

<file path=customXml/itemProps11.xml><?xml version="1.0" encoding="utf-8"?>
<ds:datastoreItem xmlns:ds="http://schemas.openxmlformats.org/officeDocument/2006/customXml" ds:itemID="{9A4D2F58-B0FA-41E0-8BA3-E57A22F17ABC}">
  <ds:schemaRefs/>
</ds:datastoreItem>
</file>

<file path=customXml/itemProps12.xml><?xml version="1.0" encoding="utf-8"?>
<ds:datastoreItem xmlns:ds="http://schemas.openxmlformats.org/officeDocument/2006/customXml" ds:itemID="{5B9BEA77-B843-45D2-ADB1-32BE8C4F7474}">
  <ds:schemaRefs/>
</ds:datastoreItem>
</file>

<file path=customXml/itemProps13.xml><?xml version="1.0" encoding="utf-8"?>
<ds:datastoreItem xmlns:ds="http://schemas.openxmlformats.org/officeDocument/2006/customXml" ds:itemID="{0FC2CCCB-C4FD-47BB-A65F-E077A4BD2AB3}">
  <ds:schemaRefs/>
</ds:datastoreItem>
</file>

<file path=customXml/itemProps2.xml><?xml version="1.0" encoding="utf-8"?>
<ds:datastoreItem xmlns:ds="http://schemas.openxmlformats.org/officeDocument/2006/customXml" ds:itemID="{E8DFB23E-D9BE-4643-A7F5-2DA0F3EB4B91}">
  <ds:schemaRefs/>
</ds:datastoreItem>
</file>

<file path=customXml/itemProps3.xml><?xml version="1.0" encoding="utf-8"?>
<ds:datastoreItem xmlns:ds="http://schemas.openxmlformats.org/officeDocument/2006/customXml" ds:itemID="{10BBFDD0-866E-49F3-9457-882FCB62A603}">
  <ds:schemaRefs/>
</ds:datastoreItem>
</file>

<file path=customXml/itemProps4.xml><?xml version="1.0" encoding="utf-8"?>
<ds:datastoreItem xmlns:ds="http://schemas.openxmlformats.org/officeDocument/2006/customXml" ds:itemID="{7BD478DF-0AFF-4EAD-BC13-026469C79FED}">
  <ds:schemaRefs/>
</ds:datastoreItem>
</file>

<file path=customXml/itemProps5.xml><?xml version="1.0" encoding="utf-8"?>
<ds:datastoreItem xmlns:ds="http://schemas.openxmlformats.org/officeDocument/2006/customXml" ds:itemID="{51A33D97-0BFE-4453-9583-494CCDE1E202}">
  <ds:schemaRefs/>
</ds:datastoreItem>
</file>

<file path=customXml/itemProps6.xml><?xml version="1.0" encoding="utf-8"?>
<ds:datastoreItem xmlns:ds="http://schemas.openxmlformats.org/officeDocument/2006/customXml" ds:itemID="{3B32D12F-1094-4981-9F97-B2481B2BF484}">
  <ds:schemaRefs/>
</ds:datastoreItem>
</file>

<file path=customXml/itemProps7.xml><?xml version="1.0" encoding="utf-8"?>
<ds:datastoreItem xmlns:ds="http://schemas.openxmlformats.org/officeDocument/2006/customXml" ds:itemID="{D142DFB1-5475-483A-A7E4-5D751FA6C3D2}">
  <ds:schemaRefs/>
</ds:datastoreItem>
</file>

<file path=customXml/itemProps8.xml><?xml version="1.0" encoding="utf-8"?>
<ds:datastoreItem xmlns:ds="http://schemas.openxmlformats.org/officeDocument/2006/customXml" ds:itemID="{D482FC4C-577C-4915-9CA7-F20BC5947B1B}">
  <ds:schemaRefs/>
</ds:datastoreItem>
</file>

<file path=customXml/itemProps9.xml><?xml version="1.0" encoding="utf-8"?>
<ds:datastoreItem xmlns:ds="http://schemas.openxmlformats.org/officeDocument/2006/customXml" ds:itemID="{976D981A-BA2B-4614-8374-2D0B78B0CC2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5318</Words>
  <Characters>5743</Characters>
  <Lines>53</Lines>
  <Paragraphs>15</Paragraphs>
  <TotalTime>2</TotalTime>
  <ScaleCrop>false</ScaleCrop>
  <LinksUpToDate>false</LinksUpToDate>
  <CharactersWithSpaces>5854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2022-09-06T14:16:00Z</cp:lastPrinted>
  <dcterms:modified xsi:type="dcterms:W3CDTF">2023-04-17T13:08:32Z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53FE8F97FCF64496AD8B8824D9BCC224</vt:lpwstr>
  </property>
  <property fmtid="{D5CDD505-2E9C-101B-9397-08002B2CF9AE}" pid="3" name="KSOProductBuildVer">
    <vt:lpwstr>2052-11.1.0.14036</vt:lpwstr>
  </property>
</Properties>
</file>