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96475"/>
      <w:bookmarkStart w:id="2" w:name="_Toc15378441"/>
      <w:bookmarkStart w:id="3" w:name="_Toc15377193"/>
      <w:bookmarkStart w:id="4" w:name="_Toc1537742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9197"/>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5378442"/>
      <w:bookmarkStart w:id="8" w:name="_Toc15377194"/>
      <w:bookmarkStart w:id="9" w:name="_Toc15396598"/>
      <w:bookmarkStart w:id="10" w:name="_Toc15377426"/>
      <w:bookmarkStart w:id="11" w:name="_Toc10072"/>
      <w:bookmarkStart w:id="12" w:name="_Toc15306268"/>
      <w:bookmarkStart w:id="13" w:name="_Toc15396476"/>
      <w:r>
        <w:rPr>
          <w:rFonts w:hint="eastAsia" w:ascii="方正小标宋简体" w:hAnsi="宋体" w:eastAsia="方正小标宋简体"/>
          <w:color w:val="000000"/>
          <w:sz w:val="72"/>
          <w:szCs w:val="72"/>
        </w:rPr>
        <w:t>通江县杨柏镇人民政府</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pStyle w:val="3"/>
        <w:spacing w:before="93"/>
        <w:rPr>
          <w:rFonts w:ascii="方正小标宋简体" w:hAnsi="宋体" w:eastAsia="方正小标宋简体"/>
          <w:color w:val="000000"/>
          <w:sz w:val="72"/>
          <w:szCs w:val="72"/>
        </w:rPr>
      </w:pPr>
    </w:p>
    <w:p>
      <w:pPr>
        <w:pStyle w:val="3"/>
        <w:spacing w:before="93"/>
        <w:rPr>
          <w:rFonts w:ascii="方正小标宋简体" w:hAnsi="宋体" w:eastAsia="方正小标宋简体"/>
          <w:color w:val="000000"/>
          <w:sz w:val="72"/>
          <w:szCs w:val="72"/>
        </w:rPr>
      </w:pPr>
    </w:p>
    <w:p>
      <w:pPr>
        <w:pStyle w:val="3"/>
        <w:spacing w:before="93"/>
        <w:rPr>
          <w:rFonts w:ascii="方正小标宋简体" w:hAnsi="宋体" w:eastAsia="方正小标宋简体"/>
          <w:color w:val="000000"/>
          <w:sz w:val="72"/>
          <w:szCs w:val="72"/>
        </w:rPr>
      </w:pPr>
    </w:p>
    <w:p>
      <w:pPr>
        <w:pStyle w:val="3"/>
        <w:spacing w:before="93"/>
        <w:rPr>
          <w:rFonts w:ascii="方正小标宋简体" w:hAnsi="宋体" w:eastAsia="方正小标宋简体"/>
          <w:color w:val="000000"/>
          <w:sz w:val="72"/>
          <w:szCs w:val="72"/>
        </w:rPr>
      </w:pPr>
    </w:p>
    <w:p>
      <w:pPr>
        <w:pStyle w:val="3"/>
        <w:spacing w:before="93"/>
        <w:rPr>
          <w:rFonts w:ascii="方正小标宋简体" w:hAnsi="宋体" w:eastAsia="方正小标宋简体"/>
          <w:color w:val="000000"/>
          <w:sz w:val="72"/>
          <w:szCs w:val="72"/>
        </w:rPr>
      </w:pPr>
    </w:p>
    <w:p>
      <w:pPr>
        <w:pStyle w:val="3"/>
        <w:spacing w:before="93"/>
        <w:rPr>
          <w:rFonts w:ascii="方正小标宋简体" w:hAnsi="宋体" w:eastAsia="方正小标宋简体"/>
          <w:color w:val="000000"/>
          <w:sz w:val="72"/>
          <w:szCs w:val="72"/>
        </w:rPr>
      </w:pPr>
    </w:p>
    <w:p>
      <w:pPr>
        <w:pStyle w:val="35"/>
        <w:rPr>
          <w:sz w:val="32"/>
          <w:szCs w:val="32"/>
        </w:rPr>
      </w:pPr>
      <w:r>
        <w:rPr>
          <w:rFonts w:hint="eastAsia"/>
          <w:sz w:val="32"/>
          <w:szCs w:val="32"/>
        </w:rPr>
        <w:t>公开时间：</w:t>
      </w:r>
      <w:r>
        <w:rPr>
          <w:sz w:val="32"/>
          <w:szCs w:val="32"/>
        </w:rPr>
        <w:t>202</w:t>
      </w:r>
      <w:r>
        <w:rPr>
          <w:rFonts w:hint="eastAsia"/>
          <w:sz w:val="32"/>
          <w:szCs w:val="32"/>
        </w:rPr>
        <w:t>2年8月25日</w:t>
      </w:r>
    </w:p>
    <w:p>
      <w:pPr>
        <w:widowControl/>
        <w:jc w:val="center"/>
        <w:rPr>
          <w:rFonts w:ascii="黑体" w:hAnsi="黑体" w:eastAsia="黑体"/>
          <w:sz w:val="48"/>
          <w:szCs w:val="48"/>
        </w:rPr>
        <w:sectPr>
          <w:headerReference r:id="rId3" w:type="default"/>
          <w:footerReference r:id="rId4" w:type="default"/>
          <w:type w:val="continuous"/>
          <w:pgSz w:w="11906" w:h="16838"/>
          <w:pgMar w:top="1440" w:right="1800" w:bottom="1440" w:left="1800" w:header="851" w:footer="992" w:gutter="0"/>
          <w:pgNumType w:start="1"/>
          <w:cols w:space="425" w:num="1"/>
          <w:titlePg/>
          <w:docGrid w:type="lines" w:linePitch="312" w:charSpace="0"/>
        </w:sectPr>
      </w:pPr>
    </w:p>
    <w:p>
      <w:pPr>
        <w:pStyle w:val="18"/>
        <w:tabs>
          <w:tab w:val="right" w:leader="dot" w:pos="8306"/>
          <w:tab w:val="clear" w:pos="8296"/>
        </w:tabs>
      </w:pPr>
      <w:r>
        <w:fldChar w:fldCharType="begin"/>
      </w:r>
      <w:r>
        <w:instrText xml:space="preserve">TOC \o "1-3" \u</w:instrText>
      </w:r>
      <w:r>
        <w:rPr>
          <w:sz w:val="24"/>
        </w:rPr>
        <w:fldChar w:fldCharType="separate"/>
      </w:r>
    </w:p>
    <w:p>
      <w:pPr>
        <w:pStyle w:val="18"/>
        <w:tabs>
          <w:tab w:val="right" w:leader="dot" w:pos="8306"/>
          <w:tab w:val="clear" w:pos="8296"/>
        </w:tabs>
      </w:pPr>
      <w:r>
        <w:rPr>
          <w:rFonts w:hint="eastAsia" w:ascii="黑体" w:hAnsi="黑体" w:eastAsia="黑体"/>
        </w:rPr>
        <w:t>第一部分部门概况</w:t>
      </w:r>
      <w:r>
        <w:tab/>
      </w:r>
      <w:r>
        <w:fldChar w:fldCharType="begin"/>
      </w:r>
      <w:r>
        <w:instrText xml:space="preserve"> PAGEREF _Toc28417 \h </w:instrText>
      </w:r>
      <w:r>
        <w:fldChar w:fldCharType="separate"/>
      </w:r>
      <w:r>
        <w:t>3</w:t>
      </w:r>
      <w:r>
        <w:fldChar w:fldCharType="end"/>
      </w:r>
    </w:p>
    <w:p>
      <w:pPr>
        <w:pStyle w:val="19"/>
        <w:tabs>
          <w:tab w:val="right" w:leader="dot" w:pos="8306"/>
          <w:tab w:val="clear" w:pos="8296"/>
        </w:tabs>
        <w:rPr>
          <w:sz w:val="28"/>
          <w:szCs w:val="28"/>
        </w:rPr>
      </w:pPr>
      <w:r>
        <w:rPr>
          <w:rFonts w:hint="eastAsia" w:ascii="黑体" w:hAnsi="黑体" w:eastAsia="黑体"/>
          <w:sz w:val="28"/>
          <w:szCs w:val="28"/>
        </w:rPr>
        <w:t>一、基本职能及主要工作</w:t>
      </w:r>
      <w:r>
        <w:rPr>
          <w:sz w:val="28"/>
          <w:szCs w:val="28"/>
        </w:rPr>
        <w:tab/>
      </w:r>
      <w:r>
        <w:rPr>
          <w:sz w:val="28"/>
          <w:szCs w:val="28"/>
        </w:rPr>
        <w:fldChar w:fldCharType="begin"/>
      </w:r>
      <w:r>
        <w:rPr>
          <w:sz w:val="28"/>
          <w:szCs w:val="28"/>
        </w:rPr>
        <w:instrText xml:space="preserve"> PAGEREF _Toc12364 \h </w:instrText>
      </w:r>
      <w:r>
        <w:rPr>
          <w:sz w:val="28"/>
          <w:szCs w:val="28"/>
        </w:rPr>
        <w:fldChar w:fldCharType="separate"/>
      </w:r>
      <w:r>
        <w:rPr>
          <w:sz w:val="28"/>
          <w:szCs w:val="28"/>
        </w:rPr>
        <w:t>3</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bCs/>
          <w:color w:val="000000"/>
          <w:sz w:val="28"/>
          <w:szCs w:val="28"/>
        </w:rPr>
        <w:t>（二）</w:t>
      </w:r>
      <w:r>
        <w:rPr>
          <w:rFonts w:ascii="仿宋" w:hAnsi="仿宋" w:eastAsia="仿宋"/>
          <w:bCs/>
          <w:color w:val="000000"/>
          <w:sz w:val="28"/>
          <w:szCs w:val="28"/>
        </w:rPr>
        <w:t>202</w:t>
      </w:r>
      <w:r>
        <w:rPr>
          <w:rFonts w:hint="eastAsia" w:ascii="仿宋" w:hAnsi="仿宋" w:eastAsia="仿宋"/>
          <w:bCs/>
          <w:color w:val="000000"/>
          <w:sz w:val="28"/>
          <w:szCs w:val="28"/>
        </w:rPr>
        <w:t>1年重点工作完成情况。</w:t>
      </w:r>
      <w:r>
        <w:rPr>
          <w:sz w:val="28"/>
          <w:szCs w:val="28"/>
        </w:rPr>
        <w:tab/>
      </w:r>
      <w:r>
        <w:rPr>
          <w:sz w:val="28"/>
          <w:szCs w:val="28"/>
        </w:rPr>
        <w:fldChar w:fldCharType="begin"/>
      </w:r>
      <w:r>
        <w:rPr>
          <w:sz w:val="28"/>
          <w:szCs w:val="28"/>
        </w:rPr>
        <w:instrText xml:space="preserve"> PAGEREF _Toc22601 \h </w:instrText>
      </w:r>
      <w:r>
        <w:rPr>
          <w:sz w:val="28"/>
          <w:szCs w:val="28"/>
        </w:rPr>
        <w:fldChar w:fldCharType="separate"/>
      </w:r>
      <w:r>
        <w:rPr>
          <w:sz w:val="28"/>
          <w:szCs w:val="28"/>
        </w:rPr>
        <w:t>4</w:t>
      </w:r>
      <w:r>
        <w:rPr>
          <w:sz w:val="28"/>
          <w:szCs w:val="28"/>
        </w:rPr>
        <w:fldChar w:fldCharType="end"/>
      </w:r>
    </w:p>
    <w:p>
      <w:pPr>
        <w:pStyle w:val="19"/>
        <w:tabs>
          <w:tab w:val="right" w:leader="dot" w:pos="8306"/>
          <w:tab w:val="clear" w:pos="8296"/>
        </w:tabs>
        <w:rPr>
          <w:sz w:val="28"/>
          <w:szCs w:val="28"/>
        </w:rPr>
      </w:pPr>
      <w:r>
        <w:rPr>
          <w:rFonts w:hint="eastAsia" w:ascii="黑体" w:eastAsia="黑体"/>
          <w:color w:val="000000"/>
          <w:sz w:val="28"/>
          <w:szCs w:val="28"/>
        </w:rPr>
        <w:t>二、</w:t>
      </w:r>
      <w:r>
        <w:rPr>
          <w:rFonts w:hint="eastAsia" w:ascii="黑体" w:hAnsi="黑体" w:eastAsia="黑体"/>
          <w:color w:val="000000"/>
          <w:sz w:val="28"/>
          <w:szCs w:val="28"/>
        </w:rPr>
        <w:t>机</w:t>
      </w:r>
      <w:r>
        <w:rPr>
          <w:rFonts w:hint="eastAsia" w:ascii="黑体" w:hAnsi="黑体" w:eastAsia="黑体"/>
          <w:sz w:val="28"/>
          <w:szCs w:val="28"/>
        </w:rPr>
        <w:t>构设置</w:t>
      </w:r>
      <w:r>
        <w:rPr>
          <w:sz w:val="28"/>
          <w:szCs w:val="28"/>
        </w:rPr>
        <w:tab/>
      </w:r>
      <w:r>
        <w:rPr>
          <w:sz w:val="28"/>
          <w:szCs w:val="28"/>
        </w:rPr>
        <w:fldChar w:fldCharType="begin"/>
      </w:r>
      <w:r>
        <w:rPr>
          <w:sz w:val="28"/>
          <w:szCs w:val="28"/>
        </w:rPr>
        <w:instrText xml:space="preserve"> PAGEREF _Toc16035 \h </w:instrText>
      </w:r>
      <w:r>
        <w:rPr>
          <w:sz w:val="28"/>
          <w:szCs w:val="28"/>
        </w:rPr>
        <w:fldChar w:fldCharType="separate"/>
      </w:r>
      <w:r>
        <w:rPr>
          <w:sz w:val="28"/>
          <w:szCs w:val="28"/>
        </w:rPr>
        <w:t>6</w:t>
      </w:r>
      <w:r>
        <w:rPr>
          <w:sz w:val="28"/>
          <w:szCs w:val="28"/>
        </w:rPr>
        <w:fldChar w:fldCharType="end"/>
      </w:r>
    </w:p>
    <w:p>
      <w:pPr>
        <w:pStyle w:val="18"/>
        <w:tabs>
          <w:tab w:val="right" w:leader="dot" w:pos="8306"/>
          <w:tab w:val="clear" w:pos="8296"/>
        </w:tabs>
      </w:pPr>
      <w:r>
        <w:rPr>
          <w:rFonts w:hint="eastAsia" w:ascii="黑体" w:hAnsi="黑体" w:eastAsia="黑体"/>
          <w:bCs/>
        </w:rPr>
        <w:t>第二部分2021年度部门决算情况说明</w:t>
      </w:r>
      <w:r>
        <w:tab/>
      </w:r>
      <w:r>
        <w:fldChar w:fldCharType="begin"/>
      </w:r>
      <w:r>
        <w:instrText xml:space="preserve"> PAGEREF _Toc19154 \h </w:instrText>
      </w:r>
      <w:r>
        <w:fldChar w:fldCharType="separate"/>
      </w:r>
      <w:r>
        <w:t>7</w:t>
      </w:r>
      <w:r>
        <w:fldChar w:fldCharType="end"/>
      </w:r>
    </w:p>
    <w:p>
      <w:pPr>
        <w:pStyle w:val="19"/>
        <w:tabs>
          <w:tab w:val="right" w:leader="dot" w:pos="8306"/>
          <w:tab w:val="clear" w:pos="8296"/>
        </w:tabs>
        <w:rPr>
          <w:sz w:val="28"/>
          <w:szCs w:val="28"/>
        </w:rPr>
      </w:pPr>
      <w:r>
        <w:rPr>
          <w:rFonts w:ascii="黑体" w:hAnsi="黑体" w:eastAsia="黑体"/>
          <w:sz w:val="28"/>
          <w:szCs w:val="28"/>
        </w:rPr>
        <w:t>一、</w:t>
      </w:r>
      <w:r>
        <w:rPr>
          <w:rFonts w:hint="eastAsia" w:ascii="黑体" w:hAnsi="黑体" w:eastAsia="黑体"/>
          <w:sz w:val="28"/>
          <w:szCs w:val="28"/>
        </w:rPr>
        <w:t>收入支出决算总体情况说明</w:t>
      </w:r>
      <w:r>
        <w:rPr>
          <w:sz w:val="28"/>
          <w:szCs w:val="28"/>
        </w:rPr>
        <w:tab/>
      </w:r>
      <w:r>
        <w:rPr>
          <w:sz w:val="28"/>
          <w:szCs w:val="28"/>
        </w:rPr>
        <w:fldChar w:fldCharType="begin"/>
      </w:r>
      <w:r>
        <w:rPr>
          <w:sz w:val="28"/>
          <w:szCs w:val="28"/>
        </w:rPr>
        <w:instrText xml:space="preserve"> PAGEREF _Toc6652 \h </w:instrText>
      </w:r>
      <w:r>
        <w:rPr>
          <w:sz w:val="28"/>
          <w:szCs w:val="28"/>
        </w:rPr>
        <w:fldChar w:fldCharType="separate"/>
      </w:r>
      <w:r>
        <w:rPr>
          <w:sz w:val="28"/>
          <w:szCs w:val="28"/>
        </w:rPr>
        <w:t>7</w:t>
      </w:r>
      <w:r>
        <w:rPr>
          <w:sz w:val="28"/>
          <w:szCs w:val="28"/>
        </w:rPr>
        <w:fldChar w:fldCharType="end"/>
      </w:r>
    </w:p>
    <w:p>
      <w:pPr>
        <w:pStyle w:val="19"/>
        <w:tabs>
          <w:tab w:val="right" w:leader="dot" w:pos="8306"/>
          <w:tab w:val="clear" w:pos="8296"/>
        </w:tabs>
        <w:rPr>
          <w:sz w:val="28"/>
          <w:szCs w:val="28"/>
        </w:rPr>
      </w:pPr>
      <w:r>
        <w:rPr>
          <w:rFonts w:ascii="黑体" w:hAnsi="黑体" w:eastAsia="黑体"/>
          <w:sz w:val="28"/>
          <w:szCs w:val="28"/>
        </w:rPr>
        <w:t>二、</w:t>
      </w:r>
      <w:r>
        <w:rPr>
          <w:rFonts w:hint="eastAsia" w:ascii="黑体" w:hAnsi="黑体" w:eastAsia="黑体"/>
          <w:sz w:val="28"/>
          <w:szCs w:val="28"/>
        </w:rPr>
        <w:t>收入决算情况说明</w:t>
      </w:r>
      <w:r>
        <w:rPr>
          <w:sz w:val="28"/>
          <w:szCs w:val="28"/>
        </w:rPr>
        <w:tab/>
      </w:r>
      <w:r>
        <w:rPr>
          <w:sz w:val="28"/>
          <w:szCs w:val="28"/>
        </w:rPr>
        <w:fldChar w:fldCharType="begin"/>
      </w:r>
      <w:r>
        <w:rPr>
          <w:sz w:val="28"/>
          <w:szCs w:val="28"/>
        </w:rPr>
        <w:instrText xml:space="preserve"> PAGEREF _Toc32010 \h </w:instrText>
      </w:r>
      <w:r>
        <w:rPr>
          <w:sz w:val="28"/>
          <w:szCs w:val="28"/>
        </w:rPr>
        <w:fldChar w:fldCharType="separate"/>
      </w:r>
      <w:r>
        <w:rPr>
          <w:sz w:val="28"/>
          <w:szCs w:val="28"/>
        </w:rPr>
        <w:t>7</w:t>
      </w:r>
      <w:r>
        <w:rPr>
          <w:sz w:val="28"/>
          <w:szCs w:val="28"/>
        </w:rPr>
        <w:fldChar w:fldCharType="end"/>
      </w:r>
    </w:p>
    <w:p>
      <w:pPr>
        <w:pStyle w:val="19"/>
        <w:tabs>
          <w:tab w:val="right" w:leader="dot" w:pos="8306"/>
          <w:tab w:val="clear" w:pos="8296"/>
        </w:tabs>
        <w:rPr>
          <w:sz w:val="28"/>
          <w:szCs w:val="28"/>
        </w:rPr>
      </w:pPr>
      <w:r>
        <w:rPr>
          <w:rFonts w:ascii="黑体" w:hAnsi="黑体" w:eastAsia="黑体"/>
          <w:sz w:val="28"/>
          <w:szCs w:val="28"/>
        </w:rPr>
        <w:t>三、</w:t>
      </w:r>
      <w:r>
        <w:rPr>
          <w:rFonts w:hint="eastAsia" w:ascii="黑体" w:hAnsi="黑体" w:eastAsia="黑体"/>
          <w:sz w:val="28"/>
          <w:szCs w:val="28"/>
        </w:rPr>
        <w:t>支出决算情况说明</w:t>
      </w:r>
      <w:r>
        <w:rPr>
          <w:sz w:val="28"/>
          <w:szCs w:val="28"/>
        </w:rPr>
        <w:tab/>
      </w:r>
      <w:r>
        <w:rPr>
          <w:sz w:val="28"/>
          <w:szCs w:val="28"/>
        </w:rPr>
        <w:fldChar w:fldCharType="begin"/>
      </w:r>
      <w:r>
        <w:rPr>
          <w:sz w:val="28"/>
          <w:szCs w:val="28"/>
        </w:rPr>
        <w:instrText xml:space="preserve"> PAGEREF _Toc24575 \h </w:instrText>
      </w:r>
      <w:r>
        <w:rPr>
          <w:sz w:val="28"/>
          <w:szCs w:val="28"/>
        </w:rPr>
        <w:fldChar w:fldCharType="separate"/>
      </w:r>
      <w:r>
        <w:rPr>
          <w:sz w:val="28"/>
          <w:szCs w:val="28"/>
        </w:rPr>
        <w:t>8</w:t>
      </w:r>
      <w:r>
        <w:rPr>
          <w:sz w:val="28"/>
          <w:szCs w:val="28"/>
        </w:rPr>
        <w:fldChar w:fldCharType="end"/>
      </w:r>
    </w:p>
    <w:p>
      <w:pPr>
        <w:pStyle w:val="19"/>
        <w:tabs>
          <w:tab w:val="right" w:leader="dot" w:pos="8306"/>
          <w:tab w:val="clear" w:pos="8296"/>
        </w:tabs>
        <w:rPr>
          <w:sz w:val="28"/>
          <w:szCs w:val="28"/>
        </w:rPr>
      </w:pPr>
      <w:r>
        <w:rPr>
          <w:rFonts w:hint="eastAsia" w:ascii="黑体" w:hAnsi="黑体" w:eastAsia="黑体"/>
          <w:sz w:val="28"/>
          <w:szCs w:val="28"/>
        </w:rPr>
        <w:t>四、财政拨款收入支出决算总体情况说明</w:t>
      </w:r>
      <w:r>
        <w:rPr>
          <w:sz w:val="28"/>
          <w:szCs w:val="28"/>
        </w:rPr>
        <w:tab/>
      </w:r>
      <w:r>
        <w:rPr>
          <w:sz w:val="28"/>
          <w:szCs w:val="28"/>
        </w:rPr>
        <w:fldChar w:fldCharType="begin"/>
      </w:r>
      <w:r>
        <w:rPr>
          <w:sz w:val="28"/>
          <w:szCs w:val="28"/>
        </w:rPr>
        <w:instrText xml:space="preserve"> PAGEREF _Toc15603 \h </w:instrText>
      </w:r>
      <w:r>
        <w:rPr>
          <w:sz w:val="28"/>
          <w:szCs w:val="28"/>
        </w:rPr>
        <w:fldChar w:fldCharType="separate"/>
      </w:r>
      <w:r>
        <w:rPr>
          <w:sz w:val="28"/>
          <w:szCs w:val="28"/>
        </w:rPr>
        <w:t>9</w:t>
      </w:r>
      <w:r>
        <w:rPr>
          <w:sz w:val="28"/>
          <w:szCs w:val="28"/>
        </w:rPr>
        <w:fldChar w:fldCharType="end"/>
      </w:r>
    </w:p>
    <w:p>
      <w:pPr>
        <w:pStyle w:val="19"/>
        <w:tabs>
          <w:tab w:val="right" w:leader="dot" w:pos="8306"/>
          <w:tab w:val="clear" w:pos="8296"/>
        </w:tabs>
        <w:rPr>
          <w:sz w:val="28"/>
          <w:szCs w:val="28"/>
        </w:rPr>
      </w:pPr>
      <w:r>
        <w:rPr>
          <w:rFonts w:hint="eastAsia" w:ascii="黑体" w:hAnsi="黑体" w:eastAsia="黑体"/>
          <w:sz w:val="28"/>
          <w:szCs w:val="28"/>
        </w:rPr>
        <w:t>五、一般公共预算财政拨款支出决算情况说明</w:t>
      </w:r>
      <w:r>
        <w:rPr>
          <w:sz w:val="28"/>
          <w:szCs w:val="28"/>
        </w:rPr>
        <w:tab/>
      </w:r>
      <w:r>
        <w:rPr>
          <w:sz w:val="28"/>
          <w:szCs w:val="28"/>
        </w:rPr>
        <w:fldChar w:fldCharType="begin"/>
      </w:r>
      <w:r>
        <w:rPr>
          <w:sz w:val="28"/>
          <w:szCs w:val="28"/>
        </w:rPr>
        <w:instrText xml:space="preserve"> PAGEREF _Toc31667 \h </w:instrText>
      </w:r>
      <w:r>
        <w:rPr>
          <w:sz w:val="28"/>
          <w:szCs w:val="28"/>
        </w:rPr>
        <w:fldChar w:fldCharType="separate"/>
      </w:r>
      <w:r>
        <w:rPr>
          <w:sz w:val="28"/>
          <w:szCs w:val="28"/>
        </w:rPr>
        <w:t>10</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u w:val="thick" w:color="FFB03A"/>
          <w:shd w:val="clear" w:fill="FFEFD8"/>
        </w:rPr>
        <w:t>（一）</w:t>
      </w:r>
      <w:r>
        <w:rPr>
          <w:rFonts w:hint="eastAsia" w:ascii="仿宋" w:hAnsi="仿宋" w:eastAsia="仿宋"/>
          <w:sz w:val="28"/>
          <w:szCs w:val="28"/>
        </w:rPr>
        <w:t>一般公共预算财政拨款支出决算总体情况</w:t>
      </w:r>
      <w:r>
        <w:rPr>
          <w:sz w:val="28"/>
          <w:szCs w:val="28"/>
        </w:rPr>
        <w:tab/>
      </w:r>
      <w:r>
        <w:rPr>
          <w:sz w:val="28"/>
          <w:szCs w:val="28"/>
        </w:rPr>
        <w:fldChar w:fldCharType="begin"/>
      </w:r>
      <w:r>
        <w:rPr>
          <w:sz w:val="28"/>
          <w:szCs w:val="28"/>
        </w:rPr>
        <w:instrText xml:space="preserve"> PAGEREF _Toc9329 \h </w:instrText>
      </w:r>
      <w:r>
        <w:rPr>
          <w:sz w:val="28"/>
          <w:szCs w:val="28"/>
        </w:rPr>
        <w:fldChar w:fldCharType="separate"/>
      </w:r>
      <w:r>
        <w:rPr>
          <w:sz w:val="28"/>
          <w:szCs w:val="28"/>
        </w:rPr>
        <w:t>10</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rPr>
        <w:t>（二）一般公共预算财政拨款支出决算结构情况</w:t>
      </w:r>
      <w:r>
        <w:rPr>
          <w:sz w:val="28"/>
          <w:szCs w:val="28"/>
        </w:rPr>
        <w:tab/>
      </w:r>
      <w:r>
        <w:rPr>
          <w:sz w:val="28"/>
          <w:szCs w:val="28"/>
        </w:rPr>
        <w:fldChar w:fldCharType="begin"/>
      </w:r>
      <w:r>
        <w:rPr>
          <w:sz w:val="28"/>
          <w:szCs w:val="28"/>
        </w:rPr>
        <w:instrText xml:space="preserve"> PAGEREF _Toc9449 \h </w:instrText>
      </w:r>
      <w:r>
        <w:rPr>
          <w:sz w:val="28"/>
          <w:szCs w:val="28"/>
        </w:rPr>
        <w:fldChar w:fldCharType="separate"/>
      </w:r>
      <w:r>
        <w:rPr>
          <w:sz w:val="28"/>
          <w:szCs w:val="28"/>
        </w:rPr>
        <w:t>10</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rPr>
        <w:t>（三）一般公共预算财政拨款支出决算具体情况</w:t>
      </w:r>
      <w:r>
        <w:rPr>
          <w:sz w:val="28"/>
          <w:szCs w:val="28"/>
        </w:rPr>
        <w:tab/>
      </w:r>
      <w:r>
        <w:rPr>
          <w:sz w:val="28"/>
          <w:szCs w:val="28"/>
        </w:rPr>
        <w:fldChar w:fldCharType="begin"/>
      </w:r>
      <w:r>
        <w:rPr>
          <w:sz w:val="28"/>
          <w:szCs w:val="28"/>
        </w:rPr>
        <w:instrText xml:space="preserve"> PAGEREF _Toc30294 \h </w:instrText>
      </w:r>
      <w:r>
        <w:rPr>
          <w:sz w:val="28"/>
          <w:szCs w:val="28"/>
        </w:rPr>
        <w:fldChar w:fldCharType="separate"/>
      </w:r>
      <w:r>
        <w:rPr>
          <w:sz w:val="28"/>
          <w:szCs w:val="28"/>
        </w:rPr>
        <w:t>11</w:t>
      </w:r>
      <w:r>
        <w:rPr>
          <w:sz w:val="28"/>
          <w:szCs w:val="28"/>
        </w:rPr>
        <w:fldChar w:fldCharType="end"/>
      </w:r>
    </w:p>
    <w:p>
      <w:pPr>
        <w:pStyle w:val="19"/>
        <w:tabs>
          <w:tab w:val="right" w:leader="dot" w:pos="8306"/>
          <w:tab w:val="clear" w:pos="8296"/>
        </w:tabs>
        <w:rPr>
          <w:sz w:val="28"/>
          <w:szCs w:val="28"/>
        </w:rPr>
      </w:pPr>
      <w:r>
        <w:rPr>
          <w:rFonts w:hint="eastAsia" w:ascii="黑体" w:eastAsia="黑体"/>
          <w:sz w:val="28"/>
          <w:szCs w:val="28"/>
        </w:rPr>
        <w:t>六、</w:t>
      </w:r>
      <w:r>
        <w:rPr>
          <w:rFonts w:hint="eastAsia" w:ascii="黑体" w:hAnsi="黑体" w:eastAsia="黑体"/>
          <w:sz w:val="28"/>
          <w:szCs w:val="28"/>
        </w:rPr>
        <w:t>一般公共预算财政拨款基本支出决算情况说明</w:t>
      </w:r>
      <w:r>
        <w:rPr>
          <w:sz w:val="28"/>
          <w:szCs w:val="28"/>
        </w:rPr>
        <w:tab/>
      </w:r>
      <w:r>
        <w:rPr>
          <w:sz w:val="28"/>
          <w:szCs w:val="28"/>
        </w:rPr>
        <w:fldChar w:fldCharType="begin"/>
      </w:r>
      <w:r>
        <w:rPr>
          <w:sz w:val="28"/>
          <w:szCs w:val="28"/>
        </w:rPr>
        <w:instrText xml:space="preserve"> PAGEREF _Toc16337 \h </w:instrText>
      </w:r>
      <w:r>
        <w:rPr>
          <w:sz w:val="28"/>
          <w:szCs w:val="28"/>
        </w:rPr>
        <w:fldChar w:fldCharType="separate"/>
      </w:r>
      <w:r>
        <w:rPr>
          <w:sz w:val="28"/>
          <w:szCs w:val="28"/>
        </w:rPr>
        <w:t>14</w:t>
      </w:r>
      <w:r>
        <w:rPr>
          <w:sz w:val="28"/>
          <w:szCs w:val="28"/>
        </w:rPr>
        <w:fldChar w:fldCharType="end"/>
      </w:r>
    </w:p>
    <w:p>
      <w:pPr>
        <w:pStyle w:val="19"/>
        <w:tabs>
          <w:tab w:val="right" w:leader="dot" w:pos="8306"/>
          <w:tab w:val="clear" w:pos="8296"/>
        </w:tabs>
        <w:rPr>
          <w:sz w:val="28"/>
          <w:szCs w:val="28"/>
        </w:rPr>
      </w:pPr>
      <w:r>
        <w:rPr>
          <w:rFonts w:hint="eastAsia" w:ascii="黑体" w:eastAsia="黑体"/>
          <w:sz w:val="28"/>
          <w:szCs w:val="28"/>
        </w:rPr>
        <w:t>七、</w:t>
      </w:r>
      <w:r>
        <w:rPr>
          <w:rFonts w:hint="eastAsia" w:ascii="黑体" w:hAnsi="黑体" w:eastAsia="黑体"/>
          <w:sz w:val="28"/>
          <w:szCs w:val="28"/>
        </w:rPr>
        <w:t>“三公”经费财政拨款支出决算情况说明</w:t>
      </w:r>
      <w:r>
        <w:rPr>
          <w:sz w:val="28"/>
          <w:szCs w:val="28"/>
        </w:rPr>
        <w:tab/>
      </w:r>
      <w:r>
        <w:rPr>
          <w:sz w:val="28"/>
          <w:szCs w:val="28"/>
        </w:rPr>
        <w:fldChar w:fldCharType="begin"/>
      </w:r>
      <w:r>
        <w:rPr>
          <w:sz w:val="28"/>
          <w:szCs w:val="28"/>
        </w:rPr>
        <w:instrText xml:space="preserve"> PAGEREF _Toc6234 \h </w:instrText>
      </w:r>
      <w:r>
        <w:rPr>
          <w:sz w:val="28"/>
          <w:szCs w:val="28"/>
        </w:rPr>
        <w:fldChar w:fldCharType="separate"/>
      </w:r>
      <w:r>
        <w:rPr>
          <w:sz w:val="28"/>
          <w:szCs w:val="28"/>
        </w:rPr>
        <w:t>14</w:t>
      </w:r>
      <w:r>
        <w:rPr>
          <w:sz w:val="28"/>
          <w:szCs w:val="28"/>
        </w:rPr>
        <w:fldChar w:fldCharType="end"/>
      </w:r>
    </w:p>
    <w:p>
      <w:pPr>
        <w:pStyle w:val="19"/>
        <w:tabs>
          <w:tab w:val="right" w:leader="dot" w:pos="8306"/>
          <w:tab w:val="clear" w:pos="8296"/>
        </w:tabs>
        <w:rPr>
          <w:sz w:val="28"/>
          <w:szCs w:val="28"/>
        </w:rPr>
      </w:pPr>
      <w:r>
        <w:rPr>
          <w:rFonts w:hint="eastAsia" w:ascii="黑体" w:eastAsia="黑体"/>
          <w:sz w:val="28"/>
          <w:szCs w:val="28"/>
        </w:rPr>
        <w:t>八、</w:t>
      </w:r>
      <w:r>
        <w:rPr>
          <w:rFonts w:hint="eastAsia" w:ascii="黑体" w:hAnsi="黑体" w:eastAsia="黑体"/>
          <w:sz w:val="28"/>
          <w:szCs w:val="28"/>
        </w:rPr>
        <w:t>政府性基金预算支出决算情况说明</w:t>
      </w:r>
      <w:r>
        <w:rPr>
          <w:sz w:val="28"/>
          <w:szCs w:val="28"/>
        </w:rPr>
        <w:tab/>
      </w:r>
      <w:r>
        <w:rPr>
          <w:sz w:val="28"/>
          <w:szCs w:val="28"/>
        </w:rPr>
        <w:fldChar w:fldCharType="begin"/>
      </w:r>
      <w:r>
        <w:rPr>
          <w:sz w:val="28"/>
          <w:szCs w:val="28"/>
        </w:rPr>
        <w:instrText xml:space="preserve"> PAGEREF _Toc17551 \h </w:instrText>
      </w:r>
      <w:r>
        <w:rPr>
          <w:sz w:val="28"/>
          <w:szCs w:val="28"/>
        </w:rPr>
        <w:fldChar w:fldCharType="separate"/>
      </w:r>
      <w:r>
        <w:rPr>
          <w:sz w:val="28"/>
          <w:szCs w:val="28"/>
        </w:rPr>
        <w:t>16</w:t>
      </w:r>
      <w:r>
        <w:rPr>
          <w:sz w:val="28"/>
          <w:szCs w:val="28"/>
        </w:rPr>
        <w:fldChar w:fldCharType="end"/>
      </w:r>
    </w:p>
    <w:p>
      <w:pPr>
        <w:pStyle w:val="19"/>
        <w:tabs>
          <w:tab w:val="right" w:leader="dot" w:pos="8306"/>
          <w:tab w:val="clear" w:pos="8296"/>
        </w:tabs>
        <w:rPr>
          <w:sz w:val="28"/>
          <w:szCs w:val="28"/>
        </w:rPr>
      </w:pPr>
      <w:r>
        <w:rPr>
          <w:rFonts w:hint="eastAsia" w:ascii="黑体" w:hAnsi="黑体" w:eastAsia="黑体"/>
          <w:sz w:val="28"/>
          <w:szCs w:val="28"/>
        </w:rPr>
        <w:t>九、国有资本经营预算支出决算情况说明</w:t>
      </w:r>
      <w:r>
        <w:rPr>
          <w:sz w:val="28"/>
          <w:szCs w:val="28"/>
        </w:rPr>
        <w:tab/>
      </w:r>
      <w:r>
        <w:rPr>
          <w:sz w:val="28"/>
          <w:szCs w:val="28"/>
        </w:rPr>
        <w:fldChar w:fldCharType="begin"/>
      </w:r>
      <w:r>
        <w:rPr>
          <w:sz w:val="28"/>
          <w:szCs w:val="28"/>
        </w:rPr>
        <w:instrText xml:space="preserve"> PAGEREF _Toc17772 \h </w:instrText>
      </w:r>
      <w:r>
        <w:rPr>
          <w:sz w:val="28"/>
          <w:szCs w:val="28"/>
        </w:rPr>
        <w:fldChar w:fldCharType="separate"/>
      </w:r>
      <w:r>
        <w:rPr>
          <w:sz w:val="28"/>
          <w:szCs w:val="28"/>
        </w:rPr>
        <w:t>16</w:t>
      </w:r>
      <w:r>
        <w:rPr>
          <w:sz w:val="28"/>
          <w:szCs w:val="28"/>
        </w:rPr>
        <w:fldChar w:fldCharType="end"/>
      </w:r>
    </w:p>
    <w:p>
      <w:pPr>
        <w:pStyle w:val="19"/>
        <w:tabs>
          <w:tab w:val="right" w:leader="dot" w:pos="8306"/>
          <w:tab w:val="clear" w:pos="8296"/>
        </w:tabs>
        <w:rPr>
          <w:sz w:val="28"/>
          <w:szCs w:val="28"/>
        </w:rPr>
      </w:pPr>
      <w:r>
        <w:rPr>
          <w:rFonts w:hint="eastAsia" w:ascii="黑体" w:hAnsi="黑体" w:eastAsia="黑体"/>
          <w:sz w:val="28"/>
          <w:szCs w:val="28"/>
        </w:rPr>
        <w:t>十、其他重要事项的情况说明</w:t>
      </w:r>
      <w:r>
        <w:rPr>
          <w:sz w:val="28"/>
          <w:szCs w:val="28"/>
        </w:rPr>
        <w:tab/>
      </w:r>
      <w:r>
        <w:rPr>
          <w:sz w:val="28"/>
          <w:szCs w:val="28"/>
        </w:rPr>
        <w:fldChar w:fldCharType="begin"/>
      </w:r>
      <w:r>
        <w:rPr>
          <w:sz w:val="28"/>
          <w:szCs w:val="28"/>
        </w:rPr>
        <w:instrText xml:space="preserve"> PAGEREF _Toc11245 \h </w:instrText>
      </w:r>
      <w:r>
        <w:rPr>
          <w:sz w:val="28"/>
          <w:szCs w:val="28"/>
        </w:rPr>
        <w:fldChar w:fldCharType="separate"/>
      </w:r>
      <w:r>
        <w:rPr>
          <w:sz w:val="28"/>
          <w:szCs w:val="28"/>
        </w:rPr>
        <w:t>16</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rPr>
        <w:t>（一）机关运行经费支出情况</w:t>
      </w:r>
      <w:r>
        <w:rPr>
          <w:sz w:val="28"/>
          <w:szCs w:val="28"/>
        </w:rPr>
        <w:tab/>
      </w:r>
      <w:r>
        <w:rPr>
          <w:sz w:val="28"/>
          <w:szCs w:val="28"/>
        </w:rPr>
        <w:fldChar w:fldCharType="begin"/>
      </w:r>
      <w:r>
        <w:rPr>
          <w:sz w:val="28"/>
          <w:szCs w:val="28"/>
        </w:rPr>
        <w:instrText xml:space="preserve"> PAGEREF _Toc3469 \h </w:instrText>
      </w:r>
      <w:r>
        <w:rPr>
          <w:sz w:val="28"/>
          <w:szCs w:val="28"/>
        </w:rPr>
        <w:fldChar w:fldCharType="separate"/>
      </w:r>
      <w:r>
        <w:rPr>
          <w:sz w:val="28"/>
          <w:szCs w:val="28"/>
        </w:rPr>
        <w:t>16</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rPr>
        <w:t>（二）政府采购支出情况</w:t>
      </w:r>
      <w:r>
        <w:rPr>
          <w:sz w:val="28"/>
          <w:szCs w:val="28"/>
        </w:rPr>
        <w:tab/>
      </w:r>
      <w:r>
        <w:rPr>
          <w:sz w:val="28"/>
          <w:szCs w:val="28"/>
        </w:rPr>
        <w:fldChar w:fldCharType="begin"/>
      </w:r>
      <w:r>
        <w:rPr>
          <w:sz w:val="28"/>
          <w:szCs w:val="28"/>
        </w:rPr>
        <w:instrText xml:space="preserve"> PAGEREF _Toc30705 \h </w:instrText>
      </w:r>
      <w:r>
        <w:rPr>
          <w:sz w:val="28"/>
          <w:szCs w:val="28"/>
        </w:rPr>
        <w:fldChar w:fldCharType="separate"/>
      </w:r>
      <w:r>
        <w:rPr>
          <w:sz w:val="28"/>
          <w:szCs w:val="28"/>
        </w:rPr>
        <w:t>16</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rPr>
        <w:t>（三）国有资产占有使用情况</w:t>
      </w:r>
      <w:r>
        <w:rPr>
          <w:sz w:val="28"/>
          <w:szCs w:val="28"/>
        </w:rPr>
        <w:tab/>
      </w:r>
      <w:r>
        <w:rPr>
          <w:sz w:val="28"/>
          <w:szCs w:val="28"/>
        </w:rPr>
        <w:fldChar w:fldCharType="begin"/>
      </w:r>
      <w:r>
        <w:rPr>
          <w:sz w:val="28"/>
          <w:szCs w:val="28"/>
        </w:rPr>
        <w:instrText xml:space="preserve"> PAGEREF _Toc24297 \h </w:instrText>
      </w:r>
      <w:r>
        <w:rPr>
          <w:sz w:val="28"/>
          <w:szCs w:val="28"/>
        </w:rPr>
        <w:fldChar w:fldCharType="separate"/>
      </w:r>
      <w:r>
        <w:rPr>
          <w:sz w:val="28"/>
          <w:szCs w:val="28"/>
        </w:rPr>
        <w:t>17</w:t>
      </w:r>
      <w:r>
        <w:rPr>
          <w:sz w:val="28"/>
          <w:szCs w:val="28"/>
        </w:rPr>
        <w:fldChar w:fldCharType="end"/>
      </w:r>
    </w:p>
    <w:p>
      <w:pPr>
        <w:pStyle w:val="15"/>
        <w:tabs>
          <w:tab w:val="right" w:leader="dot" w:pos="8306"/>
          <w:tab w:val="clear" w:pos="8296"/>
        </w:tabs>
        <w:rPr>
          <w:sz w:val="28"/>
          <w:szCs w:val="28"/>
        </w:rPr>
      </w:pPr>
      <w:r>
        <w:rPr>
          <w:rFonts w:hint="eastAsia" w:ascii="仿宋" w:hAnsi="仿宋" w:eastAsia="仿宋"/>
          <w:sz w:val="28"/>
          <w:szCs w:val="28"/>
        </w:rPr>
        <w:t>（四）预算绩效管理情况</w:t>
      </w:r>
      <w:r>
        <w:rPr>
          <w:sz w:val="28"/>
          <w:szCs w:val="28"/>
        </w:rPr>
        <w:tab/>
      </w:r>
      <w:r>
        <w:rPr>
          <w:sz w:val="28"/>
          <w:szCs w:val="28"/>
        </w:rPr>
        <w:fldChar w:fldCharType="begin"/>
      </w:r>
      <w:r>
        <w:rPr>
          <w:sz w:val="28"/>
          <w:szCs w:val="28"/>
        </w:rPr>
        <w:instrText xml:space="preserve"> PAGEREF _Toc31687 \h </w:instrText>
      </w:r>
      <w:r>
        <w:rPr>
          <w:sz w:val="28"/>
          <w:szCs w:val="28"/>
        </w:rPr>
        <w:fldChar w:fldCharType="separate"/>
      </w:r>
      <w:r>
        <w:rPr>
          <w:sz w:val="28"/>
          <w:szCs w:val="28"/>
        </w:rPr>
        <w:t>17</w:t>
      </w:r>
      <w:r>
        <w:rPr>
          <w:sz w:val="28"/>
          <w:szCs w:val="28"/>
        </w:rPr>
        <w:fldChar w:fldCharType="end"/>
      </w:r>
    </w:p>
    <w:p>
      <w:pPr>
        <w:pStyle w:val="18"/>
        <w:tabs>
          <w:tab w:val="right" w:leader="dot" w:pos="8306"/>
          <w:tab w:val="clear" w:pos="8296"/>
        </w:tabs>
      </w:pPr>
      <w:r>
        <w:rPr>
          <w:rFonts w:hint="eastAsia" w:ascii="黑体" w:hAnsi="黑体" w:eastAsia="黑体"/>
        </w:rPr>
        <w:t>第三部分名词解释</w:t>
      </w:r>
      <w:r>
        <w:tab/>
      </w:r>
      <w:r>
        <w:fldChar w:fldCharType="begin"/>
      </w:r>
      <w:r>
        <w:instrText xml:space="preserve"> PAGEREF _Toc9035 \h </w:instrText>
      </w:r>
      <w:r>
        <w:fldChar w:fldCharType="separate"/>
      </w:r>
      <w:r>
        <w:t>18</w:t>
      </w:r>
      <w:r>
        <w:fldChar w:fldCharType="end"/>
      </w:r>
    </w:p>
    <w:p>
      <w:pPr>
        <w:pStyle w:val="18"/>
        <w:tabs>
          <w:tab w:val="right" w:leader="dot" w:pos="8306"/>
          <w:tab w:val="clear" w:pos="8296"/>
        </w:tabs>
      </w:pPr>
      <w:r>
        <w:rPr>
          <w:rFonts w:hint="eastAsia" w:ascii="黑体" w:hAnsi="黑体" w:eastAsia="黑体"/>
        </w:rPr>
        <w:t>第四部分附件</w:t>
      </w:r>
      <w:r>
        <w:tab/>
      </w:r>
      <w:r>
        <w:fldChar w:fldCharType="begin"/>
      </w:r>
      <w:r>
        <w:instrText xml:space="preserve"> PAGEREF _Toc6165 \h </w:instrText>
      </w:r>
      <w:r>
        <w:fldChar w:fldCharType="separate"/>
      </w:r>
      <w:r>
        <w:t>22</w:t>
      </w:r>
      <w:r>
        <w:fldChar w:fldCharType="end"/>
      </w:r>
    </w:p>
    <w:p>
      <w:pPr>
        <w:pStyle w:val="18"/>
        <w:tabs>
          <w:tab w:val="right" w:leader="dot" w:pos="8306"/>
          <w:tab w:val="clear" w:pos="8296"/>
        </w:tabs>
      </w:pPr>
      <w:r>
        <w:rPr>
          <w:rFonts w:hint="eastAsia" w:ascii="黑体" w:hAnsi="黑体" w:eastAsia="黑体"/>
        </w:rPr>
        <w:t>第五部分附表</w:t>
      </w:r>
      <w:r>
        <w:tab/>
      </w:r>
      <w:r>
        <w:fldChar w:fldCharType="begin"/>
      </w:r>
      <w:r>
        <w:instrText xml:space="preserve"> PAGEREF _Toc26469 \h </w:instrText>
      </w:r>
      <w:r>
        <w:fldChar w:fldCharType="separate"/>
      </w:r>
      <w:r>
        <w:t>27</w:t>
      </w:r>
      <w:r>
        <w:fldChar w:fldCharType="end"/>
      </w:r>
    </w:p>
    <w:p>
      <w:pPr>
        <w:pStyle w:val="19"/>
        <w:tabs>
          <w:tab w:val="right" w:leader="dot" w:pos="8306"/>
          <w:tab w:val="clear" w:pos="8296"/>
        </w:tabs>
        <w:rPr>
          <w:sz w:val="28"/>
          <w:szCs w:val="28"/>
        </w:rPr>
      </w:pPr>
      <w:r>
        <w:rPr>
          <w:rFonts w:hint="eastAsia" w:ascii="仿宋" w:hAnsi="仿宋" w:eastAsia="仿宋"/>
          <w:sz w:val="28"/>
          <w:szCs w:val="28"/>
        </w:rPr>
        <w:t>一、收入支出决算总表</w:t>
      </w:r>
      <w:r>
        <w:rPr>
          <w:sz w:val="28"/>
          <w:szCs w:val="28"/>
        </w:rPr>
        <w:tab/>
      </w:r>
      <w:r>
        <w:rPr>
          <w:sz w:val="28"/>
          <w:szCs w:val="28"/>
        </w:rPr>
        <w:fldChar w:fldCharType="begin"/>
      </w:r>
      <w:r>
        <w:rPr>
          <w:sz w:val="28"/>
          <w:szCs w:val="28"/>
        </w:rPr>
        <w:instrText xml:space="preserve"> PAGEREF _Toc17989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二、收入决算表</w:t>
      </w:r>
      <w:r>
        <w:rPr>
          <w:sz w:val="28"/>
          <w:szCs w:val="28"/>
        </w:rPr>
        <w:tab/>
      </w:r>
      <w:r>
        <w:rPr>
          <w:sz w:val="28"/>
          <w:szCs w:val="28"/>
        </w:rPr>
        <w:fldChar w:fldCharType="begin"/>
      </w:r>
      <w:r>
        <w:rPr>
          <w:sz w:val="28"/>
          <w:szCs w:val="28"/>
        </w:rPr>
        <w:instrText xml:space="preserve"> PAGEREF _Toc21227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三、支出决算表</w:t>
      </w:r>
      <w:r>
        <w:rPr>
          <w:sz w:val="28"/>
          <w:szCs w:val="28"/>
        </w:rPr>
        <w:tab/>
      </w:r>
      <w:r>
        <w:rPr>
          <w:sz w:val="28"/>
          <w:szCs w:val="28"/>
        </w:rPr>
        <w:fldChar w:fldCharType="begin"/>
      </w:r>
      <w:r>
        <w:rPr>
          <w:sz w:val="28"/>
          <w:szCs w:val="28"/>
        </w:rPr>
        <w:instrText xml:space="preserve"> PAGEREF _Toc27415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四、财政拨款收入支出决算总表</w:t>
      </w:r>
      <w:r>
        <w:rPr>
          <w:sz w:val="28"/>
          <w:szCs w:val="28"/>
        </w:rPr>
        <w:tab/>
      </w:r>
      <w:r>
        <w:rPr>
          <w:sz w:val="28"/>
          <w:szCs w:val="28"/>
        </w:rPr>
        <w:fldChar w:fldCharType="begin"/>
      </w:r>
      <w:r>
        <w:rPr>
          <w:sz w:val="28"/>
          <w:szCs w:val="28"/>
        </w:rPr>
        <w:instrText xml:space="preserve"> PAGEREF _Toc31336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五、财政拨款支出决算明细表</w:t>
      </w:r>
      <w:r>
        <w:rPr>
          <w:sz w:val="28"/>
          <w:szCs w:val="28"/>
        </w:rPr>
        <w:tab/>
      </w:r>
      <w:r>
        <w:rPr>
          <w:sz w:val="28"/>
          <w:szCs w:val="28"/>
        </w:rPr>
        <w:fldChar w:fldCharType="begin"/>
      </w:r>
      <w:r>
        <w:rPr>
          <w:sz w:val="28"/>
          <w:szCs w:val="28"/>
        </w:rPr>
        <w:instrText xml:space="preserve"> PAGEREF _Toc20072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六、一般公共预算财政拨款支出决算表</w:t>
      </w:r>
      <w:r>
        <w:rPr>
          <w:sz w:val="28"/>
          <w:szCs w:val="28"/>
        </w:rPr>
        <w:tab/>
      </w:r>
      <w:r>
        <w:rPr>
          <w:sz w:val="28"/>
          <w:szCs w:val="28"/>
        </w:rPr>
        <w:fldChar w:fldCharType="begin"/>
      </w:r>
      <w:r>
        <w:rPr>
          <w:sz w:val="28"/>
          <w:szCs w:val="28"/>
        </w:rPr>
        <w:instrText xml:space="preserve"> PAGEREF _Toc28729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七、一般公共预算财政拨款支出决算明细表</w:t>
      </w:r>
      <w:r>
        <w:rPr>
          <w:sz w:val="28"/>
          <w:szCs w:val="28"/>
        </w:rPr>
        <w:tab/>
      </w:r>
      <w:r>
        <w:rPr>
          <w:sz w:val="28"/>
          <w:szCs w:val="28"/>
        </w:rPr>
        <w:fldChar w:fldCharType="begin"/>
      </w:r>
      <w:r>
        <w:rPr>
          <w:sz w:val="28"/>
          <w:szCs w:val="28"/>
        </w:rPr>
        <w:instrText xml:space="preserve"> PAGEREF _Toc1605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八、一般公共预算财政拨款基本支出决算表</w:t>
      </w:r>
      <w:r>
        <w:rPr>
          <w:sz w:val="28"/>
          <w:szCs w:val="28"/>
        </w:rPr>
        <w:tab/>
      </w:r>
      <w:r>
        <w:rPr>
          <w:sz w:val="28"/>
          <w:szCs w:val="28"/>
        </w:rPr>
        <w:fldChar w:fldCharType="begin"/>
      </w:r>
      <w:r>
        <w:rPr>
          <w:sz w:val="28"/>
          <w:szCs w:val="28"/>
        </w:rPr>
        <w:instrText xml:space="preserve"> PAGEREF _Toc4821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九、一般公共预算财政拨款项目支出决算表</w:t>
      </w:r>
      <w:r>
        <w:rPr>
          <w:sz w:val="28"/>
          <w:szCs w:val="28"/>
        </w:rPr>
        <w:tab/>
      </w:r>
      <w:r>
        <w:rPr>
          <w:sz w:val="28"/>
          <w:szCs w:val="28"/>
        </w:rPr>
        <w:fldChar w:fldCharType="begin"/>
      </w:r>
      <w:r>
        <w:rPr>
          <w:sz w:val="28"/>
          <w:szCs w:val="28"/>
        </w:rPr>
        <w:instrText xml:space="preserve"> PAGEREF _Toc32120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十、一般公共预算财政拨款“三公”经费支出决算表</w:t>
      </w:r>
      <w:r>
        <w:rPr>
          <w:sz w:val="28"/>
          <w:szCs w:val="28"/>
        </w:rPr>
        <w:tab/>
      </w:r>
      <w:r>
        <w:rPr>
          <w:sz w:val="28"/>
          <w:szCs w:val="28"/>
        </w:rPr>
        <w:fldChar w:fldCharType="begin"/>
      </w:r>
      <w:r>
        <w:rPr>
          <w:sz w:val="28"/>
          <w:szCs w:val="28"/>
        </w:rPr>
        <w:instrText xml:space="preserve"> PAGEREF _Toc22344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十一、政府性基金预算财政拨款收入支出决算表</w:t>
      </w:r>
      <w:r>
        <w:rPr>
          <w:sz w:val="28"/>
          <w:szCs w:val="28"/>
        </w:rPr>
        <w:tab/>
      </w:r>
      <w:r>
        <w:rPr>
          <w:sz w:val="28"/>
          <w:szCs w:val="28"/>
        </w:rPr>
        <w:fldChar w:fldCharType="begin"/>
      </w:r>
      <w:r>
        <w:rPr>
          <w:sz w:val="28"/>
          <w:szCs w:val="28"/>
        </w:rPr>
        <w:instrText xml:space="preserve"> PAGEREF _Toc23713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十二、政府性基金预算财政拨款“三公”经费支出决算表</w:t>
      </w:r>
      <w:r>
        <w:rPr>
          <w:sz w:val="28"/>
          <w:szCs w:val="28"/>
        </w:rPr>
        <w:tab/>
      </w:r>
      <w:r>
        <w:rPr>
          <w:sz w:val="28"/>
          <w:szCs w:val="28"/>
        </w:rPr>
        <w:fldChar w:fldCharType="begin"/>
      </w:r>
      <w:r>
        <w:rPr>
          <w:sz w:val="28"/>
          <w:szCs w:val="28"/>
        </w:rPr>
        <w:instrText xml:space="preserve"> PAGEREF _Toc13417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rPr>
          <w:sz w:val="28"/>
          <w:szCs w:val="28"/>
        </w:rPr>
      </w:pPr>
      <w:r>
        <w:rPr>
          <w:rFonts w:hint="eastAsia" w:ascii="仿宋" w:hAnsi="仿宋" w:eastAsia="仿宋"/>
          <w:sz w:val="28"/>
          <w:szCs w:val="28"/>
        </w:rPr>
        <w:t>十三、国有资本经营预算财政拨款收入支出决算表</w:t>
      </w:r>
      <w:r>
        <w:rPr>
          <w:sz w:val="28"/>
          <w:szCs w:val="28"/>
        </w:rPr>
        <w:tab/>
      </w:r>
      <w:r>
        <w:rPr>
          <w:sz w:val="28"/>
          <w:szCs w:val="28"/>
        </w:rPr>
        <w:fldChar w:fldCharType="begin"/>
      </w:r>
      <w:r>
        <w:rPr>
          <w:sz w:val="28"/>
          <w:szCs w:val="28"/>
        </w:rPr>
        <w:instrText xml:space="preserve"> PAGEREF _Toc21772 \h </w:instrText>
      </w:r>
      <w:r>
        <w:rPr>
          <w:sz w:val="28"/>
          <w:szCs w:val="28"/>
        </w:rPr>
        <w:fldChar w:fldCharType="separate"/>
      </w:r>
      <w:r>
        <w:rPr>
          <w:sz w:val="28"/>
          <w:szCs w:val="28"/>
        </w:rPr>
        <w:t>27</w:t>
      </w:r>
      <w:r>
        <w:rPr>
          <w:sz w:val="28"/>
          <w:szCs w:val="28"/>
        </w:rPr>
        <w:fldChar w:fldCharType="end"/>
      </w:r>
    </w:p>
    <w:p>
      <w:pPr>
        <w:pStyle w:val="19"/>
        <w:tabs>
          <w:tab w:val="right" w:leader="dot" w:pos="8306"/>
          <w:tab w:val="clear" w:pos="8296"/>
        </w:tabs>
      </w:pPr>
      <w:r>
        <w:rPr>
          <w:rFonts w:hint="eastAsia" w:ascii="仿宋" w:hAnsi="仿宋" w:eastAsia="仿宋"/>
          <w:sz w:val="28"/>
          <w:szCs w:val="28"/>
        </w:rPr>
        <w:t>十四、国有资本经营预算财政拨款支出决算表</w:t>
      </w:r>
      <w:r>
        <w:rPr>
          <w:sz w:val="28"/>
          <w:szCs w:val="28"/>
        </w:rPr>
        <w:tab/>
      </w:r>
      <w:r>
        <w:rPr>
          <w:sz w:val="28"/>
          <w:szCs w:val="28"/>
        </w:rPr>
        <w:fldChar w:fldCharType="begin"/>
      </w:r>
      <w:r>
        <w:rPr>
          <w:sz w:val="28"/>
          <w:szCs w:val="28"/>
        </w:rPr>
        <w:instrText xml:space="preserve"> PAGEREF _Toc7390 \h </w:instrText>
      </w:r>
      <w:r>
        <w:rPr>
          <w:sz w:val="28"/>
          <w:szCs w:val="28"/>
        </w:rPr>
        <w:fldChar w:fldCharType="separate"/>
      </w:r>
      <w:r>
        <w:rPr>
          <w:sz w:val="28"/>
          <w:szCs w:val="28"/>
        </w:rPr>
        <w:t>27</w:t>
      </w:r>
      <w:r>
        <w:rPr>
          <w:sz w:val="28"/>
          <w:szCs w:val="28"/>
        </w:rPr>
        <w:fldChar w:fldCharType="end"/>
      </w:r>
    </w:p>
    <w:p>
      <w:pPr>
        <w:pStyle w:val="3"/>
        <w:spacing w:before="93"/>
        <w:rPr>
          <w:rFonts w:ascii="仿宋" w:hAnsi="仿宋" w:eastAsia="仿宋"/>
          <w:sz w:val="24"/>
        </w:rPr>
      </w:pPr>
      <w:r>
        <w:rPr>
          <w:rFonts w:ascii="仿宋" w:hAnsi="仿宋" w:eastAsia="仿宋"/>
        </w:rPr>
        <w:fldChar w:fldCharType="end"/>
      </w:r>
    </w:p>
    <w:p>
      <w:pPr>
        <w:pStyle w:val="3"/>
        <w:spacing w:before="93"/>
        <w:rPr>
          <w:rFonts w:ascii="仿宋" w:hAnsi="仿宋" w:eastAsia="仿宋"/>
          <w:sz w:val="24"/>
        </w:rPr>
      </w:pPr>
    </w:p>
    <w:p>
      <w:pPr>
        <w:pStyle w:val="3"/>
        <w:spacing w:before="93"/>
        <w:rPr>
          <w:rFonts w:ascii="仿宋" w:hAnsi="仿宋" w:eastAsia="仿宋"/>
          <w:sz w:val="24"/>
        </w:rPr>
      </w:pPr>
    </w:p>
    <w:p>
      <w:pPr>
        <w:pStyle w:val="3"/>
        <w:spacing w:before="93"/>
        <w:rPr>
          <w:rFonts w:ascii="仿宋" w:hAnsi="仿宋" w:eastAsia="仿宋"/>
          <w:sz w:val="24"/>
        </w:rPr>
      </w:pPr>
    </w:p>
    <w:p>
      <w:pPr>
        <w:pStyle w:val="3"/>
        <w:spacing w:before="93"/>
        <w:rPr>
          <w:rFonts w:ascii="仿宋" w:hAnsi="仿宋" w:eastAsia="仿宋"/>
          <w:sz w:val="24"/>
        </w:rPr>
      </w:pPr>
    </w:p>
    <w:p>
      <w:pPr>
        <w:pStyle w:val="3"/>
        <w:spacing w:before="93"/>
        <w:rPr>
          <w:rFonts w:ascii="仿宋" w:hAnsi="仿宋" w:eastAsia="仿宋"/>
          <w:sz w:val="24"/>
        </w:rPr>
      </w:pPr>
    </w:p>
    <w:p>
      <w:pPr>
        <w:pStyle w:val="12"/>
        <w:jc w:val="center"/>
        <w:rPr>
          <w:rStyle w:val="28"/>
          <w:rFonts w:ascii="黑体" w:hAnsi="黑体" w:eastAsia="黑体"/>
          <w:b/>
          <w:bCs w:val="0"/>
        </w:rPr>
      </w:pPr>
      <w:bookmarkStart w:id="14" w:name="_Toc15377196"/>
      <w:bookmarkStart w:id="15" w:name="_Toc28417"/>
      <w:bookmarkStart w:id="16" w:name="_Toc15396599"/>
      <w:r>
        <w:rPr>
          <w:rFonts w:hint="eastAsia" w:ascii="黑体" w:hAnsi="黑体" w:eastAsia="黑体"/>
          <w:b w:val="0"/>
        </w:rPr>
        <w:t>第一部分</w:t>
      </w:r>
      <w:r>
        <w:rPr>
          <w:rStyle w:val="28"/>
          <w:rFonts w:hint="eastAsia" w:ascii="黑体" w:hAnsi="黑体" w:eastAsia="黑体"/>
          <w:b w:val="0"/>
          <w:bCs w:val="0"/>
        </w:rPr>
        <w:t>部门概况</w:t>
      </w:r>
      <w:bookmarkEnd w:id="14"/>
      <w:bookmarkEnd w:id="15"/>
      <w:bookmarkEnd w:id="16"/>
    </w:p>
    <w:p>
      <w:pPr>
        <w:widowControl/>
        <w:jc w:val="left"/>
        <w:rPr>
          <w:rFonts w:ascii="黑体" w:eastAsia="黑体"/>
          <w:sz w:val="32"/>
          <w:szCs w:val="32"/>
        </w:rPr>
      </w:pPr>
    </w:p>
    <w:p>
      <w:pPr>
        <w:pStyle w:val="13"/>
        <w:rPr>
          <w:rStyle w:val="29"/>
          <w:rFonts w:ascii="仿宋" w:hAnsi="仿宋" w:eastAsia="仿宋"/>
          <w:b w:val="0"/>
          <w:bCs w:val="0"/>
        </w:rPr>
      </w:pPr>
      <w:bookmarkStart w:id="17" w:name="_Toc15396600"/>
      <w:bookmarkStart w:id="18" w:name="_Toc12364"/>
      <w:bookmarkStart w:id="19" w:name="_Toc15377197"/>
      <w:r>
        <w:rPr>
          <w:rFonts w:hint="eastAsia" w:ascii="黑体" w:hAnsi="黑体" w:eastAsia="黑体"/>
          <w:b w:val="0"/>
        </w:rPr>
        <w:t>一、基</w:t>
      </w:r>
      <w:r>
        <w:rPr>
          <w:rStyle w:val="29"/>
          <w:rFonts w:hint="eastAsia" w:ascii="黑体" w:hAnsi="黑体" w:eastAsia="黑体"/>
          <w:b w:val="0"/>
          <w:bCs w:val="0"/>
        </w:rPr>
        <w:t>本职能及主要工作</w:t>
      </w:r>
      <w:bookmarkEnd w:id="17"/>
      <w:bookmarkEnd w:id="18"/>
      <w:bookmarkEnd w:id="19"/>
    </w:p>
    <w:p>
      <w:pPr>
        <w:widowControl/>
        <w:ind w:firstLine="600"/>
        <w:jc w:val="left"/>
        <w:textAlignment w:val="baseline"/>
        <w:rPr>
          <w:rFonts w:ascii="仿宋" w:hAnsi="仿宋" w:eastAsia="仿宋"/>
          <w:bCs/>
          <w:color w:val="000000"/>
          <w:sz w:val="32"/>
          <w:szCs w:val="32"/>
        </w:rPr>
      </w:pPr>
      <w:bookmarkStart w:id="20" w:name="_Toc15377200"/>
      <w:bookmarkStart w:id="21" w:name="_Toc15396601"/>
      <w:r>
        <w:rPr>
          <w:rFonts w:hint="eastAsia" w:ascii="仿宋" w:hAnsi="仿宋" w:eastAsia="仿宋"/>
          <w:bCs/>
          <w:color w:val="000000"/>
          <w:sz w:val="32"/>
          <w:szCs w:val="32"/>
        </w:rPr>
        <w:t>（一）主要职能。</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1.落实政策。宣传、落实好</w:t>
      </w:r>
      <w:r>
        <w:rPr>
          <w:rFonts w:hint="eastAsia" w:ascii="宋体" w:hAnsi="宋体" w:cs="宋体"/>
          <w:kern w:val="0"/>
          <w:sz w:val="32"/>
          <w:szCs w:val="32"/>
          <w:u w:val="none" w:color="46CD7E"/>
          <w:shd w:val="clear" w:fill="auto"/>
          <w:lang w:eastAsia="zh-CN"/>
        </w:rPr>
        <w:t>党的路线方针政策</w:t>
      </w:r>
      <w:r>
        <w:rPr>
          <w:rFonts w:hint="eastAsia" w:ascii="宋体" w:hAnsi="宋体" w:cs="宋体"/>
          <w:kern w:val="0"/>
          <w:sz w:val="32"/>
          <w:szCs w:val="32"/>
        </w:rPr>
        <w:t>和国家的法律、法规，稳定农村基本经济制度，坚持依法行政，推进政务公开，加强对村民委员会的指导，提高、培育村民委员会自治能力。</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2.促发展。科学制订发展规划，营造农村经济发展环境，加强农村市场监管，培育、提升市场功能，搞活市场流通，推广农业技术，完善农业社会化服务体系，引导农民发展现代农业，调整产业结构，加强农村劳动力技能培训，引导农村劳动力转移和就业，不断提高社会主义新农村建设水平。</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3.维护稳定。要坚持“立党为公、执政为民”，紧紧围绕实现和维护群众利益开展工作，突出解决人民群众最关心、最直接、最现实的利益问题。加强和巩固农村基层政权建设和民主</w:t>
      </w:r>
      <w:r>
        <w:rPr>
          <w:rFonts w:hint="eastAsia" w:ascii="宋体" w:hAnsi="宋体" w:cs="宋体"/>
          <w:kern w:val="0"/>
          <w:sz w:val="32"/>
          <w:szCs w:val="32"/>
          <w:u w:val="none" w:color="46CD7E"/>
          <w:shd w:val="clear" w:fill="auto"/>
          <w:lang w:eastAsia="zh-CN"/>
        </w:rPr>
        <w:t>法治建设</w:t>
      </w:r>
      <w:r>
        <w:rPr>
          <w:rFonts w:hint="eastAsia" w:ascii="宋体" w:hAnsi="宋体" w:cs="宋体"/>
          <w:kern w:val="0"/>
          <w:sz w:val="32"/>
          <w:szCs w:val="32"/>
        </w:rPr>
        <w:t>，加强社会治安综合治理，加强对突发事件的预警和管理，建立健全各种应急机制，加强民事纠纷调解，化解农村社会矛盾，开展农村扶贫和社会救助，切实保障农民合法权益，维护农村社会稳定。</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4.加强管理。加强民政、教育、科技、文化、卫生、计划生育、安全生产、劳动保障和乡村规划等社会管理，加强社会主义精神文明建设，做好防灾减灾工作，加强环境保护，努力改善农村人居环境，不断提高农村人口素质和农民生活质量。</w:t>
      </w:r>
    </w:p>
    <w:p>
      <w:pPr>
        <w:widowControl/>
        <w:ind w:firstLine="600"/>
        <w:jc w:val="left"/>
        <w:textAlignment w:val="baseline"/>
        <w:rPr>
          <w:rFonts w:ascii="宋体" w:hAnsi="宋体" w:cs="宋体"/>
          <w:kern w:val="0"/>
          <w:sz w:val="32"/>
          <w:szCs w:val="32"/>
        </w:rPr>
      </w:pPr>
      <w:r>
        <w:rPr>
          <w:rFonts w:hint="eastAsia" w:ascii="宋体" w:hAnsi="宋体" w:cs="宋体"/>
          <w:kern w:val="0"/>
          <w:sz w:val="32"/>
          <w:szCs w:val="32"/>
        </w:rPr>
        <w:t>5.提供服务。进一步发展和完善农村社会化服务体系，引导各类协会和农村专业合作经济组织发展并充分发挥其作用，发展农村社会公益事业和集体公益事业，加强农村基础设施建设，增加公共产品，提供政策、科技、市场信息和社会救济、救助服务，及时向上级党委、政府反映社情民意，进一步密切党和政府与人民群众的关系。</w:t>
      </w:r>
    </w:p>
    <w:p>
      <w:pPr>
        <w:pStyle w:val="3"/>
        <w:adjustRightInd w:val="0"/>
        <w:snapToGrid w:val="0"/>
        <w:spacing w:before="93" w:line="600" w:lineRule="exact"/>
        <w:ind w:firstLine="672" w:firstLineChars="210"/>
        <w:outlineLvl w:val="2"/>
        <w:rPr>
          <w:rFonts w:ascii="仿宋" w:hAnsi="仿宋" w:eastAsia="仿宋"/>
          <w:bCs/>
          <w:color w:val="000000"/>
          <w:sz w:val="32"/>
          <w:szCs w:val="32"/>
        </w:rPr>
      </w:pPr>
    </w:p>
    <w:p>
      <w:pPr>
        <w:pStyle w:val="3"/>
        <w:adjustRightInd w:val="0"/>
        <w:snapToGrid w:val="0"/>
        <w:spacing w:before="93" w:line="600" w:lineRule="exact"/>
        <w:ind w:firstLine="672" w:firstLineChars="210"/>
        <w:outlineLvl w:val="2"/>
        <w:rPr>
          <w:rFonts w:ascii="仿宋" w:hAnsi="仿宋" w:eastAsia="仿宋"/>
          <w:bCs/>
          <w:color w:val="000000"/>
          <w:sz w:val="32"/>
          <w:szCs w:val="32"/>
        </w:rPr>
      </w:pPr>
      <w:bookmarkStart w:id="22" w:name="_Toc15378446"/>
      <w:bookmarkStart w:id="23" w:name="_Toc15377199"/>
      <w:bookmarkStart w:id="24" w:name="_Toc22601"/>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rPr>
        <w:t>1年重点工作完成情况。</w:t>
      </w:r>
      <w:bookmarkEnd w:id="22"/>
      <w:bookmarkEnd w:id="23"/>
      <w:bookmarkEnd w:id="24"/>
    </w:p>
    <w:p>
      <w:pPr>
        <w:pStyle w:val="5"/>
        <w:widowControl/>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1.</w:t>
      </w:r>
      <w:r>
        <w:rPr>
          <w:rFonts w:ascii="宋体" w:hAnsi="宋体" w:cs="宋体"/>
          <w:sz w:val="32"/>
          <w:szCs w:val="32"/>
        </w:rPr>
        <w:t>着力抓好两项改革。认真贯彻落实省</w:t>
      </w:r>
      <w:r>
        <w:rPr>
          <w:rFonts w:hint="eastAsia" w:ascii="宋体" w:hAnsi="宋体" w:cs="宋体"/>
          <w:sz w:val="32"/>
          <w:szCs w:val="32"/>
        </w:rPr>
        <w:t>、</w:t>
      </w:r>
      <w:r>
        <w:rPr>
          <w:rFonts w:ascii="宋体" w:hAnsi="宋体" w:cs="宋体"/>
          <w:sz w:val="32"/>
          <w:szCs w:val="32"/>
        </w:rPr>
        <w:t>市</w:t>
      </w:r>
      <w:r>
        <w:rPr>
          <w:rFonts w:hint="eastAsia" w:ascii="宋体" w:hAnsi="宋体" w:cs="宋体"/>
          <w:sz w:val="32"/>
          <w:szCs w:val="32"/>
        </w:rPr>
        <w:t>、</w:t>
      </w:r>
      <w:r>
        <w:rPr>
          <w:rFonts w:ascii="宋体" w:hAnsi="宋体" w:cs="宋体"/>
          <w:sz w:val="32"/>
          <w:szCs w:val="32"/>
        </w:rPr>
        <w:t>县委关于两项改革“后半篇”文章工</w:t>
      </w:r>
      <w:r>
        <w:rPr>
          <w:rFonts w:hint="eastAsia" w:ascii="宋体" w:hAnsi="宋体" w:cs="宋体"/>
          <w:sz w:val="32"/>
          <w:szCs w:val="32"/>
        </w:rPr>
        <w:t>作</w:t>
      </w:r>
      <w:r>
        <w:rPr>
          <w:rFonts w:ascii="宋体" w:hAnsi="宋体" w:cs="宋体"/>
          <w:sz w:val="32"/>
          <w:szCs w:val="32"/>
        </w:rPr>
        <w:t>重大决策部署，聚焦既定目标任务完成情况，总结推广先进经验，推动要素配置、资金投入、公共服务向“三农”领域倾斜，不断改善农民群众生产生活条件。</w:t>
      </w:r>
    </w:p>
    <w:p>
      <w:pPr>
        <w:pStyle w:val="5"/>
        <w:widowControl/>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2.</w:t>
      </w:r>
      <w:r>
        <w:rPr>
          <w:rFonts w:ascii="宋体" w:hAnsi="宋体" w:cs="宋体"/>
          <w:sz w:val="32"/>
          <w:szCs w:val="32"/>
        </w:rPr>
        <w:t>着力强化疫情防控。坚决扛起疫情防控责任，坚持“人物同防”，落实“四早”原则，强化重点场所、重点人群、重点领域监管，依法落实落细常态化疫情防控措施。常态化开展重点场所消毒消杀、冷链食品和快递物流风险排查，有序开展核酸检测、新冠疫苗接种。丰富群众精神文化生活，深入开展爱国卫生运动，广泛普及卫生健康知识，抓好流感等呼吸道传染疾病防治。加强防疫物资储备和应急演练，全面提高应对公共卫生突发事件能力和公共卫生服务水平。</w:t>
      </w:r>
    </w:p>
    <w:p>
      <w:pPr>
        <w:pStyle w:val="5"/>
        <w:widowControl/>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3.</w:t>
      </w:r>
      <w:r>
        <w:rPr>
          <w:rFonts w:ascii="宋体" w:hAnsi="宋体" w:cs="宋体"/>
          <w:sz w:val="32"/>
          <w:szCs w:val="32"/>
        </w:rPr>
        <w:t>着力补</w:t>
      </w:r>
      <w:r>
        <w:rPr>
          <w:rFonts w:hint="eastAsia" w:ascii="宋体" w:hAnsi="宋体" w:cs="宋体"/>
          <w:sz w:val="32"/>
          <w:szCs w:val="32"/>
        </w:rPr>
        <w:t>强</w:t>
      </w:r>
      <w:r>
        <w:rPr>
          <w:rFonts w:ascii="宋体" w:hAnsi="宋体" w:cs="宋体"/>
          <w:sz w:val="32"/>
          <w:szCs w:val="32"/>
        </w:rPr>
        <w:t>基础设施。加快完成鹿溪沟村委会至庙岭（1.2公里）、沙泥坪村春杨树坪至柿子树田（0.2公里），鹿溪沟漫水桥至叶忠义处（2.2公里）道路建设项目。全面完成黑溪沟、大丫河、老屋小（2）型水库除险加固和场镇饮用水源点（芋子沟）整治加固及管网铺设。</w:t>
      </w:r>
    </w:p>
    <w:p>
      <w:pPr>
        <w:pStyle w:val="5"/>
        <w:widowControl/>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4.</w:t>
      </w:r>
      <w:r>
        <w:rPr>
          <w:rFonts w:ascii="宋体" w:hAnsi="宋体" w:cs="宋体"/>
          <w:sz w:val="32"/>
          <w:szCs w:val="32"/>
        </w:rPr>
        <w:t>着力发展特色产业。按照“一核两翼”总体布局，完成400亩青花椒、600亩蓝莓和200亩</w:t>
      </w:r>
      <w:r>
        <w:rPr>
          <w:rFonts w:hint="eastAsia" w:ascii="宋体" w:hAnsi="宋体" w:cs="宋体"/>
          <w:sz w:val="32"/>
          <w:szCs w:val="32"/>
        </w:rPr>
        <w:t>木</w:t>
      </w:r>
      <w:r>
        <w:rPr>
          <w:rFonts w:ascii="宋体" w:hAnsi="宋体" w:cs="宋体"/>
          <w:sz w:val="32"/>
          <w:szCs w:val="32"/>
        </w:rPr>
        <w:t>耳林资源栽植。同时，抓好龙池谷三产融合发展示范园项目和空山黄牛种质资源基地建设，加强产业后续管护。</w:t>
      </w:r>
    </w:p>
    <w:p>
      <w:pPr>
        <w:pStyle w:val="5"/>
        <w:widowControl/>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5.</w:t>
      </w:r>
      <w:r>
        <w:rPr>
          <w:rFonts w:ascii="宋体" w:hAnsi="宋体" w:cs="宋体"/>
          <w:sz w:val="32"/>
          <w:szCs w:val="32"/>
        </w:rPr>
        <w:t>着力巩固脱贫攻坚。认真落实县委、县政府关于脱贫攻坚与乡村振兴有效衔接的具体举措，巩固脱贫攻坚成果。完善兜底保障政策，密切关注低保、分散供养五保、重度残疾人、“老弱病残孤”等低收入群体，做好边缘易致贫户和脱贫监测户的跟踪帮扶，健全完善防止返贫的机制，全力推动脱贫攻坚与乡村振兴有效衔接。完成太平场乡村振兴示范村建设规划，并争取开工建设，启动朽石坎示范村建设规划编制。</w:t>
      </w:r>
    </w:p>
    <w:p>
      <w:pPr>
        <w:pStyle w:val="5"/>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6.</w:t>
      </w:r>
      <w:r>
        <w:rPr>
          <w:rFonts w:ascii="宋体" w:hAnsi="宋体" w:cs="宋体"/>
          <w:sz w:val="32"/>
          <w:szCs w:val="32"/>
        </w:rPr>
        <w:t>着力改善生态环境。加强秸秆禁烧常年管控责任的落实，明确责任人员和奖惩措施。全面落实河（湖）长制、林长制工作，加强日常巡查，发现问题及时通报整改，确保污染源快速处置。紧抓化肥农药减量增效、畜禽粪污资源化利用，推进饮用水源、黑臭水体等整治，加大杨柏河周边水环境治理力度，巩固提升河湖水质，全面改善镇域生态环境。完成沙泥坪、贾村观、太平场、邵家河村“厕所革命”建设任务。严守生态保护红线，持续加大农村乱占耕地建房整治力度，扛稳粮食安全重任。</w:t>
      </w:r>
    </w:p>
    <w:p>
      <w:pPr>
        <w:pStyle w:val="5"/>
        <w:widowControl/>
        <w:adjustRightInd w:val="0"/>
        <w:snapToGrid w:val="0"/>
        <w:spacing w:line="552" w:lineRule="exact"/>
        <w:ind w:firstLine="640" w:firstLineChars="200"/>
        <w:jc w:val="both"/>
        <w:rPr>
          <w:rFonts w:ascii="宋体" w:hAnsi="宋体" w:cs="宋体"/>
          <w:sz w:val="32"/>
          <w:szCs w:val="32"/>
        </w:rPr>
      </w:pPr>
      <w:r>
        <w:rPr>
          <w:rFonts w:hint="eastAsia" w:ascii="宋体" w:hAnsi="宋体" w:cs="宋体"/>
          <w:sz w:val="32"/>
          <w:szCs w:val="32"/>
        </w:rPr>
        <w:t>7.</w:t>
      </w:r>
      <w:r>
        <w:rPr>
          <w:rFonts w:ascii="宋体" w:hAnsi="宋体" w:cs="宋体"/>
          <w:sz w:val="32"/>
          <w:szCs w:val="32"/>
        </w:rPr>
        <w:t>着力培育文明乡风。深化社会主义核心价值观宣传教育，弘扬真善美，传播崇德向善的正能量</w:t>
      </w:r>
      <w:r>
        <w:t>，</w:t>
      </w:r>
      <w:r>
        <w:rPr>
          <w:rFonts w:ascii="宋体" w:hAnsi="宋体" w:cs="宋体"/>
          <w:sz w:val="32"/>
          <w:szCs w:val="32"/>
        </w:rPr>
        <w:t>让农村善行义举蔚然成风。推进镇村文化活动场所建设，繁荣农村群众文化生活。抓实移风易俗工作，弘扬农村优良传统礼俗，倡导勤劳致富、诚信重礼、文明节俭，抑制婚丧嫁娶大操大办、攀比炫富等不良风气。深入挖掘、继承和发扬杨柏红色传统文化；开展好“好婆婆好儿媳” 和“孝老爱亲示范户”等评选活动。</w:t>
      </w:r>
    </w:p>
    <w:p>
      <w:pPr>
        <w:pStyle w:val="3"/>
        <w:adjustRightInd w:val="0"/>
        <w:snapToGrid w:val="0"/>
        <w:spacing w:before="93" w:line="600" w:lineRule="exact"/>
        <w:ind w:firstLine="672" w:firstLineChars="210"/>
        <w:outlineLvl w:val="2"/>
        <w:rPr>
          <w:rFonts w:ascii="宋体" w:hAnsi="宋体" w:eastAsia="宋体" w:cs="宋体"/>
          <w:sz w:val="32"/>
          <w:szCs w:val="32"/>
        </w:rPr>
      </w:pPr>
    </w:p>
    <w:p>
      <w:pPr>
        <w:pStyle w:val="13"/>
        <w:rPr>
          <w:rStyle w:val="34"/>
          <w:b w:val="0"/>
          <w:bCs w:val="0"/>
        </w:rPr>
      </w:pPr>
      <w:bookmarkStart w:id="25" w:name="_Toc16035"/>
      <w:r>
        <w:rPr>
          <w:rFonts w:hint="eastAsia" w:ascii="黑体" w:eastAsia="黑体"/>
          <w:b w:val="0"/>
          <w:color w:val="000000"/>
        </w:rPr>
        <w:t>二、</w:t>
      </w:r>
      <w:r>
        <w:rPr>
          <w:rFonts w:hint="eastAsia" w:ascii="黑体" w:hAnsi="黑体" w:eastAsia="黑体"/>
          <w:b w:val="0"/>
          <w:color w:val="000000"/>
        </w:rPr>
        <w:t>机</w:t>
      </w:r>
      <w:r>
        <w:rPr>
          <w:rStyle w:val="34"/>
          <w:rFonts w:hint="eastAsia" w:ascii="黑体" w:hAnsi="黑体" w:eastAsia="黑体"/>
          <w:b w:val="0"/>
          <w:bCs w:val="0"/>
        </w:rPr>
        <w:t>构设置</w:t>
      </w:r>
      <w:bookmarkEnd w:id="25"/>
    </w:p>
    <w:p>
      <w:pPr>
        <w:spacing w:line="600" w:lineRule="exact"/>
        <w:ind w:firstLine="640" w:firstLineChars="200"/>
        <w:rPr>
          <w:color w:val="000000"/>
          <w:sz w:val="32"/>
          <w:szCs w:val="32"/>
        </w:rPr>
      </w:pPr>
      <w:r>
        <w:rPr>
          <w:rFonts w:hint="eastAsia"/>
          <w:color w:val="000000"/>
          <w:sz w:val="32"/>
          <w:szCs w:val="32"/>
        </w:rPr>
        <w:t>杨柏镇辖区内公开单位13个，其中行政单位4个</w:t>
      </w:r>
      <w:r>
        <w:t>（</w:t>
      </w:r>
      <w:r>
        <w:rPr>
          <w:rFonts w:hint="eastAsia"/>
          <w:color w:val="000000"/>
          <w:sz w:val="32"/>
          <w:szCs w:val="32"/>
        </w:rPr>
        <w:t>党政办、民政办、卫计办、财政所</w:t>
      </w:r>
      <w:r>
        <w:t>）</w:t>
      </w:r>
      <w:r>
        <w:rPr>
          <w:rFonts w:hint="eastAsia"/>
          <w:color w:val="000000"/>
          <w:sz w:val="32"/>
          <w:szCs w:val="32"/>
        </w:rPr>
        <w:t>，参照公务员法管理的事业单位0个，其他事业单位9个（农业服务站、社会事业服务站、文化站、村镇建设服务站、国土资源所、食品药品监督站、太平小学、杨柏中心小学、杨柏镇卫生院）。</w:t>
      </w:r>
    </w:p>
    <w:p>
      <w:pPr>
        <w:pStyle w:val="3"/>
        <w:adjustRightInd w:val="0"/>
        <w:snapToGrid w:val="0"/>
        <w:spacing w:before="93" w:line="600" w:lineRule="exact"/>
        <w:ind w:firstLine="1050" w:firstLineChars="350"/>
        <w:rPr>
          <w:rFonts w:ascii="仿宋" w:hAnsi="仿宋" w:eastAsia="仿宋"/>
          <w:sz w:val="32"/>
          <w:szCs w:val="32"/>
        </w:rPr>
      </w:pPr>
      <w:r>
        <w:br w:type="page"/>
      </w:r>
      <w:bookmarkEnd w:id="20"/>
      <w:bookmarkEnd w:id="21"/>
    </w:p>
    <w:p>
      <w:pPr>
        <w:widowControl/>
        <w:jc w:val="left"/>
      </w:pPr>
    </w:p>
    <w:p>
      <w:pPr>
        <w:pStyle w:val="12"/>
        <w:ind w:right="440"/>
        <w:jc w:val="center"/>
        <w:rPr>
          <w:rStyle w:val="28"/>
          <w:rFonts w:ascii="黑体" w:hAnsi="黑体" w:eastAsia="黑体"/>
          <w:b w:val="0"/>
          <w:bCs/>
        </w:rPr>
      </w:pPr>
      <w:bookmarkStart w:id="26" w:name="_Toc19154"/>
      <w:bookmarkStart w:id="27" w:name="_Toc15377204"/>
      <w:bookmarkStart w:id="28" w:name="_Toc15396602"/>
      <w:r>
        <w:rPr>
          <w:rFonts w:hint="eastAsia" w:ascii="黑体" w:hAnsi="黑体" w:eastAsia="黑体"/>
          <w:b w:val="0"/>
        </w:rPr>
        <w:t>第二部分2021年度</w:t>
      </w:r>
      <w:r>
        <w:rPr>
          <w:rStyle w:val="28"/>
          <w:rFonts w:hint="eastAsia" w:ascii="黑体" w:hAnsi="黑体" w:eastAsia="黑体"/>
          <w:b w:val="0"/>
          <w:bCs/>
        </w:rPr>
        <w:t>部门决算情况说明</w:t>
      </w:r>
      <w:bookmarkEnd w:id="26"/>
      <w:bookmarkEnd w:id="27"/>
      <w:bookmarkEnd w:id="28"/>
    </w:p>
    <w:p/>
    <w:p>
      <w:pPr>
        <w:pStyle w:val="27"/>
        <w:numPr>
          <w:ilvl w:val="0"/>
          <w:numId w:val="1"/>
        </w:numPr>
        <w:spacing w:line="600" w:lineRule="exact"/>
        <w:ind w:firstLineChars="0"/>
        <w:outlineLvl w:val="1"/>
        <w:rPr>
          <w:rStyle w:val="29"/>
          <w:rFonts w:ascii="黑体" w:hAnsi="黑体" w:eastAsia="黑体"/>
          <w:b w:val="0"/>
        </w:rPr>
      </w:pPr>
      <w:bookmarkStart w:id="29" w:name="_Toc6652"/>
      <w:bookmarkStart w:id="30" w:name="_Toc15396603"/>
      <w:bookmarkStart w:id="31"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9"/>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2021年度收、支总计4675.56万元。与2020年相比，收、支总计各增加1118.69万元，增长31.45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3"/>
        <w:spacing w:before="93"/>
        <w:rPr>
          <w:sz w:val="32"/>
          <w:szCs w:val="32"/>
        </w:rPr>
      </w:pPr>
      <w:r>
        <w:drawing>
          <wp:inline distT="0" distB="0" distL="114300" distR="114300">
            <wp:extent cx="4572000" cy="2743200"/>
            <wp:effectExtent l="4445" t="4445" r="14605" b="14605"/>
            <wp:docPr id="767" name="_x0000_i29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32" w:name="_Toc32010"/>
      <w:bookmarkStart w:id="33" w:name="_Toc15377206"/>
      <w:bookmarkStart w:id="34" w:name="_Toc15396604"/>
      <w:r>
        <w:rPr>
          <w:rFonts w:hint="eastAsia" w:ascii="黑体" w:hAnsi="黑体" w:eastAsia="黑体"/>
          <w:sz w:val="32"/>
          <w:szCs w:val="32"/>
        </w:rPr>
        <w:t>收</w:t>
      </w:r>
      <w:r>
        <w:rPr>
          <w:rStyle w:val="29"/>
          <w:rFonts w:hint="eastAsia" w:ascii="黑体" w:hAnsi="黑体" w:eastAsia="黑体"/>
          <w:b w:val="0"/>
        </w:rPr>
        <w:t>入决算情况说明</w:t>
      </w:r>
      <w:bookmarkEnd w:id="32"/>
      <w:bookmarkEnd w:id="33"/>
      <w:bookmarkEnd w:id="34"/>
    </w:p>
    <w:p>
      <w:pPr>
        <w:spacing w:line="600" w:lineRule="exact"/>
        <w:ind w:firstLine="640" w:firstLineChars="200"/>
        <w:outlineLvl w:val="1"/>
        <w:rPr>
          <w:rFonts w:ascii="仿宋" w:hAnsi="仿宋" w:eastAsia="仿宋"/>
          <w:sz w:val="32"/>
          <w:szCs w:val="32"/>
        </w:rPr>
      </w:pPr>
      <w:bookmarkStart w:id="35" w:name="_Toc7983"/>
      <w:r>
        <w:rPr>
          <w:rFonts w:ascii="仿宋" w:hAnsi="仿宋" w:eastAsia="仿宋"/>
          <w:sz w:val="32"/>
          <w:szCs w:val="32"/>
        </w:rPr>
        <w:t>20</w:t>
      </w:r>
      <w:r>
        <w:rPr>
          <w:rFonts w:hint="eastAsia" w:ascii="仿宋" w:hAnsi="仿宋" w:eastAsia="仿宋"/>
          <w:sz w:val="32"/>
          <w:szCs w:val="32"/>
        </w:rPr>
        <w:t>21年本年收入合计4675.56万元，其中：一般公共预算财政拨款收入4318.69万元，占92.4</w:t>
      </w:r>
      <w:r>
        <w:rPr>
          <w:rFonts w:ascii="仿宋" w:hAnsi="仿宋" w:eastAsia="仿宋"/>
          <w:sz w:val="32"/>
          <w:szCs w:val="32"/>
        </w:rPr>
        <w:t>%</w:t>
      </w:r>
      <w:r>
        <w:rPr>
          <w:rFonts w:hint="eastAsia" w:ascii="仿宋" w:hAnsi="仿宋" w:eastAsia="仿宋"/>
          <w:sz w:val="32"/>
          <w:szCs w:val="32"/>
        </w:rPr>
        <w:t>；政府性基金预算财政拨款收入46.33万元，占1</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；事业收入261.33万元，占5.6</w:t>
      </w:r>
      <w:r>
        <w:rPr>
          <w:rFonts w:ascii="仿宋" w:hAnsi="仿宋" w:eastAsia="仿宋"/>
          <w:sz w:val="32"/>
          <w:szCs w:val="32"/>
        </w:rPr>
        <w:t>%</w:t>
      </w:r>
      <w:r>
        <w:rPr>
          <w:rFonts w:hint="eastAsia" w:ascii="仿宋" w:hAnsi="仿宋" w:eastAsia="仿宋"/>
          <w:sz w:val="32"/>
          <w:szCs w:val="32"/>
        </w:rPr>
        <w:t>；经营收入0万元，占比0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；其他收入49.25万元，占比1</w:t>
      </w:r>
      <w:r>
        <w:rPr>
          <w:rFonts w:ascii="仿宋" w:hAnsi="仿宋" w:eastAsia="仿宋"/>
          <w:sz w:val="32"/>
          <w:szCs w:val="32"/>
        </w:rPr>
        <w:t>%</w:t>
      </w:r>
      <w:r>
        <w:rPr>
          <w:rFonts w:hint="eastAsia" w:ascii="仿宋" w:hAnsi="仿宋" w:eastAsia="仿宋"/>
          <w:sz w:val="32"/>
          <w:szCs w:val="32"/>
        </w:rPr>
        <w:t>。</w:t>
      </w:r>
      <w:bookmarkEnd w:id="35"/>
    </w:p>
    <w:p>
      <w:pPr>
        <w:spacing w:line="600" w:lineRule="exact"/>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3"/>
        <w:spacing w:before="93"/>
        <w:rPr>
          <w:sz w:val="32"/>
          <w:szCs w:val="32"/>
        </w:rPr>
      </w:pPr>
    </w:p>
    <w:p>
      <w:pPr>
        <w:pStyle w:val="3"/>
        <w:spacing w:before="93"/>
        <w:rPr>
          <w:sz w:val="32"/>
          <w:szCs w:val="32"/>
        </w:rPr>
      </w:pPr>
      <w:r>
        <w:drawing>
          <wp:inline distT="0" distB="0" distL="114300" distR="114300">
            <wp:extent cx="4572000" cy="2746375"/>
            <wp:effectExtent l="4445" t="4445" r="14605" b="11430"/>
            <wp:docPr id="768" name="_x0000_i299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spacing w:before="93"/>
        <w:rPr>
          <w:sz w:val="32"/>
          <w:szCs w:val="32"/>
        </w:rPr>
      </w:pPr>
    </w:p>
    <w:p>
      <w:pPr>
        <w:pStyle w:val="27"/>
        <w:numPr>
          <w:ilvl w:val="0"/>
          <w:numId w:val="1"/>
        </w:numPr>
        <w:spacing w:line="600" w:lineRule="exact"/>
        <w:ind w:firstLineChars="0"/>
        <w:outlineLvl w:val="1"/>
        <w:rPr>
          <w:rStyle w:val="29"/>
          <w:rFonts w:ascii="黑体" w:hAnsi="黑体" w:eastAsia="黑体"/>
          <w:b w:val="0"/>
        </w:rPr>
      </w:pPr>
      <w:bookmarkStart w:id="36" w:name="_Toc15396605"/>
      <w:bookmarkStart w:id="37" w:name="_Toc24575"/>
      <w:bookmarkStart w:id="38" w:name="_Toc15377207"/>
      <w:r>
        <w:rPr>
          <w:rFonts w:hint="eastAsia" w:ascii="黑体" w:hAnsi="黑体" w:eastAsia="黑体"/>
          <w:sz w:val="32"/>
          <w:szCs w:val="32"/>
        </w:rPr>
        <w:t>支</w:t>
      </w:r>
      <w:r>
        <w:rPr>
          <w:rStyle w:val="29"/>
          <w:rFonts w:hint="eastAsia" w:ascii="黑体" w:hAnsi="黑体" w:eastAsia="黑体"/>
          <w:b w:val="0"/>
        </w:rPr>
        <w:t>出决算情况说明</w:t>
      </w:r>
      <w:bookmarkEnd w:id="36"/>
      <w:bookmarkEnd w:id="37"/>
      <w:bookmarkEnd w:id="38"/>
    </w:p>
    <w:p>
      <w:pPr>
        <w:spacing w:line="600" w:lineRule="exact"/>
        <w:ind w:firstLine="640" w:firstLineChars="200"/>
        <w:outlineLvl w:val="1"/>
        <w:rPr>
          <w:rFonts w:ascii="仿宋" w:hAnsi="仿宋" w:eastAsia="仿宋"/>
          <w:sz w:val="32"/>
          <w:szCs w:val="32"/>
        </w:rPr>
      </w:pPr>
      <w:bookmarkStart w:id="39" w:name="_Toc19523"/>
      <w:r>
        <w:rPr>
          <w:rFonts w:ascii="仿宋" w:hAnsi="仿宋" w:eastAsia="仿宋"/>
          <w:sz w:val="32"/>
          <w:szCs w:val="32"/>
        </w:rPr>
        <w:t>20</w:t>
      </w:r>
      <w:r>
        <w:rPr>
          <w:rFonts w:hint="eastAsia" w:ascii="仿宋" w:hAnsi="仿宋" w:eastAsia="仿宋"/>
          <w:sz w:val="32"/>
          <w:szCs w:val="32"/>
        </w:rPr>
        <w:t>21年本年支出合计4675.56万元，其中：基本支出2485.59万元，占53.2</w:t>
      </w:r>
      <w:r>
        <w:rPr>
          <w:rFonts w:ascii="仿宋" w:hAnsi="仿宋" w:eastAsia="仿宋"/>
          <w:sz w:val="32"/>
          <w:szCs w:val="32"/>
        </w:rPr>
        <w:t>%</w:t>
      </w:r>
      <w:r>
        <w:rPr>
          <w:rFonts w:hint="eastAsia" w:ascii="仿宋" w:hAnsi="仿宋" w:eastAsia="仿宋"/>
          <w:sz w:val="32"/>
          <w:szCs w:val="32"/>
        </w:rPr>
        <w:t>；项目支出2189.96万元，占46.8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9"/>
    </w:p>
    <w:p>
      <w:pPr>
        <w:spacing w:line="600" w:lineRule="exact"/>
        <w:ind w:firstLine="640"/>
        <w:rPr>
          <w:rFonts w:ascii="仿宋" w:hAnsi="仿宋" w:eastAsia="仿宋"/>
          <w:sz w:val="32"/>
          <w:szCs w:val="32"/>
          <w:u w:val="none" w:color="FFB03A"/>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3"/>
        <w:spacing w:before="93"/>
      </w:pPr>
    </w:p>
    <w:p>
      <w:pPr>
        <w:spacing w:line="600" w:lineRule="exact"/>
        <w:ind w:firstLine="640" w:firstLineChars="200"/>
        <w:rPr>
          <w:rFonts w:ascii="仿宋_GB2312" w:eastAsia="仿宋_GB2312"/>
          <w:sz w:val="32"/>
          <w:szCs w:val="32"/>
        </w:rPr>
      </w:pPr>
    </w:p>
    <w:p>
      <w:pPr>
        <w:pStyle w:val="3"/>
        <w:spacing w:before="93"/>
      </w:pPr>
      <w:r>
        <w:drawing>
          <wp:inline distT="0" distB="0" distL="114300" distR="114300">
            <wp:extent cx="4572000" cy="2746375"/>
            <wp:effectExtent l="4445" t="4445" r="14605" b="11430"/>
            <wp:docPr id="769" name="_x0000_i30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9"/>
          <w:rFonts w:ascii="黑体" w:hAnsi="黑体" w:eastAsia="黑体"/>
          <w:b w:val="0"/>
        </w:rPr>
      </w:pPr>
      <w:bookmarkStart w:id="40" w:name="_Toc15603"/>
      <w:bookmarkStart w:id="41" w:name="_Toc15396606"/>
      <w:bookmarkStart w:id="42"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0"/>
      <w:bookmarkEnd w:id="41"/>
      <w:bookmarkEnd w:id="4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21年财政拨款收、支总计4365.02万元。与</w:t>
      </w:r>
      <w:r>
        <w:rPr>
          <w:rFonts w:ascii="仿宋" w:hAnsi="仿宋" w:eastAsia="仿宋"/>
          <w:sz w:val="32"/>
          <w:szCs w:val="32"/>
        </w:rPr>
        <w:t>20</w:t>
      </w:r>
      <w:r>
        <w:rPr>
          <w:rFonts w:hint="eastAsia" w:ascii="仿宋" w:hAnsi="仿宋" w:eastAsia="仿宋"/>
          <w:sz w:val="32"/>
          <w:szCs w:val="32"/>
        </w:rPr>
        <w:t>20年相比，财政拨款收、支总计各增加808.15万元，增长22.7</w:t>
      </w:r>
      <w:r>
        <w:rPr>
          <w:rFonts w:ascii="仿宋" w:hAnsi="仿宋" w:eastAsia="仿宋"/>
          <w:sz w:val="32"/>
          <w:szCs w:val="32"/>
        </w:rPr>
        <w:t>%</w:t>
      </w:r>
      <w:r>
        <w:rPr>
          <w:rFonts w:hint="eastAsia" w:ascii="仿宋" w:hAnsi="仿宋" w:eastAsia="仿宋"/>
          <w:sz w:val="32"/>
          <w:szCs w:val="32"/>
        </w:rPr>
        <w:t>。主要变动原因是项目增加。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pStyle w:val="3"/>
        <w:spacing w:before="93"/>
        <w:rPr>
          <w:rFonts w:ascii="仿宋" w:hAnsi="仿宋" w:eastAsia="仿宋"/>
          <w:b/>
          <w:sz w:val="32"/>
          <w:szCs w:val="32"/>
        </w:rPr>
      </w:pPr>
      <w:r>
        <w:drawing>
          <wp:inline distT="0" distB="0" distL="114300" distR="114300">
            <wp:extent cx="4572000" cy="2746375"/>
            <wp:effectExtent l="4445" t="4445" r="14605" b="11430"/>
            <wp:docPr id="770" name="_x0000_i30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
        <w:spacing w:before="93"/>
        <w:rPr>
          <w:rFonts w:ascii="仿宋" w:hAnsi="仿宋" w:eastAsia="仿宋"/>
          <w:b/>
          <w:sz w:val="32"/>
          <w:szCs w:val="32"/>
        </w:rPr>
      </w:pPr>
    </w:p>
    <w:p>
      <w:pPr>
        <w:pStyle w:val="3"/>
        <w:spacing w:before="93"/>
        <w:rPr>
          <w:rFonts w:ascii="仿宋" w:hAnsi="仿宋" w:eastAsia="仿宋"/>
          <w:b/>
          <w:sz w:val="32"/>
          <w:szCs w:val="32"/>
        </w:rPr>
      </w:pPr>
    </w:p>
    <w:p>
      <w:pPr>
        <w:pStyle w:val="3"/>
        <w:spacing w:before="93"/>
        <w:rPr>
          <w:rFonts w:ascii="仿宋" w:hAnsi="仿宋" w:eastAsia="仿宋"/>
          <w:b/>
          <w:sz w:val="32"/>
          <w:szCs w:val="32"/>
        </w:rPr>
      </w:pPr>
    </w:p>
    <w:p>
      <w:pPr>
        <w:spacing w:line="600" w:lineRule="exact"/>
        <w:ind w:firstLine="640" w:firstLineChars="200"/>
        <w:outlineLvl w:val="1"/>
        <w:rPr>
          <w:rStyle w:val="29"/>
          <w:rFonts w:ascii="黑体" w:hAnsi="黑体" w:eastAsia="黑体"/>
          <w:b w:val="0"/>
        </w:rPr>
      </w:pPr>
      <w:bookmarkStart w:id="43" w:name="_Toc15377209"/>
      <w:bookmarkStart w:id="44" w:name="_Toc31667"/>
      <w:bookmarkStart w:id="45"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rPr>
        <w:t>财政拨款支出决算情况说明</w:t>
      </w:r>
      <w:bookmarkEnd w:id="43"/>
      <w:bookmarkEnd w:id="44"/>
      <w:bookmarkEnd w:id="45"/>
    </w:p>
    <w:p>
      <w:pPr>
        <w:spacing w:line="600" w:lineRule="exact"/>
        <w:ind w:firstLine="643" w:firstLineChars="200"/>
        <w:outlineLvl w:val="2"/>
        <w:rPr>
          <w:rFonts w:ascii="仿宋" w:hAnsi="仿宋" w:eastAsia="仿宋"/>
          <w:b/>
          <w:sz w:val="32"/>
          <w:szCs w:val="32"/>
        </w:rPr>
      </w:pPr>
      <w:bookmarkStart w:id="46" w:name="_Toc9329"/>
      <w:bookmarkStart w:id="47" w:name="_Toc15377210"/>
      <w:r>
        <w:rPr>
          <w:rFonts w:hint="eastAsia" w:ascii="仿宋" w:hAnsi="仿宋" w:eastAsia="仿宋"/>
          <w:b/>
          <w:sz w:val="32"/>
          <w:szCs w:val="32"/>
        </w:rPr>
        <w:t>（一）一般公共预算财政拨款支出决算总体情况</w:t>
      </w:r>
      <w:bookmarkEnd w:id="46"/>
      <w:bookmarkEnd w:id="4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21年一般公共预算财政拨款支出4318.69万元，占本年支出合计的92.4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20年相比，一般公共预算财政拨款支出增加1126.52万元，增长35.3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3"/>
        <w:spacing w:before="93"/>
        <w:rPr>
          <w:rFonts w:ascii="仿宋" w:hAnsi="仿宋" w:eastAsia="仿宋"/>
          <w:sz w:val="32"/>
          <w:szCs w:val="32"/>
        </w:rPr>
      </w:pPr>
      <w:r>
        <w:drawing>
          <wp:inline distT="0" distB="0" distL="114300" distR="114300">
            <wp:extent cx="4572000" cy="2746375"/>
            <wp:effectExtent l="4445" t="4445" r="14605" b="11430"/>
            <wp:docPr id="771" name="_x0000_i300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sz w:val="32"/>
          <w:szCs w:val="32"/>
        </w:rPr>
      </w:pPr>
      <w:bookmarkStart w:id="48" w:name="_Toc9449"/>
      <w:bookmarkStart w:id="49" w:name="_Toc15377211"/>
      <w:r>
        <w:rPr>
          <w:rFonts w:hint="eastAsia" w:ascii="仿宋" w:hAnsi="仿宋" w:eastAsia="仿宋"/>
          <w:b/>
          <w:sz w:val="32"/>
          <w:szCs w:val="32"/>
        </w:rPr>
        <w:t>（二）一般公共预算财政拨款支出决算结构情况</w:t>
      </w:r>
      <w:bookmarkEnd w:id="48"/>
      <w:bookmarkEnd w:id="4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21年一般公共预算财政拨款支出4318.69万元，主要用于以下方面</w:t>
      </w:r>
      <w:r>
        <w:t>：</w:t>
      </w:r>
      <w:r>
        <w:rPr>
          <w:rFonts w:hint="eastAsia" w:ascii="仿宋" w:hAnsi="仿宋" w:eastAsia="仿宋"/>
          <w:b/>
          <w:sz w:val="32"/>
          <w:szCs w:val="32"/>
        </w:rPr>
        <w:t>一般公共服务（类）</w:t>
      </w:r>
      <w:r>
        <w:rPr>
          <w:rFonts w:hint="eastAsia" w:ascii="仿宋" w:hAnsi="仿宋" w:eastAsia="仿宋"/>
          <w:sz w:val="32"/>
          <w:szCs w:val="32"/>
        </w:rPr>
        <w:t>支出492.96万元，占11.4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1032.51万元，占23.9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支出4万元，占0.1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支出235万元，占5.4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卫生健康支出（类）</w:t>
      </w:r>
      <w:r>
        <w:rPr>
          <w:rFonts w:hint="eastAsia" w:ascii="仿宋" w:hAnsi="仿宋" w:eastAsia="仿宋"/>
          <w:sz w:val="32"/>
          <w:szCs w:val="32"/>
        </w:rPr>
        <w:t>246.26万元，占5.7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城乡社区支出（类）</w:t>
      </w:r>
      <w:r>
        <w:rPr>
          <w:rFonts w:hint="eastAsia" w:ascii="仿宋" w:hAnsi="仿宋" w:eastAsia="仿宋"/>
          <w:sz w:val="32"/>
          <w:szCs w:val="32"/>
        </w:rPr>
        <w:t>46.33万元，占1.1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农林水支出（类）</w:t>
      </w:r>
      <w:r>
        <w:rPr>
          <w:rFonts w:hint="eastAsia" w:ascii="仿宋" w:hAnsi="仿宋" w:eastAsia="仿宋"/>
          <w:sz w:val="32"/>
          <w:szCs w:val="32"/>
        </w:rPr>
        <w:t>1480.45万元，占34.3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支出827.48万元，占18.1</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3"/>
        <w:spacing w:before="93"/>
      </w:pPr>
      <w:r>
        <w:drawing>
          <wp:inline distT="0" distB="0" distL="114300" distR="114300">
            <wp:extent cx="4572000" cy="2746375"/>
            <wp:effectExtent l="4445" t="4445" r="14605" b="11430"/>
            <wp:docPr id="772" name="_x0000_i300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3" w:firstLineChars="200"/>
        <w:outlineLvl w:val="2"/>
        <w:rPr>
          <w:rFonts w:ascii="仿宋" w:hAnsi="仿宋" w:eastAsia="仿宋"/>
          <w:b/>
          <w:sz w:val="32"/>
          <w:szCs w:val="32"/>
        </w:rPr>
      </w:pPr>
      <w:bookmarkStart w:id="50" w:name="_Toc15377212"/>
      <w:bookmarkStart w:id="51" w:name="_Toc30294"/>
      <w:r>
        <w:rPr>
          <w:rFonts w:hint="eastAsia" w:ascii="仿宋" w:hAnsi="仿宋" w:eastAsia="仿宋"/>
          <w:b/>
          <w:sz w:val="32"/>
          <w:szCs w:val="32"/>
        </w:rPr>
        <w:t>（三）一般公共预算财政拨款支出决算具体情况</w:t>
      </w:r>
      <w:bookmarkEnd w:id="50"/>
      <w:bookmarkEnd w:id="51"/>
    </w:p>
    <w:p>
      <w:pPr>
        <w:spacing w:line="600" w:lineRule="exact"/>
        <w:ind w:firstLine="643" w:firstLineChars="200"/>
        <w:outlineLvl w:val="2"/>
        <w:rPr>
          <w:rFonts w:ascii="仿宋" w:hAnsi="仿宋" w:eastAsia="仿宋"/>
          <w:sz w:val="32"/>
          <w:szCs w:val="32"/>
        </w:rPr>
      </w:pPr>
      <w:bookmarkStart w:id="52" w:name="_Toc15378460"/>
      <w:bookmarkStart w:id="53" w:name="_Toc195"/>
      <w:bookmarkStart w:id="54" w:name="_Toc15377444"/>
      <w:bookmarkStart w:id="55" w:name="_Toc15377213"/>
      <w:r>
        <w:rPr>
          <w:rFonts w:hint="eastAsia" w:ascii="仿宋" w:hAnsi="仿宋" w:eastAsia="仿宋"/>
          <w:b/>
          <w:sz w:val="32"/>
          <w:szCs w:val="32"/>
        </w:rPr>
        <w:t>2021年一般公共预算支出决算数为4318.69万元</w:t>
      </w:r>
      <w:r>
        <w:rPr>
          <w:rFonts w:hint="eastAsia" w:ascii="仿宋" w:hAnsi="仿宋" w:eastAsia="仿宋"/>
          <w:sz w:val="32"/>
          <w:szCs w:val="32"/>
        </w:rPr>
        <w:t>，</w:t>
      </w:r>
      <w:r>
        <w:rPr>
          <w:rStyle w:val="9"/>
          <w:rFonts w:hint="eastAsia" w:ascii="仿宋" w:hAnsi="仿宋" w:eastAsia="仿宋"/>
          <w:bCs/>
          <w:sz w:val="32"/>
          <w:szCs w:val="32"/>
        </w:rPr>
        <w:t>完成预算的100</w:t>
      </w:r>
      <w:r>
        <w:rPr>
          <w:rStyle w:val="9"/>
          <w:rFonts w:ascii="仿宋" w:hAnsi="仿宋" w:eastAsia="仿宋"/>
          <w:bCs/>
          <w:sz w:val="32"/>
          <w:szCs w:val="32"/>
        </w:rPr>
        <w:t>%</w:t>
      </w:r>
      <w:r>
        <w:rPr>
          <w:rStyle w:val="9"/>
          <w:rFonts w:hint="eastAsia" w:ascii="仿宋" w:hAnsi="仿宋" w:eastAsia="仿宋"/>
          <w:bCs/>
          <w:sz w:val="32"/>
          <w:szCs w:val="32"/>
        </w:rPr>
        <w:t>。</w:t>
      </w:r>
      <w:r>
        <w:rPr>
          <w:rFonts w:hint="eastAsia" w:ascii="仿宋" w:hAnsi="仿宋" w:eastAsia="仿宋"/>
          <w:bCs/>
          <w:sz w:val="32"/>
          <w:szCs w:val="32"/>
        </w:rPr>
        <w:t>其中：</w:t>
      </w:r>
      <w:bookmarkEnd w:id="52"/>
      <w:bookmarkEnd w:id="53"/>
      <w:bookmarkEnd w:id="54"/>
      <w:bookmarkEnd w:id="55"/>
    </w:p>
    <w:p>
      <w:pPr>
        <w:spacing w:line="600" w:lineRule="exact"/>
        <w:ind w:left="-3"/>
        <w:rPr>
          <w:rStyle w:val="9"/>
          <w:rFonts w:ascii="仿宋" w:hAnsi="仿宋" w:eastAsia="仿宋"/>
          <w:b w:val="0"/>
          <w:bCs/>
          <w:color w:val="000000"/>
          <w:sz w:val="32"/>
          <w:szCs w:val="32"/>
        </w:rPr>
      </w:pPr>
      <w:r>
        <w:rPr>
          <w:rStyle w:val="9"/>
          <w:rFonts w:hint="eastAsia" w:ascii="仿宋" w:hAnsi="仿宋" w:eastAsia="仿宋"/>
          <w:bCs/>
          <w:color w:val="000000"/>
          <w:sz w:val="32"/>
          <w:szCs w:val="32"/>
        </w:rPr>
        <w:t>1.一般公共服务（类）政府办公厅（室）及相关机构事务（款）行政运行（项）</w:t>
      </w:r>
      <w:r>
        <w:rPr>
          <w:rStyle w:val="9"/>
          <w:rFonts w:ascii="仿宋" w:hAnsi="仿宋" w:eastAsia="仿宋"/>
          <w:bCs/>
          <w:color w:val="000000"/>
          <w:sz w:val="32"/>
          <w:szCs w:val="32"/>
        </w:rPr>
        <w:t>:</w:t>
      </w:r>
      <w:r>
        <w:rPr>
          <w:rStyle w:val="9"/>
          <w:rFonts w:hint="eastAsia" w:ascii="仿宋" w:hAnsi="仿宋" w:eastAsia="仿宋"/>
          <w:bCs/>
          <w:color w:val="000000"/>
          <w:sz w:val="32"/>
          <w:szCs w:val="32"/>
        </w:rPr>
        <w:t>支出决算数</w:t>
      </w:r>
      <w:r>
        <w:rPr>
          <w:rFonts w:hint="eastAsia" w:ascii="仿宋" w:hAnsi="仿宋" w:eastAsia="仿宋"/>
          <w:bCs/>
          <w:color w:val="000000"/>
          <w:sz w:val="32"/>
          <w:szCs w:val="32"/>
        </w:rPr>
        <w:t>为</w:t>
      </w:r>
      <w:r>
        <w:rPr>
          <w:rStyle w:val="9"/>
          <w:rFonts w:hint="eastAsia" w:ascii="仿宋" w:hAnsi="仿宋" w:eastAsia="仿宋"/>
          <w:bCs/>
          <w:color w:val="000000"/>
          <w:sz w:val="32"/>
          <w:szCs w:val="32"/>
        </w:rPr>
        <w:t>368.17万元，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t>。</w:t>
      </w:r>
    </w:p>
    <w:p>
      <w:pPr>
        <w:spacing w:line="600" w:lineRule="exact"/>
        <w:rPr>
          <w:rStyle w:val="9"/>
          <w:rFonts w:ascii="仿宋" w:hAnsi="仿宋" w:eastAsia="仿宋"/>
          <w:color w:val="000000"/>
          <w:sz w:val="32"/>
          <w:szCs w:val="32"/>
        </w:rPr>
      </w:pPr>
      <w:r>
        <w:rPr>
          <w:rStyle w:val="9"/>
          <w:rFonts w:hint="eastAsia" w:ascii="仿宋" w:hAnsi="仿宋" w:eastAsia="仿宋"/>
          <w:bCs/>
          <w:color w:val="000000"/>
          <w:sz w:val="32"/>
          <w:szCs w:val="32"/>
        </w:rPr>
        <w:t>2.一般公共服务（类）政府办公厅（室）及相关机构事务（款）一般行政管理事务（项）</w:t>
      </w:r>
      <w:r>
        <w:rPr>
          <w:rStyle w:val="9"/>
          <w:rFonts w:ascii="仿宋" w:hAnsi="仿宋" w:eastAsia="仿宋"/>
          <w:bCs/>
          <w:color w:val="000000"/>
          <w:sz w:val="32"/>
          <w:szCs w:val="32"/>
        </w:rPr>
        <w:t>:</w:t>
      </w:r>
      <w:r>
        <w:rPr>
          <w:rStyle w:val="9"/>
          <w:rFonts w:hint="eastAsia" w:ascii="仿宋" w:hAnsi="仿宋" w:eastAsia="仿宋"/>
          <w:color w:val="000000"/>
          <w:sz w:val="32"/>
          <w:szCs w:val="32"/>
        </w:rPr>
        <w:t>支出决算数</w:t>
      </w:r>
      <w:r>
        <w:rPr>
          <w:rFonts w:hint="eastAsia" w:ascii="仿宋" w:hAnsi="仿宋" w:eastAsia="仿宋"/>
          <w:b/>
          <w:color w:val="000000"/>
          <w:sz w:val="32"/>
          <w:szCs w:val="32"/>
        </w:rPr>
        <w:t>为</w:t>
      </w:r>
      <w:r>
        <w:rPr>
          <w:rStyle w:val="9"/>
          <w:rFonts w:hint="eastAsia" w:ascii="仿宋" w:hAnsi="仿宋" w:eastAsia="仿宋"/>
          <w:color w:val="000000"/>
          <w:sz w:val="32"/>
          <w:szCs w:val="32"/>
        </w:rPr>
        <w:t>116.79万元，</w:t>
      </w:r>
      <w:r>
        <w:rPr>
          <w:rFonts w:hint="eastAsia" w:ascii="仿宋" w:hAnsi="仿宋" w:eastAsia="仿宋"/>
          <w:b/>
          <w:color w:val="000000"/>
          <w:sz w:val="32"/>
          <w:szCs w:val="32"/>
        </w:rPr>
        <w:t>完成</w:t>
      </w:r>
      <w:r>
        <w:rPr>
          <w:rStyle w:val="9"/>
          <w:rFonts w:hint="eastAsia" w:ascii="仿宋" w:hAnsi="仿宋" w:eastAsia="仿宋"/>
          <w:color w:val="000000"/>
          <w:sz w:val="32"/>
          <w:szCs w:val="32"/>
        </w:rPr>
        <w:t>预算</w:t>
      </w:r>
      <w:r>
        <w:rPr>
          <w:rFonts w:hint="eastAsia" w:ascii="仿宋" w:hAnsi="仿宋" w:eastAsia="仿宋"/>
          <w:b/>
          <w:color w:val="000000"/>
          <w:sz w:val="32"/>
          <w:szCs w:val="32"/>
        </w:rPr>
        <w:t>100%</w:t>
      </w:r>
      <w:r>
        <w:rPr>
          <w:rStyle w:val="9"/>
          <w:rFonts w:hint="eastAsia" w:ascii="仿宋" w:hAnsi="仿宋" w:eastAsia="仿宋"/>
          <w:color w:val="000000"/>
          <w:sz w:val="32"/>
          <w:szCs w:val="32"/>
        </w:rPr>
        <w:t>,</w:t>
      </w:r>
      <w:r>
        <w:rPr>
          <w:rFonts w:hint="eastAsia" w:ascii="仿宋" w:hAnsi="仿宋" w:eastAsia="仿宋"/>
          <w:b/>
          <w:color w:val="000000"/>
          <w:sz w:val="32"/>
          <w:szCs w:val="32"/>
        </w:rPr>
        <w:t>决算数等于预算数。</w:t>
      </w:r>
    </w:p>
    <w:p>
      <w:pPr>
        <w:spacing w:line="600" w:lineRule="exact"/>
        <w:rPr>
          <w:rStyle w:val="9"/>
          <w:rFonts w:ascii="仿宋" w:hAnsi="仿宋" w:eastAsia="仿宋"/>
          <w:bCs/>
          <w:color w:val="000000"/>
          <w:sz w:val="32"/>
          <w:szCs w:val="32"/>
        </w:rPr>
      </w:pPr>
      <w:r>
        <w:rPr>
          <w:rStyle w:val="9"/>
          <w:rFonts w:hint="eastAsia" w:ascii="仿宋" w:hAnsi="仿宋" w:eastAsia="仿宋" w:cstheme="minorBidi"/>
          <w:bCs/>
          <w:color w:val="000000"/>
          <w:sz w:val="32"/>
          <w:szCs w:val="32"/>
        </w:rPr>
        <w:t>3.</w:t>
      </w:r>
      <w:r>
        <w:rPr>
          <w:rStyle w:val="9"/>
          <w:rFonts w:hint="eastAsia" w:ascii="仿宋" w:hAnsi="仿宋" w:eastAsia="仿宋"/>
          <w:bCs/>
          <w:color w:val="000000"/>
          <w:sz w:val="32"/>
          <w:szCs w:val="32"/>
        </w:rPr>
        <w:t>一般公共服务（类）政府办公厅（室）及相关机构事务（款）信访事务（项）：支出决算数5万元，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numPr>
          <w:numId w:val="0"/>
        </w:num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lang w:val="en-US" w:eastAsia="zh-CN"/>
        </w:rPr>
        <w:t>4.</w:t>
      </w:r>
      <w:r>
        <w:rPr>
          <w:rStyle w:val="9"/>
          <w:rFonts w:hint="eastAsia" w:ascii="仿宋" w:hAnsi="仿宋" w:eastAsia="仿宋"/>
          <w:bCs/>
          <w:color w:val="000000"/>
          <w:sz w:val="32"/>
          <w:szCs w:val="32"/>
        </w:rPr>
        <w:t>一般公共服务（类）政府办公厅（室）及相关机构事务（款）事业运行（项）：支出决算数3万元，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u w:val="thick" w:color="FFB03A"/>
          <w:shd w:val="clear" w:fill="FFEFD8"/>
        </w:rPr>
        <w:t>5.</w:t>
      </w:r>
      <w:r>
        <w:rPr>
          <w:rStyle w:val="9"/>
          <w:rFonts w:hint="eastAsia" w:ascii="仿宋" w:hAnsi="仿宋" w:eastAsia="仿宋"/>
          <w:bCs/>
          <w:color w:val="000000"/>
          <w:sz w:val="32"/>
          <w:szCs w:val="32"/>
        </w:rPr>
        <w:t>教育支出（类）普通教育（款）学前教育（项）：支出决算数11.08万元，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6.教育支出（类）普通教育（款）小学教育（项）：支出决算数972.85万元，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7.教育支出（类）普通教育（款）其他普通教育支出（项）：支出决算数48.58万元，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8.文化旅游体育与传媒支出（类）文化和旅游（款）其他文化和旅游支出（项）：支出决算数4万元，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9.社会保障和就业支出（类）行政事业单位养老支出（款）行政单位离退休（项）：支出决算数8.89万元，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10.社会保障和就业支出（类）行政事业单位养老支出（款）机关事业单位基本养老保险缴费支出（项）：支出决算数163.31万元，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11.社会保障和就业支出（类）行政事业单位养老支出（款）机关事业单位职业年金缴费支出（项）：支出决算数26万元，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12.社会保障和就业支出（类）就业补助（款）公益性岗位补贴（项）：支出决算数27.8万元，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13.社会保障和就业支出（类）就业补助（款）其他就业补助支出（项）：支出决算数9万元，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14.卫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（类）基层医疗</w:t>
      </w:r>
      <w:r>
        <w:rPr>
          <w:rFonts w:hint="eastAsia" w:ascii="仿宋" w:hAnsi="仿宋" w:eastAsia="仿宋"/>
          <w:bCs/>
          <w:color w:val="000000"/>
          <w:sz w:val="32"/>
          <w:szCs w:val="32"/>
        </w:rPr>
        <w:t>卫生机构</w:t>
      </w:r>
      <w:r>
        <w:rPr>
          <w:rStyle w:val="9"/>
          <w:rFonts w:hint="eastAsia" w:ascii="仿宋" w:hAnsi="仿宋" w:eastAsia="仿宋"/>
          <w:bCs/>
          <w:color w:val="000000"/>
          <w:sz w:val="32"/>
          <w:szCs w:val="32"/>
        </w:rPr>
        <w:t>（款）乡镇卫</w:t>
      </w:r>
      <w:r>
        <w:rPr>
          <w:rFonts w:hint="eastAsia" w:ascii="仿宋" w:hAnsi="仿宋" w:eastAsia="仿宋"/>
          <w:bCs/>
          <w:color w:val="000000"/>
          <w:sz w:val="32"/>
          <w:szCs w:val="32"/>
        </w:rPr>
        <w:t>生院</w:t>
      </w:r>
      <w:r>
        <w:rPr>
          <w:rStyle w:val="9"/>
          <w:rFonts w:hint="eastAsia" w:ascii="仿宋" w:hAnsi="仿宋" w:eastAsia="仿宋"/>
          <w:bCs/>
          <w:color w:val="000000"/>
          <w:sz w:val="32"/>
          <w:szCs w:val="32"/>
        </w:rPr>
        <w:t>（项）：支付决算数45.67万元，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15.卫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（类）基层医疗</w:t>
      </w:r>
      <w:r>
        <w:rPr>
          <w:rFonts w:hint="eastAsia" w:ascii="仿宋" w:hAnsi="仿宋" w:eastAsia="仿宋"/>
          <w:bCs/>
          <w:color w:val="000000"/>
          <w:sz w:val="32"/>
          <w:szCs w:val="32"/>
        </w:rPr>
        <w:t>卫生机构</w:t>
      </w:r>
      <w:r>
        <w:rPr>
          <w:rStyle w:val="9"/>
          <w:rFonts w:hint="eastAsia" w:ascii="仿宋" w:hAnsi="仿宋" w:eastAsia="仿宋"/>
          <w:bCs/>
          <w:color w:val="000000"/>
          <w:sz w:val="32"/>
          <w:szCs w:val="32"/>
        </w:rPr>
        <w:t>（款）其他基层医疗</w:t>
      </w:r>
      <w:r>
        <w:rPr>
          <w:rFonts w:hint="eastAsia" w:ascii="仿宋" w:hAnsi="仿宋" w:eastAsia="仿宋"/>
          <w:bCs/>
          <w:color w:val="000000"/>
          <w:sz w:val="32"/>
          <w:szCs w:val="32"/>
        </w:rPr>
        <w:t>卫生机构支出</w:t>
      </w:r>
      <w:r>
        <w:rPr>
          <w:rStyle w:val="9"/>
          <w:rFonts w:hint="eastAsia" w:ascii="仿宋" w:hAnsi="仿宋" w:eastAsia="仿宋"/>
          <w:bCs/>
          <w:color w:val="000000"/>
          <w:sz w:val="32"/>
          <w:szCs w:val="32"/>
        </w:rPr>
        <w:t>（项）：支出决算数21.35万元，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16.卫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（类）公共卫</w:t>
      </w:r>
      <w:r>
        <w:rPr>
          <w:rFonts w:hint="eastAsia" w:ascii="仿宋" w:hAnsi="仿宋" w:eastAsia="仿宋"/>
          <w:bCs/>
          <w:color w:val="000000"/>
          <w:sz w:val="32"/>
          <w:szCs w:val="32"/>
        </w:rPr>
        <w:t>生</w:t>
      </w:r>
      <w:r>
        <w:rPr>
          <w:rStyle w:val="9"/>
          <w:rFonts w:hint="eastAsia" w:ascii="仿宋" w:hAnsi="仿宋" w:eastAsia="仿宋"/>
          <w:bCs/>
          <w:color w:val="000000"/>
          <w:sz w:val="32"/>
          <w:szCs w:val="32"/>
        </w:rPr>
        <w:t>（款）基本公共卫</w:t>
      </w:r>
      <w:r>
        <w:rPr>
          <w:rFonts w:hint="eastAsia" w:ascii="仿宋" w:hAnsi="仿宋" w:eastAsia="仿宋"/>
          <w:bCs/>
          <w:color w:val="000000"/>
          <w:sz w:val="32"/>
          <w:szCs w:val="32"/>
        </w:rPr>
        <w:t>生服务</w:t>
      </w:r>
      <w:r>
        <w:rPr>
          <w:rStyle w:val="9"/>
          <w:rFonts w:hint="eastAsia" w:ascii="仿宋" w:hAnsi="仿宋" w:eastAsia="仿宋"/>
          <w:bCs/>
          <w:color w:val="000000"/>
          <w:sz w:val="32"/>
          <w:szCs w:val="32"/>
        </w:rPr>
        <w:t>（项）：支出决算数84.73万元，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17.卫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（类）公共卫</w:t>
      </w:r>
      <w:r>
        <w:rPr>
          <w:rFonts w:hint="eastAsia" w:ascii="仿宋" w:hAnsi="仿宋" w:eastAsia="仿宋"/>
          <w:bCs/>
          <w:color w:val="000000"/>
          <w:sz w:val="32"/>
          <w:szCs w:val="32"/>
        </w:rPr>
        <w:t>生</w:t>
      </w:r>
      <w:r>
        <w:rPr>
          <w:rStyle w:val="9"/>
          <w:rFonts w:hint="eastAsia" w:ascii="仿宋" w:hAnsi="仿宋" w:eastAsia="仿宋"/>
          <w:bCs/>
          <w:color w:val="000000"/>
          <w:sz w:val="32"/>
          <w:szCs w:val="32"/>
        </w:rPr>
        <w:t>（款）基本公共卫</w:t>
      </w:r>
      <w:r>
        <w:rPr>
          <w:rFonts w:hint="eastAsia" w:ascii="仿宋" w:hAnsi="仿宋" w:eastAsia="仿宋"/>
          <w:bCs/>
          <w:color w:val="000000"/>
          <w:sz w:val="32"/>
          <w:szCs w:val="32"/>
        </w:rPr>
        <w:t>生服务</w:t>
      </w:r>
      <w:r>
        <w:rPr>
          <w:rStyle w:val="9"/>
          <w:rFonts w:hint="eastAsia" w:ascii="仿宋" w:hAnsi="仿宋" w:eastAsia="仿宋"/>
          <w:bCs/>
          <w:color w:val="000000"/>
          <w:sz w:val="32"/>
          <w:szCs w:val="32"/>
        </w:rPr>
        <w:t>（项）：支出决算数78.48万元，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18.卫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（类）行政事业单位医疗（款）行政单位医疗（项）：支出决算数18.23万元，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19.卫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（类）行政事业单位医疗（款）事业单位医疗（项）：支出决算数78.67万元，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20.卫</w:t>
      </w:r>
      <w:r>
        <w:rPr>
          <w:rFonts w:hint="eastAsia" w:ascii="仿宋" w:hAnsi="仿宋" w:eastAsia="仿宋"/>
          <w:bCs/>
          <w:color w:val="000000"/>
          <w:sz w:val="32"/>
          <w:szCs w:val="32"/>
        </w:rPr>
        <w:t>生健康支出</w:t>
      </w:r>
      <w:r>
        <w:rPr>
          <w:rStyle w:val="9"/>
          <w:rFonts w:hint="eastAsia" w:ascii="仿宋" w:hAnsi="仿宋" w:eastAsia="仿宋"/>
          <w:bCs/>
          <w:color w:val="000000"/>
          <w:sz w:val="32"/>
          <w:szCs w:val="32"/>
        </w:rPr>
        <w:t>（类）行政事业单位医疗补助（款）行政公务员医疗</w:t>
      </w:r>
      <w:r>
        <w:rPr>
          <w:rFonts w:hint="eastAsia" w:ascii="仿宋" w:hAnsi="仿宋" w:eastAsia="仿宋"/>
          <w:bCs/>
          <w:color w:val="000000"/>
          <w:sz w:val="32"/>
          <w:szCs w:val="32"/>
        </w:rPr>
        <w:t>补助</w:t>
      </w:r>
      <w:r>
        <w:rPr>
          <w:rStyle w:val="9"/>
          <w:rFonts w:hint="eastAsia" w:ascii="仿宋" w:hAnsi="仿宋" w:eastAsia="仿宋"/>
          <w:bCs/>
          <w:color w:val="000000"/>
          <w:sz w:val="32"/>
          <w:szCs w:val="32"/>
        </w:rPr>
        <w:t>（项）：支出决算数3.86万元，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21.农林水支出（类）农业农村（款）事业运行（项）：支出决算数181.67万元，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22.农林水支出（类）扶贫（款）农村基础设施建设（项）：支出决算数818.37万元，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23.农林水支出（类）扶贫（款）生产发展（项）：支出决算数179.98万元，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数的100%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24.农林水支出（类）扶贫（款）其他扶贫支出（项）：支出决算数33.71万元，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数100%</w:t>
      </w:r>
      <w:r>
        <w:rPr>
          <w:rStyle w:val="9"/>
          <w:rFonts w:hint="eastAsia" w:ascii="仿宋" w:hAnsi="仿宋" w:eastAsia="仿宋"/>
          <w:bCs/>
          <w:color w:val="000000"/>
          <w:sz w:val="32"/>
          <w:szCs w:val="32"/>
        </w:rPr>
        <w:t>。</w:t>
      </w:r>
    </w:p>
    <w:p>
      <w:pPr>
        <w:spacing w:line="600" w:lineRule="exact"/>
        <w:rPr>
          <w:rStyle w:val="9"/>
          <w:rFonts w:ascii="仿宋" w:hAnsi="仿宋" w:eastAsia="仿宋"/>
          <w:b w:val="0"/>
          <w:bCs/>
          <w:color w:val="000000"/>
          <w:sz w:val="32"/>
          <w:szCs w:val="32"/>
        </w:rPr>
      </w:pPr>
      <w:r>
        <w:rPr>
          <w:rStyle w:val="9"/>
          <w:rFonts w:hint="eastAsia" w:ascii="仿宋" w:hAnsi="仿宋" w:eastAsia="仿宋"/>
          <w:bCs/>
          <w:color w:val="000000"/>
          <w:sz w:val="32"/>
          <w:szCs w:val="32"/>
        </w:rPr>
        <w:t>25.农林水支出（类）农村综合改革（款）村民委员会和党支部的</w:t>
      </w:r>
      <w:r>
        <w:rPr>
          <w:rFonts w:hint="eastAsia" w:ascii="仿宋" w:hAnsi="仿宋" w:eastAsia="仿宋"/>
          <w:bCs/>
          <w:color w:val="000000"/>
          <w:sz w:val="32"/>
          <w:szCs w:val="32"/>
        </w:rPr>
        <w:t>补助</w:t>
      </w:r>
      <w:r>
        <w:rPr>
          <w:rStyle w:val="9"/>
          <w:rFonts w:hint="eastAsia" w:ascii="仿宋" w:hAnsi="仿宋" w:eastAsia="仿宋"/>
          <w:bCs/>
          <w:color w:val="000000"/>
          <w:sz w:val="32"/>
          <w:szCs w:val="32"/>
        </w:rPr>
        <w:t>（项）：支出决算数266.72万元，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26.住房</w:t>
      </w:r>
      <w:r>
        <w:rPr>
          <w:rFonts w:hint="eastAsia" w:ascii="仿宋" w:hAnsi="仿宋" w:eastAsia="仿宋"/>
          <w:bCs/>
          <w:color w:val="000000"/>
          <w:sz w:val="32"/>
          <w:szCs w:val="32"/>
        </w:rPr>
        <w:t>保障支出</w:t>
      </w:r>
      <w:r>
        <w:rPr>
          <w:rStyle w:val="9"/>
          <w:rFonts w:hint="eastAsia" w:ascii="仿宋" w:hAnsi="仿宋" w:eastAsia="仿宋"/>
          <w:bCs/>
          <w:color w:val="000000"/>
          <w:sz w:val="32"/>
          <w:szCs w:val="32"/>
        </w:rPr>
        <w:t>（类）保障性安居工程支出（款）农村危房</w:t>
      </w:r>
      <w:r>
        <w:rPr>
          <w:rFonts w:hint="eastAsia" w:ascii="仿宋" w:hAnsi="仿宋" w:eastAsia="仿宋"/>
          <w:bCs/>
          <w:color w:val="000000"/>
          <w:sz w:val="32"/>
          <w:szCs w:val="32"/>
        </w:rPr>
        <w:t>改造</w:t>
      </w:r>
      <w:r>
        <w:rPr>
          <w:rStyle w:val="9"/>
          <w:rFonts w:hint="eastAsia" w:ascii="仿宋" w:hAnsi="仿宋" w:eastAsia="仿宋"/>
          <w:bCs/>
          <w:color w:val="000000"/>
          <w:sz w:val="32"/>
          <w:szCs w:val="32"/>
        </w:rPr>
        <w:t>（项）：支出决算数705万元，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spacing w:line="600" w:lineRule="exact"/>
        <w:rPr>
          <w:rStyle w:val="9"/>
          <w:rFonts w:ascii="仿宋" w:hAnsi="仿宋" w:eastAsia="仿宋"/>
          <w:bCs/>
          <w:color w:val="000000"/>
          <w:sz w:val="32"/>
          <w:szCs w:val="32"/>
        </w:rPr>
      </w:pPr>
      <w:r>
        <w:rPr>
          <w:rStyle w:val="9"/>
          <w:rFonts w:hint="eastAsia" w:ascii="仿宋" w:hAnsi="仿宋" w:eastAsia="仿宋"/>
          <w:bCs/>
          <w:color w:val="000000"/>
          <w:sz w:val="32"/>
          <w:szCs w:val="32"/>
        </w:rPr>
        <w:t>27.住房</w:t>
      </w:r>
      <w:r>
        <w:rPr>
          <w:rFonts w:hint="eastAsia" w:ascii="仿宋" w:hAnsi="仿宋" w:eastAsia="仿宋"/>
          <w:bCs/>
          <w:color w:val="000000"/>
          <w:sz w:val="32"/>
          <w:szCs w:val="32"/>
        </w:rPr>
        <w:t>保障支出</w:t>
      </w:r>
      <w:r>
        <w:rPr>
          <w:rStyle w:val="9"/>
          <w:rFonts w:hint="eastAsia" w:ascii="仿宋" w:hAnsi="仿宋" w:eastAsia="仿宋"/>
          <w:bCs/>
          <w:color w:val="000000"/>
          <w:sz w:val="32"/>
          <w:szCs w:val="32"/>
        </w:rPr>
        <w:t>（类）住房</w:t>
      </w:r>
      <w:r>
        <w:rPr>
          <w:rFonts w:hint="eastAsia" w:ascii="仿宋" w:hAnsi="仿宋" w:eastAsia="仿宋"/>
          <w:bCs/>
          <w:color w:val="000000"/>
          <w:sz w:val="32"/>
          <w:szCs w:val="32"/>
        </w:rPr>
        <w:t>改革支出</w:t>
      </w:r>
      <w:r>
        <w:rPr>
          <w:rStyle w:val="9"/>
          <w:rFonts w:hint="eastAsia" w:ascii="仿宋" w:hAnsi="仿宋" w:eastAsia="仿宋"/>
          <w:bCs/>
          <w:color w:val="000000"/>
          <w:sz w:val="32"/>
          <w:szCs w:val="32"/>
        </w:rPr>
        <w:t>（款）住房</w:t>
      </w:r>
      <w:r>
        <w:rPr>
          <w:rFonts w:hint="eastAsia" w:ascii="仿宋" w:hAnsi="仿宋" w:eastAsia="仿宋"/>
          <w:bCs/>
          <w:color w:val="000000"/>
          <w:sz w:val="32"/>
          <w:szCs w:val="32"/>
        </w:rPr>
        <w:t>公积金</w:t>
      </w:r>
      <w:r>
        <w:rPr>
          <w:rStyle w:val="9"/>
          <w:rFonts w:hint="eastAsia" w:ascii="仿宋" w:hAnsi="仿宋" w:eastAsia="仿宋"/>
          <w:bCs/>
          <w:color w:val="000000"/>
          <w:sz w:val="32"/>
          <w:szCs w:val="32"/>
        </w:rPr>
        <w:t>（项）：支出决算数122.48万元，</w:t>
      </w:r>
      <w:r>
        <w:rPr>
          <w:rFonts w:hint="eastAsia" w:ascii="仿宋" w:hAnsi="仿宋" w:eastAsia="仿宋"/>
          <w:bCs/>
          <w:color w:val="000000"/>
          <w:sz w:val="32"/>
          <w:szCs w:val="32"/>
        </w:rPr>
        <w:t>完成</w:t>
      </w:r>
      <w:r>
        <w:rPr>
          <w:rStyle w:val="9"/>
          <w:rFonts w:hint="eastAsia" w:ascii="仿宋" w:hAnsi="仿宋" w:eastAsia="仿宋"/>
          <w:bCs/>
          <w:color w:val="000000"/>
          <w:sz w:val="32"/>
          <w:szCs w:val="32"/>
        </w:rPr>
        <w:t>预算</w:t>
      </w:r>
      <w:r>
        <w:rPr>
          <w:rFonts w:hint="eastAsia" w:ascii="仿宋" w:hAnsi="仿宋" w:eastAsia="仿宋"/>
          <w:bCs/>
          <w:color w:val="000000"/>
          <w:sz w:val="32"/>
          <w:szCs w:val="32"/>
        </w:rPr>
        <w:t>100%</w:t>
      </w:r>
      <w:r>
        <w:rPr>
          <w:rStyle w:val="9"/>
          <w:rFonts w:hint="eastAsia" w:ascii="仿宋" w:hAnsi="仿宋" w:eastAsia="仿宋"/>
          <w:bCs/>
          <w:color w:val="000000"/>
          <w:sz w:val="32"/>
          <w:szCs w:val="32"/>
        </w:rPr>
        <w:t>。</w:t>
      </w:r>
    </w:p>
    <w:p>
      <w:pPr>
        <w:tabs>
          <w:tab w:val="right" w:pos="8306"/>
        </w:tabs>
        <w:spacing w:line="600" w:lineRule="exact"/>
        <w:ind w:firstLine="640" w:firstLineChars="200"/>
        <w:outlineLvl w:val="1"/>
        <w:rPr>
          <w:rStyle w:val="29"/>
        </w:rPr>
      </w:pPr>
      <w:bookmarkStart w:id="56" w:name="_Toc15396608"/>
      <w:bookmarkStart w:id="57" w:name="_Toc15377214"/>
      <w:bookmarkStart w:id="58" w:name="_Toc16337"/>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w:t>
      </w:r>
      <w:r>
        <w:rPr>
          <w:rFonts w:hint="eastAsia" w:ascii="黑体" w:hAnsi="黑体" w:eastAsia="黑体"/>
          <w:sz w:val="32"/>
          <w:szCs w:val="32"/>
        </w:rPr>
        <w:t>财政拨款基本支出决算情况说明</w:t>
      </w:r>
      <w:bookmarkEnd w:id="56"/>
      <w:bookmarkEnd w:id="57"/>
      <w:bookmarkEnd w:id="58"/>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21年一般公共预算财政拨款基本支出2175.04万元，其中：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2054.13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　　备用经费120.9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服务费等。</w:t>
      </w:r>
    </w:p>
    <w:p>
      <w:pPr>
        <w:spacing w:line="600" w:lineRule="exact"/>
        <w:ind w:firstLine="640"/>
        <w:outlineLvl w:val="1"/>
        <w:rPr>
          <w:rStyle w:val="29"/>
          <w:rFonts w:ascii="黑体" w:hAnsi="黑体" w:eastAsia="黑体"/>
          <w:b w:val="0"/>
        </w:rPr>
      </w:pPr>
      <w:bookmarkStart w:id="59" w:name="_Toc15377215"/>
      <w:bookmarkStart w:id="60" w:name="_Toc6234"/>
      <w:bookmarkStart w:id="61" w:name="_Toc15396609"/>
      <w:r>
        <w:rPr>
          <w:rFonts w:hint="eastAsia" w:ascii="黑体" w:eastAsia="黑体"/>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59"/>
      <w:bookmarkEnd w:id="60"/>
      <w:bookmarkEnd w:id="61"/>
    </w:p>
    <w:p>
      <w:pPr>
        <w:spacing w:line="600" w:lineRule="exact"/>
        <w:ind w:firstLine="640"/>
        <w:outlineLvl w:val="2"/>
        <w:rPr>
          <w:rFonts w:ascii="仿宋" w:hAnsi="仿宋" w:eastAsia="仿宋"/>
          <w:b/>
          <w:sz w:val="32"/>
          <w:szCs w:val="32"/>
        </w:rPr>
      </w:pPr>
      <w:bookmarkStart w:id="62" w:name="_Toc31639"/>
      <w:bookmarkStart w:id="63" w:name="_Toc15377216"/>
      <w:r>
        <w:rPr>
          <w:rFonts w:hint="eastAsia" w:ascii="仿宋" w:hAnsi="仿宋" w:eastAsia="仿宋"/>
          <w:b/>
          <w:sz w:val="32"/>
          <w:szCs w:val="32"/>
        </w:rPr>
        <w:t>（一）“三公”经费财政拨款支出决算总体情况说明</w:t>
      </w:r>
      <w:bookmarkEnd w:id="62"/>
      <w:bookmarkEnd w:id="6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21年“三公”经费财政拨款支出决算为2.2万元，完成预算100</w:t>
      </w:r>
      <w:r>
        <w:rPr>
          <w:rFonts w:ascii="仿宋" w:hAnsi="仿宋" w:eastAsia="仿宋"/>
          <w:sz w:val="32"/>
          <w:szCs w:val="32"/>
        </w:rPr>
        <w:t>%</w:t>
      </w:r>
      <w:r>
        <w:rPr>
          <w:rFonts w:hint="eastAsia" w:ascii="仿宋" w:hAnsi="仿宋" w:eastAsia="仿宋"/>
          <w:sz w:val="32"/>
          <w:szCs w:val="32"/>
        </w:rPr>
        <w:t>，与预算数持平。</w:t>
      </w:r>
    </w:p>
    <w:p>
      <w:pPr>
        <w:spacing w:line="600" w:lineRule="exact"/>
        <w:ind w:firstLine="640"/>
        <w:outlineLvl w:val="2"/>
        <w:rPr>
          <w:rFonts w:ascii="仿宋" w:hAnsi="仿宋" w:eastAsia="仿宋"/>
          <w:b/>
          <w:sz w:val="32"/>
          <w:szCs w:val="32"/>
        </w:rPr>
      </w:pPr>
      <w:bookmarkStart w:id="64" w:name="_Toc15377217"/>
      <w:bookmarkStart w:id="65" w:name="_Toc16776"/>
      <w:r>
        <w:rPr>
          <w:rFonts w:hint="eastAsia" w:ascii="仿宋" w:hAnsi="仿宋" w:eastAsia="仿宋"/>
          <w:b/>
          <w:sz w:val="32"/>
          <w:szCs w:val="32"/>
        </w:rPr>
        <w:t>（二）“三公”经费财政拨款支出决算具体情况说明</w:t>
      </w:r>
      <w:bookmarkEnd w:id="64"/>
      <w:bookmarkEnd w:id="6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；公务接待费支出决算2.2万元，占比100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3"/>
        <w:spacing w:before="93"/>
        <w:rPr>
          <w:rFonts w:ascii="仿宋" w:hAnsi="仿宋" w:eastAsia="仿宋"/>
          <w:sz w:val="32"/>
          <w:szCs w:val="32"/>
        </w:rPr>
      </w:pPr>
      <w:r>
        <w:drawing>
          <wp:inline distT="0" distB="0" distL="114300" distR="114300">
            <wp:extent cx="4572000" cy="2746375"/>
            <wp:effectExtent l="4445" t="4445" r="14605" b="11430"/>
            <wp:docPr id="773" name="_x0000_i300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
        <w:spacing w:before="93"/>
        <w:rPr>
          <w:rFonts w:ascii="仿宋" w:hAnsi="仿宋" w:eastAsia="仿宋"/>
          <w:sz w:val="32"/>
          <w:szCs w:val="32"/>
        </w:rPr>
      </w:pP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1.因公出国（境）经费支出</w:t>
      </w:r>
      <w:r>
        <w:rPr>
          <w:rFonts w:hint="eastAsia" w:ascii="仿宋_GB2312" w:eastAsia="仿宋_GB2312"/>
          <w:sz w:val="32"/>
          <w:szCs w:val="32"/>
        </w:rPr>
        <w:t>0万元。</w:t>
      </w:r>
    </w:p>
    <w:p>
      <w:pPr>
        <w:spacing w:line="60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t>，</w:t>
      </w:r>
      <w:r>
        <w:rPr>
          <w:rStyle w:val="9"/>
          <w:rFonts w:hint="eastAsia" w:ascii="仿宋" w:hAnsi="仿宋" w:eastAsia="仿宋"/>
          <w:b w:val="0"/>
          <w:bCs/>
          <w:sz w:val="32"/>
          <w:szCs w:val="32"/>
        </w:rPr>
        <w:t>完成预算0</w:t>
      </w:r>
      <w:r>
        <w:rPr>
          <w:rStyle w:val="9"/>
          <w:rFonts w:ascii="仿宋" w:hAnsi="仿宋" w:eastAsia="仿宋"/>
          <w:b w:val="0"/>
          <w:bCs/>
          <w:sz w:val="32"/>
          <w:szCs w:val="32"/>
        </w:rPr>
        <w:t>%</w:t>
      </w:r>
      <w:r>
        <w:rPr>
          <w:rStyle w:val="9"/>
          <w:rFonts w:hint="eastAsia" w:ascii="仿宋" w:hAnsi="仿宋" w:eastAsia="仿宋"/>
          <w:b w:val="0"/>
          <w:bCs/>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2.2万元，</w:t>
      </w:r>
      <w:r>
        <w:rPr>
          <w:rStyle w:val="9"/>
          <w:rFonts w:hint="eastAsia" w:ascii="仿宋" w:hAnsi="仿宋" w:eastAsia="仿宋"/>
          <w:b w:val="0"/>
          <w:bCs/>
          <w:sz w:val="32"/>
          <w:szCs w:val="32"/>
        </w:rPr>
        <w:t>完成预算的100</w:t>
      </w:r>
      <w:r>
        <w:rPr>
          <w:rStyle w:val="9"/>
          <w:rFonts w:ascii="仿宋" w:hAnsi="仿宋" w:eastAsia="仿宋"/>
          <w:b w:val="0"/>
          <w:bCs/>
          <w:sz w:val="32"/>
          <w:szCs w:val="32"/>
        </w:rPr>
        <w:t>%</w:t>
      </w:r>
      <w:r>
        <w:rPr>
          <w:rStyle w:val="9"/>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20年增加0.72万元，增长48.6</w:t>
      </w:r>
      <w:r>
        <w:rPr>
          <w:rFonts w:ascii="仿宋_GB2312" w:eastAsia="仿宋_GB2312"/>
          <w:sz w:val="32"/>
          <w:szCs w:val="32"/>
        </w:rPr>
        <w:t>%</w:t>
      </w:r>
      <w:r>
        <w:rPr>
          <w:rFonts w:hint="eastAsia" w:ascii="仿宋_GB2312" w:eastAsia="仿宋_GB2312"/>
          <w:sz w:val="32"/>
          <w:szCs w:val="32"/>
        </w:rPr>
        <w:t>。主要原因是接待批次增加。其中：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2.2</w:t>
      </w:r>
      <w:r>
        <w:rPr>
          <w:rFonts w:hint="eastAsia" w:ascii="仿宋_GB2312" w:eastAsia="仿宋_GB2312"/>
          <w:sz w:val="32"/>
          <w:szCs w:val="32"/>
        </w:rPr>
        <w:t>万元，主要用于执行公务、开展业务活动开支的交通费、住宿费、用餐费等。国内公务接待220批次，220人次（不包括陪同人员），共计支出2.2万元。</w:t>
      </w:r>
    </w:p>
    <w:p>
      <w:pPr>
        <w:spacing w:line="600" w:lineRule="exact"/>
        <w:ind w:firstLine="640"/>
        <w:outlineLvl w:val="1"/>
        <w:rPr>
          <w:rFonts w:ascii="仿宋_GB2312" w:eastAsia="仿宋_GB2312"/>
          <w:sz w:val="32"/>
          <w:szCs w:val="32"/>
        </w:rPr>
      </w:pPr>
      <w:bookmarkStart w:id="66" w:name="_Toc15915"/>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67" w:name="_Toc15377218"/>
      <w:bookmarkStart w:id="68" w:name="_Toc15396610"/>
      <w:r>
        <w:rPr>
          <w:rFonts w:hint="eastAsia" w:ascii="仿宋_GB2312" w:eastAsia="仿宋_GB2312"/>
          <w:sz w:val="32"/>
          <w:szCs w:val="32"/>
        </w:rPr>
        <w:t>。</w:t>
      </w:r>
      <w:bookmarkEnd w:id="66"/>
    </w:p>
    <w:p>
      <w:pPr>
        <w:spacing w:line="600" w:lineRule="exact"/>
        <w:ind w:firstLine="640"/>
        <w:outlineLvl w:val="1"/>
        <w:rPr>
          <w:rStyle w:val="29"/>
          <w:rFonts w:ascii="黑体" w:hAnsi="黑体" w:eastAsia="黑体"/>
        </w:rPr>
      </w:pPr>
      <w:bookmarkStart w:id="69" w:name="_Toc17551"/>
      <w:r>
        <w:rPr>
          <w:rFonts w:hint="eastAsia" w:ascii="黑体" w:eastAsia="黑体"/>
          <w:sz w:val="32"/>
          <w:szCs w:val="32"/>
        </w:rPr>
        <w:t>八、</w:t>
      </w:r>
      <w:r>
        <w:rPr>
          <w:rStyle w:val="29"/>
          <w:rFonts w:hint="eastAsia" w:ascii="黑体" w:hAnsi="黑体" w:eastAsia="黑体"/>
          <w:b w:val="0"/>
        </w:rPr>
        <w:t>政府性基金预算</w:t>
      </w:r>
      <w:r>
        <w:rPr>
          <w:rFonts w:hint="eastAsia" w:ascii="黑体" w:hAnsi="黑体" w:eastAsia="黑体"/>
          <w:sz w:val="32"/>
          <w:szCs w:val="32"/>
        </w:rPr>
        <w:t>支出决算情况说明</w:t>
      </w:r>
      <w:bookmarkEnd w:id="67"/>
      <w:bookmarkEnd w:id="68"/>
      <w:bookmarkEnd w:id="6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21年政府性基金预算财政拨款支出46.33万元。</w:t>
      </w:r>
    </w:p>
    <w:p>
      <w:pPr>
        <w:numPr>
          <w:ilvl w:val="0"/>
          <w:numId w:val="2"/>
        </w:numPr>
        <w:spacing w:line="600" w:lineRule="exact"/>
        <w:ind w:firstLine="640"/>
        <w:outlineLvl w:val="1"/>
        <w:rPr>
          <w:rStyle w:val="29"/>
          <w:rFonts w:ascii="黑体" w:hAnsi="黑体" w:eastAsia="黑体"/>
          <w:b w:val="0"/>
        </w:rPr>
      </w:pPr>
      <w:bookmarkStart w:id="70" w:name="_Toc15396611"/>
      <w:bookmarkStart w:id="71" w:name="_Toc17772"/>
      <w:bookmarkStart w:id="72" w:name="_Toc15377219"/>
      <w:r>
        <w:rPr>
          <w:rStyle w:val="29"/>
          <w:rFonts w:hint="eastAsia" w:ascii="黑体" w:hAnsi="黑体" w:eastAsia="黑体"/>
          <w:b w:val="0"/>
        </w:rPr>
        <w:t>国有资本经营预算</w:t>
      </w:r>
      <w:r>
        <w:rPr>
          <w:rFonts w:hint="eastAsia" w:ascii="黑体" w:hAnsi="黑体" w:eastAsia="黑体"/>
          <w:sz w:val="32"/>
          <w:szCs w:val="32"/>
        </w:rPr>
        <w:t>支出决算情况说明</w:t>
      </w:r>
      <w:bookmarkEnd w:id="70"/>
      <w:bookmarkEnd w:id="71"/>
      <w:bookmarkEnd w:id="72"/>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9"/>
          <w:rFonts w:ascii="黑体" w:hAnsi="黑体" w:eastAsia="黑体"/>
          <w:b w:val="0"/>
        </w:rPr>
      </w:pPr>
      <w:bookmarkStart w:id="73" w:name="_Toc11245"/>
      <w:bookmarkStart w:id="74" w:name="_Toc15396612"/>
      <w:bookmarkStart w:id="75" w:name="_Toc15377221"/>
      <w:r>
        <w:rPr>
          <w:rStyle w:val="29"/>
          <w:rFonts w:hint="eastAsia" w:ascii="黑体" w:hAnsi="黑体" w:eastAsia="黑体"/>
          <w:b w:val="0"/>
        </w:rPr>
        <w:t>其他重要事项的</w:t>
      </w:r>
      <w:r>
        <w:rPr>
          <w:rFonts w:hint="eastAsia" w:ascii="黑体" w:hAnsi="黑体" w:eastAsia="黑体"/>
          <w:sz w:val="32"/>
          <w:szCs w:val="32"/>
        </w:rPr>
        <w:t>情况说明</w:t>
      </w:r>
      <w:bookmarkEnd w:id="73"/>
      <w:bookmarkEnd w:id="74"/>
      <w:bookmarkEnd w:id="75"/>
    </w:p>
    <w:p>
      <w:pPr>
        <w:spacing w:line="600" w:lineRule="exact"/>
        <w:ind w:firstLine="643" w:firstLineChars="200"/>
        <w:outlineLvl w:val="2"/>
        <w:rPr>
          <w:rFonts w:ascii="仿宋" w:hAnsi="仿宋" w:eastAsia="仿宋"/>
          <w:sz w:val="32"/>
          <w:szCs w:val="32"/>
        </w:rPr>
      </w:pPr>
      <w:bookmarkStart w:id="76" w:name="_Toc15377222"/>
      <w:bookmarkStart w:id="77" w:name="_Toc3469"/>
      <w:r>
        <w:rPr>
          <w:rFonts w:hint="eastAsia" w:ascii="仿宋" w:hAnsi="仿宋" w:eastAsia="仿宋"/>
          <w:b/>
          <w:sz w:val="32"/>
          <w:szCs w:val="32"/>
        </w:rPr>
        <w:t>（一）机关运行经费支出情况</w:t>
      </w:r>
      <w:bookmarkEnd w:id="76"/>
      <w:bookmarkEnd w:id="7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21年政府机关运行经费支出92.34万元，比</w:t>
      </w:r>
      <w:r>
        <w:rPr>
          <w:rFonts w:ascii="仿宋_GB2312" w:eastAsia="仿宋_GB2312"/>
          <w:sz w:val="32"/>
          <w:szCs w:val="32"/>
        </w:rPr>
        <w:t>20</w:t>
      </w:r>
      <w:r>
        <w:rPr>
          <w:rFonts w:hint="eastAsia" w:ascii="仿宋_GB2312" w:eastAsia="仿宋_GB2312"/>
          <w:sz w:val="32"/>
          <w:szCs w:val="32"/>
        </w:rPr>
        <w:t>20年增加0万元，与</w:t>
      </w:r>
      <w:r>
        <w:rPr>
          <w:rFonts w:ascii="仿宋_GB2312" w:eastAsia="仿宋_GB2312"/>
          <w:sz w:val="32"/>
          <w:szCs w:val="32"/>
        </w:rPr>
        <w:t>20</w:t>
      </w:r>
      <w:r>
        <w:rPr>
          <w:rFonts w:hint="eastAsia" w:ascii="仿宋_GB2312" w:eastAsia="仿宋_GB2312"/>
          <w:sz w:val="32"/>
          <w:szCs w:val="32"/>
        </w:rPr>
        <w:t>20年决算数持平。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8" w:name="_Toc15377223"/>
      <w:bookmarkStart w:id="79" w:name="_Toc30705"/>
      <w:r>
        <w:rPr>
          <w:rFonts w:hint="eastAsia" w:ascii="仿宋" w:hAnsi="仿宋" w:eastAsia="仿宋"/>
          <w:b/>
          <w:sz w:val="32"/>
          <w:szCs w:val="32"/>
        </w:rPr>
        <w:t>（二）政府采购支出情况</w:t>
      </w:r>
      <w:bookmarkEnd w:id="78"/>
      <w:bookmarkEnd w:id="7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21年，杨柏镇政府采购支出总额万元，其中：政府采购货物支出0万元、政府采购工程支出0万元、政府采购服务支出0万元。授予中小微企业合同金额0万元，占政府采购支出总额的0%。</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0" w:name="_Toc15377224"/>
      <w:bookmarkStart w:id="81" w:name="_Toc24297"/>
      <w:r>
        <w:rPr>
          <w:rFonts w:hint="eastAsia" w:ascii="仿宋" w:hAnsi="仿宋" w:eastAsia="仿宋"/>
          <w:b/>
          <w:sz w:val="32"/>
          <w:szCs w:val="32"/>
        </w:rPr>
        <w:t>（三）国有资产占有使用情况</w:t>
      </w:r>
      <w:bookmarkEnd w:id="80"/>
      <w:bookmarkEnd w:id="81"/>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日，杨柏镇共有车辆0辆，其中：民主领导干部用车0辆、机要通信用车0辆、应急保障用车0辆、其他用车0辆，单价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31687"/>
      <w:r>
        <w:rPr>
          <w:rFonts w:hint="eastAsia" w:ascii="仿宋" w:hAnsi="仿宋" w:eastAsia="仿宋"/>
          <w:b/>
          <w:sz w:val="32"/>
          <w:szCs w:val="32"/>
        </w:rPr>
        <w:t>（四）预算绩效管理情况</w:t>
      </w:r>
      <w:bookmarkEnd w:id="82"/>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项目开展了预算事前绩效评估，对项目编制了绩效目标，预算执行过程中，选取项目开展绩效监控，年终执行完毕后，对项目开展了绩效自评。同时，本部门对2021年部门整体开展绩效自评，《2021年杨柏镇整体绩效评价报告》见附件（第四部分）。</w:t>
      </w:r>
    </w:p>
    <w:p>
      <w:pPr>
        <w:widowControl/>
        <w:jc w:val="left"/>
        <w:rPr>
          <w:rFonts w:ascii="仿宋_GB2312" w:eastAsia="仿宋_GB2312"/>
          <w:b/>
          <w:sz w:val="32"/>
          <w:szCs w:val="32"/>
        </w:rPr>
      </w:pPr>
      <w: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83" w:name="_Toc9035"/>
      <w:bookmarkStart w:id="84" w:name="_Toc15377225"/>
      <w:bookmarkStart w:id="85" w:name="_Toc15396613"/>
      <w:r>
        <w:rPr>
          <w:rFonts w:hint="eastAsia" w:ascii="黑体" w:hAnsi="黑体" w:eastAsia="黑体"/>
          <w:sz w:val="44"/>
          <w:szCs w:val="44"/>
        </w:rPr>
        <w:t>名</w:t>
      </w:r>
      <w:r>
        <w:rPr>
          <w:rStyle w:val="28"/>
          <w:rFonts w:hint="eastAsia" w:ascii="黑体" w:hAnsi="黑体" w:eastAsia="黑体"/>
          <w:b w:val="0"/>
        </w:rPr>
        <w:t>词解释</w:t>
      </w:r>
      <w:bookmarkEnd w:id="83"/>
      <w:bookmarkEnd w:id="84"/>
      <w:bookmarkEnd w:id="85"/>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4.其他收入：指单位取得的除上述收入以外的各项收入。</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6.年初结转和结余：指以前年度尚未完成、结转到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有关规定继续使用的资金。</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7.结余分配：指事业单位按照事业单位会计制度的规定从非财政补助结余中分配的事业基金和职工福利基金等。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u w:val="none" w:color="46CD7E"/>
          <w:shd w:val="clear" w:fill="auto"/>
          <w:lang w:val="en-US"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u w:val="none" w:color="FFB03A"/>
          <w:shd w:val="clear" w:fill="auto"/>
        </w:rPr>
        <w:t>9.</w:t>
      </w:r>
      <w:r>
        <w:rPr>
          <w:rFonts w:hint="eastAsia" w:ascii="仿宋_GB2312" w:eastAsia="仿宋_GB2312"/>
          <w:color w:val="000000"/>
          <w:sz w:val="32"/>
          <w:szCs w:val="32"/>
        </w:rPr>
        <w:t>一般公共服务支出（类）人大事务（款）行政运行（项）：反映行政单位（包括实行公务员管理的事业单位）的基本支出。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10.一般公共服务支出（类）政府办公厅（室）及相关机构事务（款）行政运行（项）：反映行政单位（包括实行公务员管理的事业单位）未单独设置项级科目的其他项目支出。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11.一般公共服务支出（类）政府办公厅（室）及相关机构事务（款）信访事务（项）：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12.一般公共服务支出（类）财政事务（款）行政运行（项）：反映行政单位（包括实行公务员管理的事业单位）的基本支出。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13.一般公共服务支出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党委办公厅</w:t>
      </w:r>
      <w:r>
        <w:t>（</w:t>
      </w:r>
      <w:r>
        <w:rPr>
          <w:rFonts w:hint="eastAsia" w:ascii="仿宋_GB2312" w:hAnsi="仿宋_GB2312" w:eastAsia="仿宋_GB2312" w:cs="仿宋_GB2312"/>
          <w:sz w:val="32"/>
          <w:szCs w:val="32"/>
        </w:rPr>
        <w:t>室</w:t>
      </w:r>
      <w:r>
        <w:t>）</w:t>
      </w:r>
      <w:r>
        <w:rPr>
          <w:rFonts w:hint="eastAsia" w:ascii="仿宋_GB2312" w:hAnsi="仿宋_GB2312" w:eastAsia="仿宋_GB2312" w:cs="仿宋_GB2312"/>
          <w:sz w:val="32"/>
          <w:szCs w:val="32"/>
        </w:rPr>
        <w:t>及相关机构事务</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行政运行</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 :反映行政单位</w:t>
      </w:r>
      <w:r>
        <w:t>（</w:t>
      </w:r>
      <w:r>
        <w:rPr>
          <w:rFonts w:hint="eastAsia" w:ascii="仿宋_GB2312" w:hAnsi="仿宋_GB2312" w:eastAsia="仿宋_GB2312" w:cs="仿宋_GB2312"/>
          <w:sz w:val="32"/>
          <w:szCs w:val="32"/>
        </w:rPr>
        <w:t>包括实行公务员管理的事业单位</w:t>
      </w:r>
      <w:r>
        <w:t>）</w:t>
      </w:r>
      <w:r>
        <w:rPr>
          <w:rFonts w:hint="eastAsia" w:ascii="仿宋_GB2312" w:hAnsi="仿宋_GB2312" w:eastAsia="仿宋_GB2312" w:cs="仿宋_GB2312"/>
          <w:sz w:val="32"/>
          <w:szCs w:val="32"/>
        </w:rPr>
        <w:t>的基本支出。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thick" w:color="FFB03A"/>
          <w:shd w:val="clear" w:fill="FFEFD8"/>
        </w:rPr>
        <w:t>14.</w:t>
      </w:r>
      <w:r>
        <w:rPr>
          <w:rFonts w:hint="eastAsia" w:ascii="仿宋_GB2312" w:hAnsi="仿宋_GB2312" w:eastAsia="仿宋_GB2312" w:cs="仿宋_GB2312"/>
          <w:sz w:val="32"/>
          <w:szCs w:val="32"/>
        </w:rPr>
        <w:t>文化体育与传媒支出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文化</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群众文化</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：反映群众文化方面的支出 ,包括基层文化馆</w:t>
      </w:r>
      <w:r>
        <w:t>（</w:t>
      </w:r>
      <w:r>
        <w:rPr>
          <w:rFonts w:hint="eastAsia" w:ascii="仿宋_GB2312" w:hAnsi="仿宋_GB2312" w:eastAsia="仿宋_GB2312" w:cs="仿宋_GB2312"/>
          <w:sz w:val="32"/>
          <w:szCs w:val="32"/>
        </w:rPr>
        <w:t>站</w:t>
      </w:r>
      <w:r>
        <w:t>）</w:t>
      </w:r>
      <w:r>
        <w:rPr>
          <w:rFonts w:hint="eastAsia" w:ascii="仿宋_GB2312" w:hAnsi="仿宋_GB2312" w:eastAsia="仿宋_GB2312" w:cs="仿宋_GB2312"/>
          <w:sz w:val="32"/>
          <w:szCs w:val="32"/>
        </w:rPr>
        <w:t>、 群众艺术馆支出等。</w:t>
      </w:r>
    </w:p>
    <w:p>
      <w:pPr>
        <w:numPr>
          <w:ilvl w:val="0"/>
          <w:numId w:val="4"/>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文化体育与传媒支出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文化</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其他文化支出</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：反映除上述项目以外其他用于文化方面的支出。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16.社会保障和就业支出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人力资源和社会保障管理事务</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社会保险经办机构</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 :反映社会保险经办机构开展业务工作的支出。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17.社会保障和就业支出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行政事业单位离退休</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机关事业单位基本养老保险缴费支出</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 :反映机关事业单位基本养老保险缴费支出。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18.医疗卫生与计划生育支出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食品和药品监督管理事务</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事业运行</w:t>
      </w:r>
      <w:r>
        <w:t>（</w:t>
      </w:r>
      <w:r>
        <w:rPr>
          <w:rFonts w:hint="eastAsia" w:ascii="仿宋_GB2312" w:hAnsi="仿宋_GB2312" w:eastAsia="仿宋_GB2312" w:cs="仿宋_GB2312"/>
          <w:sz w:val="32"/>
          <w:szCs w:val="32"/>
        </w:rPr>
        <w:t>项) :反映事业单位的基本支出</w:t>
      </w:r>
      <w:r>
        <w:t>，</w:t>
      </w:r>
      <w:r>
        <w:rPr>
          <w:rFonts w:hint="eastAsia" w:ascii="仿宋_GB2312" w:hAnsi="仿宋_GB2312" w:eastAsia="仿宋_GB2312" w:cs="仿宋_GB2312"/>
          <w:sz w:val="32"/>
          <w:szCs w:val="32"/>
        </w:rPr>
        <w:t>不包括行政单位</w:t>
      </w:r>
      <w:r>
        <w:t>（</w:t>
      </w:r>
      <w:r>
        <w:rPr>
          <w:rFonts w:hint="eastAsia" w:ascii="仿宋_GB2312" w:hAnsi="仿宋_GB2312" w:eastAsia="仿宋_GB2312" w:cs="仿宋_GB2312"/>
          <w:sz w:val="32"/>
          <w:szCs w:val="32"/>
        </w:rPr>
        <w:t>包括实行公务员管理的事业单位</w:t>
      </w:r>
      <w:r>
        <w:t>）</w:t>
      </w:r>
      <w:r>
        <w:rPr>
          <w:rFonts w:hint="eastAsia" w:ascii="仿宋_GB2312" w:hAnsi="仿宋_GB2312" w:eastAsia="仿宋_GB2312" w:cs="仿宋_GB2312"/>
          <w:sz w:val="32"/>
          <w:szCs w:val="32"/>
        </w:rPr>
        <w:t>后勤服务中心、医务室等附属事业单位。</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19.节能环保支出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退耕还林</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退耕还林</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：反映专项用于退耕户的医疗，教育等日常生活需要的支出。</w:t>
      </w:r>
    </w:p>
    <w:p>
      <w:pPr>
        <w:pStyle w:val="26"/>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20.农林水支出</w:t>
      </w:r>
      <w:r>
        <w:t>（</w:t>
      </w:r>
      <w:r>
        <w:rPr>
          <w:rFonts w:hint="eastAsia" w:ascii="仿宋_GB2312" w:hAnsi="仿宋_GB2312" w:eastAsia="仿宋_GB2312" w:cs="仿宋_GB2312"/>
          <w:sz w:val="32"/>
          <w:szCs w:val="32"/>
        </w:rPr>
        <w:t>类</w:t>
      </w:r>
      <w:r>
        <w:t>）</w:t>
      </w:r>
      <w:r>
        <w:rPr>
          <w:rFonts w:hint="eastAsia" w:ascii="仿宋_GB2312" w:hAnsi="仿宋_GB2312" w:eastAsia="仿宋_GB2312" w:cs="仿宋_GB2312"/>
          <w:sz w:val="32"/>
          <w:szCs w:val="32"/>
        </w:rPr>
        <w:t>农业</w:t>
      </w:r>
      <w:r>
        <w:t>（</w:t>
      </w:r>
      <w:r>
        <w:rPr>
          <w:rFonts w:hint="eastAsia" w:ascii="仿宋_GB2312" w:hAnsi="仿宋_GB2312" w:eastAsia="仿宋_GB2312" w:cs="仿宋_GB2312"/>
          <w:sz w:val="32"/>
          <w:szCs w:val="32"/>
        </w:rPr>
        <w:t>款</w:t>
      </w:r>
      <w:r>
        <w:t>）</w:t>
      </w:r>
      <w:r>
        <w:rPr>
          <w:rFonts w:hint="eastAsia" w:ascii="仿宋_GB2312" w:hAnsi="仿宋_GB2312" w:eastAsia="仿宋_GB2312" w:cs="仿宋_GB2312"/>
          <w:sz w:val="32"/>
          <w:szCs w:val="32"/>
        </w:rPr>
        <w:t>事业运行</w:t>
      </w:r>
      <w:r>
        <w:t>（</w:t>
      </w:r>
      <w:r>
        <w:rPr>
          <w:rFonts w:hint="eastAsia" w:ascii="仿宋_GB2312" w:hAnsi="仿宋_GB2312" w:eastAsia="仿宋_GB2312" w:cs="仿宋_GB2312"/>
          <w:sz w:val="32"/>
          <w:szCs w:val="32"/>
        </w:rPr>
        <w:t>项</w:t>
      </w:r>
      <w:r>
        <w:t>）</w:t>
      </w:r>
      <w:r>
        <w:rPr>
          <w:rFonts w:hint="eastAsia" w:ascii="仿宋_GB2312" w:hAnsi="仿宋_GB2312" w:eastAsia="仿宋_GB2312" w:cs="仿宋_GB2312"/>
          <w:sz w:val="32"/>
          <w:szCs w:val="32"/>
        </w:rPr>
        <w:t>：反映用于农业事业单位基本支出，事业单位设施、系统运行与资产维护等方面的支出。</w:t>
      </w:r>
    </w:p>
    <w:p>
      <w:pPr>
        <w:pStyle w:val="26"/>
        <w:spacing w:line="560" w:lineRule="exact"/>
        <w:ind w:firstLine="640" w:firstLineChars="200"/>
        <w:rPr>
          <w:rFonts w:ascii="仿宋_GB2312" w:hAnsi="仿宋_GB2312" w:eastAsia="仿宋_GB2312" w:cs="仿宋_GB2312"/>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21.基本支出：指为保障机构正常运转、完成日常工作任务而发生的人员支出和公用支出。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25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rPr>
          <w:rFonts w:ascii="宋体"/>
          <w:b/>
          <w:sz w:val="44"/>
          <w:szCs w:val="44"/>
        </w:rPr>
      </w:pPr>
    </w:p>
    <w:p>
      <w:pPr>
        <w:spacing w:line="600" w:lineRule="exact"/>
        <w:jc w:val="center"/>
        <w:outlineLvl w:val="0"/>
        <w:rPr>
          <w:rStyle w:val="28"/>
          <w:rFonts w:ascii="黑体" w:hAnsi="黑体" w:eastAsia="黑体"/>
          <w:b w:val="0"/>
        </w:rPr>
      </w:pPr>
      <w:bookmarkStart w:id="86" w:name="_Toc15377226"/>
      <w:r>
        <w:br w:type="page"/>
      </w:r>
      <w:bookmarkEnd w:id="86"/>
      <w:bookmarkStart w:id="87" w:name="_Toc6165"/>
      <w:bookmarkStart w:id="88" w:name="_Toc15396614"/>
      <w:r>
        <w:rPr>
          <w:rFonts w:hint="eastAsia" w:ascii="黑体" w:hAnsi="黑体" w:eastAsia="黑体"/>
          <w:sz w:val="44"/>
          <w:szCs w:val="44"/>
        </w:rPr>
        <w:t>第</w:t>
      </w:r>
      <w:r>
        <w:rPr>
          <w:rStyle w:val="28"/>
          <w:rFonts w:hint="eastAsia" w:ascii="黑体" w:hAnsi="黑体" w:eastAsia="黑体"/>
          <w:b w:val="0"/>
        </w:rPr>
        <w:t>四部分附件</w:t>
      </w:r>
      <w:bookmarkEnd w:id="87"/>
      <w:bookmarkEnd w:id="88"/>
    </w:p>
    <w:p>
      <w:pPr>
        <w:spacing w:line="572" w:lineRule="exact"/>
        <w:jc w:val="left"/>
        <w:outlineLvl w:val="0"/>
        <w:rPr>
          <w:rFonts w:ascii="方正小标宋简体" w:hAnsi="方正小标宋简体" w:eastAsia="方正小标宋简体" w:cs="方正小标宋简体"/>
          <w:sz w:val="44"/>
          <w:szCs w:val="44"/>
        </w:rPr>
      </w:pPr>
      <w:bookmarkStart w:id="89" w:name="_Toc1700"/>
      <w:r>
        <w:rPr>
          <w:rFonts w:hint="eastAsia" w:ascii="黑体" w:hAnsi="黑体" w:eastAsia="黑体" w:cs="黑体"/>
          <w:sz w:val="32"/>
          <w:szCs w:val="32"/>
        </w:rPr>
        <w:t>附件</w:t>
      </w:r>
      <w:bookmarkEnd w:id="89"/>
    </w:p>
    <w:p>
      <w:pPr>
        <w:spacing w:line="540" w:lineRule="exact"/>
        <w:jc w:val="center"/>
        <w:rPr>
          <w:rFonts w:ascii="仿宋_GB2312" w:hAnsi="仿宋_GB2312" w:eastAsia="仿宋_GB2312" w:cs="仿宋_GB2312"/>
          <w:sz w:val="32"/>
          <w:szCs w:val="32"/>
        </w:rPr>
      </w:pPr>
      <w:r>
        <w:rPr>
          <w:rFonts w:hint="eastAsia" w:ascii="方正小标宋简体" w:hAnsi="宋体" w:eastAsia="方正小标宋简体"/>
          <w:color w:val="000000"/>
          <w:kern w:val="0"/>
          <w:sz w:val="40"/>
          <w:szCs w:val="44"/>
        </w:rPr>
        <w:t>杨柏镇2021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部门概况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ind w:firstLine="800" w:firstLineChars="250"/>
        <w:rPr>
          <w:rFonts w:ascii="仿宋" w:hAnsi="仿宋" w:eastAsia="仿宋"/>
          <w:color w:val="000000"/>
          <w:kern w:val="0"/>
          <w:sz w:val="32"/>
          <w:szCs w:val="32"/>
        </w:rPr>
      </w:pPr>
      <w:r>
        <w:rPr>
          <w:rFonts w:hint="eastAsia" w:ascii="仿宋" w:hAnsi="仿宋" w:eastAsia="仿宋"/>
          <w:sz w:val="32"/>
          <w:szCs w:val="32"/>
        </w:rPr>
        <w:t>杨柏镇人民政府下属二级单位3个，其中其他事业单位3个。杨柏镇太平小学、</w:t>
      </w:r>
      <w:r>
        <w:rPr>
          <w:rFonts w:hint="eastAsia" w:ascii="仿宋" w:hAnsi="仿宋" w:eastAsia="仿宋"/>
          <w:color w:val="000000"/>
          <w:kern w:val="0"/>
          <w:sz w:val="32"/>
          <w:szCs w:val="32"/>
        </w:rPr>
        <w:t>杨柏镇中心小学、杨柏镇中心卫生院。</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pStyle w:val="5"/>
        <w:widowControl/>
        <w:shd w:val="clear" w:color="auto" w:fill="FFFFFF"/>
        <w:ind w:firstLine="420"/>
        <w:jc w:val="both"/>
        <w:rPr>
          <w:rFonts w:ascii="仿宋" w:hAnsi="仿宋" w:eastAsia="仿宋"/>
          <w:kern w:val="2"/>
          <w:sz w:val="32"/>
          <w:szCs w:val="32"/>
        </w:rPr>
      </w:pPr>
      <w:r>
        <w:rPr>
          <w:rFonts w:hint="eastAsia" w:ascii="仿宋" w:hAnsi="仿宋" w:eastAsia="仿宋"/>
          <w:kern w:val="2"/>
          <w:sz w:val="32"/>
          <w:szCs w:val="32"/>
          <w:u w:val="thick" w:color="FFB03A"/>
          <w:shd w:val="clear" w:fill="FFEFD8"/>
        </w:rPr>
        <w:t>1.</w:t>
      </w:r>
      <w:r>
        <w:rPr>
          <w:rFonts w:hint="eastAsia" w:ascii="仿宋" w:hAnsi="仿宋" w:eastAsia="仿宋"/>
          <w:kern w:val="2"/>
          <w:sz w:val="32"/>
          <w:szCs w:val="32"/>
        </w:rPr>
        <w:t>杨柏镇人民政府贯彻执行党和国家的路线方针政策、法律法规和上级党委政府的决定、命令</w:t>
      </w:r>
      <w:r>
        <w:t>，</w:t>
      </w:r>
      <w:r>
        <w:rPr>
          <w:rFonts w:hint="eastAsia" w:ascii="仿宋" w:hAnsi="仿宋" w:eastAsia="仿宋"/>
          <w:kern w:val="2"/>
          <w:sz w:val="32"/>
          <w:szCs w:val="32"/>
        </w:rPr>
        <w:t>接受同级党委（党工委）的领导，执行本级人民代表大会的各项决议，并报告执行决议、决定和命令的情况。促进本地经济发展、提供区域公共服务。充分利用和整合农村（城镇）资源，为城乡居民提供科技、教育、体育、文化、信息、卫生、医疗、人才开发、劳动就业、社会保障、计划生育、安全生产、防灾减灾、城乡低保、社会救助、社会治安等方面的服务，推进社会主义新农村建设。</w:t>
      </w:r>
    </w:p>
    <w:p>
      <w:pPr>
        <w:spacing w:line="595" w:lineRule="exact"/>
        <w:ind w:firstLine="640" w:firstLineChars="200"/>
        <w:rPr>
          <w:rFonts w:ascii="仿宋" w:hAnsi="仿宋" w:eastAsia="仿宋"/>
          <w:sz w:val="32"/>
          <w:szCs w:val="32"/>
        </w:rPr>
      </w:pPr>
      <w:r>
        <w:rPr>
          <w:rFonts w:hint="eastAsia" w:ascii="仿宋" w:hAnsi="仿宋" w:eastAsia="仿宋"/>
          <w:sz w:val="32"/>
          <w:szCs w:val="32"/>
        </w:rPr>
        <w:t>2.杨柏镇卫生院为人民身体健康提供医疗与预防保健服务。负责辖区内常见病多发病诊治、护理</w:t>
      </w:r>
      <w:r>
        <w:t>；</w:t>
      </w:r>
      <w:r>
        <w:rPr>
          <w:rFonts w:hint="eastAsia" w:ascii="仿宋" w:hAnsi="仿宋" w:eastAsia="仿宋"/>
          <w:sz w:val="32"/>
          <w:szCs w:val="32"/>
        </w:rPr>
        <w:t>院前急救、巡回医疗，辖区内的疾病控制、妇幼保健、健康教育、计划免疫，新型合作医疗的组织与管理等工作，承担乡村卫生人员业务培训和技术指导。</w:t>
      </w:r>
    </w:p>
    <w:p>
      <w:pPr>
        <w:widowControl/>
        <w:adjustRightInd w:val="0"/>
        <w:snapToGrid w:val="0"/>
        <w:spacing w:line="572" w:lineRule="exact"/>
        <w:ind w:firstLine="640" w:firstLineChars="200"/>
        <w:contextualSpacing/>
        <w:jc w:val="left"/>
      </w:pPr>
      <w:r>
        <w:rPr>
          <w:rFonts w:hint="eastAsia" w:ascii="仿宋" w:hAnsi="仿宋" w:eastAsia="仿宋"/>
          <w:sz w:val="32"/>
          <w:szCs w:val="32"/>
        </w:rPr>
        <w:t>3.杨柏镇太平小学及杨柏镇中心小学</w:t>
      </w:r>
      <w:r>
        <w:rPr>
          <w:rFonts w:hint="eastAsia" w:ascii="仿宋_GB2312" w:hAnsi="宋体" w:eastAsia="仿宋_GB2312" w:cs="宋体"/>
          <w:kern w:val="0"/>
          <w:sz w:val="32"/>
          <w:szCs w:val="32"/>
        </w:rPr>
        <w:t>全面贯彻党的教育方针政策，依法组织教育教学，全面实施素质教育，培养德智体美劳全面发展的社会主义接班人，努力办好人民满意教育。保障学校的正常教育教学、办公、生活秩序。</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adjustRightInd w:val="0"/>
        <w:snapToGrid w:val="0"/>
        <w:spacing w:line="560" w:lineRule="exact"/>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2021年</w:t>
      </w:r>
      <w:r>
        <w:rPr>
          <w:rFonts w:ascii="仿宋_GB2312" w:hAnsi="Calibri" w:eastAsia="仿宋_GB2312" w:cs="仿宋"/>
          <w:color w:val="000000"/>
          <w:kern w:val="0"/>
          <w:sz w:val="32"/>
          <w:szCs w:val="32"/>
        </w:rPr>
        <w:t>财政全额预算拨款</w:t>
      </w:r>
      <w:r>
        <w:rPr>
          <w:rFonts w:hint="eastAsia" w:ascii="仿宋_GB2312" w:hAnsi="Calibri" w:eastAsia="仿宋_GB2312" w:cs="仿宋"/>
          <w:color w:val="000000"/>
          <w:kern w:val="0"/>
          <w:sz w:val="32"/>
          <w:szCs w:val="32"/>
        </w:rPr>
        <w:t>162</w:t>
      </w:r>
      <w:r>
        <w:rPr>
          <w:rFonts w:ascii="仿宋_GB2312" w:hAnsi="Calibri" w:eastAsia="仿宋_GB2312" w:cs="仿宋"/>
          <w:color w:val="000000"/>
          <w:kern w:val="0"/>
          <w:sz w:val="32"/>
          <w:szCs w:val="32"/>
        </w:rPr>
        <w:t>人，</w:t>
      </w:r>
      <w:r>
        <w:rPr>
          <w:rFonts w:hint="eastAsia" w:ascii="仿宋_GB2312" w:hAnsi="Calibri" w:eastAsia="仿宋_GB2312" w:cs="仿宋"/>
          <w:color w:val="000000"/>
          <w:kern w:val="0"/>
          <w:sz w:val="32"/>
          <w:szCs w:val="32"/>
        </w:rPr>
        <w:t>其中行政人员25人，事业人员137人。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adjustRightInd w:val="0"/>
        <w:snapToGrid w:val="0"/>
        <w:spacing w:line="560" w:lineRule="exact"/>
        <w:ind w:firstLine="72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rFonts w:ascii="仿宋" w:hAnsi="仿宋" w:eastAsia="仿宋"/>
          <w:color w:val="000000"/>
          <w:sz w:val="32"/>
          <w:szCs w:val="32"/>
        </w:rPr>
      </w:pPr>
      <w:r>
        <w:rPr>
          <w:rFonts w:hint="eastAsia" w:ascii="仿宋" w:hAnsi="仿宋" w:eastAsia="仿宋"/>
          <w:color w:val="000000"/>
          <w:sz w:val="32"/>
          <w:szCs w:val="32"/>
        </w:rPr>
        <w:t>2021年度收入总计4,675.55万元。其中一般公共预算财政拨款收入4,318.68万元，事业收入261.30万元，其他收入49.25万元，政府性基金预算财政拨款收入46.33万元。</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pStyle w:val="3"/>
        <w:spacing w:before="93"/>
        <w:ind w:firstLine="640" w:firstLineChars="200"/>
        <w:rPr>
          <w:rFonts w:ascii="仿宋" w:hAnsi="仿宋" w:eastAsia="仿宋"/>
          <w:color w:val="000000"/>
          <w:kern w:val="2"/>
          <w:sz w:val="32"/>
          <w:szCs w:val="32"/>
          <w:lang w:val="zh-CN"/>
        </w:rPr>
      </w:pPr>
      <w:r>
        <w:rPr>
          <w:rFonts w:hint="eastAsia" w:ascii="仿宋" w:hAnsi="仿宋" w:eastAsia="仿宋"/>
          <w:color w:val="000000"/>
          <w:sz w:val="32"/>
          <w:szCs w:val="32"/>
        </w:rPr>
        <w:t>2021年度支出总计4,675.55</w:t>
      </w:r>
      <w:r>
        <w:rPr>
          <w:rFonts w:hint="eastAsia" w:ascii="仿宋" w:hAnsi="仿宋" w:eastAsia="仿宋"/>
          <w:color w:val="000000"/>
          <w:kern w:val="2"/>
          <w:sz w:val="32"/>
          <w:szCs w:val="32"/>
        </w:rPr>
        <w:t>万元。其中基本支出</w:t>
      </w:r>
      <w:r>
        <w:rPr>
          <w:rFonts w:hint="eastAsia" w:ascii="仿宋" w:hAnsi="仿宋" w:eastAsia="仿宋"/>
          <w:color w:val="000000"/>
          <w:kern w:val="2"/>
          <w:sz w:val="32"/>
          <w:szCs w:val="32"/>
          <w:lang w:val="zh-CN"/>
        </w:rPr>
        <w:t>2,485.59万元，项目支出2,189.97万元。</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截至</w:t>
      </w:r>
      <w:r>
        <w:rPr>
          <w:rFonts w:hint="eastAsia" w:ascii="仿宋_GB2312" w:hAnsi="Calibri" w:eastAsia="仿宋_GB2312" w:cs="仿宋"/>
          <w:color w:val="000000"/>
          <w:kern w:val="0"/>
          <w:sz w:val="32"/>
          <w:szCs w:val="32"/>
        </w:rPr>
        <w:t>2021</w:t>
      </w:r>
      <w:r>
        <w:rPr>
          <w:rFonts w:hint="eastAsia" w:ascii="仿宋_GB2312" w:hAnsi="Calibri" w:eastAsia="仿宋_GB2312" w:cs="仿宋"/>
          <w:color w:val="000000"/>
          <w:kern w:val="0"/>
          <w:sz w:val="32"/>
          <w:szCs w:val="32"/>
          <w:lang w:val="zh-CN"/>
        </w:rPr>
        <w:t>年12月</w:t>
      </w:r>
      <w:r>
        <w:rPr>
          <w:rFonts w:hint="eastAsia" w:ascii="仿宋_GB2312" w:hAnsi="Calibri" w:eastAsia="仿宋_GB2312" w:cs="仿宋"/>
          <w:color w:val="000000"/>
          <w:kern w:val="0"/>
          <w:sz w:val="32"/>
          <w:szCs w:val="32"/>
        </w:rPr>
        <w:t>31日</w:t>
      </w:r>
      <w:r>
        <w:rPr>
          <w:rFonts w:hint="eastAsia" w:ascii="仿宋_GB2312" w:hAnsi="Calibri" w:eastAsia="仿宋_GB2312" w:cs="仿宋"/>
          <w:color w:val="000000"/>
          <w:kern w:val="0"/>
          <w:sz w:val="32"/>
          <w:szCs w:val="32"/>
          <w:lang w:val="zh-CN"/>
        </w:rPr>
        <w:t>，实际支付资金</w:t>
      </w:r>
      <w:r>
        <w:rPr>
          <w:rFonts w:hint="eastAsia" w:ascii="仿宋_GB2312" w:hAnsi="Calibri" w:eastAsia="仿宋_GB2312" w:cs="仿宋"/>
          <w:color w:val="000000"/>
          <w:kern w:val="0"/>
          <w:sz w:val="32"/>
          <w:szCs w:val="32"/>
        </w:rPr>
        <w:t>4,675.55</w:t>
      </w:r>
      <w:r>
        <w:rPr>
          <w:rFonts w:hint="eastAsia" w:ascii="仿宋_GB2312" w:hAnsi="Calibri" w:eastAsia="仿宋_GB2312" w:cs="仿宋"/>
          <w:color w:val="000000"/>
          <w:kern w:val="0"/>
          <w:sz w:val="32"/>
          <w:szCs w:val="32"/>
          <w:lang w:val="zh-CN"/>
        </w:rPr>
        <w:t>万元。资金按时按规定支付，支付依据合规合法，资金支付与预算相符。</w:t>
      </w:r>
    </w:p>
    <w:p>
      <w:pPr>
        <w:widowControl/>
        <w:numPr>
          <w:ilvl w:val="0"/>
          <w:numId w:val="5"/>
        </w:numPr>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结果应用情况。</w:t>
      </w:r>
    </w:p>
    <w:p>
      <w:pPr>
        <w:adjustRightInd w:val="0"/>
        <w:snapToGrid w:val="0"/>
        <w:spacing w:line="560" w:lineRule="exact"/>
        <w:ind w:firstLine="640" w:firstLineChars="200"/>
        <w:rPr>
          <w:lang w:val="zh-CN"/>
        </w:rPr>
      </w:pPr>
      <w:r>
        <w:rPr>
          <w:rFonts w:ascii="仿宋_GB2312" w:hAnsi="Calibri" w:eastAsia="仿宋_GB2312" w:cs="仿宋"/>
          <w:color w:val="000000"/>
          <w:kern w:val="0"/>
          <w:sz w:val="32"/>
          <w:szCs w:val="32"/>
          <w:lang w:val="zh-CN"/>
        </w:rPr>
        <w:t>对绩效评价结果为“优”的</w:t>
      </w:r>
      <w:r>
        <w:rPr>
          <w:rFonts w:hint="eastAsia" w:ascii="仿宋_GB2312" w:hAnsi="Calibri" w:eastAsia="仿宋_GB2312" w:cs="仿宋"/>
          <w:color w:val="000000"/>
          <w:kern w:val="0"/>
          <w:sz w:val="32"/>
          <w:szCs w:val="32"/>
          <w:lang w:val="zh-CN"/>
        </w:rPr>
        <w:t>项目</w:t>
      </w:r>
      <w:r>
        <w:rPr>
          <w:rFonts w:ascii="仿宋_GB2312" w:hAnsi="Calibri" w:eastAsia="仿宋_GB2312" w:cs="仿宋"/>
          <w:color w:val="000000"/>
          <w:kern w:val="0"/>
          <w:sz w:val="32"/>
          <w:szCs w:val="32"/>
          <w:lang w:val="zh-CN"/>
        </w:rPr>
        <w:t>在</w:t>
      </w:r>
      <w:r>
        <w:rPr>
          <w:rFonts w:hint="eastAsia" w:ascii="仿宋_GB2312" w:hAnsi="Calibri" w:eastAsia="仿宋_GB2312" w:cs="仿宋"/>
          <w:color w:val="000000"/>
          <w:kern w:val="0"/>
          <w:sz w:val="32"/>
          <w:szCs w:val="32"/>
        </w:rPr>
        <w:t>2022</w:t>
      </w:r>
      <w:r>
        <w:rPr>
          <w:rFonts w:ascii="仿宋_GB2312" w:hAnsi="Calibri" w:eastAsia="仿宋_GB2312" w:cs="仿宋"/>
          <w:color w:val="000000"/>
          <w:kern w:val="0"/>
          <w:sz w:val="32"/>
          <w:szCs w:val="32"/>
          <w:lang w:val="zh-CN"/>
        </w:rPr>
        <w:t>年优先保障年度预算。</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3"/>
        <w:spacing w:before="93"/>
        <w:ind w:firstLine="640" w:firstLineChars="200"/>
        <w:rPr>
          <w:rFonts w:hAnsi="Calibri" w:cs="仿宋"/>
          <w:color w:val="000000"/>
          <w:sz w:val="32"/>
          <w:szCs w:val="32"/>
          <w:lang w:val="zh-CN"/>
        </w:rPr>
      </w:pPr>
      <w:r>
        <w:rPr>
          <w:rFonts w:hAnsi="Calibri" w:cs="仿宋"/>
          <w:color w:val="000000"/>
          <w:sz w:val="32"/>
          <w:szCs w:val="32"/>
          <w:lang w:val="zh-CN"/>
        </w:rPr>
        <w:t>指标设置合理，指标与项目关联，绩效目标内容填写规范，项目资金录入规范，自评结果的真实准确</w:t>
      </w:r>
      <w:r>
        <w:rPr>
          <w:rFonts w:hint="eastAsia" w:hAnsi="Calibri" w:cs="仿宋"/>
          <w:color w:val="000000"/>
          <w:sz w:val="32"/>
          <w:szCs w:val="32"/>
          <w:lang w:val="zh-CN"/>
        </w:rPr>
        <w:t>，保证绩效</w:t>
      </w:r>
      <w:r>
        <w:rPr>
          <w:rFonts w:hAnsi="Calibri" w:cs="仿宋"/>
          <w:color w:val="000000"/>
          <w:sz w:val="32"/>
          <w:szCs w:val="32"/>
          <w:lang w:val="zh-CN"/>
        </w:rPr>
        <w:t>自评质量</w:t>
      </w:r>
      <w:r>
        <w:rPr>
          <w:rFonts w:hint="eastAsia" w:hAnsi="Calibri" w:cs="仿宋"/>
          <w:color w:val="000000"/>
          <w:sz w:val="32"/>
          <w:szCs w:val="32"/>
          <w:lang w:val="zh-CN"/>
        </w:rPr>
        <w:t>。</w:t>
      </w:r>
    </w:p>
    <w:p>
      <w:pPr>
        <w:widowControl/>
        <w:numPr>
          <w:ilvl w:val="0"/>
          <w:numId w:val="1"/>
        </w:numPr>
        <w:adjustRightInd w:val="0"/>
        <w:snapToGrid w:val="0"/>
        <w:spacing w:line="576" w:lineRule="exact"/>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评价结论及建议</w:t>
      </w:r>
    </w:p>
    <w:p>
      <w:pPr>
        <w:numPr>
          <w:ilvl w:val="0"/>
          <w:numId w:val="7"/>
        </w:numPr>
        <w:adjustRightInd w:val="0"/>
        <w:snapToGrid w:val="0"/>
        <w:spacing w:line="560" w:lineRule="exact"/>
        <w:ind w:firstLine="640" w:firstLineChars="20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lang w:val="zh-CN"/>
        </w:rPr>
        <w:t>评价结论</w:t>
      </w:r>
    </w:p>
    <w:p>
      <w:pPr>
        <w:adjustRightInd w:val="0"/>
        <w:snapToGrid w:val="0"/>
        <w:spacing w:line="560" w:lineRule="exact"/>
        <w:ind w:firstLine="640" w:firstLineChars="200"/>
        <w:rPr>
          <w:lang w:val="zh-CN"/>
        </w:rPr>
      </w:pPr>
      <w:r>
        <w:rPr>
          <w:rFonts w:ascii="仿宋_GB2312" w:hAnsi="Calibri" w:eastAsia="仿宋_GB2312" w:cs="仿宋"/>
          <w:color w:val="000000"/>
          <w:kern w:val="0"/>
          <w:sz w:val="32"/>
          <w:szCs w:val="32"/>
          <w:lang w:val="zh-CN"/>
        </w:rPr>
        <w:t>按照财政部对</w:t>
      </w:r>
      <w:r>
        <w:rPr>
          <w:rFonts w:hint="eastAsia" w:ascii="仿宋_GB2312" w:hAnsi="Calibri" w:eastAsia="仿宋_GB2312" w:cs="仿宋"/>
          <w:color w:val="000000"/>
          <w:kern w:val="0"/>
          <w:sz w:val="32"/>
          <w:szCs w:val="32"/>
        </w:rPr>
        <w:t>2021</w:t>
      </w:r>
      <w:r>
        <w:rPr>
          <w:rFonts w:ascii="仿宋_GB2312" w:hAnsi="Calibri" w:eastAsia="仿宋_GB2312" w:cs="仿宋"/>
          <w:color w:val="000000"/>
          <w:kern w:val="0"/>
          <w:sz w:val="32"/>
          <w:szCs w:val="32"/>
          <w:lang w:val="zh-CN"/>
        </w:rPr>
        <w:t>年度绩效目标设置的要求，设置了“产出、效益、满意度”等指标值，其中产出指标</w:t>
      </w:r>
      <w:r>
        <w:rPr>
          <w:rFonts w:ascii="仿宋_GB2312" w:hAnsi="Calibri" w:eastAsia="仿宋_GB2312" w:cs="仿宋"/>
          <w:color w:val="000000"/>
          <w:kern w:val="0"/>
          <w:sz w:val="32"/>
          <w:szCs w:val="32"/>
        </w:rPr>
        <w:t>50分，实际得分48分</w:t>
      </w:r>
      <w:r>
        <w:rPr>
          <w:rFonts w:ascii="仿宋_GB2312" w:hAnsi="Calibri" w:eastAsia="仿宋_GB2312" w:cs="仿宋"/>
          <w:color w:val="000000"/>
          <w:kern w:val="0"/>
          <w:sz w:val="32"/>
          <w:szCs w:val="32"/>
          <w:lang w:val="zh-CN"/>
        </w:rPr>
        <w:t>，效益指标</w:t>
      </w:r>
      <w:r>
        <w:rPr>
          <w:rFonts w:ascii="仿宋_GB2312" w:hAnsi="Calibri" w:eastAsia="仿宋_GB2312" w:cs="仿宋"/>
          <w:color w:val="000000"/>
          <w:kern w:val="0"/>
          <w:sz w:val="32"/>
          <w:szCs w:val="32"/>
        </w:rPr>
        <w:t>30分，实际得分29分，满意度指标10分，实际得分9分。预算资金执行得分10分，合计得分96分</w:t>
      </w:r>
      <w:r>
        <w:rPr>
          <w:rFonts w:hint="eastAsia" w:ascii="仿宋_GB2312" w:hAnsi="Calibri" w:eastAsia="仿宋_GB2312" w:cs="仿宋"/>
          <w:color w:val="000000"/>
          <w:kern w:val="0"/>
          <w:sz w:val="32"/>
          <w:szCs w:val="32"/>
        </w:rPr>
        <w:t>。</w:t>
      </w:r>
    </w:p>
    <w:p>
      <w:pPr>
        <w:numPr>
          <w:ilvl w:val="0"/>
          <w:numId w:val="7"/>
        </w:numPr>
        <w:adjustRightInd w:val="0"/>
        <w:snapToGrid w:val="0"/>
        <w:spacing w:line="560" w:lineRule="exact"/>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lang w:val="zh-CN"/>
        </w:rPr>
        <w:t>存在的问题</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1.项目绩效目标与指标不完整</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绩效指标较少，不能完全衡量条件建设经费项目的完成情况，绩效指标未涵盖所有工作事项，绩效标准表述不够准确，整体逻辑关系不够清晰。</w:t>
      </w:r>
    </w:p>
    <w:p>
      <w:pPr>
        <w:adjustRightInd w:val="0"/>
        <w:snapToGrid w:val="0"/>
        <w:spacing w:line="560" w:lineRule="exact"/>
        <w:ind w:firstLine="72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lang w:val="zh-CN"/>
        </w:rPr>
        <w:t>2.</w:t>
      </w:r>
      <w:r>
        <w:rPr>
          <w:rFonts w:ascii="仿宋_GB2312" w:hAnsi="Calibri" w:eastAsia="仿宋_GB2312" w:cs="仿宋"/>
          <w:color w:val="000000"/>
          <w:kern w:val="0"/>
          <w:sz w:val="32"/>
          <w:szCs w:val="32"/>
        </w:rPr>
        <w:t>项目建设与项目资金不配套</w:t>
      </w:r>
    </w:p>
    <w:p>
      <w:pPr>
        <w:adjustRightInd w:val="0"/>
        <w:snapToGrid w:val="0"/>
        <w:spacing w:line="560" w:lineRule="exact"/>
        <w:ind w:firstLine="72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项目建设与项目资金不配套，不吻合，资金缺口大，政府难以化解和难以应付债务矛盾。</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3.资金监控机制有待进一步加强</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在执行过程中，未对项目资金使用及项目完成情况进行有效的监督，导致执行滞后的问题。</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u w:val="thick" w:color="FFB03A"/>
          <w:shd w:val="clear" w:fill="FFEFD8"/>
          <w:lang w:val="zh-CN"/>
        </w:rPr>
        <w:t>（三）</w:t>
      </w:r>
      <w:r>
        <w:rPr>
          <w:rFonts w:ascii="仿宋_GB2312" w:hAnsi="Calibri" w:eastAsia="仿宋_GB2312" w:cs="仿宋"/>
          <w:color w:val="000000"/>
          <w:kern w:val="0"/>
          <w:sz w:val="32"/>
          <w:szCs w:val="32"/>
          <w:lang w:val="zh-CN"/>
        </w:rPr>
        <w:t>相关建议</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1</w:t>
      </w:r>
      <w:r>
        <w:rPr>
          <w:rFonts w:ascii="仿宋_GB2312" w:hAnsi="Calibri" w:eastAsia="仿宋_GB2312" w:cs="仿宋"/>
          <w:color w:val="000000"/>
          <w:kern w:val="0"/>
          <w:sz w:val="32"/>
          <w:szCs w:val="32"/>
        </w:rPr>
        <w:t>.政府加强日常管理</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政府加强日常管理，节约支出，县级相关部门加大投入，解决人民群众的生产生活困难。同时财政所要加强财政财务管理，堵塞各种资金漏洞，提高财政资金的使用效率</w:t>
      </w:r>
      <w:r>
        <w:t>。</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2</w:t>
      </w:r>
      <w:r>
        <w:rPr>
          <w:rFonts w:ascii="仿宋_GB2312" w:hAnsi="Calibri" w:eastAsia="仿宋_GB2312" w:cs="仿宋"/>
          <w:color w:val="000000"/>
          <w:kern w:val="0"/>
          <w:sz w:val="32"/>
          <w:szCs w:val="32"/>
        </w:rPr>
        <w:t>.</w:t>
      </w:r>
      <w:r>
        <w:rPr>
          <w:rFonts w:ascii="仿宋_GB2312" w:hAnsi="Calibri" w:eastAsia="仿宋_GB2312" w:cs="仿宋"/>
          <w:color w:val="000000"/>
          <w:kern w:val="0"/>
          <w:sz w:val="32"/>
          <w:szCs w:val="32"/>
          <w:lang w:val="zh-CN"/>
        </w:rPr>
        <w:t>进一步完善项目绩效目标及绩效指标</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hint="eastAsia" w:ascii="仿宋_GB2312" w:hAnsi="Calibri" w:eastAsia="仿宋_GB2312" w:cs="仿宋"/>
          <w:color w:val="000000"/>
          <w:kern w:val="0"/>
          <w:sz w:val="32"/>
          <w:szCs w:val="32"/>
          <w:u w:val="none" w:color="46CD7E"/>
          <w:shd w:val="clear" w:fill="auto"/>
          <w:lang w:val="zh-CN"/>
        </w:rPr>
        <w:t>加强与</w:t>
      </w:r>
      <w:r>
        <w:rPr>
          <w:rFonts w:ascii="仿宋_GB2312" w:hAnsi="Calibri" w:eastAsia="仿宋_GB2312" w:cs="仿宋"/>
          <w:color w:val="000000"/>
          <w:kern w:val="0"/>
          <w:sz w:val="32"/>
          <w:szCs w:val="32"/>
          <w:lang w:val="zh-CN"/>
        </w:rPr>
        <w:t>各执行部门的沟通，建立事权、财权、责任匹配制度，在绩效目标的设定方面，绩效目标有待准确化，使项目目标</w:t>
      </w:r>
      <w:bookmarkStart w:id="119" w:name="_GoBack"/>
      <w:bookmarkEnd w:id="119"/>
      <w:r>
        <w:rPr>
          <w:rFonts w:hint="eastAsia" w:ascii="仿宋_GB2312" w:hAnsi="Calibri" w:eastAsia="仿宋_GB2312" w:cs="仿宋"/>
          <w:color w:val="000000"/>
          <w:kern w:val="0"/>
          <w:sz w:val="32"/>
          <w:szCs w:val="32"/>
          <w:u w:val="thick" w:color="46CD7E"/>
          <w:shd w:val="clear" w:fill="DAF5E5"/>
          <w:lang w:val="zh-CN"/>
        </w:rPr>
        <w:t>更加</w:t>
      </w:r>
      <w:r>
        <w:rPr>
          <w:rFonts w:ascii="仿宋_GB2312" w:hAnsi="Calibri" w:eastAsia="仿宋_GB2312" w:cs="仿宋"/>
          <w:color w:val="000000"/>
          <w:kern w:val="0"/>
          <w:sz w:val="32"/>
          <w:szCs w:val="32"/>
          <w:lang w:val="zh-CN"/>
        </w:rPr>
        <w:t>简洁，更加明晰。项目绩效指标需结合项目明细具体设置，尽可能全面、客观的反映项目产出及效果。</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3</w:t>
      </w:r>
      <w:r>
        <w:rPr>
          <w:rFonts w:ascii="仿宋_GB2312" w:hAnsi="Calibri" w:eastAsia="仿宋_GB2312" w:cs="仿宋"/>
          <w:color w:val="000000"/>
          <w:kern w:val="0"/>
          <w:sz w:val="32"/>
          <w:szCs w:val="32"/>
        </w:rPr>
        <w:t>.</w:t>
      </w:r>
      <w:r>
        <w:rPr>
          <w:rFonts w:ascii="仿宋_GB2312" w:hAnsi="Calibri" w:eastAsia="仿宋_GB2312" w:cs="仿宋"/>
          <w:color w:val="000000"/>
          <w:kern w:val="0"/>
          <w:sz w:val="32"/>
          <w:szCs w:val="32"/>
          <w:lang w:val="zh-CN"/>
        </w:rPr>
        <w:t>提高项目资金使用率</w:t>
      </w:r>
    </w:p>
    <w:p>
      <w:pPr>
        <w:adjustRightInd w:val="0"/>
        <w:snapToGrid w:val="0"/>
        <w:spacing w:line="560" w:lineRule="exact"/>
        <w:ind w:firstLine="720"/>
        <w:rPr>
          <w:rFonts w:ascii="仿宋_GB2312" w:hAnsi="Calibri" w:eastAsia="仿宋_GB2312" w:cs="仿宋"/>
          <w:color w:val="000000"/>
          <w:kern w:val="0"/>
          <w:sz w:val="32"/>
          <w:szCs w:val="32"/>
          <w:lang w:val="zh-CN"/>
        </w:rPr>
      </w:pPr>
      <w:r>
        <w:rPr>
          <w:rFonts w:ascii="仿宋_GB2312" w:hAnsi="Calibri" w:eastAsia="仿宋_GB2312" w:cs="仿宋"/>
          <w:color w:val="000000"/>
          <w:kern w:val="0"/>
          <w:sz w:val="32"/>
          <w:szCs w:val="32"/>
          <w:lang w:val="zh-CN"/>
        </w:rPr>
        <w:t>实时监控预算完成情况，对项目资金执行情况及项目进度进行通报，对执行进度滞后的情况，要求加快执行，确保项目能按计划执行。同时明确监管层次，对项目的时间</w:t>
      </w:r>
      <w:r>
        <w:rPr>
          <w:rFonts w:hint="eastAsia" w:ascii="仿宋_GB2312" w:hAnsi="Calibri" w:eastAsia="仿宋_GB2312" w:cs="仿宋"/>
          <w:color w:val="000000"/>
          <w:kern w:val="0"/>
          <w:sz w:val="32"/>
          <w:szCs w:val="32"/>
          <w:u w:val="none" w:color="46CD7E"/>
          <w:shd w:val="clear" w:fill="auto"/>
          <w:lang w:val="zh-CN"/>
        </w:rPr>
        <w:t>节点进行</w:t>
      </w:r>
      <w:r>
        <w:rPr>
          <w:rFonts w:ascii="仿宋_GB2312" w:hAnsi="Calibri" w:eastAsia="仿宋_GB2312" w:cs="仿宋"/>
          <w:color w:val="000000"/>
          <w:kern w:val="0"/>
          <w:sz w:val="32"/>
          <w:szCs w:val="32"/>
          <w:lang w:val="zh-CN"/>
        </w:rPr>
        <w:t>控制，进一步提高内部控制意识，明确责任主体。</w:t>
      </w:r>
    </w:p>
    <w:p>
      <w:pPr>
        <w:pStyle w:val="3"/>
        <w:spacing w:before="93"/>
        <w:rPr>
          <w:rFonts w:hAnsi="Calibri" w:cs="仿宋"/>
          <w:color w:val="000000"/>
          <w:sz w:val="32"/>
          <w:szCs w:val="32"/>
          <w:lang w:val="zh-CN"/>
        </w:rPr>
      </w:pPr>
    </w:p>
    <w:p>
      <w:pPr>
        <w:pStyle w:val="3"/>
        <w:spacing w:before="93"/>
        <w:rPr>
          <w:rFonts w:hAnsi="Calibri" w:cs="仿宋"/>
          <w:color w:val="000000"/>
          <w:sz w:val="32"/>
          <w:szCs w:val="32"/>
          <w:lang w:val="zh-CN"/>
        </w:rPr>
      </w:pPr>
    </w:p>
    <w:p>
      <w:pPr>
        <w:pStyle w:val="3"/>
        <w:spacing w:before="93"/>
        <w:rPr>
          <w:rFonts w:hAnsi="Calibri" w:cs="仿宋"/>
          <w:color w:val="000000"/>
          <w:sz w:val="32"/>
          <w:szCs w:val="32"/>
          <w:lang w:val="zh-CN"/>
        </w:rPr>
      </w:pPr>
    </w:p>
    <w:p>
      <w:pPr>
        <w:pStyle w:val="3"/>
        <w:spacing w:before="93"/>
        <w:rPr>
          <w:rFonts w:hAnsi="Calibri" w:cs="仿宋"/>
          <w:color w:val="000000"/>
          <w:sz w:val="32"/>
          <w:szCs w:val="32"/>
          <w:lang w:val="zh-CN"/>
        </w:rPr>
      </w:pPr>
    </w:p>
    <w:p>
      <w:pPr>
        <w:pStyle w:val="3"/>
        <w:spacing w:before="93"/>
        <w:rPr>
          <w:rFonts w:hAnsi="Calibri" w:cs="仿宋"/>
          <w:color w:val="000000"/>
          <w:sz w:val="32"/>
          <w:szCs w:val="32"/>
          <w:lang w:val="zh-CN"/>
        </w:rPr>
      </w:pPr>
    </w:p>
    <w:p>
      <w:pPr>
        <w:pStyle w:val="3"/>
        <w:spacing w:before="93"/>
        <w:rPr>
          <w:rFonts w:hAnsi="Calibri" w:cs="仿宋"/>
          <w:color w:val="000000"/>
          <w:sz w:val="32"/>
          <w:szCs w:val="32"/>
          <w:lang w:val="zh-CN"/>
        </w:rPr>
      </w:pPr>
    </w:p>
    <w:p>
      <w:pPr>
        <w:pStyle w:val="3"/>
        <w:spacing w:before="93"/>
        <w:rPr>
          <w:rFonts w:hAnsi="Calibri" w:cs="仿宋"/>
          <w:color w:val="000000"/>
          <w:sz w:val="32"/>
          <w:szCs w:val="32"/>
          <w:lang w:val="zh-CN"/>
        </w:rPr>
      </w:pPr>
    </w:p>
    <w:p>
      <w:pPr>
        <w:pStyle w:val="3"/>
        <w:spacing w:before="93"/>
        <w:rPr>
          <w:lang w:val="zh-CN"/>
        </w:rPr>
      </w:pPr>
    </w:p>
    <w:p>
      <w:pPr>
        <w:pStyle w:val="3"/>
        <w:spacing w:before="93"/>
        <w:rPr>
          <w:lang w:val="zh-CN"/>
        </w:rPr>
      </w:pPr>
    </w:p>
    <w:tbl>
      <w:tblPr>
        <w:tblStyle w:val="6"/>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1"/>
        <w:gridCol w:w="1635"/>
        <w:gridCol w:w="1685"/>
        <w:gridCol w:w="1197"/>
        <w:gridCol w:w="1941"/>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vAlign w:val="center"/>
          </w:tcPr>
          <w:p>
            <w:pPr>
              <w:widowControl/>
              <w:jc w:val="center"/>
              <w:textAlignment w:val="center"/>
              <w:rPr>
                <w:rFonts w:ascii="宋体" w:hAnsi="宋体" w:cs="宋体"/>
                <w:b/>
                <w:sz w:val="32"/>
                <w:szCs w:val="32"/>
              </w:rPr>
            </w:pPr>
            <w:r>
              <w:rPr>
                <w:rFonts w:hint="eastAsia" w:ascii="宋体" w:hAnsi="宋体" w:cs="宋体"/>
                <w:b/>
                <w:sz w:val="32"/>
                <w:szCs w:val="32"/>
              </w:rPr>
              <w:t>（产业）道路建设补助资金（朽石坎村）项目绩效目标自评</w:t>
            </w:r>
          </w:p>
        </w:tc>
        <w:tc>
          <w:tcPr>
            <w:tcW w:w="234" w:type="dxa"/>
            <w:tcBorders>
              <w:top w:val="nil"/>
              <w:left w:val="nil"/>
              <w:bottom w:val="nil"/>
              <w:right w:val="nil"/>
            </w:tcBorders>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通江县交通运输局</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宋体" w:hAnsi="宋体" w:cs="宋体"/>
                <w:sz w:val="24"/>
              </w:rPr>
            </w:pPr>
            <w:r>
              <w:rPr>
                <w:rFonts w:hint="eastAsia" w:ascii="宋体" w:hAnsi="宋体" w:cs="宋体"/>
                <w:sz w:val="24"/>
              </w:rPr>
              <w:t>通江县杨柏镇人民政府</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预算数：</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sz w:val="24"/>
              </w:rPr>
              <w:t>150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执行数：</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150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sz w:val="24"/>
              </w:rPr>
              <w:t>150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sz w:val="24"/>
              </w:rPr>
              <w:t>150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46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1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cs="宋体"/>
                <w:sz w:val="24"/>
              </w:rPr>
            </w:pPr>
          </w:p>
        </w:tc>
        <w:tc>
          <w:tcPr>
            <w:tcW w:w="4462" w:type="dxa"/>
            <w:gridSpan w:val="3"/>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hAnsi="宋体" w:cs="宋体"/>
                <w:sz w:val="24"/>
              </w:rPr>
            </w:pPr>
            <w:r>
              <w:rPr>
                <w:rFonts w:hint="eastAsia" w:ascii="宋体" w:hAnsi="宋体" w:cs="宋体"/>
                <w:sz w:val="24"/>
              </w:rPr>
              <w:t>进一步完善基础设施建设，解决朽石坎村群众出行困难的问题，提高群众的生产生活质量，保障群众的生命财产安全。</w:t>
            </w:r>
          </w:p>
        </w:tc>
        <w:tc>
          <w:tcPr>
            <w:tcW w:w="3138" w:type="dxa"/>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宋体" w:hAnsi="宋体" w:cs="宋体"/>
                <w:sz w:val="24"/>
              </w:rPr>
            </w:pPr>
            <w:r>
              <w:rPr>
                <w:rFonts w:hint="eastAsia" w:ascii="宋体" w:hAnsi="宋体" w:cs="宋体"/>
                <w:sz w:val="24"/>
              </w:rPr>
              <w:t>新建道路3.53公里，解决了群众出行困难的问题，提高了群众的生产生活质量。</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新建道路</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＞3公里</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3.53公里</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项目验收合格率</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=100%</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工程完工及时</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及时</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及时</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补助资金</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＞150万元</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150万元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效益</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促进村集体经济发展</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4"/>
              </w:rPr>
            </w:pPr>
            <w:r>
              <w:rPr>
                <w:rFonts w:hint="eastAsia" w:ascii="仿宋_GB2312" w:hAnsi="仿宋_GB2312" w:eastAsia="仿宋_GB2312" w:cs="仿宋_GB2312"/>
                <w:sz w:val="24"/>
              </w:rPr>
              <w:t>＞2万元</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3万元</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缩短村民出行时间</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textAlignment w:val="bottom"/>
              <w:rPr>
                <w:rFonts w:ascii="仿宋_GB2312" w:hAnsi="仿宋_GB2312" w:eastAsia="仿宋_GB2312" w:cs="仿宋_GB2312"/>
                <w:sz w:val="24"/>
              </w:rPr>
            </w:pPr>
            <w:r>
              <w:rPr>
                <w:rFonts w:hint="eastAsia" w:ascii="仿宋_GB2312" w:hAnsi="仿宋_GB2312" w:eastAsia="仿宋_GB2312" w:cs="仿宋_GB2312"/>
                <w:sz w:val="24"/>
              </w:rPr>
              <w:t>≥0.5小时</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≥0.5小时</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对生态破坏程度</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≦10%</w:t>
            </w:r>
          </w:p>
          <w:p>
            <w:pPr>
              <w:widowControl/>
              <w:spacing w:line="320" w:lineRule="exact"/>
              <w:jc w:val="center"/>
              <w:textAlignment w:val="bottom"/>
              <w:rPr>
                <w:rFonts w:ascii="仿宋_GB2312" w:hAnsi="仿宋_GB2312" w:eastAsia="仿宋_GB2312" w:cs="仿宋_GB2312"/>
                <w:sz w:val="24"/>
              </w:rPr>
            </w:pP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5%</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道路使用年限</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≥30年</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≥30年</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5"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群众满意度</w:t>
            </w:r>
          </w:p>
        </w:tc>
        <w:tc>
          <w:tcPr>
            <w:tcW w:w="1197"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≥95%</w:t>
            </w:r>
          </w:p>
        </w:tc>
        <w:tc>
          <w:tcPr>
            <w:tcW w:w="1941" w:type="dxa"/>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ascii="仿宋_GB2312" w:hAnsi="仿宋_GB2312" w:eastAsia="仿宋_GB2312" w:cs="仿宋_GB2312"/>
                <w:sz w:val="24"/>
              </w:rPr>
            </w:pPr>
            <w:r>
              <w:rPr>
                <w:rFonts w:hint="eastAsia" w:ascii="仿宋_GB2312" w:hAnsi="仿宋_GB2312" w:eastAsia="仿宋_GB2312" w:cs="仿宋_GB2312"/>
                <w:sz w:val="24"/>
              </w:rPr>
              <w:t>≥98%</w:t>
            </w:r>
          </w:p>
        </w:tc>
      </w:tr>
    </w:tbl>
    <w:p>
      <w:pPr>
        <w:spacing w:line="580" w:lineRule="exact"/>
        <w:rPr>
          <w:rStyle w:val="28"/>
          <w:rFonts w:ascii="黑体" w:hAnsi="黑体" w:eastAsia="黑体"/>
          <w:b w:val="0"/>
        </w:rPr>
      </w:pPr>
    </w:p>
    <w:p>
      <w:pPr>
        <w:widowControl/>
        <w:jc w:val="left"/>
        <w:rPr>
          <w:rStyle w:val="28"/>
          <w:rFonts w:ascii="黑体" w:hAnsi="黑体" w:eastAsia="黑体"/>
          <w:b w:val="0"/>
        </w:rPr>
      </w:pPr>
      <w:r>
        <w:br w:type="page"/>
      </w:r>
    </w:p>
    <w:p>
      <w:pPr>
        <w:spacing w:line="600" w:lineRule="exact"/>
        <w:jc w:val="center"/>
        <w:outlineLvl w:val="0"/>
        <w:rPr>
          <w:rFonts w:ascii="仿宋" w:hAnsi="仿宋" w:eastAsia="仿宋"/>
        </w:rPr>
      </w:pPr>
      <w:bookmarkStart w:id="90" w:name="_Toc15396618"/>
      <w:bookmarkStart w:id="91" w:name="_Toc26469"/>
      <w:r>
        <w:rPr>
          <w:rFonts w:hint="eastAsia" w:ascii="黑体" w:hAnsi="黑体" w:eastAsia="黑体"/>
          <w:sz w:val="44"/>
          <w:szCs w:val="44"/>
        </w:rPr>
        <w:t>第</w:t>
      </w:r>
      <w:r>
        <w:rPr>
          <w:rStyle w:val="28"/>
          <w:rFonts w:hint="eastAsia" w:ascii="黑体" w:hAnsi="黑体" w:eastAsia="黑体"/>
          <w:b w:val="0"/>
        </w:rPr>
        <w:t>五部分附表</w:t>
      </w:r>
      <w:bookmarkEnd w:id="90"/>
      <w:bookmarkEnd w:id="91"/>
      <w:bookmarkStart w:id="92" w:name="_Toc15396619"/>
    </w:p>
    <w:p>
      <w:pPr>
        <w:pStyle w:val="13"/>
        <w:rPr>
          <w:rFonts w:ascii="仿宋" w:hAnsi="仿宋" w:eastAsia="仿宋"/>
        </w:rPr>
      </w:pPr>
      <w:bookmarkStart w:id="93" w:name="_Toc17989"/>
      <w:r>
        <w:rPr>
          <w:rFonts w:hint="eastAsia" w:ascii="仿宋" w:hAnsi="仿宋" w:eastAsia="仿宋"/>
          <w:b w:val="0"/>
        </w:rPr>
        <w:t>一、收</w:t>
      </w:r>
      <w:r>
        <w:rPr>
          <w:rStyle w:val="29"/>
          <w:rFonts w:hint="eastAsia" w:ascii="仿宋" w:hAnsi="仿宋" w:eastAsia="仿宋"/>
          <w:b w:val="0"/>
          <w:bCs w:val="0"/>
        </w:rPr>
        <w:t>入支出决算总表</w:t>
      </w:r>
      <w:bookmarkEnd w:id="92"/>
      <w:bookmarkEnd w:id="93"/>
    </w:p>
    <w:p>
      <w:pPr>
        <w:pStyle w:val="13"/>
        <w:rPr>
          <w:rFonts w:ascii="仿宋" w:hAnsi="仿宋" w:eastAsia="仿宋"/>
        </w:rPr>
      </w:pPr>
      <w:bookmarkStart w:id="94" w:name="_Toc21227"/>
      <w:bookmarkStart w:id="95" w:name="_Toc15396620"/>
      <w:r>
        <w:rPr>
          <w:rFonts w:hint="eastAsia" w:ascii="仿宋" w:hAnsi="仿宋" w:eastAsia="仿宋"/>
          <w:b w:val="0"/>
        </w:rPr>
        <w:t>二、收</w:t>
      </w:r>
      <w:r>
        <w:rPr>
          <w:rStyle w:val="29"/>
          <w:rFonts w:hint="eastAsia" w:ascii="仿宋" w:hAnsi="仿宋" w:eastAsia="仿宋"/>
          <w:b w:val="0"/>
          <w:bCs w:val="0"/>
        </w:rPr>
        <w:t>入决算表</w:t>
      </w:r>
      <w:bookmarkEnd w:id="94"/>
      <w:bookmarkEnd w:id="95"/>
    </w:p>
    <w:p>
      <w:pPr>
        <w:pStyle w:val="13"/>
        <w:rPr>
          <w:rFonts w:ascii="仿宋" w:hAnsi="仿宋" w:eastAsia="仿宋"/>
        </w:rPr>
      </w:pPr>
      <w:bookmarkStart w:id="96" w:name="_Toc27415"/>
      <w:bookmarkStart w:id="97"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96"/>
      <w:bookmarkEnd w:id="97"/>
    </w:p>
    <w:p>
      <w:pPr>
        <w:pStyle w:val="13"/>
        <w:rPr>
          <w:rFonts w:ascii="仿宋" w:hAnsi="仿宋" w:eastAsia="仿宋"/>
          <w:b w:val="0"/>
        </w:rPr>
      </w:pPr>
      <w:bookmarkStart w:id="98" w:name="_Toc31336"/>
      <w:bookmarkStart w:id="99"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98"/>
      <w:bookmarkEnd w:id="99"/>
    </w:p>
    <w:p>
      <w:pPr>
        <w:pStyle w:val="13"/>
        <w:rPr>
          <w:rStyle w:val="29"/>
          <w:rFonts w:ascii="仿宋" w:hAnsi="仿宋" w:eastAsia="仿宋"/>
          <w:b w:val="0"/>
          <w:bCs w:val="0"/>
        </w:rPr>
      </w:pPr>
      <w:bookmarkStart w:id="100" w:name="_Toc20072"/>
      <w:bookmarkStart w:id="101"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00"/>
      <w:bookmarkEnd w:id="101"/>
      <w:bookmarkStart w:id="102" w:name="_Toc15396624"/>
    </w:p>
    <w:p>
      <w:pPr>
        <w:pStyle w:val="13"/>
        <w:rPr>
          <w:rFonts w:ascii="仿宋" w:hAnsi="仿宋" w:eastAsia="仿宋"/>
        </w:rPr>
      </w:pPr>
      <w:bookmarkStart w:id="103" w:name="_Toc28729"/>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财政拨款支出决算表</w:t>
      </w:r>
      <w:bookmarkEnd w:id="102"/>
      <w:bookmarkEnd w:id="103"/>
    </w:p>
    <w:p>
      <w:pPr>
        <w:pStyle w:val="13"/>
        <w:rPr>
          <w:rFonts w:ascii="仿宋" w:hAnsi="仿宋" w:eastAsia="仿宋"/>
        </w:rPr>
      </w:pPr>
      <w:bookmarkStart w:id="104" w:name="_Toc15396625"/>
      <w:bookmarkStart w:id="105" w:name="_Toc160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财政拨款支出决算明细表</w:t>
      </w:r>
      <w:bookmarkEnd w:id="104"/>
      <w:bookmarkEnd w:id="105"/>
    </w:p>
    <w:p>
      <w:pPr>
        <w:pStyle w:val="13"/>
        <w:rPr>
          <w:rFonts w:ascii="仿宋" w:hAnsi="仿宋" w:eastAsia="仿宋"/>
        </w:rPr>
      </w:pPr>
      <w:bookmarkStart w:id="106" w:name="_Toc15396626"/>
      <w:bookmarkStart w:id="107" w:name="_Toc4821"/>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财政拨款基本支出决算表</w:t>
      </w:r>
      <w:bookmarkEnd w:id="106"/>
      <w:bookmarkEnd w:id="107"/>
    </w:p>
    <w:p>
      <w:pPr>
        <w:pStyle w:val="13"/>
        <w:rPr>
          <w:rFonts w:ascii="仿宋" w:hAnsi="仿宋" w:eastAsia="仿宋"/>
        </w:rPr>
      </w:pPr>
      <w:bookmarkStart w:id="108" w:name="_Toc32120"/>
      <w:bookmarkStart w:id="109"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财政拨款项目支出决算表</w:t>
      </w:r>
      <w:bookmarkEnd w:id="108"/>
      <w:bookmarkEnd w:id="109"/>
    </w:p>
    <w:p>
      <w:pPr>
        <w:pStyle w:val="13"/>
        <w:rPr>
          <w:rFonts w:ascii="仿宋" w:hAnsi="仿宋" w:eastAsia="仿宋"/>
        </w:rPr>
      </w:pPr>
      <w:bookmarkStart w:id="110" w:name="_Toc22344"/>
      <w:bookmarkStart w:id="111" w:name="_Toc15396628"/>
      <w:r>
        <w:rPr>
          <w:rStyle w:val="29"/>
          <w:rFonts w:hint="eastAsia" w:ascii="仿宋" w:hAnsi="仿宋" w:eastAsia="仿宋"/>
          <w:b w:val="0"/>
          <w:bCs w:val="0"/>
        </w:rPr>
        <w:t>十、</w:t>
      </w:r>
      <w:r>
        <w:rPr>
          <w:rFonts w:hint="eastAsia" w:ascii="仿宋" w:hAnsi="仿宋" w:eastAsia="仿宋"/>
          <w:b w:val="0"/>
        </w:rPr>
        <w:t>一</w:t>
      </w:r>
      <w:r>
        <w:rPr>
          <w:rStyle w:val="29"/>
          <w:rFonts w:hint="eastAsia" w:ascii="仿宋" w:hAnsi="仿宋" w:eastAsia="仿宋"/>
          <w:b w:val="0"/>
          <w:bCs w:val="0"/>
        </w:rPr>
        <w:t>般公共预算</w:t>
      </w:r>
      <w:r>
        <w:rPr>
          <w:rFonts w:hint="eastAsia" w:ascii="仿宋" w:hAnsi="仿宋" w:eastAsia="仿宋"/>
          <w:b w:val="0"/>
          <w:bCs w:val="0"/>
        </w:rPr>
        <w:t>财政拨款“三公”经费支出决算表</w:t>
      </w:r>
      <w:bookmarkEnd w:id="110"/>
      <w:bookmarkEnd w:id="111"/>
    </w:p>
    <w:p>
      <w:pPr>
        <w:pStyle w:val="13"/>
        <w:rPr>
          <w:rFonts w:ascii="仿宋" w:hAnsi="仿宋" w:eastAsia="仿宋"/>
        </w:rPr>
      </w:pPr>
      <w:bookmarkStart w:id="112" w:name="_Toc23713"/>
      <w:bookmarkStart w:id="113" w:name="_Toc15396629"/>
      <w:r>
        <w:rPr>
          <w:rStyle w:val="29"/>
          <w:rFonts w:hint="eastAsia" w:ascii="仿宋" w:hAnsi="仿宋" w:eastAsia="仿宋"/>
          <w:b w:val="0"/>
          <w:bCs w:val="0"/>
        </w:rPr>
        <w:t>十一、</w:t>
      </w:r>
      <w:r>
        <w:rPr>
          <w:rFonts w:hint="eastAsia" w:ascii="仿宋" w:hAnsi="仿宋" w:eastAsia="仿宋"/>
          <w:b w:val="0"/>
        </w:rPr>
        <w:t>政</w:t>
      </w:r>
      <w:r>
        <w:rPr>
          <w:rStyle w:val="29"/>
          <w:rFonts w:hint="eastAsia" w:ascii="仿宋" w:hAnsi="仿宋" w:eastAsia="仿宋"/>
          <w:b w:val="0"/>
          <w:bCs w:val="0"/>
        </w:rPr>
        <w:t>府性基金预算</w:t>
      </w:r>
      <w:r>
        <w:rPr>
          <w:rFonts w:hint="eastAsia" w:ascii="仿宋" w:hAnsi="仿宋" w:eastAsia="仿宋"/>
          <w:b w:val="0"/>
          <w:bCs w:val="0"/>
        </w:rPr>
        <w:t>财政拨款收入支出决算表</w:t>
      </w:r>
      <w:bookmarkEnd w:id="112"/>
      <w:bookmarkEnd w:id="113"/>
    </w:p>
    <w:p>
      <w:pPr>
        <w:pStyle w:val="13"/>
        <w:rPr>
          <w:rFonts w:ascii="仿宋" w:hAnsi="仿宋" w:eastAsia="仿宋"/>
        </w:rPr>
      </w:pPr>
      <w:bookmarkStart w:id="114" w:name="_Toc15396630"/>
      <w:bookmarkStart w:id="115" w:name="_Toc13417"/>
      <w:r>
        <w:rPr>
          <w:rStyle w:val="29"/>
          <w:rFonts w:hint="eastAsia" w:ascii="仿宋" w:hAnsi="仿宋" w:eastAsia="仿宋"/>
          <w:b w:val="0"/>
          <w:bCs w:val="0"/>
        </w:rPr>
        <w:t>十二、</w:t>
      </w:r>
      <w:r>
        <w:rPr>
          <w:rFonts w:hint="eastAsia" w:ascii="仿宋" w:hAnsi="仿宋" w:eastAsia="仿宋"/>
          <w:b w:val="0"/>
        </w:rPr>
        <w:t>政</w:t>
      </w:r>
      <w:r>
        <w:rPr>
          <w:rStyle w:val="29"/>
          <w:rFonts w:hint="eastAsia" w:ascii="仿宋" w:hAnsi="仿宋" w:eastAsia="仿宋"/>
          <w:b w:val="0"/>
          <w:bCs w:val="0"/>
        </w:rPr>
        <w:t>府性基金预算</w:t>
      </w:r>
      <w:r>
        <w:rPr>
          <w:rFonts w:hint="eastAsia" w:ascii="仿宋" w:hAnsi="仿宋" w:eastAsia="仿宋"/>
          <w:b w:val="0"/>
          <w:bCs w:val="0"/>
        </w:rPr>
        <w:t>财政拨款“三公”经费支出决算表</w:t>
      </w:r>
      <w:bookmarkEnd w:id="114"/>
      <w:bookmarkEnd w:id="115"/>
    </w:p>
    <w:p>
      <w:pPr>
        <w:pStyle w:val="13"/>
        <w:rPr>
          <w:rStyle w:val="29"/>
          <w:rFonts w:ascii="仿宋" w:hAnsi="仿宋" w:eastAsia="仿宋"/>
          <w:b w:val="0"/>
          <w:bCs w:val="0"/>
        </w:rPr>
      </w:pPr>
      <w:bookmarkStart w:id="116" w:name="_Toc15396631"/>
      <w:bookmarkStart w:id="117" w:name="_Toc21772"/>
      <w:r>
        <w:rPr>
          <w:rStyle w:val="29"/>
          <w:rFonts w:hint="eastAsia" w:ascii="仿宋" w:hAnsi="仿宋" w:eastAsia="仿宋"/>
          <w:b w:val="0"/>
          <w:bCs w:val="0"/>
        </w:rPr>
        <w:t>十三、</w:t>
      </w:r>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16"/>
      <w:bookmarkEnd w:id="117"/>
    </w:p>
    <w:p>
      <w:pPr>
        <w:rPr>
          <w:rFonts w:eastAsia="仿宋"/>
          <w:sz w:val="32"/>
          <w:szCs w:val="32"/>
        </w:rPr>
      </w:pPr>
      <w:bookmarkStart w:id="118" w:name="_Toc7390"/>
      <w:r>
        <w:rPr>
          <w:rStyle w:val="29"/>
          <w:rFonts w:hint="eastAsia" w:ascii="仿宋" w:hAnsi="仿宋" w:eastAsia="仿宋"/>
          <w:b w:val="0"/>
          <w:bCs w:val="0"/>
        </w:rPr>
        <w:t>十四、国有资本经营预算</w:t>
      </w:r>
      <w:r>
        <w:rPr>
          <w:rFonts w:hint="eastAsia" w:ascii="仿宋" w:hAnsi="仿宋" w:eastAsia="仿宋"/>
          <w:sz w:val="32"/>
          <w:szCs w:val="32"/>
        </w:rPr>
        <w:t>财政拨款支出决算表</w:t>
      </w:r>
      <w:bookmarkEnd w:id="118"/>
    </w:p>
    <w:p>
      <w:pPr>
        <w:rPr>
          <w:rFonts w:eastAsia="仿宋"/>
        </w:rPr>
      </w:pP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sdt>
                <w:sdtPr>
                  <w:id w:val="-1994781956"/>
                </w:sdtPr>
                <w:sdtContent>
                  <w:p>
                    <w:pPr>
                      <w:pStyle w:val="16"/>
                      <w:jc w:val="center"/>
                    </w:pPr>
                    <w:r>
                      <w:fldChar w:fldCharType="begin"/>
                    </w:r>
                    <w:r>
                      <w:instrText xml:space="preserve">PAGE   \* MERGEFORMAT</w:instrText>
                    </w:r>
                    <w:r>
                      <w:fldChar w:fldCharType="separate"/>
                    </w:r>
                    <w:r>
                      <w:rPr>
                        <w:lang w:val="zh-CN"/>
                      </w:rPr>
                      <w:t>20</w:t>
                    </w:r>
                    <w:r>
                      <w:fldChar w:fldCharType="end"/>
                    </w:r>
                  </w:p>
                </w:sdtContent>
              </w:sdt>
              <w:p>
                <w:pPr>
                  <w:pStyle w:val="3"/>
                  <w:spacing w:before="72"/>
                </w:pPr>
              </w:p>
            </w:txbxContent>
          </v:textbox>
        </v:shape>
      </w:pic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3008" o:spid="_x0000_s300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5"/>
      <w:numFmt w:val="decimal"/>
      <w:suff w:val="nothing"/>
      <w:lvlText w:val="%1."/>
      <w:lvlJc w:val="left"/>
    </w:lvl>
  </w:abstractNum>
  <w:abstractNum w:abstractNumId="1">
    <w:nsid w:val="BF205925"/>
    <w:multiLevelType w:val="singleLevel"/>
    <w:tmpl w:val="BF205925"/>
    <w:lvl w:ilvl="0" w:tentative="0">
      <w:start w:val="3"/>
      <w:numFmt w:val="chineseCounting"/>
      <w:suff w:val="space"/>
      <w:lvlText w:val="第%1部分"/>
      <w:lvlJc w:val="left"/>
      <w:rPr>
        <w:rFonts w:hint="eastAsia"/>
      </w:rPr>
    </w:lvl>
  </w:abstractNum>
  <w:abstractNum w:abstractNumId="2">
    <w:nsid w:val="0053208E"/>
    <w:multiLevelType w:val="multilevel"/>
    <w:tmpl w:val="0053208E"/>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03D62ECE"/>
    <w:multiLevelType w:val="singleLevel"/>
    <w:tmpl w:val="03D62ECE"/>
    <w:lvl w:ilvl="0" w:tentative="0">
      <w:start w:val="2"/>
      <w:numFmt w:val="chineseCounting"/>
      <w:suff w:val="nothing"/>
      <w:lvlText w:val="（%1）"/>
      <w:lvlJc w:val="left"/>
      <w:rPr>
        <w:rFonts w:hint="eastAsia"/>
      </w:rPr>
    </w:lvl>
  </w:abstractNum>
  <w:abstractNum w:abstractNumId="4">
    <w:nsid w:val="25B654F3"/>
    <w:multiLevelType w:val="singleLevel"/>
    <w:tmpl w:val="25B654F3"/>
    <w:lvl w:ilvl="0" w:tentative="0">
      <w:start w:val="3"/>
      <w:numFmt w:val="chineseCounting"/>
      <w:suff w:val="nothing"/>
      <w:lvlText w:val="（%1）"/>
      <w:lvlJc w:val="left"/>
      <w:rPr>
        <w:rFonts w:hint="eastAsia"/>
      </w:rPr>
    </w:lvl>
  </w:abstractNum>
  <w:abstractNum w:abstractNumId="5">
    <w:nsid w:val="59ADCABA"/>
    <w:multiLevelType w:val="singleLevel"/>
    <w:tmpl w:val="59ADCABA"/>
    <w:lvl w:ilvl="0" w:tentative="0">
      <w:start w:val="9"/>
      <w:numFmt w:val="chineseCounting"/>
      <w:suff w:val="nothing"/>
      <w:lvlText w:val="%1、"/>
      <w:lvlJc w:val="left"/>
      <w:rPr>
        <w:rFonts w:hint="eastAsia"/>
      </w:rPr>
    </w:lvl>
  </w:abstractNum>
  <w:abstractNum w:abstractNumId="6">
    <w:nsid w:val="72183CF9"/>
    <w:multiLevelType w:val="singleLevel"/>
    <w:tmpl w:val="72183CF9"/>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4ZDZhZGYyYjgzNzFmMmU3YTczMjUxMWY3YTZmZDIifQ=="/>
  </w:docVars>
  <w:rsids>
    <w:rsidRoot w:val="00000000"/>
    <w:rsid w:val="003953A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99"/>
    <w:pPr>
      <w:spacing w:beforeLines="30"/>
    </w:pPr>
    <w:rPr>
      <w:rFonts w:ascii="仿宋_GB2312" w:eastAsia="仿宋_GB2312"/>
      <w:kern w:val="0"/>
      <w:sz w:val="30"/>
    </w:rPr>
  </w:style>
  <w:style w:type="paragraph" w:styleId="4">
    <w:name w:val="Balloon Text"/>
    <w:basedOn w:val="1"/>
    <w:semiHidden/>
    <w:unhideWhenUsed/>
    <w:qFormat/>
    <w:uiPriority w:val="99"/>
    <w:rPr>
      <w:sz w:val="18"/>
      <w:szCs w:val="18"/>
    </w:rPr>
  </w:style>
  <w:style w:type="paragraph" w:styleId="5">
    <w:name w:val="Normal (Web)"/>
    <w:basedOn w:val="1"/>
    <w:qFormat/>
    <w:uiPriority w:val="0"/>
    <w:pPr>
      <w:jc w:val="left"/>
    </w:pPr>
    <w:rPr>
      <w:kern w:val="0"/>
      <w:sz w:val="24"/>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b/>
    </w:rPr>
  </w:style>
  <w:style w:type="character" w:styleId="10">
    <w:name w:val="Hyperlink"/>
    <w:basedOn w:val="8"/>
    <w:unhideWhenUsed/>
    <w:qFormat/>
    <w:uiPriority w:val="99"/>
    <w:rPr>
      <w:color w:val="0000FF" w:themeColor="hyperlink"/>
      <w:u w:val="single"/>
    </w:rPr>
  </w:style>
  <w:style w:type="character" w:styleId="11">
    <w:name w:val="annotation reference"/>
    <w:basedOn w:val="8"/>
    <w:semiHidden/>
    <w:unhideWhenUsed/>
    <w:qFormat/>
    <w:uiPriority w:val="99"/>
    <w:rPr>
      <w:sz w:val="21"/>
      <w:szCs w:val="21"/>
    </w:rPr>
  </w:style>
  <w:style w:type="paragraph" w:customStyle="1" w:styleId="12">
    <w:name w:val="Heading 1"/>
    <w:basedOn w:val="1"/>
    <w:next w:val="1"/>
    <w:link w:val="28"/>
    <w:qFormat/>
    <w:uiPriority w:val="9"/>
    <w:pPr>
      <w:keepNext/>
      <w:keepLines/>
      <w:spacing w:before="340" w:after="330" w:line="578" w:lineRule="auto"/>
      <w:outlineLvl w:val="0"/>
    </w:pPr>
    <w:rPr>
      <w:b/>
      <w:bCs/>
      <w:kern w:val="44"/>
      <w:sz w:val="44"/>
      <w:szCs w:val="44"/>
    </w:rPr>
  </w:style>
  <w:style w:type="paragraph" w:customStyle="1" w:styleId="1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customStyle="1" w:styleId="14">
    <w:name w:val="Heading 3"/>
    <w:basedOn w:val="1"/>
    <w:next w:val="1"/>
    <w:link w:val="32"/>
    <w:unhideWhenUsed/>
    <w:qFormat/>
    <w:uiPriority w:val="9"/>
    <w:pPr>
      <w:keepNext/>
      <w:keepLines/>
      <w:spacing w:before="260" w:after="260" w:line="416" w:lineRule="auto"/>
      <w:outlineLvl w:val="2"/>
    </w:pPr>
    <w:rPr>
      <w:b/>
      <w:bCs/>
      <w:sz w:val="32"/>
      <w:szCs w:val="32"/>
    </w:rPr>
  </w:style>
  <w:style w:type="paragraph" w:customStyle="1" w:styleId="15">
    <w:name w:val="TOC 3"/>
    <w:basedOn w:val="1"/>
    <w:next w:val="1"/>
    <w:unhideWhenUsed/>
    <w:qFormat/>
    <w:uiPriority w:val="39"/>
    <w:pPr>
      <w:tabs>
        <w:tab w:val="right" w:leader="dot" w:pos="8296"/>
      </w:tabs>
      <w:ind w:left="840" w:leftChars="400"/>
    </w:pPr>
  </w:style>
  <w:style w:type="paragraph" w:customStyle="1" w:styleId="16">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1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customStyle="1" w:styleId="19">
    <w:name w:val="TOC 2"/>
    <w:basedOn w:val="1"/>
    <w:next w:val="1"/>
    <w:unhideWhenUsed/>
    <w:qFormat/>
    <w:uiPriority w:val="39"/>
    <w:pPr>
      <w:tabs>
        <w:tab w:val="right" w:leader="dot" w:pos="8296"/>
      </w:tabs>
      <w:ind w:left="420" w:leftChars="200"/>
    </w:pPr>
  </w:style>
  <w:style w:type="character" w:customStyle="1" w:styleId="20">
    <w:name w:val="Header Char"/>
    <w:basedOn w:val="8"/>
    <w:semiHidden/>
    <w:qFormat/>
    <w:uiPriority w:val="99"/>
    <w:rPr>
      <w:rFonts w:ascii="Times New Roman" w:hAnsi="Times New Roman"/>
      <w:sz w:val="18"/>
      <w:szCs w:val="18"/>
    </w:rPr>
  </w:style>
  <w:style w:type="character" w:customStyle="1" w:styleId="21">
    <w:name w:val="页眉 Char"/>
    <w:semiHidden/>
    <w:qFormat/>
    <w:locked/>
    <w:uiPriority w:val="99"/>
    <w:rPr>
      <w:sz w:val="18"/>
    </w:rPr>
  </w:style>
  <w:style w:type="character" w:customStyle="1" w:styleId="22">
    <w:name w:val="Footer Char"/>
    <w:basedOn w:val="8"/>
    <w:semiHidden/>
    <w:qFormat/>
    <w:uiPriority w:val="99"/>
    <w:rPr>
      <w:rFonts w:ascii="Times New Roman" w:hAnsi="Times New Roman"/>
      <w:sz w:val="18"/>
      <w:szCs w:val="18"/>
    </w:rPr>
  </w:style>
  <w:style w:type="character" w:customStyle="1" w:styleId="23">
    <w:name w:val="页脚 Char"/>
    <w:qFormat/>
    <w:locked/>
    <w:uiPriority w:val="99"/>
    <w:rPr>
      <w:sz w:val="18"/>
    </w:rPr>
  </w:style>
  <w:style w:type="character" w:customStyle="1" w:styleId="24">
    <w:name w:val="Body Text Char"/>
    <w:basedOn w:val="8"/>
    <w:semiHidden/>
    <w:qFormat/>
    <w:uiPriority w:val="99"/>
    <w:rPr>
      <w:rFonts w:ascii="Times New Roman" w:hAnsi="Times New Roman"/>
      <w:szCs w:val="24"/>
    </w:rPr>
  </w:style>
  <w:style w:type="character" w:customStyle="1" w:styleId="25">
    <w:name w:val="正文文本 Char"/>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8"/>
    <w:link w:val="12"/>
    <w:qFormat/>
    <w:uiPriority w:val="9"/>
    <w:rPr>
      <w:rFonts w:ascii="Times New Roman" w:hAnsi="Times New Roman"/>
      <w:b/>
      <w:bCs/>
      <w:kern w:val="44"/>
      <w:sz w:val="44"/>
      <w:szCs w:val="44"/>
    </w:rPr>
  </w:style>
  <w:style w:type="character" w:customStyle="1" w:styleId="29">
    <w:name w:val="标题 2 Char"/>
    <w:basedOn w:val="8"/>
    <w:link w:val="13"/>
    <w:qFormat/>
    <w:uiPriority w:val="9"/>
    <w:rPr>
      <w:rFonts w:asciiTheme="majorHAnsi" w:hAnsiTheme="majorHAnsi" w:eastAsiaTheme="majorEastAsia" w:cstheme="majorBidi"/>
      <w:b/>
      <w:bCs/>
      <w:kern w:val="2"/>
      <w:sz w:val="32"/>
      <w:szCs w:val="32"/>
    </w:rPr>
  </w:style>
  <w:style w:type="paragraph" w:customStyle="1" w:styleId="30">
    <w:name w:val="TOC 标题1"/>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8"/>
    <w:semiHidden/>
    <w:qFormat/>
    <w:uiPriority w:val="99"/>
    <w:rPr>
      <w:rFonts w:ascii="Times New Roman" w:hAnsi="Times New Roman"/>
      <w:kern w:val="2"/>
      <w:sz w:val="18"/>
      <w:szCs w:val="18"/>
    </w:rPr>
  </w:style>
  <w:style w:type="character" w:customStyle="1" w:styleId="32">
    <w:name w:val="标题 3 Char"/>
    <w:basedOn w:val="8"/>
    <w:link w:val="14"/>
    <w:qFormat/>
    <w:uiPriority w:val="9"/>
    <w:rPr>
      <w:rFonts w:ascii="Times New Roman" w:hAnsi="Times New Roman"/>
      <w:b/>
      <w:bCs/>
      <w:kern w:val="2"/>
      <w:sz w:val="32"/>
      <w:szCs w:val="32"/>
    </w:rPr>
  </w:style>
  <w:style w:type="paragraph" w:customStyle="1" w:styleId="33">
    <w:name w:val="TOC 标题2"/>
    <w:basedOn w:val="1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Char Char5"/>
    <w:basedOn w:val="8"/>
    <w:link w:val="13"/>
    <w:qFormat/>
    <w:locked/>
    <w:uiPriority w:val="9"/>
    <w:rPr>
      <w:rFonts w:ascii="Cambria" w:hAnsi="Cambria" w:eastAsia="宋体" w:cs="Times New Roman"/>
      <w:b/>
      <w:bCs/>
      <w:kern w:val="2"/>
      <w:sz w:val="32"/>
      <w:szCs w:val="32"/>
    </w:rPr>
  </w:style>
  <w:style w:type="paragraph" w:customStyle="1" w:styleId="35">
    <w:name w:val="目录 11"/>
    <w:basedOn w:val="1"/>
    <w:next w:val="1"/>
    <w:unhideWhenUsed/>
    <w:qFormat/>
    <w:uiPriority w:val="39"/>
    <w:pPr>
      <w:tabs>
        <w:tab w:val="right" w:leader="dot" w:pos="8296"/>
      </w:tabs>
      <w:spacing w:before="93"/>
      <w:jc w:val="center"/>
    </w:pPr>
    <w:rPr>
      <w:rFonts w:ascii="仿宋" w:hAnsi="仿宋" w:eastAsia="仿宋"/>
      <w:sz w:val="28"/>
      <w:szCs w:val="28"/>
    </w:rPr>
  </w:style>
  <w:style w:type="character" w:customStyle="1" w:styleId="36">
    <w:name w:val="批注文字 Char"/>
    <w:basedOn w:val="8"/>
    <w:semiHidden/>
    <w:qFormat/>
    <w:uiPriority w:val="99"/>
    <w:rPr>
      <w:rFonts w:ascii="Times New Roman" w:hAnsi="Times New Roman" w:eastAsia="宋体" w:cs="Times New Roman"/>
      <w:kern w:val="2"/>
      <w:sz w:val="21"/>
      <w:szCs w:val="24"/>
    </w:rPr>
  </w:style>
  <w:style w:type="paragraph" w:customStyle="1" w:styleId="37">
    <w:name w:val="Header0"/>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38">
    <w:name w:val="页眉 Char1"/>
    <w:basedOn w:val="8"/>
    <w:semiHidden/>
    <w:qFormat/>
    <w:uiPriority w:val="99"/>
    <w:rPr>
      <w:rFonts w:ascii="Times New Roman" w:hAnsi="Times New Roman" w:eastAsia="宋体" w:cs="Times New Roman"/>
      <w:kern w:val="2"/>
      <w:sz w:val="18"/>
      <w:szCs w:val="18"/>
    </w:rPr>
  </w:style>
  <w:style w:type="paragraph" w:customStyle="1" w:styleId="39">
    <w:name w:val="Footer0"/>
    <w:basedOn w:val="1"/>
    <w:qFormat/>
    <w:uiPriority w:val="99"/>
    <w:pPr>
      <w:tabs>
        <w:tab w:val="center" w:pos="4153"/>
        <w:tab w:val="right" w:pos="8306"/>
      </w:tabs>
      <w:snapToGrid w:val="0"/>
      <w:jc w:val="left"/>
    </w:pPr>
    <w:rPr>
      <w:sz w:val="18"/>
      <w:szCs w:val="18"/>
    </w:rPr>
  </w:style>
  <w:style w:type="character" w:customStyle="1" w:styleId="40">
    <w:name w:val="页脚 Char1"/>
    <w:basedOn w:val="8"/>
    <w:uiPriority w:val="99"/>
    <w:rPr>
      <w:rFonts w:ascii="Times New Roman" w:hAnsi="Times New Roman" w:eastAsia="宋体" w:cs="Times New Roman"/>
      <w:kern w:val="2"/>
      <w:sz w:val="18"/>
      <w:szCs w:val="18"/>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Header1"/>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43">
    <w:name w:val="页眉 Char2"/>
    <w:basedOn w:val="8"/>
    <w:semiHidden/>
    <w:qFormat/>
    <w:uiPriority w:val="99"/>
    <w:rPr>
      <w:rFonts w:ascii="Times New Roman" w:hAnsi="Times New Roman" w:eastAsia="宋体" w:cs="Times New Roman"/>
      <w:kern w:val="2"/>
      <w:sz w:val="18"/>
      <w:szCs w:val="18"/>
    </w:rPr>
  </w:style>
  <w:style w:type="paragraph" w:customStyle="1" w:styleId="44">
    <w:name w:val="Footer1"/>
    <w:basedOn w:val="1"/>
    <w:qFormat/>
    <w:uiPriority w:val="99"/>
    <w:pPr>
      <w:tabs>
        <w:tab w:val="center" w:pos="4153"/>
        <w:tab w:val="right" w:pos="8306"/>
      </w:tabs>
      <w:snapToGrid w:val="0"/>
      <w:jc w:val="left"/>
    </w:pPr>
    <w:rPr>
      <w:sz w:val="18"/>
      <w:szCs w:val="18"/>
    </w:rPr>
  </w:style>
  <w:style w:type="character" w:customStyle="1" w:styleId="45">
    <w:name w:val="页脚 Char2"/>
    <w:basedOn w:val="8"/>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19.xml"/><Relationship Id="rId33" Type="http://schemas.openxmlformats.org/officeDocument/2006/relationships/customXml" Target="../customXml/item18.xml"/><Relationship Id="rId32" Type="http://schemas.openxmlformats.org/officeDocument/2006/relationships/customXml" Target="../customXml/item17.xml"/><Relationship Id="rId31" Type="http://schemas.openxmlformats.org/officeDocument/2006/relationships/customXml" Target="../customXml/item16.xml"/><Relationship Id="rId30" Type="http://schemas.openxmlformats.org/officeDocument/2006/relationships/customXml" Target="../customXml/item15.xml"/><Relationship Id="rId3" Type="http://schemas.openxmlformats.org/officeDocument/2006/relationships/header" Target="header1.xml"/><Relationship Id="rId29" Type="http://schemas.openxmlformats.org/officeDocument/2006/relationships/customXml" Target="../customXml/item14.xml"/><Relationship Id="rId28" Type="http://schemas.openxmlformats.org/officeDocument/2006/relationships/customXml" Target="../customXml/item13.xml"/><Relationship Id="rId27" Type="http://schemas.openxmlformats.org/officeDocument/2006/relationships/customXml" Target="../customXml/item12.xml"/><Relationship Id="rId26" Type="http://schemas.openxmlformats.org/officeDocument/2006/relationships/customXml" Target="../customXml/item11.xml"/><Relationship Id="rId25" Type="http://schemas.openxmlformats.org/officeDocument/2006/relationships/customXml" Target="../customXml/item10.xml"/><Relationship Id="rId24" Type="http://schemas.openxmlformats.org/officeDocument/2006/relationships/customXml" Target="../customXml/item9.xml"/><Relationship Id="rId23" Type="http://schemas.openxmlformats.org/officeDocument/2006/relationships/customXml" Target="../customXml/item8.xml"/><Relationship Id="rId22" Type="http://schemas.openxmlformats.org/officeDocument/2006/relationships/customXml" Target="../customXml/item7.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F:\&#26426;&#20851;\&#24037;&#36164;&#34920;\2022&#24180;3&#26376;&#24037;&#36164;.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6426;&#20851;\&#36890;&#27743;&#21439;&#26472;&#26575;&#38215;&#37096;&#38376;&#20915;&#31639;&#65288;&#27719;&#24635;&#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收支决算变动情况图</a:t>
            </a:r>
            <a:endParaRPr altLang="en-US"/>
          </a:p>
        </c:rich>
      </c:tx>
      <c:layout/>
      <c:overlay val="0"/>
      <c:spPr>
        <a:noFill/>
        <a:ln>
          <a:noFill/>
        </a:ln>
        <a:effectLst/>
      </c:spPr>
    </c:title>
    <c:autoTitleDeleted val="0"/>
    <c:plotArea>
      <c:layout/>
      <c:barChart>
        <c:barDir val="col"/>
        <c:grouping val="clustered"/>
        <c:varyColors val="0"/>
        <c:ser>
          <c:idx val="0"/>
          <c:order val="0"/>
          <c:tx>
            <c:strRef>
              <c:f>[2022年3月工资.et]Sheet1!$B$1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[2022年3月工资.et]Sheet1!$A$2:$A$4</c:f>
              <c:strCache>
                <c:ptCount val="3"/>
                <c:pt idx="0">
                  <c:v>收入</c:v>
                </c:pt>
                <c:pt idx="1">
                  <c:v>支出</c:v>
                </c:pt>
                <c:pt idx="2">
                  <c:v>差额</c:v>
                </c:pt>
              </c:strCache>
            </c:strRef>
          </c:cat>
          <c:val>
            <c:numRef>
              <c:f>[2022年3月工资.et]Sheet1!$B$2:$B$4</c:f>
              <c:numCache>
                <c:formatCode>General</c:formatCode>
                <c:ptCount val="3"/>
                <c:pt idx="0">
                  <c:v>4675.56</c:v>
                </c:pt>
                <c:pt idx="1">
                  <c:v>4675.56</c:v>
                </c:pt>
                <c:pt idx="2">
                  <c:v>1118.69</c:v>
                </c:pt>
              </c:numCache>
            </c:numRef>
          </c:val>
        </c:ser>
        <c:ser>
          <c:idx val="1"/>
          <c:order val="1"/>
          <c:tx>
            <c:strRef>
              <c:f>[2022年3月工资.et]Sheet1!$C$1</c:f>
              <c:strCache>
                <c:ptCount val="1"/>
                <c:pt idx="0">
                  <c:v>2020</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[2022年3月工资.et]Sheet1!$A$2:$A$4</c:f>
              <c:strCache>
                <c:ptCount val="3"/>
                <c:pt idx="0">
                  <c:v>收入</c:v>
                </c:pt>
                <c:pt idx="1">
                  <c:v>支出</c:v>
                </c:pt>
                <c:pt idx="2">
                  <c:v>差额</c:v>
                </c:pt>
              </c:strCache>
            </c:strRef>
          </c:cat>
          <c:val>
            <c:numRef>
              <c:f>[2022年3月工资.et]Sheet1!$C$2:$C$4</c:f>
              <c:numCache>
                <c:formatCode>General</c:formatCode>
                <c:ptCount val="3"/>
                <c:pt idx="0">
                  <c:v>3556.87</c:v>
                </c:pt>
                <c:pt idx="1">
                  <c:v>3556.87</c:v>
                </c:pt>
              </c:numCache>
            </c:numRef>
          </c:val>
        </c:ser>
        <c:dLbls>
          <c:showLegendKey val="0"/>
          <c:showVal val="1"/>
          <c:showCatName val="0"/>
          <c:showSerName val="0"/>
          <c:showPercent val="0"/>
          <c:showBubbleSize val="0"/>
        </c:dLbls>
        <c:gapWidth val="219"/>
        <c:overlap val="-27"/>
        <c:axId val="469606400"/>
        <c:axId val="469607936"/>
      </c:barChart>
      <c:catAx>
        <c:axId val="46960640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607936"/>
        <c:crosses val="autoZero"/>
        <c:auto val="1"/>
        <c:lblAlgn val="ctr"/>
        <c:lblOffset val="100"/>
        <c:noMultiLvlLbl val="0"/>
      </c:catAx>
      <c:valAx>
        <c:axId val="4696079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6064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1"/>
              <c:layout>
                <c:manualLayout>
                  <c:x val="-0.137657040146338"/>
                  <c:y val="0.01164089734630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42923652912483"/>
                  <c:y val="-0.047209982401654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1118425654198"/>
                  <c:y val="0.057028994735408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2638888888889"/>
                      <c:h val="0.098379629629629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'[通江县杨柏镇部门决算（汇总）.xls]Sheet1'!$B$2:$B$9</c:f>
              <c:strCache>
                <c:ptCount val="8"/>
                <c:pt idx="0">
                  <c:v>一般公共预算财政拨款</c:v>
                </c:pt>
                <c:pt idx="1">
                  <c:v>政府性基金预算财政拨款</c:v>
                </c:pt>
                <c:pt idx="2">
                  <c:v>国有资本经营预算财政拨款</c:v>
                </c:pt>
                <c:pt idx="3">
                  <c:v>上级补助收入</c:v>
                </c:pt>
                <c:pt idx="4">
                  <c:v>事业收入</c:v>
                </c:pt>
                <c:pt idx="5">
                  <c:v>经营收入</c:v>
                </c:pt>
                <c:pt idx="6">
                  <c:v>附属单位上缴收入</c:v>
                </c:pt>
                <c:pt idx="7">
                  <c:v>其他收入</c:v>
                </c:pt>
              </c:strCache>
            </c:strRef>
          </c:cat>
          <c:val>
            <c:numRef>
              <c:f>'[通江县杨柏镇部门决算（汇总）.xls]Sheet1'!$C$2:$C$9</c:f>
              <c:numCache>
                <c:formatCode>General</c:formatCode>
                <c:ptCount val="8"/>
                <c:pt idx="0">
                  <c:v>4318.69</c:v>
                </c:pt>
                <c:pt idx="1">
                  <c:v>46.33</c:v>
                </c:pt>
                <c:pt idx="2">
                  <c:v>0</c:v>
                </c:pt>
                <c:pt idx="4">
                  <c:v>261.33</c:v>
                </c:pt>
                <c:pt idx="5">
                  <c:v>0</c:v>
                </c:pt>
                <c:pt idx="6">
                  <c:v>0</c:v>
                </c:pt>
                <c:pt idx="7">
                  <c:v>49.25</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'[通江县杨柏镇部门决算（汇总）.xls]Sheet1'!$B$2:$B$9</c:f>
              <c:strCache>
                <c:ptCount val="8"/>
                <c:pt idx="0">
                  <c:v>一般公共预算财政拨款</c:v>
                </c:pt>
                <c:pt idx="1">
                  <c:v>政府性基金预算财政拨款</c:v>
                </c:pt>
                <c:pt idx="2">
                  <c:v>国有资本经营预算财政拨款</c:v>
                </c:pt>
                <c:pt idx="3">
                  <c:v>上级补助收入</c:v>
                </c:pt>
                <c:pt idx="4">
                  <c:v>事业收入</c:v>
                </c:pt>
                <c:pt idx="5">
                  <c:v>经营收入</c:v>
                </c:pt>
                <c:pt idx="6">
                  <c:v>附属单位上缴收入</c:v>
                </c:pt>
                <c:pt idx="7">
                  <c:v>其他收入</c:v>
                </c:pt>
              </c:strCache>
            </c:strRef>
          </c:cat>
          <c:val>
            <c:numRef>
              <c:f>'[通江县杨柏镇部门决算（汇总）.xls]Sheet1'!$D$2:$D$9</c:f>
              <c:numCache>
                <c:formatCode>0.0%</c:formatCode>
                <c:ptCount val="8"/>
                <c:pt idx="0">
                  <c:v>0.924</c:v>
                </c:pt>
                <c:pt idx="1" c:formatCode="0%">
                  <c:v>0.01</c:v>
                </c:pt>
                <c:pt idx="2" c:formatCode="0%">
                  <c:v>0</c:v>
                </c:pt>
                <c:pt idx="3" c:formatCode="0%">
                  <c:v>0</c:v>
                </c:pt>
                <c:pt idx="4">
                  <c:v>0.056</c:v>
                </c:pt>
                <c:pt idx="5" c:formatCode="0%">
                  <c:v>0</c:v>
                </c:pt>
                <c:pt idx="6" c:formatCode="0%">
                  <c:v>0</c:v>
                </c:pt>
                <c:pt idx="7" c:formatCode="0%">
                  <c:v>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587361111111111"/>
          <c:y val="0.03125"/>
        </c:manualLayout>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437507561111428"/>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54166086470161"/>
                  <c:y val="0.037638888891239"/>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79027777777778"/>
                      <c:h val="0.0868055555555556"/>
                    </c:manualLayout>
                  </c15:layout>
                </c:ext>
              </c:extLst>
            </c:dLbl>
            <c:dLbl>
              <c:idx val="4"/>
              <c:layout>
                <c:manualLayout>
                  <c:x val="-0.218750757577098"/>
                  <c:y val="0.0034722222222222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'[通江县杨柏镇部门决算（汇总）.xls]Sheet1'!$B$6:$B$10</c:f>
              <c:strCache>
                <c:ptCount val="5"/>
                <c:pt idx="0">
                  <c:v>基本支出</c:v>
                </c:pt>
                <c:pt idx="1">
                  <c:v>项目支出</c:v>
                </c:pt>
                <c:pt idx="2">
                  <c:v>上缴上级支出</c:v>
                </c:pt>
                <c:pt idx="3">
                  <c:v>经营支出</c:v>
                </c:pt>
                <c:pt idx="4">
                  <c:v>对附属单位补助支出</c:v>
                </c:pt>
              </c:strCache>
            </c:strRef>
          </c:cat>
          <c:val>
            <c:numRef>
              <c:f>'[通江县杨柏镇部门决算（汇总）.xls]Sheet1'!$C$6:$C$10</c:f>
              <c:numCache>
                <c:formatCode>General</c:formatCode>
                <c:ptCount val="5"/>
                <c:pt idx="0">
                  <c:v>2485.59</c:v>
                </c:pt>
                <c:pt idx="1">
                  <c:v>2189.96</c:v>
                </c:pt>
                <c:pt idx="2">
                  <c:v>0</c:v>
                </c:pt>
                <c:pt idx="3">
                  <c:v>0</c:v>
                </c:pt>
                <c:pt idx="4">
                  <c:v>0</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'[通江县杨柏镇部门决算（汇总）.xls]Sheet1'!$B$6:$B$10</c:f>
              <c:strCache>
                <c:ptCount val="5"/>
                <c:pt idx="0">
                  <c:v>基本支出</c:v>
                </c:pt>
                <c:pt idx="1">
                  <c:v>项目支出</c:v>
                </c:pt>
                <c:pt idx="2">
                  <c:v>上缴上级支出</c:v>
                </c:pt>
                <c:pt idx="3">
                  <c:v>经营支出</c:v>
                </c:pt>
                <c:pt idx="4">
                  <c:v>对附属单位补助支出</c:v>
                </c:pt>
              </c:strCache>
            </c:strRef>
          </c:cat>
          <c:val>
            <c:numRef>
              <c:f>'[通江县杨柏镇部门决算（汇总）.xls]Sheet1'!$D$6:$D$10</c:f>
              <c:numCache>
                <c:formatCode>0.0%</c:formatCode>
                <c:ptCount val="5"/>
                <c:pt idx="0">
                  <c:v>0.532</c:v>
                </c:pt>
                <c:pt idx="1">
                  <c:v>0.468</c:v>
                </c:pt>
                <c:pt idx="2" c:formatCode="0%">
                  <c:v>0</c:v>
                </c:pt>
                <c:pt idx="3" c:formatCode="0%">
                  <c:v>0</c:v>
                </c:pt>
                <c:pt idx="4" c: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'[通江县杨柏镇部门决算（汇总）.xls]Sheet1'!$B$3</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stdErr"/>
            <c:noEndCap val="0"/>
            <c:spPr>
              <a:noFill/>
              <a:ln w="9525" cap="flat" cmpd="sng" algn="ctr">
                <a:solidFill>
                  <a:schemeClr val="tx1">
                    <a:lumMod val="65000"/>
                    <a:lumOff val="35000"/>
                  </a:schemeClr>
                </a:solidFill>
                <a:prstDash val="solid"/>
                <a:round/>
              </a:ln>
              <a:effectLst/>
            </c:spPr>
          </c:errBars>
          <c:cat>
            <c:numRef>
              <c:f>'[通江县杨柏镇部门决算（汇总）.xls]Sheet1'!$C$2:$D$2</c:f>
              <c:numCache>
                <c:formatCode>General</c:formatCode>
                <c:ptCount val="2"/>
                <c:pt idx="0">
                  <c:v>2020</c:v>
                </c:pt>
                <c:pt idx="1">
                  <c:v>2021</c:v>
                </c:pt>
              </c:numCache>
            </c:numRef>
          </c:cat>
          <c:val>
            <c:numRef>
              <c:f>'[通江县杨柏镇部门决算（汇总）.xls]Sheet1'!$C$3:$D$3</c:f>
              <c:numCache>
                <c:formatCode>General</c:formatCode>
                <c:ptCount val="2"/>
                <c:pt idx="0">
                  <c:v>3556.87</c:v>
                </c:pt>
                <c:pt idx="1">
                  <c:v>4365.02</c:v>
                </c:pt>
              </c:numCache>
            </c:numRef>
          </c:val>
        </c:ser>
        <c:ser>
          <c:idx val="1"/>
          <c:order val="1"/>
          <c:tx>
            <c:strRef>
              <c:f>'[通江县杨柏镇部门决算（汇总）.xls]Sheet1'!$B$4</c:f>
              <c:strCache>
                <c:ptCount val="1"/>
                <c:pt idx="0">
                  <c:v>财政拨款支出</c:v>
                </c:pt>
              </c:strCache>
            </c:strRef>
          </c:tx>
          <c:spPr>
            <a:solidFill>
              <a:schemeClr val="accent2"/>
            </a:solidFill>
            <a:ln>
              <a:noFill/>
            </a:ln>
            <a:effectLst/>
          </c:spPr>
          <c:invertIfNegative val="0"/>
          <c:dLbls>
            <c:dLbl>
              <c:idx val="0"/>
              <c:layout>
                <c:manualLayout>
                  <c:x val="0.0604166666666667"/>
                  <c:y val="-0.02083333333333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75"/>
                  <c:y val="-0.01041666666666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stdErr"/>
            <c:noEndCap val="0"/>
            <c:spPr>
              <a:noFill/>
              <a:ln w="9525" cap="flat" cmpd="sng" algn="ctr">
                <a:solidFill>
                  <a:schemeClr val="tx1">
                    <a:lumMod val="65000"/>
                    <a:lumOff val="35000"/>
                  </a:schemeClr>
                </a:solidFill>
                <a:prstDash val="solid"/>
                <a:round/>
              </a:ln>
              <a:effectLst/>
            </c:spPr>
          </c:errBars>
          <c:cat>
            <c:numRef>
              <c:f>'[通江县杨柏镇部门决算（汇总）.xls]Sheet1'!$C$2:$D$2</c:f>
              <c:numCache>
                <c:formatCode>General</c:formatCode>
                <c:ptCount val="2"/>
                <c:pt idx="0">
                  <c:v>2020</c:v>
                </c:pt>
                <c:pt idx="1">
                  <c:v>2021</c:v>
                </c:pt>
              </c:numCache>
            </c:numRef>
          </c:cat>
          <c:val>
            <c:numRef>
              <c:f>'[通江县杨柏镇部门决算（汇总）.xls]Sheet1'!$C$4:$D$4</c:f>
              <c:numCache>
                <c:formatCode>General</c:formatCode>
                <c:ptCount val="2"/>
                <c:pt idx="0">
                  <c:v>3556.87</c:v>
                </c:pt>
                <c:pt idx="1">
                  <c:v>4365.02</c:v>
                </c:pt>
              </c:numCache>
            </c:numRef>
          </c:val>
        </c:ser>
        <c:dLbls>
          <c:showLegendKey val="0"/>
          <c:showVal val="1"/>
          <c:showCatName val="0"/>
          <c:showSerName val="0"/>
          <c:showPercent val="0"/>
          <c:showBubbleSize val="0"/>
        </c:dLbls>
        <c:gapWidth val="219"/>
        <c:overlap val="-27"/>
        <c:axId val="499525504"/>
        <c:axId val="499564544"/>
      </c:barChart>
      <c:catAx>
        <c:axId val="499525504"/>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564544"/>
        <c:crosses val="autoZero"/>
        <c:auto val="1"/>
        <c:lblAlgn val="ctr"/>
        <c:lblOffset val="100"/>
        <c:noMultiLvlLbl val="0"/>
      </c:catAx>
      <c:valAx>
        <c:axId val="49956454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52550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138888888889"/>
          <c:y val="0.038159111933395"/>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'[通江县杨柏镇部门决算（汇总）.xls]Sheet1'!$B$3</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'[通江县杨柏镇部门决算（汇总）.xls]Sheet1'!$C$2:$E$2</c:f>
              <c:strCache>
                <c:ptCount val="3"/>
                <c:pt idx="0">
                  <c:v>2020</c:v>
                </c:pt>
                <c:pt idx="1">
                  <c:v>2021</c:v>
                </c:pt>
                <c:pt idx="2">
                  <c:v>增长率</c:v>
                </c:pt>
              </c:strCache>
            </c:strRef>
          </c:cat>
          <c:val>
            <c:numRef>
              <c:f>'[通江县杨柏镇部门决算（汇总）.xls]Sheet1'!$C$3:$E$3</c:f>
              <c:numCache>
                <c:formatCode>General</c:formatCode>
                <c:ptCount val="3"/>
                <c:pt idx="0">
                  <c:v>3192.17</c:v>
                </c:pt>
                <c:pt idx="1">
                  <c:v>4318.69</c:v>
                </c:pt>
                <c:pt idx="2" c:formatCode="0.0%">
                  <c:v>0.353</c:v>
                </c:pt>
              </c:numCache>
            </c:numRef>
          </c:val>
        </c:ser>
        <c:dLbls>
          <c:showLegendKey val="0"/>
          <c:showVal val="1"/>
          <c:showCatName val="0"/>
          <c:showSerName val="0"/>
          <c:showPercent val="0"/>
          <c:showBubbleSize val="0"/>
        </c:dLbls>
        <c:gapWidth val="219"/>
        <c:overlap val="-27"/>
        <c:axId val="499586944"/>
        <c:axId val="499589120"/>
      </c:barChart>
      <c:catAx>
        <c:axId val="499586944"/>
        <c:scaling>
          <c:orientation val="minMax"/>
        </c:scaling>
        <c:delete val="0"/>
        <c:axPos val="b"/>
        <c:title>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589120"/>
        <c:crosses val="autoZero"/>
        <c:auto val="1"/>
        <c:lblAlgn val="ctr"/>
        <c:lblOffset val="100"/>
        <c:noMultiLvlLbl val="0"/>
      </c:catAx>
      <c:valAx>
        <c:axId val="49958912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9586944"/>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一般公共预算财政拨款支出决算图</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2"/>
              <c:layout>
                <c:manualLayout>
                  <c:x val="-0.00468720462141347"/>
                  <c:y val="-0.067480327865260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54065741114035"/>
                  <c:y val="-0.1192165980960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776072519605184"/>
                  <c:y val="-0.028313921349033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'[通江县杨柏镇部门决算（汇总）.xls]Sheet1'!$B$2:$B$8</c:f>
              <c:strCache>
                <c:ptCount val="7"/>
                <c:pt idx="0">
                  <c:v>一般公共服务</c:v>
                </c:pt>
                <c:pt idx="1">
                  <c:v>教育支出</c:v>
                </c:pt>
                <c:pt idx="2">
                  <c:v>文化旅游体育与传媒</c:v>
                </c:pt>
                <c:pt idx="3">
                  <c:v>社会保障和就业</c:v>
                </c:pt>
                <c:pt idx="4">
                  <c:v>卫生健康支出</c:v>
                </c:pt>
                <c:pt idx="5">
                  <c:v>农林水支出</c:v>
                </c:pt>
                <c:pt idx="6">
                  <c:v>住房保障</c:v>
                </c:pt>
              </c:strCache>
            </c:strRef>
          </c:cat>
          <c:val>
            <c:numRef>
              <c:f>'[通江县杨柏镇部门决算（汇总）.xls]Sheet1'!$C$2:$C$8</c:f>
              <c:numCache>
                <c:formatCode>General</c:formatCode>
                <c:ptCount val="7"/>
                <c:pt idx="0">
                  <c:v>492.96</c:v>
                </c:pt>
                <c:pt idx="1">
                  <c:v>1032.51</c:v>
                </c:pt>
                <c:pt idx="2">
                  <c:v>4</c:v>
                </c:pt>
                <c:pt idx="3">
                  <c:v>235</c:v>
                </c:pt>
                <c:pt idx="4">
                  <c:v>246.26</c:v>
                </c:pt>
                <c:pt idx="5">
                  <c:v>1480.45</c:v>
                </c:pt>
                <c:pt idx="6">
                  <c:v>827.48</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'[通江县杨柏镇部门决算（汇总）.xls]Sheet1'!$B$2:$B$8</c:f>
              <c:strCache>
                <c:ptCount val="7"/>
                <c:pt idx="0">
                  <c:v>一般公共服务</c:v>
                </c:pt>
                <c:pt idx="1">
                  <c:v>教育支出</c:v>
                </c:pt>
                <c:pt idx="2">
                  <c:v>文化旅游体育与传媒</c:v>
                </c:pt>
                <c:pt idx="3">
                  <c:v>社会保障和就业</c:v>
                </c:pt>
                <c:pt idx="4">
                  <c:v>卫生健康支出</c:v>
                </c:pt>
                <c:pt idx="5">
                  <c:v>农林水支出</c:v>
                </c:pt>
                <c:pt idx="6">
                  <c:v>住房保障</c:v>
                </c:pt>
              </c:strCache>
            </c:strRef>
          </c:cat>
          <c:val>
            <c:numRef>
              <c:f>'[通江县杨柏镇部门决算（汇总）.xls]Sheet1'!$D$2:$D$8</c:f>
              <c:numCache>
                <c:formatCode>0.00%</c:formatCode>
                <c:ptCount val="7"/>
                <c:pt idx="0">
                  <c:v>0.114</c:v>
                </c:pt>
                <c:pt idx="1">
                  <c:v>0.239</c:v>
                </c:pt>
                <c:pt idx="2" c:formatCode="0.0%">
                  <c:v>0.001</c:v>
                </c:pt>
                <c:pt idx="3" c:formatCode="0.0%">
                  <c:v>0.054</c:v>
                </c:pt>
                <c:pt idx="4" c:formatCode="0.0%">
                  <c:v>0.057</c:v>
                </c:pt>
                <c:pt idx="5" c:formatCode="0.0%">
                  <c:v>0.343</c:v>
                </c:pt>
                <c:pt idx="6" c:formatCode="0.0%">
                  <c:v>0.191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708340160668351"/>
                  <c:y val="0.15712037037179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52082650599832"/>
                  <c:y val="0.20225925926068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'[通江县杨柏镇部门决算（汇总）.xls]Sheet1'!$B$2:$B$4</c:f>
              <c:strCache>
                <c:ptCount val="3"/>
                <c:pt idx="0">
                  <c:v>因公出国（境）费</c:v>
                </c:pt>
                <c:pt idx="1">
                  <c:v>公务用车购置及运行维护费</c:v>
                </c:pt>
                <c:pt idx="2">
                  <c:v>公务接待费支出决算</c:v>
                </c:pt>
              </c:strCache>
            </c:strRef>
          </c:cat>
          <c:val>
            <c:numRef>
              <c:f>'[通江县杨柏镇部门决算（汇总）.xls]Sheet1'!$C$2:$C$4</c:f>
              <c:numCache>
                <c:formatCode>General</c:formatCode>
                <c:ptCount val="3"/>
                <c:pt idx="0">
                  <c:v>0</c:v>
                </c:pt>
                <c:pt idx="1" c:formatCode="0_ ">
                  <c:v>0</c:v>
                </c:pt>
                <c:pt idx="2">
                  <c:v>2.2</c:v>
                </c:pt>
              </c:numCache>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'[通江县杨柏镇部门决算（汇总）.xls]Sheet1'!$B$2:$B$4</c:f>
              <c:strCache>
                <c:ptCount val="3"/>
                <c:pt idx="0">
                  <c:v>因公出国（境）费</c:v>
                </c:pt>
                <c:pt idx="1">
                  <c:v>公务用车购置及运行维护费</c:v>
                </c:pt>
                <c:pt idx="2">
                  <c:v>公务接待费支出决算</c:v>
                </c:pt>
              </c:strCache>
            </c:strRef>
          </c:cat>
          <c:val>
            <c:numRef>
              <c:f>'[通江县杨柏镇部门决算（汇总）.xls]Sheet1'!$D$2:$D$4</c:f>
              <c:numCache>
                <c:formatCode>0%</c:formatCode>
                <c:ptCount val="3"/>
                <c:pt idx="0">
                  <c:v>0</c:v>
                </c:pt>
                <c:pt idx="1">
                  <c:v>0</c:v>
                </c:pt>
                <c:pt idx="2">
                  <c:v>1</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3008"/>
  </customShpExts>
</s:customData>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A9EBA4B9DB7B4924906D40ABC6426CC7</vt:lpstr>
  </property>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39</cp:revision>
  <cp:lastPrinted>2022-09-06T04:50:00Z</cp:lastPrinted>
  <dcterms:created xsi:type="dcterms:W3CDTF">2020-08-05T01:49:00Z</dcterms:created>
  <dcterms:modified xsi:type="dcterms:W3CDTF">2023-03-03T06:11:00Z</dcterms:modified>
</cp:coreProperties>
</file>

<file path=customXml/item12.xml><?xml version="1.0" encoding="utf-8"?>
<Properties xmlns:vt="http://schemas.openxmlformats.org/officeDocument/2006/docPropsVTypes" xmlns="http://schemas.openxmlformats.org/officeDocument/2006/extended-properties">
  <Template>Normal.dotm</Template>
  <TotalTime>6</TotalTime>
  <Pages>28</Pages>
  <Words>9608</Words>
  <Characters>10413</Characters>
  <Application>WPS Office_11.1.0.10356_F1E327BC-269C-435d-A152-05C5408002CA</Application>
  <DocSecurity>0</DocSecurity>
  <Lines>61</Lines>
  <Paragraphs>17</Paragraphs>
  <Company>四川省财政厅</Company>
  <CharactersWithSpaces>11033</CharactersWithSpaces>
  <AppVersion>14.0000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2022-09-06T04:50:00Z</cp:lastPrinted>
  <dcterms:modified xsi:type="dcterms:W3CDTF">2022-10-12T01:50:49Z</dcterms:modified>
  <dc:title>四川省***</dc:title>
  <cp:revision>32</cp:revision>
</cp:coreProperties>
</file>

<file path=customXml/item14.xml><?xml version="1.0" encoding="utf-8"?>
<Properties xmlns="http://schemas.openxmlformats.org/officeDocument/2006/extended-properties" xmlns:vt="http://schemas.openxmlformats.org/officeDocument/2006/docPropsVTypes">
  <Template>Normal.dotm</Template>
  <Company>四川省财政厅</Company>
  <Pages>28</Pages>
  <Words>9608</Words>
  <Characters>10413</Characters>
  <Lines>61</Lines>
  <Paragraphs>17</Paragraphs>
  <TotalTime>6</TotalTime>
  <ScaleCrop>false</ScaleCrop>
  <LinksUpToDate>false</LinksUpToDate>
  <CharactersWithSpaces>11033</CharactersWithSpaces>
  <Application>WPS Office_11.1.0.10356_F1E327BC-269C-435d-A152-05C5408002CA</Application>
  <DocSecurity>0</DocSecurity>
</Properties>
</file>

<file path=customXml/item15.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A9EBA4B9DB7B4924906D40ABC6426CC7</vt:lpwstr>
  </property>
</Properties>
</file>

<file path=customXml/item16.xml><?xml version="1.0" encoding="utf-8"?>
<Properties xmlns="http://schemas.openxmlformats.org/officeDocument/2006/extended-properties" xmlns:vt="http://schemas.openxmlformats.org/officeDocument/2006/docPropsVTypes">
  <Template>Normal</Template>
  <TotalTime>16</TotalTime>
  <Pages>29</Pages>
  <Words>1781</Words>
  <Characters>10152</Characters>
  <Application>Microsoft Office Word</Application>
  <DocSecurity>0</DocSecurity>
  <Lines>84</Lines>
  <Paragraphs>23</Paragraphs>
  <ScaleCrop>false</ScaleCrop>
  <Company>四川省财政厅</Company>
  <LinksUpToDate>false</LinksUpToDate>
  <CharactersWithSpaces>11910</CharactersWithSpaces>
  <SharedDoc>false</SharedDoc>
  <HyperlinksChanged>false</HyperlinksChanged>
  <AppVersion>12.0000</AppVersion>
</Properties>
</file>

<file path=customXml/item17.xml><?xml version="1.0" encoding="utf-8"?>
<Properties xmlns="http://schemas.openxmlformats.org/officeDocument/2006/extended-properties" xmlns:vt="http://schemas.openxmlformats.org/officeDocument/2006/docPropsVTypes">
  <Template>Normal</Template>
  <TotalTime>16</TotalTime>
  <Pages>29</Pages>
  <Words>1784</Words>
  <Characters>10172</Characters>
  <Application>Microsoft Office Word</Application>
  <DocSecurity>0</DocSecurity>
  <Lines>84</Lines>
  <Paragraphs>23</Paragraphs>
  <ScaleCrop>false</ScaleCrop>
  <Company>四川省财政厅</Company>
  <LinksUpToDate>false</LinksUpToDate>
  <CharactersWithSpaces>11933</CharactersWithSpaces>
  <SharedDoc>false</SharedDoc>
  <HyperlinksChanged>false</HyperlinksChanged>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Administrator</cp:lastModifiedBy>
  <cp:revision>32</cp:revision>
  <cp:lastPrinted>2022-09-06T04:50:00Z</cp:lastPrinted>
  <dcterms:created xsi:type="dcterms:W3CDTF">2020-08-05T01:49:00Z</dcterms:created>
  <dcterms:modified xsi:type="dcterms:W3CDTF">2022-10-12T01:50:49Z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40</cp:revision>
  <cp:lastPrinted>2022-09-06T04:50:00Z</cp:lastPrinted>
  <dcterms:created xsi:type="dcterms:W3CDTF">2020-08-05T01:49:00Z</dcterms:created>
  <dcterms:modified xsi:type="dcterms:W3CDTF">2023-03-03T06:12:00Z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39</cp:revision>
  <cp:lastPrinted>2022-09-06T04:50:00Z</cp:lastPrinted>
  <dcterms:created xsi:type="dcterms:W3CDTF">2020-08-05T01:49:00Z</dcterms:created>
  <dcterms:modified xsi:type="dcterms:W3CDTF">2023-03-03T06:11:00Z</dcterms:modified>
</cp:coreProperties>
</file>

<file path=customXml/item3.xml><?xml version="1.0" encoding="utf-8"?>
<Properties xmlns:vt="http://schemas.openxmlformats.org/officeDocument/2006/docPropsVTypes" xmlns="http://schemas.openxmlformats.org/officeDocument/2006/extended-properties">
  <Template>Normal</Template>
  <TotalTime>16</TotalTime>
  <Pages>29</Pages>
  <Words>1784</Words>
  <Characters>10172</Characters>
  <Application>Microsoft Office Word</Application>
  <DocSecurity>0</DocSecurity>
  <Lines>84</Lines>
  <Paragraphs>23</Paragraphs>
  <Company>四川省财政厅</Company>
  <CharactersWithSpaces>11933</CharactersWithSpaces>
  <AppVersion>12.0000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A9EBA4B9DB7B4924906D40ABC6426CC7</vt:lpw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A9EBA4B9DB7B4924906D40ABC6426CC7</vt:lpw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A9EBA4B9DB7B4924906D40ABC6426CC7</vt:lp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40</cp:revision>
  <cp:lastPrinted>2022-09-06T04:50:00Z</cp:lastPrinted>
  <dcterms:created xsi:type="dcterms:W3CDTF">2020-08-05T01:49:00Z</dcterms:created>
  <dcterms:modified xsi:type="dcterms:W3CDTF">2023-03-03T06:12:00Z</dcterms:modified>
</cp:core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2052-11.1.0.10356</vt:lpstr>
  </property>
  <property fmtid="{D5CDD505-2E9C-101B-9397-08002B2CF9AE}" pid="3" name="ICV">
    <vt:lpstr>A9EBA4B9DB7B4924906D40ABC6426CC7</vt:lpstr>
  </property>
</Properties>
</file>

<file path=customXml/item9.xml><?xml version="1.0" encoding="utf-8"?>
<Properties xmlns:vt="http://schemas.openxmlformats.org/officeDocument/2006/docPropsVTypes" xmlns="http://schemas.openxmlformats.org/officeDocument/2006/extended-properties">
  <Template>Normal</Template>
  <TotalTime>16</TotalTime>
  <Pages>29</Pages>
  <Words>1781</Words>
  <Characters>10152</Characters>
  <Application>Microsoft Office Word</Application>
  <DocSecurity>0</DocSecurity>
  <Lines>84</Lines>
  <Paragraphs>23</Paragraphs>
  <Company>四川省财政厅</Company>
  <CharactersWithSpaces>11910</CharactersWithSpaces>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A79734-5F33-4B44-8239-682B8BA61D33}">
  <ds:schemaRefs/>
</ds:datastoreItem>
</file>

<file path=customXml/itemProps11.xml><?xml version="1.0" encoding="utf-8"?>
<ds:datastoreItem xmlns:ds="http://schemas.openxmlformats.org/officeDocument/2006/customXml" ds:itemID="{E378E1C7-AAB6-4B48-A389-9FE2D3590884}">
  <ds:schemaRefs/>
</ds:datastoreItem>
</file>

<file path=customXml/itemProps12.xml><?xml version="1.0" encoding="utf-8"?>
<ds:datastoreItem xmlns:ds="http://schemas.openxmlformats.org/officeDocument/2006/customXml" ds:itemID="{583EF23C-B9A1-477D-BE3B-B9974EFBC936}">
  <ds:schemaRefs/>
</ds:datastoreItem>
</file>

<file path=customXml/itemProps13.xml><?xml version="1.0" encoding="utf-8"?>
<ds:datastoreItem xmlns:ds="http://schemas.openxmlformats.org/officeDocument/2006/customXml" ds:itemID="{1EA6A7E6-91D2-4CD0-801A-0F165A723C11}">
  <ds:schemaRefs/>
</ds:datastoreItem>
</file>

<file path=customXml/itemProps14.xml><?xml version="1.0" encoding="utf-8"?>
<ds:datastoreItem xmlns:ds="http://schemas.openxmlformats.org/officeDocument/2006/customXml" ds:itemID="{E5EEC444-B19C-497C-8F91-4EB347124396}">
  <ds:schemaRefs/>
</ds:datastoreItem>
</file>

<file path=customXml/itemProps15.xml><?xml version="1.0" encoding="utf-8"?>
<ds:datastoreItem xmlns:ds="http://schemas.openxmlformats.org/officeDocument/2006/customXml" ds:itemID="{d358f121-cc96-41d2-9ab2-610c9e0a3918}">
  <ds:schemaRefs/>
</ds:datastoreItem>
</file>

<file path=customXml/itemProps16.xml><?xml version="1.0" encoding="utf-8"?>
<ds:datastoreItem xmlns:ds="http://schemas.openxmlformats.org/officeDocument/2006/customXml" ds:itemID="{903f49bd-d45c-457f-9814-4046e16c5c48}">
  <ds:schemaRefs/>
</ds:datastoreItem>
</file>

<file path=customXml/itemProps17.xml><?xml version="1.0" encoding="utf-8"?>
<ds:datastoreItem xmlns:ds="http://schemas.openxmlformats.org/officeDocument/2006/customXml" ds:itemID="{9F33F744-B492-4504-B240-D8D943027612}">
  <ds:schemaRefs/>
</ds:datastoreItem>
</file>

<file path=customXml/itemProps18.xml><?xml version="1.0" encoding="utf-8"?>
<ds:datastoreItem xmlns:ds="http://schemas.openxmlformats.org/officeDocument/2006/customXml" ds:itemID="{2A5400FC-2179-4C23-BF92-226084504C83}">
  <ds:schemaRefs/>
</ds:datastoreItem>
</file>

<file path=customXml/itemProps19.xml><?xml version="1.0" encoding="utf-8"?>
<ds:datastoreItem xmlns:ds="http://schemas.openxmlformats.org/officeDocument/2006/customXml" ds:itemID="{6757148f-aad4-46bf-a774-097603785b3a}">
  <ds:schemaRefs/>
</ds:datastoreItem>
</file>

<file path=customXml/itemProps2.xml><?xml version="1.0" encoding="utf-8"?>
<ds:datastoreItem xmlns:ds="http://schemas.openxmlformats.org/officeDocument/2006/customXml" ds:itemID="{CABD3F15-683D-4567-947B-E77578166702}">
  <ds:schemaRefs/>
</ds:datastoreItem>
</file>

<file path=customXml/itemProps3.xml><?xml version="1.0" encoding="utf-8"?>
<ds:datastoreItem xmlns:ds="http://schemas.openxmlformats.org/officeDocument/2006/customXml" ds:itemID="{3DF7EE9D-31E3-49E7-A44F-E5E596B197BC}">
  <ds:schemaRefs/>
</ds:datastoreItem>
</file>

<file path=customXml/itemProps4.xml><?xml version="1.0" encoding="utf-8"?>
<ds:datastoreItem xmlns:ds="http://schemas.openxmlformats.org/officeDocument/2006/customXml" ds:itemID="{2EC726F4-F4CF-4A34-8DEA-C992C261D705}">
  <ds:schemaRefs/>
</ds:datastoreItem>
</file>

<file path=customXml/itemProps5.xml><?xml version="1.0" encoding="utf-8"?>
<ds:datastoreItem xmlns:ds="http://schemas.openxmlformats.org/officeDocument/2006/customXml" ds:itemID="{07EDBFCB-9300-4452-BB57-667DF029CBDF}">
  <ds:schemaRefs/>
</ds:datastoreItem>
</file>

<file path=customXml/itemProps6.xml><?xml version="1.0" encoding="utf-8"?>
<ds:datastoreItem xmlns:ds="http://schemas.openxmlformats.org/officeDocument/2006/customXml" ds:itemID="{C889D998-306E-42FF-BEC7-C10DDD48378C}">
  <ds:schemaRefs/>
</ds:datastoreItem>
</file>

<file path=customXml/itemProps7.xml><?xml version="1.0" encoding="utf-8"?>
<ds:datastoreItem xmlns:ds="http://schemas.openxmlformats.org/officeDocument/2006/customXml" ds:itemID="{5a2a3258-528f-4fb9-b633-d9abd0cb5bef}">
  <ds:schemaRefs/>
</ds:datastoreItem>
</file>

<file path=customXml/itemProps8.xml><?xml version="1.0" encoding="utf-8"?>
<ds:datastoreItem xmlns:ds="http://schemas.openxmlformats.org/officeDocument/2006/customXml" ds:itemID="{5c414090-af27-40d8-9261-1791ccdd297d}">
  <ds:schemaRefs/>
</ds:datastoreItem>
</file>

<file path=customXml/itemProps9.xml><?xml version="1.0" encoding="utf-8"?>
<ds:datastoreItem xmlns:ds="http://schemas.openxmlformats.org/officeDocument/2006/customXml" ds:itemID="{22043984-b039-4b17-a0c0-41a3109b862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9641</Words>
  <Characters>10449</Characters>
  <Lines>84</Lines>
  <Paragraphs>23</Paragraphs>
  <TotalTime>18</TotalTime>
  <ScaleCrop>false</ScaleCrop>
  <LinksUpToDate>false</LinksUpToDate>
  <CharactersWithSpaces>10499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2022-09-06T04:50:00Z</cp:lastPrinted>
  <dcterms:modified xsi:type="dcterms:W3CDTF">2023-06-18T14:07:52Z</dcterms:modified>
  <dc:title>四川省_x002A__x002A__x002A_</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799A7D4D4E8E4134B6BF09E9A7BF026D_12</vt:lpwstr>
  </property>
</Properties>
</file>