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96475"/>
      <w:bookmarkStart w:id="4" w:name="_Toc11924"/>
      <w:bookmarkStart w:id="5" w:name="_Toc15378441"/>
      <w:bookmarkStart w:id="6" w:name="_Toc1539659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476"/>
      <w:bookmarkStart w:id="8" w:name="_Toc18233"/>
      <w:bookmarkStart w:id="9" w:name="_Toc15378442"/>
      <w:bookmarkStart w:id="10" w:name="_Toc15377194"/>
      <w:bookmarkStart w:id="11" w:name="_Toc15377426"/>
      <w:bookmarkStart w:id="12" w:name="_Toc15396598"/>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通江县杨柏镇卫生院单位决算</w:t>
      </w:r>
      <w:bookmarkEnd w:id="7"/>
      <w:bookmarkEnd w:id="8"/>
      <w:bookmarkEnd w:id="9"/>
      <w:bookmarkEnd w:id="10"/>
      <w:bookmarkEnd w:id="11"/>
      <w:bookmarkEnd w:id="12"/>
      <w:bookmarkEnd w:id="13"/>
    </w:p>
    <w:p>
      <w:pPr>
        <w:widowControl/>
        <w:jc w:val="center"/>
        <w:rPr>
          <w:rFonts w:ascii="黑体" w:hAnsi="黑体" w:eastAsia="黑体"/>
          <w:sz w:val="48"/>
          <w:szCs w:val="48"/>
        </w:rPr>
      </w:pPr>
      <w:r>
        <w:br w:type="page"/>
      </w:r>
      <w:r>
        <w:rPr>
          <w:rFonts w:hint="eastAsia" w:ascii="黑体" w:hAnsi="黑体" w:eastAsia="黑体"/>
          <w:sz w:val="48"/>
          <w:szCs w:val="48"/>
        </w:rPr>
        <w:t>目录</w:t>
      </w:r>
    </w:p>
    <w:p>
      <w:pPr>
        <w:pStyle w:val="19"/>
        <w:outlineLvl w:val="0"/>
      </w:pPr>
      <w:bookmarkStart w:id="14" w:name="_Toc3578"/>
      <w:r>
        <w:rPr>
          <w:rFonts w:hint="eastAsia"/>
        </w:rPr>
        <w:t>公开时间：2022年8月25日</w:t>
      </w:r>
      <w:bookmarkEnd w:id="14"/>
    </w:p>
    <w:p>
      <w:pPr>
        <w:widowControl/>
        <w:jc w:val="center"/>
        <w:rPr>
          <w:rFonts w:ascii="黑体" w:hAnsi="黑体" w:eastAsia="黑体" w:cstheme="minorBidi"/>
          <w:sz w:val="28"/>
          <w:szCs w:val="28"/>
        </w:rPr>
      </w:pPr>
    </w:p>
    <w:sdt>
      <w:sdtPr>
        <w:rPr>
          <w:rFonts w:ascii="宋体" w:hAnsi="宋体"/>
          <w:kern w:val="2"/>
          <w:sz w:val="21"/>
          <w:szCs w:val="24"/>
        </w:rPr>
        <w:id w:val="147478796"/>
        <w:docPartObj>
          <w:docPartGallery w:val="Table of Contents"/>
          <w:docPartUnique/>
        </w:docPartObj>
      </w:sdtPr>
      <w:sdtEndPr>
        <w:rPr>
          <w:rFonts w:hint="eastAsia" w:ascii="Times New Roman" w:hAnsi="Times New Roman"/>
          <w:kern w:val="2"/>
          <w:sz w:val="24"/>
          <w:szCs w:val="24"/>
        </w:rPr>
      </w:sdtEndPr>
      <w:sdtContent>
        <w:p>
          <w:pPr>
            <w:pStyle w:val="44"/>
            <w:tabs>
              <w:tab w:val="right" w:leader="dot" w:pos="8306"/>
            </w:tabs>
            <w:ind w:left="420"/>
            <w:rPr>
              <w:kern w:val="2"/>
              <w:sz w:val="24"/>
              <w:szCs w:val="24"/>
            </w:rPr>
          </w:pPr>
          <w:r>
            <w:rPr>
              <w:rFonts w:hint="eastAsia"/>
            </w:rPr>
            <w:fldChar w:fldCharType="begin"/>
          </w:r>
          <w:r>
            <w:instrText xml:space="preserve">TOC \o "1-2" \h \u</w:instrText>
          </w:r>
          <w:r>
            <w:rPr>
              <w:rFonts w:hint="eastAsia"/>
              <w:kern w:val="2"/>
              <w:sz w:val="24"/>
              <w:szCs w:val="24"/>
            </w:rPr>
            <w:fldChar w:fldCharType="separate"/>
          </w:r>
        </w:p>
        <w:p>
          <w:pPr>
            <w:pStyle w:val="44"/>
            <w:tabs>
              <w:tab w:val="right" w:leader="dot" w:pos="8306"/>
            </w:tabs>
            <w:ind w:left="420"/>
            <w:rPr>
              <w:kern w:val="2"/>
              <w:sz w:val="24"/>
              <w:szCs w:val="24"/>
            </w:rPr>
          </w:pPr>
          <w:r>
            <w:fldChar w:fldCharType="begin"/>
          </w:r>
          <w:r>
            <w:instrText xml:space="preserve"> HYPERLINK \l "_Toc31706" </w:instrText>
          </w:r>
          <w:r>
            <w:fldChar w:fldCharType="separate"/>
          </w:r>
          <w:r>
            <w:rPr>
              <w:rFonts w:hint="eastAsia"/>
              <w:b/>
              <w:bCs/>
              <w:kern w:val="2"/>
              <w:sz w:val="24"/>
              <w:szCs w:val="24"/>
            </w:rPr>
            <w:t>第一部分单位概况</w:t>
          </w:r>
          <w:r>
            <w:rPr>
              <w:rFonts w:hint="eastAsia"/>
              <w:b/>
              <w:bCs/>
              <w:kern w:val="2"/>
              <w:sz w:val="24"/>
              <w:szCs w:val="24"/>
            </w:rPr>
            <w:tab/>
          </w:r>
          <w:r>
            <w:rPr>
              <w:rFonts w:hint="eastAsia"/>
              <w:b/>
              <w:bCs/>
              <w:kern w:val="2"/>
              <w:sz w:val="24"/>
              <w:szCs w:val="24"/>
            </w:rPr>
            <w:fldChar w:fldCharType="begin"/>
          </w:r>
          <w:r>
            <w:rPr>
              <w:rFonts w:hint="eastAsia"/>
              <w:b/>
              <w:bCs/>
              <w:kern w:val="2"/>
              <w:sz w:val="24"/>
              <w:szCs w:val="24"/>
            </w:rPr>
            <w:instrText xml:space="preserve"> PAGEREF _Toc31706 \h </w:instrText>
          </w:r>
          <w:r>
            <w:rPr>
              <w:rFonts w:hint="eastAsia"/>
              <w:b/>
              <w:bCs/>
              <w:kern w:val="2"/>
              <w:sz w:val="24"/>
              <w:szCs w:val="24"/>
            </w:rPr>
            <w:fldChar w:fldCharType="separate"/>
          </w:r>
          <w:r>
            <w:rPr>
              <w:rFonts w:hint="eastAsia"/>
              <w:b/>
              <w:bCs/>
              <w:kern w:val="2"/>
              <w:sz w:val="24"/>
              <w:szCs w:val="24"/>
            </w:rPr>
            <w:t>3</w:t>
          </w:r>
          <w:r>
            <w:rPr>
              <w:rFonts w:hint="eastAsia"/>
              <w:b/>
              <w:bCs/>
              <w:kern w:val="2"/>
              <w:sz w:val="24"/>
              <w:szCs w:val="24"/>
            </w:rPr>
            <w:fldChar w:fldCharType="end"/>
          </w:r>
          <w:r>
            <w:rPr>
              <w:rFonts w:hint="eastAsia"/>
              <w:b/>
              <w:bCs/>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"_Toc20290" </w:instrText>
          </w:r>
          <w:r>
            <w:fldChar w:fldCharType="separate"/>
          </w:r>
          <w:r>
            <w:rPr>
              <w:rFonts w:hint="eastAsia"/>
              <w:kern w:val="2"/>
              <w:sz w:val="24"/>
              <w:szCs w:val="24"/>
            </w:rPr>
            <w:t>一、职能简介</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_Toc20290 \h </w:instrText>
          </w:r>
          <w:r>
            <w:rPr>
              <w:rFonts w:hint="eastAsia"/>
              <w:kern w:val="2"/>
              <w:sz w:val="24"/>
              <w:szCs w:val="24"/>
            </w:rPr>
            <w:fldChar w:fldCharType="separate"/>
          </w:r>
          <w:r>
            <w:rPr>
              <w:rFonts w:hint="eastAsia"/>
              <w:kern w:val="2"/>
              <w:sz w:val="24"/>
              <w:szCs w:val="24"/>
            </w:rPr>
            <w:t>3</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"_Toc5021" </w:instrText>
          </w:r>
          <w:r>
            <w:fldChar w:fldCharType="separate"/>
          </w:r>
          <w:r>
            <w:rPr>
              <w:rFonts w:hint="eastAsia"/>
              <w:kern w:val="2"/>
              <w:sz w:val="24"/>
              <w:szCs w:val="24"/>
            </w:rPr>
            <w:t>二、2021年重点工作完成情况</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_Toc5021 \h </w:instrText>
          </w:r>
          <w:r>
            <w:rPr>
              <w:rFonts w:hint="eastAsia"/>
              <w:kern w:val="2"/>
              <w:sz w:val="24"/>
              <w:szCs w:val="24"/>
            </w:rPr>
            <w:fldChar w:fldCharType="separate"/>
          </w:r>
          <w:r>
            <w:rPr>
              <w:rFonts w:hint="eastAsia"/>
              <w:kern w:val="2"/>
              <w:sz w:val="24"/>
              <w:szCs w:val="24"/>
            </w:rPr>
            <w:t>3</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"_Toc2501" </w:instrText>
          </w:r>
          <w:r>
            <w:fldChar w:fldCharType="separate"/>
          </w:r>
          <w:r>
            <w:rPr>
              <w:rFonts w:hint="eastAsia"/>
              <w:b/>
              <w:bCs/>
              <w:kern w:val="2"/>
              <w:sz w:val="24"/>
              <w:szCs w:val="24"/>
            </w:rPr>
            <w:t>第二部分 2021年度单位决算情况说明</w:t>
          </w:r>
          <w:r>
            <w:rPr>
              <w:rFonts w:hint="eastAsia"/>
              <w:b/>
              <w:bCs/>
              <w:kern w:val="2"/>
              <w:sz w:val="24"/>
              <w:szCs w:val="24"/>
            </w:rPr>
            <w:tab/>
          </w:r>
          <w:r>
            <w:rPr>
              <w:rFonts w:hint="eastAsia"/>
              <w:b/>
              <w:bCs/>
              <w:kern w:val="2"/>
              <w:sz w:val="24"/>
              <w:szCs w:val="24"/>
            </w:rPr>
            <w:fldChar w:fldCharType="begin"/>
          </w:r>
          <w:r>
            <w:rPr>
              <w:rFonts w:hint="eastAsia"/>
              <w:b/>
              <w:bCs/>
              <w:kern w:val="2"/>
              <w:sz w:val="24"/>
              <w:szCs w:val="24"/>
            </w:rPr>
            <w:instrText xml:space="preserve"> PAGEREF _Toc2501 \h </w:instrText>
          </w:r>
          <w:r>
            <w:rPr>
              <w:rFonts w:hint="eastAsia"/>
              <w:b/>
              <w:bCs/>
              <w:kern w:val="2"/>
              <w:sz w:val="24"/>
              <w:szCs w:val="24"/>
            </w:rPr>
            <w:fldChar w:fldCharType="separate"/>
          </w:r>
          <w:r>
            <w:rPr>
              <w:rFonts w:hint="eastAsia"/>
              <w:b/>
              <w:bCs/>
              <w:kern w:val="2"/>
              <w:sz w:val="24"/>
              <w:szCs w:val="24"/>
            </w:rPr>
            <w:t>3</w:t>
          </w:r>
          <w:r>
            <w:rPr>
              <w:rFonts w:hint="eastAsia"/>
              <w:b/>
              <w:bCs/>
              <w:kern w:val="2"/>
              <w:sz w:val="24"/>
              <w:szCs w:val="24"/>
            </w:rPr>
            <w:fldChar w:fldCharType="end"/>
          </w:r>
          <w:r>
            <w:rPr>
              <w:rFonts w:hint="eastAsia"/>
              <w:b/>
              <w:bCs/>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"_Toc8408" </w:instrText>
          </w:r>
          <w:r>
            <w:fldChar w:fldCharType="separate"/>
          </w:r>
          <w:r>
            <w:rPr>
              <w:kern w:val="2"/>
              <w:sz w:val="24"/>
              <w:szCs w:val="24"/>
            </w:rPr>
            <w:t>一、</w:t>
          </w:r>
          <w:r>
            <w:rPr>
              <w:rFonts w:hint="eastAsia"/>
              <w:kern w:val="2"/>
              <w:sz w:val="24"/>
              <w:szCs w:val="24"/>
            </w:rPr>
            <w:t>收入支出决算总体情况说明</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_Toc8408 \h </w:instrText>
          </w:r>
          <w:r>
            <w:rPr>
              <w:rFonts w:hint="eastAsia"/>
              <w:kern w:val="2"/>
              <w:sz w:val="24"/>
              <w:szCs w:val="24"/>
            </w:rPr>
            <w:fldChar w:fldCharType="separate"/>
          </w:r>
          <w:r>
            <w:rPr>
              <w:rFonts w:hint="eastAsia"/>
              <w:kern w:val="2"/>
              <w:sz w:val="24"/>
              <w:szCs w:val="24"/>
            </w:rPr>
            <w:t>3</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"_Toc25965" </w:instrText>
          </w:r>
          <w:r>
            <w:fldChar w:fldCharType="separate"/>
          </w:r>
          <w:r>
            <w:rPr>
              <w:kern w:val="2"/>
              <w:sz w:val="24"/>
              <w:szCs w:val="24"/>
            </w:rPr>
            <w:t>二、</w:t>
          </w:r>
          <w:r>
            <w:rPr>
              <w:rFonts w:hint="eastAsia"/>
              <w:kern w:val="2"/>
              <w:sz w:val="24"/>
              <w:szCs w:val="24"/>
            </w:rPr>
            <w:t>收入决算情况说明</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_Toc25965 \h </w:instrText>
          </w:r>
          <w:r>
            <w:rPr>
              <w:rFonts w:hint="eastAsia"/>
              <w:kern w:val="2"/>
              <w:sz w:val="24"/>
              <w:szCs w:val="24"/>
            </w:rPr>
            <w:fldChar w:fldCharType="separate"/>
          </w:r>
          <w:r>
            <w:rPr>
              <w:rFonts w:hint="eastAsia"/>
              <w:kern w:val="2"/>
              <w:sz w:val="24"/>
              <w:szCs w:val="24"/>
            </w:rPr>
            <w:t>4</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"_Toc28307" </w:instrText>
          </w:r>
          <w:r>
            <w:fldChar w:fldCharType="separate"/>
          </w:r>
          <w:r>
            <w:rPr>
              <w:kern w:val="2"/>
              <w:sz w:val="24"/>
              <w:szCs w:val="24"/>
            </w:rPr>
            <w:t>三、</w:t>
          </w:r>
          <w:r>
            <w:rPr>
              <w:rFonts w:hint="eastAsia"/>
              <w:kern w:val="2"/>
              <w:sz w:val="24"/>
              <w:szCs w:val="24"/>
            </w:rPr>
            <w:t>支出决算情况说明</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_Toc28307 \h </w:instrText>
          </w:r>
          <w:r>
            <w:rPr>
              <w:rFonts w:hint="eastAsia"/>
              <w:kern w:val="2"/>
              <w:sz w:val="24"/>
              <w:szCs w:val="24"/>
            </w:rPr>
            <w:fldChar w:fldCharType="separate"/>
          </w:r>
          <w:r>
            <w:rPr>
              <w:rFonts w:hint="eastAsia"/>
              <w:kern w:val="2"/>
              <w:sz w:val="24"/>
              <w:szCs w:val="24"/>
            </w:rPr>
            <w:t>4</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"_Toc359" </w:instrText>
          </w:r>
          <w:r>
            <w:fldChar w:fldCharType="separate"/>
          </w:r>
          <w:r>
            <w:rPr>
              <w:rFonts w:hint="eastAsia"/>
              <w:kern w:val="2"/>
              <w:sz w:val="24"/>
              <w:szCs w:val="24"/>
            </w:rPr>
            <w:t>四、财政拨款收入支出决算总体情况说明</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_Toc359 \h </w:instrText>
          </w:r>
          <w:r>
            <w:rPr>
              <w:rFonts w:hint="eastAsia"/>
              <w:kern w:val="2"/>
              <w:sz w:val="24"/>
              <w:szCs w:val="24"/>
            </w:rPr>
            <w:fldChar w:fldCharType="separate"/>
          </w:r>
          <w:r>
            <w:rPr>
              <w:rFonts w:hint="eastAsia"/>
              <w:kern w:val="2"/>
              <w:sz w:val="24"/>
              <w:szCs w:val="24"/>
            </w:rPr>
            <w:t>5</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"_Toc16330" </w:instrText>
          </w:r>
          <w:r>
            <w:fldChar w:fldCharType="separate"/>
          </w:r>
          <w:r>
            <w:rPr>
              <w:rFonts w:hint="eastAsia"/>
              <w:kern w:val="2"/>
              <w:sz w:val="24"/>
              <w:szCs w:val="24"/>
            </w:rPr>
            <w:t>五、一般公共预算财政拨款支出决算情况说明</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_Toc16330 \h </w:instrText>
          </w:r>
          <w:r>
            <w:rPr>
              <w:rFonts w:hint="eastAsia"/>
              <w:kern w:val="2"/>
              <w:sz w:val="24"/>
              <w:szCs w:val="24"/>
            </w:rPr>
            <w:fldChar w:fldCharType="separate"/>
          </w:r>
          <w:r>
            <w:rPr>
              <w:rFonts w:hint="eastAsia"/>
              <w:kern w:val="2"/>
              <w:sz w:val="24"/>
              <w:szCs w:val="24"/>
            </w:rPr>
            <w:t>5</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"_Toc9430" </w:instrText>
          </w:r>
          <w:r>
            <w:fldChar w:fldCharType="separate"/>
          </w:r>
          <w:r>
            <w:rPr>
              <w:rFonts w:hint="eastAsia"/>
              <w:kern w:val="2"/>
              <w:sz w:val="24"/>
              <w:szCs w:val="24"/>
            </w:rPr>
            <w:t>六、一般公共预算财政拨款基本支出决算情况说明</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_Toc9430 \h </w:instrText>
          </w:r>
          <w:r>
            <w:rPr>
              <w:rFonts w:hint="eastAsia"/>
              <w:kern w:val="2"/>
              <w:sz w:val="24"/>
              <w:szCs w:val="24"/>
            </w:rPr>
            <w:fldChar w:fldCharType="separate"/>
          </w:r>
          <w:r>
            <w:rPr>
              <w:rFonts w:hint="eastAsia"/>
              <w:kern w:val="2"/>
              <w:sz w:val="24"/>
              <w:szCs w:val="24"/>
            </w:rPr>
            <w:t>7</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"_Toc31894" </w:instrText>
          </w:r>
          <w:r>
            <w:fldChar w:fldCharType="separate"/>
          </w:r>
          <w:r>
            <w:rPr>
              <w:rFonts w:hint="eastAsia"/>
              <w:kern w:val="2"/>
              <w:sz w:val="24"/>
              <w:szCs w:val="24"/>
            </w:rPr>
            <w:t>七、“三公”经费财政拨款支出决算情况说明</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_Toc31894 \h </w:instrText>
          </w:r>
          <w:r>
            <w:rPr>
              <w:rFonts w:hint="eastAsia"/>
              <w:kern w:val="2"/>
              <w:sz w:val="24"/>
              <w:szCs w:val="24"/>
            </w:rPr>
            <w:fldChar w:fldCharType="separate"/>
          </w:r>
          <w:r>
            <w:rPr>
              <w:rFonts w:hint="eastAsia"/>
              <w:kern w:val="2"/>
              <w:sz w:val="24"/>
              <w:szCs w:val="24"/>
            </w:rPr>
            <w:t>7</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"_Toc32394" </w:instrText>
          </w:r>
          <w:r>
            <w:fldChar w:fldCharType="separate"/>
          </w:r>
          <w:r>
            <w:rPr>
              <w:rFonts w:hint="eastAsia"/>
              <w:kern w:val="2"/>
              <w:sz w:val="24"/>
              <w:szCs w:val="24"/>
            </w:rPr>
            <w:t>八、政府性基金预算支出决算情况说明</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_Toc32394 \h </w:instrText>
          </w:r>
          <w:r>
            <w:rPr>
              <w:rFonts w:hint="eastAsia"/>
              <w:kern w:val="2"/>
              <w:sz w:val="24"/>
              <w:szCs w:val="24"/>
            </w:rPr>
            <w:fldChar w:fldCharType="separate"/>
          </w:r>
          <w:r>
            <w:rPr>
              <w:rFonts w:hint="eastAsia"/>
              <w:kern w:val="2"/>
              <w:sz w:val="24"/>
              <w:szCs w:val="24"/>
            </w:rPr>
            <w:t>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"_Toc11525" </w:instrText>
          </w:r>
          <w:r>
            <w:fldChar w:fldCharType="separate"/>
          </w:r>
          <w:r>
            <w:rPr>
              <w:rFonts w:hint="eastAsia"/>
              <w:kern w:val="2"/>
              <w:sz w:val="24"/>
              <w:szCs w:val="24"/>
            </w:rPr>
            <w:t>九、国有资本经营预算支出决算情况说明</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_Toc11525 \h </w:instrText>
          </w:r>
          <w:r>
            <w:rPr>
              <w:rFonts w:hint="eastAsia"/>
              <w:kern w:val="2"/>
              <w:sz w:val="24"/>
              <w:szCs w:val="24"/>
            </w:rPr>
            <w:fldChar w:fldCharType="separate"/>
          </w:r>
          <w:r>
            <w:rPr>
              <w:rFonts w:hint="eastAsia"/>
              <w:kern w:val="2"/>
              <w:sz w:val="24"/>
              <w:szCs w:val="24"/>
            </w:rPr>
            <w:t>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"_Toc21696" </w:instrText>
          </w:r>
          <w:r>
            <w:fldChar w:fldCharType="separate"/>
          </w:r>
          <w:r>
            <w:rPr>
              <w:rFonts w:hint="eastAsia"/>
              <w:kern w:val="2"/>
              <w:sz w:val="24"/>
              <w:szCs w:val="24"/>
            </w:rPr>
            <w:t>十、其他重要事项的情况说明</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_Toc21696 \h </w:instrText>
          </w:r>
          <w:r>
            <w:rPr>
              <w:rFonts w:hint="eastAsia"/>
              <w:kern w:val="2"/>
              <w:sz w:val="24"/>
              <w:szCs w:val="24"/>
            </w:rPr>
            <w:fldChar w:fldCharType="separate"/>
          </w:r>
          <w:r>
            <w:rPr>
              <w:rFonts w:hint="eastAsia"/>
              <w:kern w:val="2"/>
              <w:sz w:val="24"/>
              <w:szCs w:val="24"/>
            </w:rPr>
            <w:t>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b/>
              <w:bCs/>
              <w:kern w:val="2"/>
              <w:sz w:val="24"/>
              <w:szCs w:val="24"/>
            </w:rPr>
          </w:pPr>
          <w:r>
            <w:fldChar w:fldCharType="begin"/>
          </w:r>
          <w:r>
            <w:instrText xml:space="preserve"> HYPERLINK \l "_Toc4983" </w:instrText>
          </w:r>
          <w:r>
            <w:fldChar w:fldCharType="separate"/>
          </w:r>
          <w:r>
            <w:rPr>
              <w:rFonts w:hint="eastAsia"/>
              <w:b/>
              <w:bCs/>
              <w:kern w:val="2"/>
              <w:sz w:val="24"/>
              <w:szCs w:val="24"/>
            </w:rPr>
            <w:t>第三部分名词解释</w:t>
          </w:r>
          <w:r>
            <w:rPr>
              <w:rFonts w:hint="eastAsia"/>
              <w:b/>
              <w:bCs/>
              <w:kern w:val="2"/>
              <w:sz w:val="24"/>
              <w:szCs w:val="24"/>
            </w:rPr>
            <w:tab/>
          </w:r>
          <w:r>
            <w:rPr>
              <w:rFonts w:hint="eastAsia"/>
              <w:b/>
              <w:bCs/>
              <w:kern w:val="2"/>
              <w:sz w:val="24"/>
              <w:szCs w:val="24"/>
            </w:rPr>
            <w:fldChar w:fldCharType="begin"/>
          </w:r>
          <w:r>
            <w:rPr>
              <w:rFonts w:hint="eastAsia"/>
              <w:b/>
              <w:bCs/>
              <w:kern w:val="2"/>
              <w:sz w:val="24"/>
              <w:szCs w:val="24"/>
            </w:rPr>
            <w:instrText xml:space="preserve"> PAGEREF _Toc4983 \h </w:instrText>
          </w:r>
          <w:r>
            <w:rPr>
              <w:rFonts w:hint="eastAsia"/>
              <w:b/>
              <w:bCs/>
              <w:kern w:val="2"/>
              <w:sz w:val="24"/>
              <w:szCs w:val="24"/>
            </w:rPr>
            <w:fldChar w:fldCharType="separate"/>
          </w:r>
          <w:r>
            <w:rPr>
              <w:rFonts w:hint="eastAsia"/>
              <w:b/>
              <w:bCs/>
              <w:kern w:val="2"/>
              <w:sz w:val="24"/>
              <w:szCs w:val="24"/>
            </w:rPr>
            <w:t>10</w:t>
          </w:r>
          <w:r>
            <w:rPr>
              <w:rFonts w:hint="eastAsia"/>
              <w:b/>
              <w:bCs/>
              <w:kern w:val="2"/>
              <w:sz w:val="24"/>
              <w:szCs w:val="24"/>
            </w:rPr>
            <w:fldChar w:fldCharType="end"/>
          </w:r>
          <w:r>
            <w:rPr>
              <w:rFonts w:hint="eastAsia"/>
              <w:b/>
              <w:bCs/>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"_Toc1864" </w:instrText>
          </w:r>
          <w:r>
            <w:fldChar w:fldCharType="separate"/>
          </w:r>
          <w:r>
            <w:rPr>
              <w:rFonts w:hint="eastAsia"/>
              <w:b/>
              <w:bCs/>
              <w:kern w:val="2"/>
              <w:sz w:val="24"/>
              <w:szCs w:val="24"/>
            </w:rPr>
            <w:t>第四部分附件</w:t>
          </w:r>
          <w:r>
            <w:rPr>
              <w:rFonts w:hint="eastAsia"/>
              <w:b/>
              <w:bCs/>
              <w:kern w:val="2"/>
              <w:sz w:val="24"/>
              <w:szCs w:val="24"/>
            </w:rPr>
            <w:tab/>
          </w:r>
          <w:r>
            <w:rPr>
              <w:rFonts w:hint="eastAsia"/>
              <w:b/>
              <w:bCs/>
              <w:kern w:val="2"/>
              <w:sz w:val="24"/>
              <w:szCs w:val="24"/>
            </w:rPr>
            <w:fldChar w:fldCharType="begin"/>
          </w:r>
          <w:r>
            <w:rPr>
              <w:rFonts w:hint="eastAsia"/>
              <w:b/>
              <w:bCs/>
              <w:kern w:val="2"/>
              <w:sz w:val="24"/>
              <w:szCs w:val="24"/>
            </w:rPr>
            <w:instrText xml:space="preserve"> PAGEREF _Toc1864 \h </w:instrText>
          </w:r>
          <w:r>
            <w:rPr>
              <w:rFonts w:hint="eastAsia"/>
              <w:b/>
              <w:bCs/>
              <w:kern w:val="2"/>
              <w:sz w:val="24"/>
              <w:szCs w:val="24"/>
            </w:rPr>
            <w:fldChar w:fldCharType="separate"/>
          </w:r>
          <w:r>
            <w:rPr>
              <w:rFonts w:hint="eastAsia"/>
              <w:b/>
              <w:bCs/>
              <w:kern w:val="2"/>
              <w:sz w:val="24"/>
              <w:szCs w:val="24"/>
            </w:rPr>
            <w:t>12</w:t>
          </w:r>
          <w:r>
            <w:rPr>
              <w:rFonts w:hint="eastAsia"/>
              <w:b/>
              <w:bCs/>
              <w:kern w:val="2"/>
              <w:sz w:val="24"/>
              <w:szCs w:val="24"/>
            </w:rPr>
            <w:fldChar w:fldCharType="end"/>
          </w:r>
          <w:r>
            <w:rPr>
              <w:rFonts w:hint="eastAsia"/>
              <w:b/>
              <w:bCs/>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"_Toc26341" </w:instrText>
          </w:r>
          <w:r>
            <w:fldChar w:fldCharType="separate"/>
          </w:r>
          <w:r>
            <w:rPr>
              <w:rFonts w:hint="eastAsia"/>
              <w:kern w:val="2"/>
              <w:sz w:val="24"/>
              <w:szCs w:val="24"/>
            </w:rPr>
            <w:t>附件1</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_Toc26341 \h </w:instrText>
          </w:r>
          <w:r>
            <w:rPr>
              <w:rFonts w:hint="eastAsia"/>
              <w:kern w:val="2"/>
              <w:sz w:val="24"/>
              <w:szCs w:val="24"/>
            </w:rPr>
            <w:fldChar w:fldCharType="separate"/>
          </w:r>
          <w:r>
            <w:rPr>
              <w:rFonts w:hint="eastAsia"/>
              <w:kern w:val="2"/>
              <w:sz w:val="24"/>
              <w:szCs w:val="24"/>
            </w:rPr>
            <w:t>12</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"_Toc30228" </w:instrText>
          </w:r>
          <w:r>
            <w:fldChar w:fldCharType="separate"/>
          </w:r>
          <w:r>
            <w:rPr>
              <w:rFonts w:hint="eastAsia"/>
              <w:kern w:val="2"/>
              <w:sz w:val="24"/>
              <w:szCs w:val="24"/>
            </w:rPr>
            <w:t>附件2</w:t>
          </w:r>
          <w:r>
            <w:rPr>
              <w:rFonts w:hint="eastAsia"/>
              <w:kern w:val="2"/>
              <w:sz w:val="24"/>
              <w:szCs w:val="24"/>
            </w:rPr>
            <w:tab/>
          </w:r>
          <w:r>
            <w:rPr>
              <w:rFonts w:hint="eastAsia"/>
              <w:kern w:val="2"/>
              <w:sz w:val="24"/>
              <w:szCs w:val="24"/>
            </w:rPr>
            <w:t>1</w:t>
          </w:r>
          <w:r>
            <w:rPr>
              <w:rFonts w:hint="eastAsia"/>
              <w:kern w:val="2"/>
              <w:sz w:val="24"/>
              <w:szCs w:val="24"/>
            </w:rPr>
            <w:fldChar w:fldCharType="end"/>
          </w:r>
          <w:r>
            <w:rPr>
              <w:rFonts w:hint="eastAsia"/>
              <w:kern w:val="2"/>
              <w:sz w:val="24"/>
              <w:szCs w:val="24"/>
            </w:rPr>
            <w:t>9</w:t>
          </w:r>
        </w:p>
        <w:p>
          <w:pPr>
            <w:pStyle w:val="44"/>
            <w:tabs>
              <w:tab w:val="right" w:leader="dot" w:pos="8306"/>
            </w:tabs>
            <w:ind w:left="420"/>
            <w:rPr>
              <w:b/>
              <w:bCs/>
              <w:kern w:val="2"/>
              <w:sz w:val="24"/>
              <w:szCs w:val="24"/>
            </w:rPr>
          </w:pPr>
          <w:r>
            <w:fldChar w:fldCharType="begin"/>
          </w:r>
          <w:r>
            <w:instrText xml:space="preserve"> HYPERLINK \l "_Toc12299" </w:instrText>
          </w:r>
          <w:r>
            <w:fldChar w:fldCharType="separate"/>
          </w:r>
          <w:r>
            <w:rPr>
              <w:rFonts w:hint="eastAsia"/>
              <w:b/>
              <w:bCs/>
              <w:kern w:val="2"/>
              <w:sz w:val="24"/>
              <w:szCs w:val="24"/>
            </w:rPr>
            <w:t>第五部分附表</w:t>
          </w:r>
          <w:r>
            <w:rPr>
              <w:rFonts w:hint="eastAsia"/>
              <w:b/>
              <w:bCs/>
              <w:kern w:val="2"/>
              <w:sz w:val="24"/>
              <w:szCs w:val="24"/>
            </w:rPr>
            <w:tab/>
          </w:r>
          <w:r>
            <w:rPr>
              <w:rFonts w:hint="eastAsia"/>
              <w:b/>
              <w:bCs/>
              <w:kern w:val="2"/>
              <w:sz w:val="24"/>
              <w:szCs w:val="24"/>
            </w:rPr>
            <w:fldChar w:fldCharType="begin"/>
          </w:r>
          <w:r>
            <w:rPr>
              <w:rFonts w:hint="eastAsia"/>
              <w:b/>
              <w:bCs/>
              <w:kern w:val="2"/>
              <w:sz w:val="24"/>
              <w:szCs w:val="24"/>
            </w:rPr>
            <w:instrText xml:space="preserve"> PAGEREF _Toc12299 \h </w:instrText>
          </w:r>
          <w:r>
            <w:rPr>
              <w:rFonts w:hint="eastAsia"/>
              <w:b/>
              <w:bCs/>
              <w:kern w:val="2"/>
              <w:sz w:val="24"/>
              <w:szCs w:val="24"/>
            </w:rPr>
            <w:fldChar w:fldCharType="separate"/>
          </w:r>
          <w:r>
            <w:rPr>
              <w:rFonts w:hint="eastAsia"/>
              <w:b/>
              <w:bCs/>
              <w:kern w:val="2"/>
              <w:sz w:val="24"/>
              <w:szCs w:val="24"/>
            </w:rPr>
            <w:t>18</w:t>
          </w:r>
          <w:r>
            <w:rPr>
              <w:rFonts w:hint="eastAsia"/>
              <w:b/>
              <w:bCs/>
              <w:kern w:val="2"/>
              <w:sz w:val="24"/>
              <w:szCs w:val="24"/>
            </w:rPr>
            <w:fldChar w:fldCharType="end"/>
          </w:r>
          <w:r>
            <w:rPr>
              <w:rFonts w:hint="eastAsia"/>
              <w:b/>
              <w:bCs/>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"_Toc18886" </w:instrText>
          </w:r>
          <w:r>
            <w:fldChar w:fldCharType="separate"/>
          </w:r>
          <w:r>
            <w:rPr>
              <w:rFonts w:hint="eastAsia"/>
              <w:kern w:val="2"/>
              <w:sz w:val="24"/>
              <w:szCs w:val="24"/>
            </w:rPr>
            <w:t>一、收入支出决算总表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_Toc18886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"_Toc1328" </w:instrText>
          </w:r>
          <w:r>
            <w:fldChar w:fldCharType="separate"/>
          </w:r>
          <w:r>
            <w:rPr>
              <w:rFonts w:hint="eastAsia"/>
              <w:kern w:val="2"/>
              <w:sz w:val="24"/>
              <w:szCs w:val="24"/>
            </w:rPr>
            <w:t>二、收入决算表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_Toc1328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"_Toc7826" </w:instrText>
          </w:r>
          <w:r>
            <w:fldChar w:fldCharType="separate"/>
          </w:r>
          <w:r>
            <w:rPr>
              <w:rFonts w:hint="eastAsia"/>
              <w:kern w:val="2"/>
              <w:sz w:val="24"/>
              <w:szCs w:val="24"/>
            </w:rPr>
            <w:t>三、支出决算表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_Toc7826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"_Toc32572" </w:instrText>
          </w:r>
          <w:r>
            <w:fldChar w:fldCharType="separate"/>
          </w:r>
          <w:r>
            <w:rPr>
              <w:rFonts w:hint="eastAsia"/>
              <w:kern w:val="2"/>
              <w:sz w:val="24"/>
              <w:szCs w:val="24"/>
            </w:rPr>
            <w:t>四、财政拨款收入支出决算总表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_Toc32572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"_Toc26558" </w:instrText>
          </w:r>
          <w:r>
            <w:fldChar w:fldCharType="separate"/>
          </w:r>
          <w:r>
            <w:rPr>
              <w:rFonts w:hint="eastAsia"/>
              <w:kern w:val="2"/>
              <w:sz w:val="24"/>
              <w:szCs w:val="24"/>
            </w:rPr>
            <w:t>五、财政拨款支出决算明细表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_Toc26558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"_Toc7141" </w:instrText>
          </w:r>
          <w:r>
            <w:fldChar w:fldCharType="separate"/>
          </w:r>
          <w:r>
            <w:rPr>
              <w:rFonts w:hint="eastAsia"/>
              <w:kern w:val="2"/>
              <w:sz w:val="24"/>
              <w:szCs w:val="24"/>
            </w:rPr>
            <w:t>六、一般公共预算财政拨款支出决算表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_Toc7141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"_Toc20189" </w:instrText>
          </w:r>
          <w:r>
            <w:fldChar w:fldCharType="separate"/>
          </w:r>
          <w:r>
            <w:rPr>
              <w:rFonts w:hint="eastAsia"/>
              <w:kern w:val="2"/>
              <w:sz w:val="24"/>
              <w:szCs w:val="24"/>
            </w:rPr>
            <w:t>七、一般公共预算财政拨款支出决算明细表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_Toc20189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"_Toc15963" </w:instrText>
          </w:r>
          <w:r>
            <w:fldChar w:fldCharType="separate"/>
          </w:r>
          <w:r>
            <w:rPr>
              <w:rFonts w:hint="eastAsia"/>
              <w:kern w:val="2"/>
              <w:sz w:val="24"/>
              <w:szCs w:val="24"/>
            </w:rPr>
            <w:t>八、一般公共预算财政拨款基本支出决算表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_Toc15963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"_Toc12958" </w:instrText>
          </w:r>
          <w:r>
            <w:fldChar w:fldCharType="separate"/>
          </w:r>
          <w:r>
            <w:rPr>
              <w:rFonts w:hint="eastAsia"/>
              <w:kern w:val="2"/>
              <w:sz w:val="24"/>
              <w:szCs w:val="24"/>
            </w:rPr>
            <w:t>九、一般公共预算财政拨款项目支出决算表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_Toc12958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"_Toc14797" </w:instrText>
          </w:r>
          <w:r>
            <w:fldChar w:fldCharType="separate"/>
          </w:r>
          <w:r>
            <w:rPr>
              <w:rFonts w:hint="eastAsia"/>
              <w:kern w:val="2"/>
              <w:sz w:val="24"/>
              <w:szCs w:val="24"/>
            </w:rPr>
            <w:t>十、一般公共预算财政拨款“三公”经费支出决算表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_Toc14797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"_Toc13256" </w:instrText>
          </w:r>
          <w:r>
            <w:fldChar w:fldCharType="separate"/>
          </w:r>
          <w:r>
            <w:rPr>
              <w:rFonts w:hint="eastAsia"/>
              <w:kern w:val="2"/>
              <w:sz w:val="24"/>
              <w:szCs w:val="24"/>
            </w:rPr>
            <w:t>十一、政府性基金预算财政拨款收入支出决算表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_Toc13256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"_Toc9457" </w:instrText>
          </w:r>
          <w:r>
            <w:fldChar w:fldCharType="separate"/>
          </w:r>
          <w:r>
            <w:rPr>
              <w:rFonts w:hint="eastAsia"/>
              <w:kern w:val="2"/>
              <w:sz w:val="24"/>
              <w:szCs w:val="24"/>
            </w:rPr>
            <w:t>十二、政府性基金预算财政拨款“三公”经费支出决算表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_Toc9457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"_Toc19227" </w:instrText>
          </w:r>
          <w:r>
            <w:fldChar w:fldCharType="separate"/>
          </w:r>
          <w:r>
            <w:rPr>
              <w:rFonts w:hint="eastAsia"/>
              <w:kern w:val="2"/>
              <w:sz w:val="24"/>
              <w:szCs w:val="24"/>
            </w:rPr>
            <w:t>十三、国有资本经营预算财政拨款收入支出决算表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_Toc19227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fldChar w:fldCharType="begin"/>
          </w:r>
          <w:r>
            <w:instrText xml:space="preserve"> HYPERLINK \l "_Toc26335" </w:instrText>
          </w:r>
          <w:r>
            <w:fldChar w:fldCharType="separate"/>
          </w:r>
          <w:r>
            <w:rPr>
              <w:rFonts w:hint="eastAsia"/>
              <w:kern w:val="2"/>
              <w:sz w:val="24"/>
              <w:szCs w:val="24"/>
            </w:rPr>
            <w:t>十四、国有资本经营预算财政拨款支出决算表</w:t>
          </w:r>
          <w:r>
            <w:rPr>
              <w:rFonts w:hint="eastAsia"/>
              <w:kern w:val="2"/>
              <w:sz w:val="24"/>
              <w:szCs w:val="24"/>
            </w:rPr>
            <w:tab/>
          </w:r>
          <w:r>
            <w:rPr>
              <w:rFonts w:hint="eastAsia"/>
              <w:kern w:val="2"/>
              <w:sz w:val="24"/>
              <w:szCs w:val="24"/>
            </w:rPr>
            <w:fldChar w:fldCharType="begin"/>
          </w:r>
          <w:r>
            <w:rPr>
              <w:rFonts w:hint="eastAsia"/>
              <w:kern w:val="2"/>
              <w:sz w:val="24"/>
              <w:szCs w:val="24"/>
            </w:rPr>
            <w:instrText xml:space="preserve"> PAGEREF _Toc26335 \h </w:instrText>
          </w:r>
          <w:r>
            <w:rPr>
              <w:rFonts w:hint="eastAsia"/>
              <w:kern w:val="2"/>
              <w:sz w:val="24"/>
              <w:szCs w:val="24"/>
            </w:rPr>
            <w:fldChar w:fldCharType="separate"/>
          </w:r>
          <w:r>
            <w:rPr>
              <w:rFonts w:hint="eastAsia"/>
              <w:kern w:val="2"/>
              <w:sz w:val="24"/>
              <w:szCs w:val="24"/>
            </w:rPr>
            <w:t>18</w:t>
          </w:r>
          <w:r>
            <w:rPr>
              <w:rFonts w:hint="eastAsia"/>
              <w:kern w:val="2"/>
              <w:sz w:val="24"/>
              <w:szCs w:val="24"/>
            </w:rPr>
            <w:fldChar w:fldCharType="end"/>
          </w:r>
          <w:r>
            <w:rPr>
              <w:rFonts w:hint="eastAsia"/>
              <w:kern w:val="2"/>
              <w:sz w:val="24"/>
              <w:szCs w:val="24"/>
            </w:rPr>
            <w:fldChar w:fldCharType="end"/>
          </w:r>
        </w:p>
        <w:p>
          <w:pPr>
            <w:pStyle w:val="44"/>
            <w:tabs>
              <w:tab w:val="right" w:leader="dot" w:pos="8306"/>
            </w:tabs>
            <w:ind w:left="420"/>
            <w:rPr>
              <w:kern w:val="2"/>
              <w:sz w:val="24"/>
              <w:szCs w:val="24"/>
            </w:rPr>
          </w:pPr>
          <w:r>
            <w:rPr>
              <w:rFonts w:hint="eastAsia"/>
              <w:kern w:val="2"/>
              <w:sz w:val="24"/>
              <w:szCs w:val="24"/>
            </w:rPr>
            <w:fldChar w:fldCharType="end"/>
          </w:r>
        </w:p>
      </w:sdtContent>
    </w:sdt>
    <w:p/>
    <w:p>
      <w:pPr>
        <w:pStyle w:val="13"/>
        <w:jc w:val="center"/>
        <w:rPr>
          <w:rStyle w:val="29"/>
          <w:rFonts w:ascii="黑体" w:hAnsi="黑体" w:eastAsia="黑体"/>
          <w:b/>
          <w:bCs w:val="0"/>
        </w:rPr>
      </w:pPr>
      <w:bookmarkStart w:id="15" w:name="_Toc31706"/>
      <w:bookmarkStart w:id="16" w:name="_Toc15377196"/>
      <w:bookmarkStart w:id="17" w:name="_Toc15396599"/>
      <w:r>
        <w:rPr>
          <w:rFonts w:hint="eastAsia" w:ascii="黑体" w:hAnsi="黑体" w:eastAsia="黑体"/>
          <w:b w:val="0"/>
        </w:rPr>
        <w:t>第一部分单位</w:t>
      </w:r>
      <w:r>
        <w:rPr>
          <w:rStyle w:val="29"/>
          <w:rFonts w:hint="eastAsia" w:ascii="黑体" w:hAnsi="黑体" w:eastAsia="黑体"/>
          <w:b w:val="0"/>
          <w:bCs w:val="0"/>
        </w:rPr>
        <w:t>概况</w:t>
      </w:r>
      <w:bookmarkEnd w:id="15"/>
      <w:bookmarkEnd w:id="16"/>
      <w:bookmarkEnd w:id="17"/>
    </w:p>
    <w:p>
      <w:pPr>
        <w:pStyle w:val="14"/>
        <w:spacing w:after="0" w:line="560" w:lineRule="exact"/>
        <w:ind w:firstLine="640" w:firstLineChars="200"/>
        <w:rPr>
          <w:rStyle w:val="30"/>
          <w:rFonts w:ascii="黑体" w:hAnsi="黑体" w:eastAsia="黑体"/>
          <w:b w:val="0"/>
          <w:bCs w:val="0"/>
        </w:rPr>
      </w:pPr>
      <w:bookmarkStart w:id="18" w:name="_Toc20290"/>
      <w:bookmarkStart w:id="19" w:name="_Toc15377197"/>
      <w:bookmarkStart w:id="20" w:name="_Toc15396600"/>
      <w:r>
        <w:rPr>
          <w:rStyle w:val="30"/>
          <w:rFonts w:hint="eastAsia" w:ascii="黑体" w:hAnsi="黑体" w:eastAsia="黑体"/>
          <w:b w:val="0"/>
          <w:bCs w:val="0"/>
        </w:rPr>
        <w:t>一、职能简介</w:t>
      </w:r>
      <w:bookmarkEnd w:id="18"/>
    </w:p>
    <w:p>
      <w:pPr>
        <w:spacing w:line="600" w:lineRule="exact"/>
        <w:ind w:firstLine="640" w:firstLineChars="200"/>
        <w:rPr>
          <w:rFonts w:ascii="仿宋" w:hAnsi="仿宋" w:eastAsia="仿宋"/>
          <w:sz w:val="32"/>
          <w:szCs w:val="32"/>
        </w:rPr>
      </w:pPr>
      <w:bookmarkStart w:id="21" w:name="_Toc17376"/>
      <w:bookmarkStart w:id="22" w:name="_Toc14311"/>
      <w:bookmarkStart w:id="23" w:name="_Toc5021"/>
      <w:r>
        <w:rPr>
          <w:rFonts w:hint="eastAsia" w:ascii="仿宋" w:hAnsi="仿宋" w:eastAsia="仿宋"/>
          <w:sz w:val="32"/>
          <w:szCs w:val="32"/>
        </w:rPr>
        <w:t>负责辖区内常见病、多发病的诊治，院前急救，巡回医疗，辖区内的疾病控制、妇幼保健、健康教育、计划免疫、中医药健康管理、健康素养促进，承担乡村卫生人员业务培训与技术指导，负责初级卫生保健的规划与实施，城镇职工和城乡居民基本医疗保险的组织与管理，卫生监督协管与卫生信息管理等工作。</w:t>
      </w:r>
      <w:bookmarkEnd w:id="21"/>
      <w:bookmarkEnd w:id="22"/>
    </w:p>
    <w:p>
      <w:pPr>
        <w:pStyle w:val="14"/>
        <w:spacing w:before="0" w:after="0" w:line="560" w:lineRule="exact"/>
        <w:ind w:firstLine="640" w:firstLineChars="200"/>
        <w:rPr>
          <w:rFonts w:ascii="黑体" w:hAnsi="黑体" w:eastAsia="黑体"/>
          <w:b w:val="0"/>
        </w:rPr>
      </w:pPr>
      <w:r>
        <w:rPr>
          <w:rFonts w:hint="eastAsia" w:ascii="黑体" w:hAnsi="黑体" w:eastAsia="黑体"/>
          <w:b w:val="0"/>
        </w:rPr>
        <w:t>二、2021年重点工作</w:t>
      </w:r>
      <w:bookmarkEnd w:id="19"/>
      <w:bookmarkEnd w:id="20"/>
      <w:r>
        <w:rPr>
          <w:rFonts w:hint="eastAsia" w:ascii="黑体" w:hAnsi="黑体" w:eastAsia="黑体"/>
          <w:b w:val="0"/>
        </w:rPr>
        <w:t>完成情况</w:t>
      </w:r>
      <w:bookmarkEnd w:id="23"/>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u w:val="none" w:color="46CD7E"/>
          <w:shd w:val="clear" w:fill="auto"/>
          <w:lang w:eastAsia="zh-CN"/>
        </w:rPr>
        <w:t>.</w:t>
      </w:r>
      <w:r>
        <w:rPr>
          <w:rFonts w:hint="eastAsia" w:ascii="仿宋" w:hAnsi="仿宋" w:eastAsia="仿宋"/>
          <w:sz w:val="32"/>
          <w:szCs w:val="32"/>
        </w:rPr>
        <w:t>不断改进工作作风，加强人才培训，全面提升卫生院服务能力。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u w:val="none" w:color="46CD7E"/>
          <w:shd w:val="clear" w:fill="auto"/>
          <w:lang w:eastAsia="zh-CN"/>
        </w:rPr>
        <w:t>.</w:t>
      </w:r>
      <w:r>
        <w:rPr>
          <w:rFonts w:hint="eastAsia" w:ascii="仿宋" w:hAnsi="仿宋" w:eastAsia="仿宋"/>
          <w:sz w:val="32"/>
          <w:szCs w:val="32"/>
        </w:rPr>
        <w:t>通过继续医学教育，加大对功能科室的人才培养，派送人员到上级医疗机构学习。</w:t>
      </w:r>
    </w:p>
    <w:p>
      <w:pPr>
        <w:spacing w:line="600" w:lineRule="exact"/>
        <w:ind w:firstLine="640" w:firstLineChars="200"/>
        <w:rPr>
          <w:rFonts w:ascii="仿宋" w:hAnsi="仿宋" w:eastAsia="仿宋"/>
          <w:sz w:val="32"/>
          <w:szCs w:val="32"/>
        </w:rPr>
      </w:pPr>
    </w:p>
    <w:p>
      <w:pPr>
        <w:pStyle w:val="13"/>
        <w:ind w:right="440"/>
        <w:jc w:val="center"/>
        <w:rPr>
          <w:rStyle w:val="29"/>
          <w:rFonts w:ascii="黑体" w:hAnsi="黑体" w:eastAsia="黑体"/>
          <w:b w:val="0"/>
          <w:bCs/>
        </w:rPr>
      </w:pPr>
      <w:bookmarkStart w:id="24" w:name="_Toc15377204"/>
      <w:bookmarkStart w:id="25" w:name="_Toc15396602"/>
      <w:bookmarkStart w:id="26" w:name="_Toc2501"/>
      <w:r>
        <w:rPr>
          <w:rFonts w:hint="eastAsia" w:ascii="黑体" w:hAnsi="黑体" w:eastAsia="黑体"/>
          <w:b w:val="0"/>
        </w:rPr>
        <w:t>第二部分2021年度</w:t>
      </w:r>
      <w:r>
        <w:rPr>
          <w:rStyle w:val="29"/>
          <w:rFonts w:hint="eastAsia" w:ascii="黑体" w:hAnsi="黑体" w:eastAsia="黑体"/>
          <w:b w:val="0"/>
          <w:bCs/>
        </w:rPr>
        <w:t>单位决算情况说明</w:t>
      </w:r>
      <w:bookmarkEnd w:id="24"/>
      <w:bookmarkEnd w:id="25"/>
      <w:bookmarkEnd w:id="26"/>
    </w:p>
    <w:p/>
    <w:p>
      <w:pPr>
        <w:pStyle w:val="28"/>
        <w:numPr>
          <w:ilvl w:val="0"/>
          <w:numId w:val="1"/>
        </w:numPr>
        <w:spacing w:line="600" w:lineRule="exact"/>
        <w:ind w:firstLineChars="0"/>
        <w:outlineLvl w:val="1"/>
        <w:rPr>
          <w:rStyle w:val="30"/>
          <w:rFonts w:ascii="黑体" w:hAnsi="黑体" w:eastAsia="黑体"/>
          <w:b w:val="0"/>
        </w:rPr>
      </w:pPr>
      <w:bookmarkStart w:id="27" w:name="_Toc15377205"/>
      <w:bookmarkStart w:id="28" w:name="_Toc15396603"/>
      <w:bookmarkStart w:id="29" w:name="_Toc8408"/>
      <w:r>
        <w:rPr>
          <w:rFonts w:hint="eastAsia" w:ascii="黑体" w:hAnsi="黑体" w:eastAsia="黑体"/>
          <w:sz w:val="32"/>
          <w:szCs w:val="32"/>
        </w:rPr>
        <w:t>收</w:t>
      </w:r>
      <w:r>
        <w:rPr>
          <w:rStyle w:val="30"/>
          <w:rFonts w:hint="eastAsia" w:ascii="黑体" w:hAnsi="黑体" w:eastAsia="黑体"/>
          <w:b w:val="0"/>
        </w:rPr>
        <w:t>入支出决算总体情况说明</w:t>
      </w:r>
      <w:bookmarkEnd w:id="27"/>
      <w:bookmarkEnd w:id="28"/>
      <w:bookmarkEnd w:id="2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2021年度收、支总计457.30万元。与2020年相比，收、支总计各增加38.74万元，增长9.2</w:t>
      </w:r>
      <w:r>
        <w:rPr>
          <w:rFonts w:ascii="仿宋" w:hAnsi="仿宋" w:eastAsia="仿宋"/>
          <w:sz w:val="32"/>
          <w:szCs w:val="32"/>
        </w:rPr>
        <w:t>%</w:t>
      </w:r>
      <w:r>
        <w:rPr>
          <w:rFonts w:hint="eastAsia" w:ascii="仿宋" w:hAnsi="仿宋" w:eastAsia="仿宋"/>
          <w:sz w:val="32"/>
          <w:szCs w:val="32"/>
        </w:rPr>
        <w:t>。主要变动原因是事业收入增加。</w:t>
      </w: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3"/>
        <w:spacing w:before="93"/>
        <w:jc w:val="center"/>
        <w:rPr>
          <w:rFonts w:eastAsia="仿宋"/>
        </w:rPr>
      </w:pPr>
      <w:r>
        <w:rPr>
          <w:rFonts w:hint="eastAsia" w:eastAsia="仿宋"/>
        </w:rPr>
        <w:drawing>
          <wp:inline distT="0" distB="0" distL="114300" distR="114300">
            <wp:extent cx="4594860" cy="2305685"/>
            <wp:effectExtent l="4445" t="4445" r="10795" b="13970"/>
            <wp:docPr id="550" name="_x0000_i23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8"/>
        <w:numPr>
          <w:ilvl w:val="0"/>
          <w:numId w:val="1"/>
        </w:numPr>
        <w:spacing w:line="600" w:lineRule="exact"/>
        <w:ind w:firstLineChars="0"/>
        <w:outlineLvl w:val="1"/>
        <w:rPr>
          <w:rStyle w:val="30"/>
          <w:rFonts w:ascii="黑体" w:hAnsi="黑体" w:eastAsia="黑体"/>
          <w:b w:val="0"/>
        </w:rPr>
      </w:pPr>
      <w:bookmarkStart w:id="30" w:name="_Toc15377206"/>
      <w:bookmarkStart w:id="31" w:name="_Toc25965"/>
      <w:bookmarkStart w:id="32" w:name="_Toc15396604"/>
      <w:r>
        <w:rPr>
          <w:rFonts w:hint="eastAsia" w:ascii="黑体" w:hAnsi="黑体" w:eastAsia="黑体"/>
          <w:sz w:val="32"/>
          <w:szCs w:val="32"/>
        </w:rPr>
        <w:t>收</w:t>
      </w:r>
      <w:r>
        <w:rPr>
          <w:rStyle w:val="30"/>
          <w:rFonts w:hint="eastAsia" w:ascii="黑体" w:hAnsi="黑体" w:eastAsia="黑体"/>
          <w:b w:val="0"/>
        </w:rPr>
        <w:t>入决算情况说明</w:t>
      </w:r>
      <w:bookmarkEnd w:id="30"/>
      <w:bookmarkEnd w:id="31"/>
      <w:bookmarkEnd w:id="32"/>
    </w:p>
    <w:p>
      <w:pPr>
        <w:spacing w:line="600" w:lineRule="exact"/>
        <w:ind w:firstLine="640" w:firstLineChars="200"/>
        <w:outlineLvl w:val="1"/>
        <w:rPr>
          <w:rFonts w:ascii="仿宋" w:hAnsi="仿宋" w:eastAsia="仿宋"/>
          <w:sz w:val="32"/>
          <w:szCs w:val="32"/>
        </w:rPr>
      </w:pPr>
      <w:bookmarkStart w:id="33" w:name="_Toc22256"/>
      <w:r>
        <w:rPr>
          <w:rFonts w:ascii="仿宋" w:hAnsi="仿宋" w:eastAsia="仿宋"/>
          <w:sz w:val="32"/>
          <w:szCs w:val="32"/>
        </w:rPr>
        <w:t>20</w:t>
      </w:r>
      <w:r>
        <w:rPr>
          <w:rFonts w:hint="eastAsia" w:ascii="仿宋" w:hAnsi="仿宋" w:eastAsia="仿宋"/>
          <w:sz w:val="32"/>
          <w:szCs w:val="32"/>
        </w:rPr>
        <w:t>21年本年收入合计457.30万元，其中：一般公共预算财政拨款收入146.76万元，占32</w:t>
      </w:r>
      <w:r>
        <w:rPr>
          <w:rFonts w:ascii="仿宋" w:hAnsi="仿宋" w:eastAsia="仿宋"/>
          <w:sz w:val="32"/>
          <w:szCs w:val="32"/>
        </w:rPr>
        <w:t>%</w:t>
      </w:r>
      <w:r>
        <w:rPr>
          <w:rFonts w:hint="eastAsia" w:ascii="仿宋" w:hAnsi="仿宋" w:eastAsia="仿宋"/>
          <w:sz w:val="32"/>
          <w:szCs w:val="32"/>
        </w:rPr>
        <w:t>；事业收入261.30万元，占57.1</w:t>
      </w:r>
      <w:r>
        <w:rPr>
          <w:rFonts w:ascii="仿宋" w:hAnsi="仿宋" w:eastAsia="仿宋"/>
          <w:sz w:val="32"/>
          <w:szCs w:val="32"/>
        </w:rPr>
        <w:t>%</w:t>
      </w:r>
      <w:r>
        <w:rPr>
          <w:rFonts w:hint="eastAsia" w:ascii="仿宋" w:hAnsi="仿宋" w:eastAsia="仿宋"/>
          <w:sz w:val="32"/>
          <w:szCs w:val="32"/>
        </w:rPr>
        <w:t>；其他收入49.25万元，占10.9</w:t>
      </w:r>
      <w:r>
        <w:rPr>
          <w:rFonts w:ascii="仿宋" w:hAnsi="仿宋" w:eastAsia="仿宋"/>
          <w:sz w:val="32"/>
          <w:szCs w:val="32"/>
        </w:rPr>
        <w:t>%</w:t>
      </w:r>
      <w:r>
        <w:rPr>
          <w:rFonts w:hint="eastAsia" w:ascii="仿宋" w:hAnsi="仿宋" w:eastAsia="仿宋"/>
          <w:sz w:val="32"/>
          <w:szCs w:val="32"/>
        </w:rPr>
        <w:t>。</w:t>
      </w:r>
      <w:bookmarkEnd w:id="33"/>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pPr>
        <w:pStyle w:val="3"/>
        <w:spacing w:before="93"/>
        <w:jc w:val="center"/>
      </w:pPr>
      <w:r>
        <w:rPr>
          <w:rFonts w:hint="eastAsia"/>
        </w:rPr>
        <w:drawing>
          <wp:inline distT="0" distB="0" distL="114300" distR="114300">
            <wp:extent cx="4804410" cy="2611120"/>
            <wp:effectExtent l="4445" t="4445" r="10795" b="13335"/>
            <wp:docPr id="551" name="_x0000_i230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8"/>
        <w:numPr>
          <w:ilvl w:val="0"/>
          <w:numId w:val="1"/>
        </w:numPr>
        <w:spacing w:line="600" w:lineRule="exact"/>
        <w:ind w:firstLineChars="0"/>
        <w:outlineLvl w:val="1"/>
        <w:rPr>
          <w:rStyle w:val="30"/>
          <w:rFonts w:ascii="黑体" w:hAnsi="黑体" w:eastAsia="黑体"/>
          <w:b w:val="0"/>
        </w:rPr>
      </w:pPr>
      <w:bookmarkStart w:id="34" w:name="_Toc15396605"/>
      <w:bookmarkStart w:id="35" w:name="_Toc15377207"/>
      <w:bookmarkStart w:id="36" w:name="_Toc28307"/>
      <w:r>
        <w:rPr>
          <w:rFonts w:hint="eastAsia" w:ascii="黑体" w:hAnsi="黑体" w:eastAsia="黑体"/>
          <w:sz w:val="32"/>
          <w:szCs w:val="32"/>
        </w:rPr>
        <w:t>支</w:t>
      </w:r>
      <w:r>
        <w:rPr>
          <w:rStyle w:val="30"/>
          <w:rFonts w:hint="eastAsia" w:ascii="黑体" w:hAnsi="黑体" w:eastAsia="黑体"/>
          <w:b w:val="0"/>
        </w:rPr>
        <w:t>出决算情况说明</w:t>
      </w:r>
      <w:bookmarkEnd w:id="34"/>
      <w:bookmarkEnd w:id="35"/>
      <w:bookmarkEnd w:id="36"/>
    </w:p>
    <w:p>
      <w:pPr>
        <w:spacing w:line="600" w:lineRule="exact"/>
        <w:ind w:firstLine="640" w:firstLineChars="200"/>
        <w:outlineLvl w:val="1"/>
        <w:rPr>
          <w:rFonts w:ascii="仿宋" w:hAnsi="仿宋" w:eastAsia="仿宋"/>
          <w:sz w:val="32"/>
          <w:szCs w:val="32"/>
        </w:rPr>
      </w:pPr>
      <w:bookmarkStart w:id="37" w:name="_Toc9561"/>
      <w:r>
        <w:rPr>
          <w:rFonts w:ascii="仿宋" w:hAnsi="仿宋" w:eastAsia="仿宋"/>
          <w:sz w:val="32"/>
          <w:szCs w:val="32"/>
        </w:rPr>
        <w:t>20</w:t>
      </w:r>
      <w:r>
        <w:rPr>
          <w:rFonts w:hint="eastAsia" w:ascii="仿宋" w:hAnsi="仿宋" w:eastAsia="仿宋"/>
          <w:sz w:val="32"/>
          <w:szCs w:val="32"/>
        </w:rPr>
        <w:t>21年本年支出合计457.3万元，其中：基本支出356.22万元，占77.9</w:t>
      </w:r>
      <w:r>
        <w:rPr>
          <w:rFonts w:ascii="仿宋" w:hAnsi="仿宋" w:eastAsia="仿宋"/>
          <w:sz w:val="32"/>
          <w:szCs w:val="32"/>
        </w:rPr>
        <w:t>%</w:t>
      </w:r>
      <w:r>
        <w:rPr>
          <w:rFonts w:hint="eastAsia" w:ascii="仿宋" w:hAnsi="仿宋" w:eastAsia="仿宋"/>
          <w:sz w:val="32"/>
          <w:szCs w:val="32"/>
        </w:rPr>
        <w:t>；项目支出101.08万元，占22.1</w:t>
      </w:r>
      <w:r>
        <w:rPr>
          <w:rFonts w:ascii="仿宋" w:hAnsi="仿宋" w:eastAsia="仿宋"/>
          <w:sz w:val="32"/>
          <w:szCs w:val="32"/>
        </w:rPr>
        <w:t>%</w:t>
      </w:r>
      <w:r>
        <w:rPr>
          <w:rFonts w:hint="eastAsia" w:ascii="仿宋" w:hAnsi="仿宋" w:eastAsia="仿宋"/>
          <w:sz w:val="32"/>
          <w:szCs w:val="32"/>
        </w:rPr>
        <w:t>。</w:t>
      </w:r>
      <w:bookmarkEnd w:id="37"/>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w:t>
      </w:r>
    </w:p>
    <w:p>
      <w:pPr>
        <w:pStyle w:val="3"/>
        <w:spacing w:before="93"/>
        <w:jc w:val="center"/>
      </w:pPr>
      <w:r>
        <w:rPr>
          <w:rFonts w:hint="eastAsia"/>
        </w:rPr>
        <w:drawing>
          <wp:inline distT="0" distB="0" distL="114300" distR="114300">
            <wp:extent cx="4823460" cy="2515235"/>
            <wp:effectExtent l="4445" t="4445" r="10795" b="13970"/>
            <wp:docPr id="552" name="_x0000_i23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0"/>
          <w:rFonts w:ascii="黑体" w:hAnsi="黑体" w:eastAsia="黑体"/>
          <w:b w:val="0"/>
        </w:rPr>
      </w:pPr>
      <w:bookmarkStart w:id="38" w:name="_Toc359"/>
      <w:bookmarkStart w:id="39" w:name="_Toc15396606"/>
      <w:bookmarkStart w:id="40" w:name="_Toc15377208"/>
      <w:r>
        <w:rPr>
          <w:rFonts w:hint="eastAsia" w:ascii="黑体" w:hAnsi="黑体" w:eastAsia="黑体"/>
          <w:color w:val="000000" w:themeColor="text1"/>
          <w:sz w:val="32"/>
          <w:szCs w:val="32"/>
        </w:rPr>
        <w:t>四</w:t>
      </w:r>
      <w:r>
        <w:rPr>
          <w:rFonts w:hint="eastAsia" w:ascii="黑体" w:hAnsi="黑体" w:eastAsia="黑体"/>
          <w:sz w:val="32"/>
          <w:szCs w:val="32"/>
        </w:rPr>
        <w:t>、财</w:t>
      </w:r>
      <w:r>
        <w:rPr>
          <w:rStyle w:val="30"/>
          <w:rFonts w:hint="eastAsia" w:ascii="黑体" w:hAnsi="黑体" w:eastAsia="黑体"/>
          <w:b w:val="0"/>
        </w:rPr>
        <w:t>政拨</w:t>
      </w:r>
      <w:r>
        <w:rPr>
          <w:rFonts w:hint="eastAsia" w:ascii="黑体" w:hAnsi="黑体" w:eastAsia="黑体"/>
        </w:rPr>
        <w:t>款收入支出决算总体情况说明</w:t>
      </w:r>
      <w:bookmarkEnd w:id="38"/>
      <w:bookmarkEnd w:id="39"/>
      <w:bookmarkEnd w:id="4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21年财政拨款收、支总计146.76万元。与</w:t>
      </w:r>
      <w:r>
        <w:rPr>
          <w:rFonts w:ascii="仿宋" w:hAnsi="仿宋" w:eastAsia="仿宋"/>
          <w:sz w:val="32"/>
          <w:szCs w:val="32"/>
        </w:rPr>
        <w:t>20</w:t>
      </w:r>
      <w:r>
        <w:rPr>
          <w:rFonts w:hint="eastAsia" w:ascii="仿宋" w:hAnsi="仿宋" w:eastAsia="仿宋"/>
          <w:sz w:val="32"/>
          <w:szCs w:val="32"/>
        </w:rPr>
        <w:t>20年相比，财政拨款收、支总计各减少7.1万元，下降4.6</w:t>
      </w:r>
      <w:r>
        <w:rPr>
          <w:rFonts w:ascii="仿宋" w:hAnsi="仿宋" w:eastAsia="仿宋"/>
          <w:sz w:val="32"/>
          <w:szCs w:val="32"/>
        </w:rPr>
        <w:t>%</w:t>
      </w:r>
      <w:r>
        <w:rPr>
          <w:rFonts w:hint="eastAsia" w:ascii="仿宋" w:hAnsi="仿宋" w:eastAsia="仿宋"/>
          <w:sz w:val="32"/>
          <w:szCs w:val="32"/>
        </w:rPr>
        <w:t>。主要变动原因是</w:t>
      </w:r>
      <w:bookmarkStart w:id="41" w:name="OLE_LINK3"/>
      <w:r>
        <w:rPr>
          <w:rFonts w:hint="eastAsia" w:ascii="仿宋" w:hAnsi="仿宋" w:eastAsia="仿宋"/>
          <w:sz w:val="32"/>
          <w:szCs w:val="32"/>
        </w:rPr>
        <w:t>人员经费减少</w:t>
      </w:r>
      <w:bookmarkEnd w:id="41"/>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pStyle w:val="3"/>
        <w:spacing w:before="93"/>
        <w:rPr>
          <w:rFonts w:eastAsia="仿宋"/>
        </w:rPr>
      </w:pPr>
      <w:r>
        <w:rPr>
          <w:rFonts w:hint="eastAsia" w:eastAsia="仿宋"/>
        </w:rPr>
        <w:drawing>
          <wp:inline distT="0" distB="0" distL="114300" distR="114300">
            <wp:extent cx="5031740" cy="2505075"/>
            <wp:effectExtent l="4445" t="4445" r="12065" b="5080"/>
            <wp:docPr id="553" name="_x0000_i23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ascii="黑体" w:hAnsi="黑体" w:eastAsia="黑体"/>
          <w:b w:val="0"/>
        </w:rPr>
      </w:pPr>
      <w:bookmarkStart w:id="42" w:name="_Toc15377209"/>
      <w:bookmarkStart w:id="43" w:name="_Toc15396607"/>
      <w:bookmarkStart w:id="44" w:name="_Toc16330"/>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w:t>
      </w:r>
      <w:r>
        <w:rPr>
          <w:rFonts w:hint="eastAsia" w:ascii="黑体" w:hAnsi="黑体" w:eastAsia="黑体"/>
          <w:sz w:val="32"/>
          <w:szCs w:val="32"/>
        </w:rPr>
        <w:t>财政拨款支出决算情况说明</w:t>
      </w:r>
      <w:bookmarkEnd w:id="42"/>
      <w:bookmarkEnd w:id="43"/>
      <w:bookmarkEnd w:id="44"/>
    </w:p>
    <w:p>
      <w:pPr>
        <w:spacing w:line="600" w:lineRule="exact"/>
        <w:ind w:firstLine="643" w:firstLineChars="200"/>
        <w:outlineLvl w:val="2"/>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21年一般公共预算财政拨款支出146.76万元，占本年支出合计的32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20年相比，一般公共预算财政拨款支出减少7.1万元，下降4.6</w:t>
      </w:r>
      <w:r>
        <w:rPr>
          <w:rFonts w:ascii="仿宋" w:hAnsi="仿宋" w:eastAsia="仿宋"/>
          <w:sz w:val="32"/>
          <w:szCs w:val="32"/>
        </w:rPr>
        <w:t>%</w:t>
      </w:r>
      <w:r>
        <w:rPr>
          <w:rFonts w:hint="eastAsia" w:ascii="仿宋" w:hAnsi="仿宋" w:eastAsia="仿宋"/>
          <w:sz w:val="32"/>
          <w:szCs w:val="32"/>
        </w:rPr>
        <w:t>。主要变动原因是人员经费减少。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w:t>
      </w:r>
      <w:bookmarkStart w:id="46" w:name="OLE_LINK4"/>
      <w:r>
        <w:rPr>
          <w:rFonts w:hint="eastAsia" w:ascii="仿宋" w:hAnsi="仿宋" w:eastAsia="仿宋"/>
          <w:sz w:val="32"/>
          <w:szCs w:val="32"/>
        </w:rPr>
        <w:t>一般公共预算财政拨款支出</w:t>
      </w:r>
      <w:bookmarkEnd w:id="46"/>
      <w:r>
        <w:rPr>
          <w:rFonts w:hint="eastAsia" w:ascii="仿宋" w:hAnsi="仿宋" w:eastAsia="仿宋"/>
          <w:sz w:val="32"/>
          <w:szCs w:val="32"/>
        </w:rPr>
        <w:t>决算变动情况）</w:t>
      </w:r>
    </w:p>
    <w:p>
      <w:pPr>
        <w:pStyle w:val="3"/>
        <w:spacing w:before="93"/>
      </w:pPr>
      <w:r>
        <w:rPr>
          <w:rFonts w:hint="eastAsia"/>
        </w:rPr>
        <w:drawing>
          <wp:inline distT="0" distB="0" distL="114300" distR="114300">
            <wp:extent cx="4975225" cy="2400935"/>
            <wp:effectExtent l="4445" t="4445" r="11430" b="13970"/>
            <wp:docPr id="554" name="_x0000_i23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47" w:name="_Toc15377211"/>
      <w:r>
        <w:rPr>
          <w:rFonts w:hint="eastAsia" w:ascii="仿宋" w:hAnsi="仿宋" w:eastAsia="仿宋"/>
          <w:b/>
          <w:sz w:val="32"/>
          <w:szCs w:val="32"/>
        </w:rPr>
        <w:t>（二）一般公共预算财政拨款支出决算结构情况</w:t>
      </w:r>
      <w:bookmarkEnd w:id="47"/>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w:t>
      </w:r>
      <w:bookmarkStart w:id="48" w:name="OLE_LINK5"/>
      <w:r>
        <w:rPr>
          <w:rFonts w:hint="eastAsia" w:ascii="仿宋" w:hAnsi="仿宋" w:eastAsia="仿宋"/>
          <w:sz w:val="32"/>
          <w:szCs w:val="32"/>
        </w:rPr>
        <w:t>一般公共预算财政拨款支出</w:t>
      </w:r>
      <w:bookmarkEnd w:id="48"/>
      <w:r>
        <w:rPr>
          <w:rFonts w:hint="eastAsia" w:ascii="仿宋" w:hAnsi="仿宋" w:eastAsia="仿宋"/>
          <w:sz w:val="32"/>
          <w:szCs w:val="32"/>
        </w:rPr>
        <w:t>146.76万元，主要用于以下方面</w:t>
      </w:r>
      <w:r>
        <w:t>：</w:t>
      </w:r>
      <w:r>
        <w:rPr>
          <w:rFonts w:hint="eastAsia" w:ascii="仿宋" w:hAnsi="仿宋" w:eastAsia="仿宋"/>
          <w:b/>
          <w:bCs/>
          <w:sz w:val="32"/>
          <w:szCs w:val="32"/>
        </w:rPr>
        <w:t>卫生健康支出</w:t>
      </w:r>
      <w:r>
        <w:rPr>
          <w:rFonts w:hint="eastAsia" w:ascii="仿宋" w:hAnsi="仿宋" w:eastAsia="仿宋"/>
          <w:sz w:val="32"/>
          <w:szCs w:val="32"/>
        </w:rPr>
        <w:t>145.51万元，占99.1</w:t>
      </w:r>
      <w:r>
        <w:rPr>
          <w:rFonts w:ascii="仿宋" w:hAnsi="仿宋" w:eastAsia="仿宋"/>
          <w:sz w:val="32"/>
          <w:szCs w:val="32"/>
        </w:rPr>
        <w:t>%</w:t>
      </w:r>
      <w:r>
        <w:rPr>
          <w:rFonts w:hint="eastAsia" w:ascii="仿宋" w:hAnsi="仿宋" w:eastAsia="仿宋"/>
          <w:sz w:val="32"/>
          <w:szCs w:val="32"/>
        </w:rPr>
        <w:t>；农林水支出1.25万元，占0.9%。</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3"/>
        <w:spacing w:before="93"/>
        <w:rPr>
          <w:rFonts w:eastAsia="仿宋"/>
        </w:rPr>
      </w:pPr>
      <w:r>
        <w:rPr>
          <w:rFonts w:hint="eastAsia" w:eastAsia="仿宋"/>
        </w:rPr>
        <w:drawing>
          <wp:inline distT="0" distB="0" distL="114300" distR="114300">
            <wp:extent cx="5098415" cy="2619375"/>
            <wp:effectExtent l="4445" t="4445" r="21590" b="5080"/>
            <wp:docPr id="555" name="_x0000_i23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49" w:name="_Toc15377212"/>
      <w:r>
        <w:rPr>
          <w:rFonts w:hint="eastAsia" w:ascii="仿宋" w:hAnsi="仿宋" w:eastAsia="仿宋"/>
          <w:b/>
          <w:sz w:val="32"/>
          <w:szCs w:val="32"/>
        </w:rPr>
        <w:t>（三）一般公共预算财政拨款支出决算具体情况</w:t>
      </w:r>
      <w:bookmarkEnd w:id="49"/>
    </w:p>
    <w:p>
      <w:pPr>
        <w:spacing w:line="600" w:lineRule="exact"/>
        <w:ind w:firstLine="643" w:firstLineChars="200"/>
        <w:outlineLvl w:val="1"/>
        <w:rPr>
          <w:rFonts w:ascii="仿宋" w:hAnsi="仿宋" w:eastAsia="仿宋"/>
          <w:sz w:val="32"/>
          <w:szCs w:val="32"/>
        </w:rPr>
      </w:pPr>
      <w:bookmarkStart w:id="50" w:name="_Toc15377444"/>
      <w:bookmarkStart w:id="51" w:name="_Toc15378460"/>
      <w:bookmarkStart w:id="52" w:name="_Toc20972"/>
      <w:bookmarkStart w:id="53" w:name="_Toc15377213"/>
      <w:r>
        <w:rPr>
          <w:rFonts w:hint="eastAsia" w:ascii="仿宋" w:hAnsi="仿宋" w:eastAsia="仿宋"/>
          <w:b/>
          <w:sz w:val="32"/>
          <w:szCs w:val="32"/>
        </w:rPr>
        <w:t>2021年一般公共预算支出决算数为146.76</w:t>
      </w:r>
      <w:r>
        <w:rPr>
          <w:rFonts w:hint="eastAsia" w:ascii="仿宋" w:hAnsi="仿宋" w:eastAsia="仿宋"/>
          <w:sz w:val="32"/>
          <w:szCs w:val="32"/>
        </w:rPr>
        <w:t>，</w:t>
      </w:r>
      <w:r>
        <w:rPr>
          <w:rStyle w:val="10"/>
          <w:rFonts w:hint="eastAsia" w:ascii="仿宋" w:hAnsi="仿宋" w:eastAsia="仿宋"/>
          <w:bCs/>
          <w:sz w:val="32"/>
          <w:szCs w:val="32"/>
        </w:rPr>
        <w:t>完成预算的100</w:t>
      </w:r>
      <w:r>
        <w:rPr>
          <w:rStyle w:val="10"/>
          <w:rFonts w:ascii="仿宋" w:hAnsi="仿宋" w:eastAsia="仿宋"/>
          <w:bCs/>
          <w:sz w:val="32"/>
          <w:szCs w:val="32"/>
        </w:rPr>
        <w:t>%</w:t>
      </w:r>
      <w:r>
        <w:rPr>
          <w:rStyle w:val="10"/>
          <w:rFonts w:hint="eastAsia" w:ascii="仿宋" w:hAnsi="仿宋" w:eastAsia="仿宋"/>
          <w:bCs/>
          <w:sz w:val="32"/>
          <w:szCs w:val="32"/>
        </w:rPr>
        <w:t>。</w:t>
      </w:r>
      <w:r>
        <w:rPr>
          <w:rFonts w:hint="eastAsia" w:ascii="仿宋" w:hAnsi="仿宋" w:eastAsia="仿宋"/>
          <w:bCs/>
          <w:sz w:val="32"/>
          <w:szCs w:val="32"/>
        </w:rPr>
        <w:t>其中：</w:t>
      </w:r>
      <w:bookmarkEnd w:id="50"/>
      <w:bookmarkEnd w:id="51"/>
      <w:bookmarkEnd w:id="52"/>
      <w:bookmarkEnd w:id="53"/>
    </w:p>
    <w:p>
      <w:pPr>
        <w:spacing w:line="600" w:lineRule="exact"/>
        <w:ind w:firstLine="643" w:firstLineChars="200"/>
        <w:rPr>
          <w:rStyle w:val="10"/>
          <w:rFonts w:ascii="仿宋" w:hAnsi="仿宋" w:eastAsia="仿宋"/>
          <w:b w:val="0"/>
          <w:bCs/>
          <w:sz w:val="32"/>
          <w:szCs w:val="32"/>
        </w:rPr>
      </w:pPr>
      <w:bookmarkStart w:id="54" w:name="OLE_LINK6"/>
      <w:r>
        <w:rPr>
          <w:rStyle w:val="10"/>
          <w:rFonts w:hint="eastAsia" w:ascii="仿宋" w:hAnsi="仿宋" w:eastAsia="仿宋"/>
          <w:bCs/>
          <w:sz w:val="32"/>
          <w:szCs w:val="32"/>
        </w:rPr>
        <w:t>1</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w:t>
      </w:r>
      <w:bookmarkStart w:id="55" w:name="OLE_LINK7"/>
      <w:r>
        <w:rPr>
          <w:rStyle w:val="10"/>
          <w:rFonts w:hint="eastAsia" w:ascii="仿宋" w:hAnsi="仿宋" w:eastAsia="仿宋"/>
          <w:bCs/>
          <w:sz w:val="32"/>
          <w:szCs w:val="32"/>
        </w:rPr>
        <w:t>基层医疗卫生机构</w:t>
      </w:r>
      <w:bookmarkEnd w:id="55"/>
      <w:r>
        <w:rPr>
          <w:rStyle w:val="10"/>
          <w:rFonts w:hint="eastAsia" w:ascii="仿宋" w:hAnsi="仿宋" w:eastAsia="仿宋"/>
          <w:bCs/>
          <w:sz w:val="32"/>
          <w:szCs w:val="32"/>
        </w:rPr>
        <w:t>（款）乡镇卫生院（项）</w:t>
      </w:r>
      <w:r>
        <w:rPr>
          <w:rStyle w:val="10"/>
          <w:rFonts w:ascii="仿宋" w:hAnsi="仿宋" w:eastAsia="仿宋"/>
          <w:bCs/>
          <w:sz w:val="32"/>
          <w:szCs w:val="32"/>
        </w:rPr>
        <w:t>:</w:t>
      </w:r>
      <w:r>
        <w:rPr>
          <w:rStyle w:val="10"/>
          <w:rFonts w:hint="eastAsia" w:ascii="仿宋" w:hAnsi="仿宋" w:eastAsia="仿宋"/>
          <w:b w:val="0"/>
          <w:bCs/>
          <w:sz w:val="32"/>
          <w:szCs w:val="32"/>
        </w:rPr>
        <w:t>支出决算为45.67万</w:t>
      </w:r>
      <w:r>
        <w:rPr>
          <w:rFonts w:hint="eastAsia" w:ascii="仿宋" w:hAnsi="仿宋" w:eastAsia="仿宋"/>
          <w:bCs/>
          <w:sz w:val="32"/>
          <w:szCs w:val="32"/>
        </w:rPr>
        <w:t>元，完成</w:t>
      </w:r>
      <w:r>
        <w:rPr>
          <w:rStyle w:val="10"/>
          <w:rFonts w:hint="eastAsia" w:ascii="仿宋" w:hAnsi="仿宋" w:eastAsia="仿宋"/>
          <w:b w:val="0"/>
          <w:bCs/>
          <w:sz w:val="32"/>
          <w:szCs w:val="32"/>
        </w:rPr>
        <w:t>预算100</w:t>
      </w:r>
      <w:r>
        <w:rPr>
          <w:rStyle w:val="10"/>
          <w:rFonts w:ascii="仿宋" w:hAnsi="仿宋" w:eastAsia="仿宋"/>
          <w:b w:val="0"/>
          <w:bCs/>
          <w:sz w:val="32"/>
          <w:szCs w:val="32"/>
        </w:rPr>
        <w:t>%</w:t>
      </w:r>
      <w:r>
        <w:rPr>
          <w:rStyle w:val="10"/>
          <w:rFonts w:hint="eastAsia" w:ascii="仿宋" w:hAnsi="仿宋" w:eastAsia="仿宋"/>
          <w:b w:val="0"/>
          <w:bCs/>
          <w:sz w:val="32"/>
          <w:szCs w:val="32"/>
        </w:rPr>
        <w:t>，决算数等于预算</w:t>
      </w:r>
      <w:r>
        <w:rPr>
          <w:rFonts w:hint="eastAsia" w:ascii="仿宋" w:hAnsi="仿宋" w:eastAsia="仿宋"/>
          <w:bCs/>
          <w:sz w:val="32"/>
          <w:szCs w:val="32"/>
        </w:rPr>
        <w:t>数。</w:t>
      </w:r>
    </w:p>
    <w:p>
      <w:pPr>
        <w:spacing w:line="600" w:lineRule="exact"/>
        <w:ind w:firstLine="643" w:firstLineChars="200"/>
        <w:rPr>
          <w:rStyle w:val="10"/>
          <w:rFonts w:ascii="仿宋" w:hAnsi="仿宋" w:eastAsia="仿宋"/>
          <w:b w:val="0"/>
          <w:bCs/>
          <w:sz w:val="32"/>
          <w:szCs w:val="32"/>
        </w:rPr>
      </w:pPr>
      <w:r>
        <w:rPr>
          <w:rStyle w:val="10"/>
          <w:rFonts w:hint="eastAsia" w:ascii="仿宋" w:hAnsi="仿宋" w:eastAsia="仿宋"/>
          <w:bCs/>
          <w:sz w:val="32"/>
          <w:szCs w:val="32"/>
        </w:rPr>
        <w:t>2</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（类）基层医疗卫生机构（款）其他基层医疗卫生机构支出（项）</w:t>
      </w:r>
      <w:r>
        <w:rPr>
          <w:rStyle w:val="10"/>
          <w:rFonts w:ascii="仿宋" w:hAnsi="仿宋" w:eastAsia="仿宋"/>
          <w:bCs/>
          <w:sz w:val="32"/>
          <w:szCs w:val="32"/>
        </w:rPr>
        <w:t>:</w:t>
      </w:r>
      <w:r>
        <w:rPr>
          <w:rStyle w:val="10"/>
          <w:rFonts w:hint="eastAsia" w:ascii="仿宋" w:hAnsi="仿宋" w:eastAsia="仿宋"/>
          <w:b w:val="0"/>
          <w:bCs/>
          <w:sz w:val="32"/>
          <w:szCs w:val="32"/>
        </w:rPr>
        <w:t>支出决算为21.35万</w:t>
      </w:r>
      <w:r>
        <w:rPr>
          <w:rFonts w:hint="eastAsia" w:ascii="仿宋" w:hAnsi="仿宋" w:eastAsia="仿宋"/>
          <w:bCs/>
          <w:sz w:val="32"/>
          <w:szCs w:val="32"/>
        </w:rPr>
        <w:t>元，完成</w:t>
      </w:r>
      <w:r>
        <w:rPr>
          <w:rStyle w:val="10"/>
          <w:rFonts w:hint="eastAsia" w:ascii="仿宋" w:hAnsi="仿宋" w:eastAsia="仿宋"/>
          <w:b w:val="0"/>
          <w:bCs/>
          <w:sz w:val="32"/>
          <w:szCs w:val="32"/>
        </w:rPr>
        <w:t>预算100</w:t>
      </w:r>
      <w:r>
        <w:rPr>
          <w:rStyle w:val="10"/>
          <w:rFonts w:ascii="仿宋" w:hAnsi="仿宋" w:eastAsia="仿宋"/>
          <w:b w:val="0"/>
          <w:bCs/>
          <w:sz w:val="32"/>
          <w:szCs w:val="32"/>
        </w:rPr>
        <w:t>%</w:t>
      </w:r>
      <w:r>
        <w:rPr>
          <w:rStyle w:val="10"/>
          <w:rFonts w:hint="eastAsia" w:ascii="仿宋" w:hAnsi="仿宋" w:eastAsia="仿宋"/>
          <w:b w:val="0"/>
          <w:bCs/>
          <w:sz w:val="32"/>
          <w:szCs w:val="32"/>
        </w:rPr>
        <w:t>，决算数等于预算</w:t>
      </w:r>
      <w:r>
        <w:rPr>
          <w:rFonts w:hint="eastAsia" w:ascii="仿宋" w:hAnsi="仿宋" w:eastAsia="仿宋"/>
          <w:bCs/>
          <w:sz w:val="32"/>
          <w:szCs w:val="32"/>
        </w:rPr>
        <w:t>数。</w:t>
      </w:r>
    </w:p>
    <w:p>
      <w:pPr>
        <w:spacing w:line="600" w:lineRule="exact"/>
        <w:ind w:firstLine="643" w:firstLineChars="200"/>
        <w:rPr>
          <w:rStyle w:val="10"/>
          <w:rFonts w:ascii="仿宋" w:hAnsi="仿宋" w:eastAsia="仿宋"/>
          <w:b w:val="0"/>
          <w:bCs/>
          <w:sz w:val="32"/>
          <w:szCs w:val="32"/>
        </w:rPr>
      </w:pPr>
      <w:r>
        <w:rPr>
          <w:rStyle w:val="10"/>
          <w:rFonts w:hint="eastAsia" w:ascii="仿宋" w:hAnsi="仿宋" w:eastAsia="仿宋"/>
          <w:bCs/>
          <w:sz w:val="32"/>
          <w:szCs w:val="32"/>
        </w:rPr>
        <w:t>3</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（类）公共卫生（款）基本公共卫生服务（项）</w:t>
      </w:r>
      <w:r>
        <w:rPr>
          <w:rStyle w:val="10"/>
          <w:rFonts w:ascii="仿宋" w:hAnsi="仿宋" w:eastAsia="仿宋"/>
          <w:bCs/>
          <w:sz w:val="32"/>
          <w:szCs w:val="32"/>
        </w:rPr>
        <w:t>:</w:t>
      </w:r>
      <w:r>
        <w:rPr>
          <w:rStyle w:val="10"/>
          <w:rFonts w:hint="eastAsia" w:ascii="仿宋" w:hAnsi="仿宋" w:eastAsia="仿宋"/>
          <w:b w:val="0"/>
          <w:bCs/>
          <w:sz w:val="32"/>
          <w:szCs w:val="32"/>
        </w:rPr>
        <w:t>支出决算为78.48万</w:t>
      </w:r>
      <w:r>
        <w:rPr>
          <w:rFonts w:hint="eastAsia" w:ascii="仿宋" w:hAnsi="仿宋" w:eastAsia="仿宋"/>
          <w:bCs/>
          <w:sz w:val="32"/>
          <w:szCs w:val="32"/>
        </w:rPr>
        <w:t>元，完成</w:t>
      </w:r>
      <w:r>
        <w:rPr>
          <w:rStyle w:val="10"/>
          <w:rFonts w:hint="eastAsia" w:ascii="仿宋" w:hAnsi="仿宋" w:eastAsia="仿宋"/>
          <w:b w:val="0"/>
          <w:bCs/>
          <w:sz w:val="32"/>
          <w:szCs w:val="32"/>
        </w:rPr>
        <w:t>预算100</w:t>
      </w:r>
      <w:r>
        <w:rPr>
          <w:rStyle w:val="10"/>
          <w:rFonts w:ascii="仿宋" w:hAnsi="仿宋" w:eastAsia="仿宋"/>
          <w:b w:val="0"/>
          <w:bCs/>
          <w:sz w:val="32"/>
          <w:szCs w:val="32"/>
        </w:rPr>
        <w:t>%</w:t>
      </w:r>
      <w:r>
        <w:rPr>
          <w:rStyle w:val="10"/>
          <w:rFonts w:hint="eastAsia" w:ascii="仿宋" w:hAnsi="仿宋" w:eastAsia="仿宋"/>
          <w:b w:val="0"/>
          <w:bCs/>
          <w:sz w:val="32"/>
          <w:szCs w:val="32"/>
        </w:rPr>
        <w:t>，决算数等于预算</w:t>
      </w:r>
      <w:r>
        <w:rPr>
          <w:rFonts w:hint="eastAsia" w:ascii="仿宋" w:hAnsi="仿宋" w:eastAsia="仿宋"/>
          <w:bCs/>
          <w:sz w:val="32"/>
          <w:szCs w:val="32"/>
        </w:rPr>
        <w:t>数。</w:t>
      </w:r>
    </w:p>
    <w:p>
      <w:pPr>
        <w:spacing w:line="600" w:lineRule="exact"/>
        <w:ind w:firstLine="643" w:firstLineChars="200"/>
        <w:rPr>
          <w:rStyle w:val="10"/>
          <w:rFonts w:ascii="仿宋" w:hAnsi="仿宋" w:eastAsia="仿宋"/>
          <w:b w:val="0"/>
          <w:bCs/>
          <w:sz w:val="32"/>
          <w:szCs w:val="32"/>
        </w:rPr>
      </w:pPr>
      <w:r>
        <w:rPr>
          <w:rStyle w:val="10"/>
          <w:rFonts w:hint="eastAsia" w:ascii="仿宋" w:hAnsi="仿宋" w:eastAsia="仿宋"/>
          <w:bCs/>
          <w:sz w:val="32"/>
          <w:szCs w:val="32"/>
        </w:rPr>
        <w:t>4</w:t>
      </w:r>
      <w:r>
        <w:rPr>
          <w:rStyle w:val="10"/>
          <w:rFonts w:ascii="仿宋" w:hAnsi="仿宋" w:eastAsia="仿宋"/>
          <w:bCs/>
          <w:sz w:val="32"/>
          <w:szCs w:val="32"/>
        </w:rPr>
        <w:t>.</w:t>
      </w:r>
      <w:r>
        <w:rPr>
          <w:rFonts w:hint="eastAsia" w:ascii="仿宋" w:hAnsi="仿宋" w:eastAsia="仿宋"/>
          <w:b/>
          <w:bCs/>
          <w:sz w:val="32"/>
          <w:szCs w:val="32"/>
        </w:rPr>
        <w:t>农林水</w:t>
      </w:r>
      <w:r>
        <w:rPr>
          <w:rStyle w:val="10"/>
          <w:rFonts w:hint="eastAsia" w:ascii="仿宋" w:hAnsi="仿宋" w:eastAsia="仿宋"/>
          <w:bCs/>
          <w:sz w:val="32"/>
          <w:szCs w:val="32"/>
        </w:rPr>
        <w:t>（类）扶贫（款）其他扶贫支出（项）</w:t>
      </w:r>
      <w:r>
        <w:rPr>
          <w:rStyle w:val="10"/>
          <w:rFonts w:ascii="仿宋" w:hAnsi="仿宋" w:eastAsia="仿宋"/>
          <w:bCs/>
          <w:sz w:val="32"/>
          <w:szCs w:val="32"/>
        </w:rPr>
        <w:t>:</w:t>
      </w:r>
      <w:r>
        <w:rPr>
          <w:rStyle w:val="10"/>
          <w:rFonts w:hint="eastAsia" w:ascii="仿宋" w:hAnsi="仿宋" w:eastAsia="仿宋"/>
          <w:b w:val="0"/>
          <w:bCs/>
          <w:sz w:val="32"/>
          <w:szCs w:val="32"/>
        </w:rPr>
        <w:t>支出决算为1.25万</w:t>
      </w:r>
      <w:r>
        <w:rPr>
          <w:rFonts w:hint="eastAsia" w:ascii="仿宋" w:hAnsi="仿宋" w:eastAsia="仿宋"/>
          <w:bCs/>
          <w:sz w:val="32"/>
          <w:szCs w:val="32"/>
        </w:rPr>
        <w:t>元，完成</w:t>
      </w:r>
      <w:r>
        <w:rPr>
          <w:rStyle w:val="10"/>
          <w:rFonts w:hint="eastAsia" w:ascii="仿宋" w:hAnsi="仿宋" w:eastAsia="仿宋"/>
          <w:b w:val="0"/>
          <w:bCs/>
          <w:sz w:val="32"/>
          <w:szCs w:val="32"/>
        </w:rPr>
        <w:t>预算100</w:t>
      </w:r>
      <w:r>
        <w:rPr>
          <w:rStyle w:val="10"/>
          <w:rFonts w:ascii="仿宋" w:hAnsi="仿宋" w:eastAsia="仿宋"/>
          <w:b w:val="0"/>
          <w:bCs/>
          <w:sz w:val="32"/>
          <w:szCs w:val="32"/>
        </w:rPr>
        <w:t>%</w:t>
      </w:r>
      <w:r>
        <w:rPr>
          <w:rStyle w:val="10"/>
          <w:rFonts w:hint="eastAsia" w:ascii="仿宋" w:hAnsi="仿宋" w:eastAsia="仿宋"/>
          <w:b w:val="0"/>
          <w:bCs/>
          <w:sz w:val="32"/>
          <w:szCs w:val="32"/>
        </w:rPr>
        <w:t>，决算数等于预算</w:t>
      </w:r>
      <w:r>
        <w:rPr>
          <w:rFonts w:hint="eastAsia" w:ascii="仿宋" w:hAnsi="仿宋" w:eastAsia="仿宋"/>
          <w:bCs/>
          <w:sz w:val="32"/>
          <w:szCs w:val="32"/>
        </w:rPr>
        <w:t>数。</w:t>
      </w:r>
      <w:bookmarkEnd w:id="54"/>
    </w:p>
    <w:p>
      <w:pPr>
        <w:tabs>
          <w:tab w:val="right" w:pos="8306"/>
        </w:tabs>
        <w:spacing w:line="600" w:lineRule="exact"/>
        <w:ind w:firstLine="640"/>
        <w:outlineLvl w:val="1"/>
        <w:rPr>
          <w:rStyle w:val="30"/>
        </w:rPr>
      </w:pPr>
      <w:bookmarkStart w:id="56" w:name="_Toc9430"/>
      <w:bookmarkStart w:id="57" w:name="_Toc15377214"/>
      <w:bookmarkStart w:id="58"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w:t>
      </w:r>
      <w:r>
        <w:rPr>
          <w:rFonts w:hint="eastAsia" w:ascii="黑体" w:hAnsi="黑体" w:eastAsia="黑体"/>
          <w:sz w:val="32"/>
          <w:szCs w:val="32"/>
        </w:rPr>
        <w:t>财政拨款基本支出决算情况说明</w:t>
      </w:r>
      <w:bookmarkEnd w:id="56"/>
      <w:bookmarkEnd w:id="57"/>
      <w:bookmarkEnd w:id="58"/>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21年一般公共预算财政拨款基本支出45.67万元，其中：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人员经费45.67万元，主要包括：基本工资。</w:t>
      </w:r>
    </w:p>
    <w:p>
      <w:pPr>
        <w:spacing w:line="600" w:lineRule="exact"/>
        <w:ind w:firstLine="645"/>
        <w:rPr>
          <w:rFonts w:ascii="仿宋" w:hAnsi="仿宋" w:eastAsia="仿宋"/>
          <w:sz w:val="32"/>
          <w:szCs w:val="32"/>
        </w:rPr>
      </w:pPr>
      <w:r>
        <w:rPr>
          <w:rFonts w:hint="eastAsia" w:ascii="仿宋" w:hAnsi="仿宋" w:eastAsia="仿宋"/>
          <w:sz w:val="32"/>
          <w:szCs w:val="32"/>
        </w:rPr>
        <w:t>公用经费0万元。</w:t>
      </w:r>
    </w:p>
    <w:p>
      <w:pPr>
        <w:spacing w:line="600" w:lineRule="exact"/>
        <w:ind w:firstLine="640"/>
        <w:outlineLvl w:val="1"/>
        <w:rPr>
          <w:rStyle w:val="30"/>
          <w:rFonts w:ascii="黑体" w:hAnsi="黑体" w:eastAsia="黑体"/>
          <w:b w:val="0"/>
        </w:rPr>
      </w:pPr>
      <w:bookmarkStart w:id="59" w:name="_Toc15396609"/>
      <w:bookmarkStart w:id="60" w:name="_Toc31894"/>
      <w:bookmarkStart w:id="61" w:name="_Toc15377215"/>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w:t>
      </w:r>
      <w:r>
        <w:rPr>
          <w:rFonts w:hint="eastAsia" w:ascii="黑体" w:hAnsi="黑体" w:eastAsia="黑体"/>
          <w:sz w:val="32"/>
          <w:szCs w:val="32"/>
        </w:rPr>
        <w:t>款支出决算情况说明</w:t>
      </w:r>
      <w:bookmarkEnd w:id="59"/>
      <w:bookmarkEnd w:id="60"/>
      <w:bookmarkEnd w:id="61"/>
    </w:p>
    <w:p>
      <w:pPr>
        <w:spacing w:line="600" w:lineRule="exact"/>
        <w:ind w:firstLine="640"/>
        <w:outlineLvl w:val="2"/>
        <w:rPr>
          <w:rFonts w:ascii="仿宋" w:hAnsi="仿宋" w:eastAsia="仿宋"/>
          <w:b/>
          <w:sz w:val="32"/>
          <w:szCs w:val="32"/>
        </w:rPr>
      </w:pPr>
      <w:bookmarkStart w:id="62" w:name="_Toc15377216"/>
      <w:r>
        <w:rPr>
          <w:rFonts w:hint="eastAsia" w:ascii="仿宋" w:hAnsi="仿宋" w:eastAsia="仿宋"/>
          <w:b/>
          <w:sz w:val="32"/>
          <w:szCs w:val="32"/>
        </w:rPr>
        <w:t>（一）“三公”经费财政拨款支出决算总体情况说明</w:t>
      </w:r>
      <w:bookmarkEnd w:id="6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63" w:name="_Toc15377217"/>
      <w:r>
        <w:rPr>
          <w:rFonts w:hint="eastAsia" w:ascii="仿宋" w:hAnsi="仿宋" w:eastAsia="仿宋"/>
          <w:b/>
          <w:sz w:val="32"/>
          <w:szCs w:val="32"/>
        </w:rPr>
        <w:t>（二）“三公”经费财政拨款支出决算具体情况说明</w:t>
      </w:r>
      <w:bookmarkEnd w:id="6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0"/>
          <w:rFonts w:hint="eastAsia" w:ascii="仿宋" w:hAnsi="仿宋" w:eastAsia="仿宋"/>
          <w:b w:val="0"/>
          <w:bCs/>
          <w:sz w:val="32"/>
          <w:szCs w:val="32"/>
        </w:rPr>
        <w:t>完成预算0</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t>，</w:t>
      </w:r>
      <w:r>
        <w:rPr>
          <w:rStyle w:val="10"/>
          <w:rFonts w:hint="eastAsia" w:ascii="仿宋" w:hAnsi="仿宋" w:eastAsia="仿宋"/>
          <w:b w:val="0"/>
          <w:bCs/>
          <w:sz w:val="32"/>
          <w:szCs w:val="32"/>
        </w:rPr>
        <w:t>完成预算0</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20年无变化。</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w:t>
      </w:r>
      <w:bookmarkStart w:id="64" w:name="OLE_LINK8"/>
      <w:r>
        <w:rPr>
          <w:rFonts w:hint="eastAsia" w:ascii="仿宋_GB2312" w:eastAsia="仿宋_GB2312"/>
          <w:sz w:val="32"/>
          <w:szCs w:val="32"/>
        </w:rPr>
        <w:t>。</w:t>
      </w:r>
      <w:bookmarkEnd w:id="64"/>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0"/>
          <w:rFonts w:hint="eastAsia" w:ascii="仿宋" w:hAnsi="仿宋" w:eastAsia="仿宋"/>
          <w:b w:val="0"/>
          <w:bCs/>
          <w:sz w:val="32"/>
          <w:szCs w:val="32"/>
        </w:rPr>
        <w:t>完成预算的0</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30"/>
          <w:rFonts w:ascii="黑体" w:hAnsi="黑体" w:eastAsia="黑体"/>
        </w:rPr>
      </w:pPr>
      <w:bookmarkStart w:id="65" w:name="_Toc15396610"/>
      <w:bookmarkStart w:id="66" w:name="_Toc32394"/>
      <w:bookmarkStart w:id="67" w:name="_Toc15377218"/>
      <w:r>
        <w:rPr>
          <w:rFonts w:hint="eastAsia" w:ascii="黑体" w:eastAsia="黑体"/>
          <w:sz w:val="32"/>
          <w:szCs w:val="32"/>
        </w:rPr>
        <w:t>八、</w:t>
      </w:r>
      <w:r>
        <w:rPr>
          <w:rStyle w:val="30"/>
          <w:rFonts w:hint="eastAsia" w:ascii="黑体" w:hAnsi="黑体" w:eastAsia="黑体"/>
          <w:b w:val="0"/>
        </w:rPr>
        <w:t>政府性</w:t>
      </w:r>
      <w:r>
        <w:rPr>
          <w:rFonts w:hint="eastAsia" w:ascii="黑体" w:hAnsi="黑体" w:eastAsia="黑体"/>
          <w:sz w:val="32"/>
          <w:szCs w:val="32"/>
        </w:rPr>
        <w:t>基金</w:t>
      </w:r>
      <w:r>
        <w:rPr>
          <w:rStyle w:val="30"/>
          <w:rFonts w:hint="eastAsia" w:ascii="黑体" w:hAnsi="黑体" w:eastAsia="黑体"/>
          <w:b w:val="0"/>
        </w:rPr>
        <w:t>预算</w:t>
      </w:r>
      <w:r>
        <w:rPr>
          <w:rFonts w:hint="eastAsia" w:ascii="黑体" w:hAnsi="黑体" w:eastAsia="黑体"/>
          <w:sz w:val="32"/>
          <w:szCs w:val="32"/>
        </w:rPr>
        <w:t>支出决算情况说明</w:t>
      </w:r>
      <w:bookmarkEnd w:id="65"/>
      <w:bookmarkEnd w:id="66"/>
      <w:bookmarkEnd w:id="6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21年政府性基金预算财政拨款支出为0元。</w:t>
      </w:r>
    </w:p>
    <w:p>
      <w:pPr>
        <w:numPr>
          <w:ilvl w:val="0"/>
          <w:numId w:val="2"/>
        </w:numPr>
        <w:spacing w:line="600" w:lineRule="exact"/>
        <w:ind w:firstLine="640"/>
        <w:outlineLvl w:val="1"/>
        <w:rPr>
          <w:rStyle w:val="30"/>
          <w:rFonts w:ascii="黑体" w:hAnsi="黑体" w:eastAsia="黑体"/>
          <w:b w:val="0"/>
        </w:rPr>
      </w:pPr>
      <w:bookmarkStart w:id="68" w:name="_Toc15377219"/>
      <w:bookmarkStart w:id="69" w:name="_Toc15396611"/>
      <w:bookmarkStart w:id="70" w:name="_Toc11525"/>
      <w:r>
        <w:rPr>
          <w:rStyle w:val="30"/>
          <w:rFonts w:hint="eastAsia" w:ascii="黑体" w:hAnsi="黑体" w:eastAsia="黑体"/>
          <w:b w:val="0"/>
        </w:rPr>
        <w:t>国有资本经营预算</w:t>
      </w:r>
      <w:r>
        <w:rPr>
          <w:rFonts w:hint="eastAsia" w:ascii="黑体" w:hAnsi="黑体" w:eastAsia="黑体"/>
          <w:sz w:val="32"/>
          <w:szCs w:val="32"/>
        </w:rPr>
        <w:t>支出决算情况说明</w:t>
      </w:r>
      <w:bookmarkEnd w:id="68"/>
      <w:bookmarkEnd w:id="69"/>
      <w:bookmarkEnd w:id="7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bookmarkStart w:id="116" w:name="_GoBack"/>
      <w:bookmarkEnd w:id="116"/>
    </w:p>
    <w:p>
      <w:pPr>
        <w:numPr>
          <w:ilvl w:val="0"/>
          <w:numId w:val="2"/>
        </w:numPr>
        <w:spacing w:line="600" w:lineRule="exact"/>
        <w:ind w:firstLine="640"/>
        <w:outlineLvl w:val="1"/>
        <w:rPr>
          <w:rStyle w:val="30"/>
          <w:rFonts w:ascii="黑体" w:hAnsi="黑体" w:eastAsia="黑体"/>
          <w:b w:val="0"/>
        </w:rPr>
      </w:pPr>
      <w:bookmarkStart w:id="71" w:name="_Toc15396612"/>
      <w:bookmarkStart w:id="72" w:name="_Toc21696"/>
      <w:bookmarkStart w:id="73" w:name="_Toc15377221"/>
      <w:r>
        <w:rPr>
          <w:rStyle w:val="30"/>
          <w:rFonts w:hint="eastAsia" w:ascii="黑体" w:hAnsi="黑体" w:eastAsia="黑体"/>
          <w:b w:val="0"/>
        </w:rPr>
        <w:t>其他重要事项的情况说明</w:t>
      </w:r>
      <w:bookmarkEnd w:id="71"/>
      <w:bookmarkEnd w:id="72"/>
      <w:bookmarkEnd w:id="73"/>
    </w:p>
    <w:p>
      <w:pPr>
        <w:spacing w:line="600" w:lineRule="exact"/>
        <w:ind w:firstLine="643" w:firstLineChars="200"/>
        <w:outlineLvl w:val="2"/>
        <w:rPr>
          <w:rFonts w:ascii="仿宋" w:hAnsi="仿宋" w:eastAsia="仿宋"/>
          <w:sz w:val="32"/>
          <w:szCs w:val="32"/>
        </w:rPr>
      </w:pPr>
      <w:bookmarkStart w:id="74" w:name="_Toc15377222"/>
      <w:r>
        <w:rPr>
          <w:rFonts w:hint="eastAsia" w:ascii="仿宋" w:hAnsi="仿宋" w:eastAsia="仿宋"/>
          <w:b/>
          <w:sz w:val="32"/>
          <w:szCs w:val="32"/>
        </w:rPr>
        <w:t>（一）机关运行经费支出情况</w:t>
      </w:r>
      <w:bookmarkEnd w:id="7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21年，本单位运行经费支出0万元，与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5" w:name="_Toc15377223"/>
      <w:r>
        <w:rPr>
          <w:rFonts w:hint="eastAsia" w:ascii="仿宋" w:hAnsi="仿宋" w:eastAsia="仿宋"/>
          <w:b/>
          <w:sz w:val="32"/>
          <w:szCs w:val="32"/>
        </w:rPr>
        <w:t>（二）政府采购支出情况</w:t>
      </w:r>
      <w:bookmarkEnd w:id="7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eastAsia="仿宋_GB2312"/>
          <w:sz w:val="32"/>
        </w:rPr>
        <w:t>本单位政府采购支出总额</w:t>
      </w:r>
      <w:r>
        <w:rPr>
          <w:rFonts w:eastAsia="仿宋_GB2312"/>
          <w:sz w:val="32"/>
        </w:rPr>
        <w:t>0</w:t>
      </w:r>
      <w:r>
        <w:rPr>
          <w:rFonts w:hint="eastAsia" w:eastAsia="仿宋_GB2312"/>
          <w:sz w:val="32"/>
        </w:rPr>
        <w:t>万元</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6" w:name="_Toc15377224"/>
      <w:r>
        <w:rPr>
          <w:rFonts w:hint="eastAsia" w:ascii="仿宋" w:hAnsi="仿宋" w:eastAsia="仿宋"/>
          <w:b/>
          <w:sz w:val="32"/>
          <w:szCs w:val="32"/>
        </w:rPr>
        <w:t>（三）国有资产占有使用情况</w:t>
      </w:r>
      <w:bookmarkEnd w:id="7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日，本单位共有车辆0辆。单价</w:t>
      </w:r>
      <w:r>
        <w:rPr>
          <w:rFonts w:ascii="仿宋_GB2312" w:eastAsia="仿宋_GB2312"/>
          <w:sz w:val="32"/>
          <w:szCs w:val="32"/>
        </w:rPr>
        <w:t>50</w:t>
      </w:r>
      <w:r>
        <w:rPr>
          <w:rFonts w:hint="eastAsia" w:ascii="仿宋_GB2312" w:eastAsia="仿宋_GB2312"/>
          <w:sz w:val="32"/>
          <w:szCs w:val="32"/>
        </w:rPr>
        <w:t>万元以上通用设备0台，单价</w:t>
      </w:r>
      <w:r>
        <w:rPr>
          <w:rFonts w:ascii="仿宋_GB2312" w:eastAsia="仿宋_GB2312"/>
          <w:sz w:val="32"/>
          <w:szCs w:val="32"/>
        </w:rPr>
        <w:t>100</w:t>
      </w:r>
      <w:r>
        <w:rPr>
          <w:rFonts w:hint="eastAsia" w:ascii="仿宋_GB2312" w:eastAsia="仿宋_GB2312"/>
          <w:sz w:val="32"/>
          <w:szCs w:val="32"/>
        </w:rPr>
        <w:t>万元以上专用设备0台。</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highlight w:val="yellow"/>
        </w:rPr>
      </w:pPr>
      <w:r>
        <w:rPr>
          <w:rFonts w:hint="eastAsia" w:ascii="仿宋_GB2312" w:hAnsi="仿宋_GB2312" w:eastAsia="仿宋_GB2312" w:cs="仿宋_GB2312"/>
          <w:sz w:val="32"/>
          <w:szCs w:val="32"/>
        </w:rPr>
        <w:t>根据预算绩效管理要求，本单位在2021年度预算编制阶段，组织对基本公共卫生服务、重大公共卫生服务、基药补助、扶贫项目等3个项目开展了预算事前绩效评估，对3个项目编制了绩效目标，预算执行过程中，选取3个项目开展绩效监控，年终执行完毕后，对3个项目开展了绩效自评，2021年特定目标类部门预算项目绩效目标自评表见附件1；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1年单位整体支出绩效评价情况开展绩效自评，自评表见附件2</w:t>
      </w:r>
      <w:r>
        <w:t>.</w:t>
      </w:r>
    </w:p>
    <w:p>
      <w:pPr>
        <w:widowControl/>
        <w:jc w:val="left"/>
        <w:rPr>
          <w:rFonts w:ascii="仿宋_GB2312" w:eastAsia="仿宋_GB2312"/>
          <w:b/>
          <w:sz w:val="32"/>
          <w:szCs w:val="32"/>
        </w:rPr>
      </w:pPr>
      <w:r>
        <w:br w:type="page"/>
      </w:r>
    </w:p>
    <w:p>
      <w:pPr>
        <w:numPr>
          <w:ilvl w:val="0"/>
          <w:numId w:val="3"/>
        </w:numPr>
        <w:spacing w:line="600" w:lineRule="exact"/>
        <w:ind w:firstLine="660" w:firstLineChars="150"/>
        <w:jc w:val="center"/>
        <w:outlineLvl w:val="0"/>
        <w:rPr>
          <w:rStyle w:val="29"/>
          <w:rFonts w:ascii="黑体" w:hAnsi="黑体" w:eastAsia="黑体"/>
          <w:b w:val="0"/>
        </w:rPr>
      </w:pPr>
      <w:bookmarkStart w:id="77" w:name="_Toc4983"/>
      <w:bookmarkStart w:id="78" w:name="_Toc15377225"/>
      <w:bookmarkStart w:id="79" w:name="_Toc15396613"/>
      <w:r>
        <w:rPr>
          <w:rFonts w:hint="eastAsia" w:ascii="黑体" w:hAnsi="黑体" w:eastAsia="黑体"/>
          <w:sz w:val="44"/>
          <w:szCs w:val="44"/>
        </w:rPr>
        <w:t>名</w:t>
      </w:r>
      <w:r>
        <w:rPr>
          <w:rStyle w:val="29"/>
          <w:rFonts w:hint="eastAsia" w:ascii="黑体" w:hAnsi="黑体" w:eastAsia="黑体"/>
          <w:b w:val="0"/>
        </w:rPr>
        <w:t>词解释</w:t>
      </w:r>
      <w:bookmarkEnd w:id="77"/>
      <w:bookmarkEnd w:id="78"/>
      <w:bookmarkEnd w:id="79"/>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w:t>
      </w:r>
      <w:r>
        <w:rPr>
          <w:rFonts w:hint="eastAsia" w:ascii="仿宋_GB2312" w:eastAsia="仿宋_GB2312"/>
          <w:color w:val="auto"/>
          <w:sz w:val="32"/>
          <w:szCs w:val="32"/>
          <w:u w:val="none" w:color="46CD7E"/>
          <w:shd w:val="clear" w:fill="auto"/>
          <w:lang w:eastAsia="zh-CN"/>
        </w:rPr>
        <w:t>本年度</w:t>
      </w:r>
      <w:r>
        <w:rPr>
          <w:rFonts w:hint="eastAsia" w:ascii="仿宋_GB2312" w:eastAsia="仿宋_GB2312"/>
          <w:color w:val="auto"/>
          <w:sz w:val="32"/>
          <w:szCs w:val="32"/>
        </w:rPr>
        <w:t>有关规定继续使用的资金。</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u w:val="none" w:color="46CD7E"/>
          <w:shd w:val="clear" w:fill="auto"/>
          <w:lang w:eastAsia="zh-CN"/>
        </w:rPr>
        <w:t>.</w:t>
      </w:r>
      <w:r>
        <w:rPr>
          <w:rFonts w:hint="eastAsia" w:ascii="仿宋_GB2312" w:eastAsia="仿宋_GB2312"/>
          <w:color w:val="auto"/>
          <w:sz w:val="32"/>
          <w:szCs w:val="32"/>
        </w:rPr>
        <w:t>年末结转和结余：指单位按有关规定结转到下年或以后年度继续使用的资金。</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u w:val="none" w:color="FFB03A"/>
          <w:shd w:val="clear" w:fill="auto"/>
        </w:rPr>
        <w:t>9.</w:t>
      </w:r>
      <w:r>
        <w:rPr>
          <w:rFonts w:hint="eastAsia" w:ascii="仿宋_GB2312" w:eastAsia="仿宋_GB2312"/>
          <w:color w:val="auto"/>
          <w:sz w:val="32"/>
          <w:szCs w:val="32"/>
        </w:rPr>
        <w:t>卫生健康支出（类）基层医疗卫生机构（款）乡镇卫生院（项）：反映用于乡镇卫生院的支出。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卫生健康支出（类）基层医疗卫生机构（款）其他基层医疗卫生机构（项）：指用于村卫生室方面的支出。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w:t>
      </w:r>
      <w:r>
        <w:rPr>
          <w:rFonts w:ascii="仿宋_GB2312" w:eastAsia="仿宋_GB2312"/>
          <w:color w:val="auto"/>
          <w:sz w:val="32"/>
          <w:szCs w:val="32"/>
        </w:rPr>
        <w:t>.</w:t>
      </w:r>
      <w:r>
        <w:rPr>
          <w:rFonts w:hint="eastAsia" w:ascii="仿宋_GB2312" w:eastAsia="仿宋_GB2312"/>
          <w:color w:val="auto"/>
          <w:sz w:val="32"/>
          <w:szCs w:val="32"/>
        </w:rPr>
        <w:t>卫生健康支出（类）公共卫生（款）基本公共卫生服务（项）</w:t>
      </w:r>
      <w:r>
        <w:rPr>
          <w:rFonts w:ascii="仿宋_GB2312" w:eastAsia="仿宋_GB2312"/>
          <w:color w:val="auto"/>
          <w:sz w:val="32"/>
          <w:szCs w:val="32"/>
        </w:rPr>
        <w:t>:</w:t>
      </w:r>
      <w:r>
        <w:rPr>
          <w:rFonts w:hint="eastAsia" w:ascii="仿宋_GB2312" w:eastAsia="仿宋_GB2312"/>
          <w:color w:val="auto"/>
          <w:sz w:val="32"/>
          <w:szCs w:val="32"/>
        </w:rPr>
        <w:t>指用于基本公共卫生服务支出。</w:t>
      </w:r>
    </w:p>
    <w:p>
      <w:pPr>
        <w:pStyle w:val="27"/>
        <w:spacing w:line="560" w:lineRule="exact"/>
        <w:ind w:firstLine="640" w:firstLineChars="200"/>
        <w:rPr>
          <w:rFonts w:hAnsi="仿宋"/>
          <w:b/>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农林水支出（类）扶贫（款）其他扶贫支出（项）</w:t>
      </w:r>
      <w:r>
        <w:rPr>
          <w:rFonts w:ascii="仿宋_GB2312" w:eastAsia="仿宋_GB2312"/>
          <w:color w:val="auto"/>
          <w:sz w:val="32"/>
          <w:szCs w:val="32"/>
        </w:rPr>
        <w:t>:</w:t>
      </w:r>
      <w:r>
        <w:rPr>
          <w:rFonts w:hint="eastAsia" w:ascii="仿宋_GB2312" w:eastAsia="仿宋_GB2312"/>
          <w:color w:val="auto"/>
          <w:sz w:val="32"/>
          <w:szCs w:val="32"/>
        </w:rPr>
        <w:t>指其他用于扶贫方面的支出。</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color w:val="auto"/>
          <w:sz w:val="32"/>
          <w:szCs w:val="32"/>
        </w:rPr>
      </w:pPr>
    </w:p>
    <w:p>
      <w:pPr>
        <w:spacing w:line="600" w:lineRule="exact"/>
        <w:jc w:val="center"/>
        <w:outlineLvl w:val="0"/>
        <w:rPr>
          <w:rFonts w:ascii="黑体" w:hAnsi="黑体" w:eastAsia="黑体"/>
          <w:sz w:val="44"/>
          <w:szCs w:val="44"/>
        </w:rPr>
      </w:pPr>
      <w:bookmarkStart w:id="80" w:name="_Toc1864"/>
      <w:bookmarkStart w:id="81" w:name="_Toc15396614"/>
      <w:bookmarkStart w:id="82" w:name="_Toc15377226"/>
    </w:p>
    <w:p>
      <w:pPr>
        <w:spacing w:line="600" w:lineRule="exact"/>
        <w:jc w:val="center"/>
        <w:outlineLvl w:val="0"/>
        <w:rPr>
          <w:rFonts w:ascii="黑体" w:hAnsi="黑体" w:eastAsia="黑体"/>
          <w:sz w:val="44"/>
          <w:szCs w:val="44"/>
        </w:rPr>
      </w:pPr>
    </w:p>
    <w:p>
      <w:pPr>
        <w:spacing w:line="600" w:lineRule="exact"/>
        <w:jc w:val="center"/>
        <w:outlineLvl w:val="0"/>
        <w:rPr>
          <w:rStyle w:val="29"/>
          <w:rFonts w:ascii="黑体" w:hAnsi="黑体" w:eastAsia="黑体"/>
          <w:b w:val="0"/>
        </w:rPr>
      </w:pPr>
      <w:r>
        <w:rPr>
          <w:rFonts w:hint="eastAsia" w:ascii="黑体" w:hAnsi="黑体" w:eastAsia="黑体"/>
          <w:sz w:val="44"/>
          <w:szCs w:val="44"/>
        </w:rPr>
        <w:t>第</w:t>
      </w:r>
      <w:r>
        <w:rPr>
          <w:rStyle w:val="29"/>
          <w:rFonts w:hint="eastAsia" w:ascii="黑体" w:hAnsi="黑体" w:eastAsia="黑体"/>
          <w:b w:val="0"/>
        </w:rPr>
        <w:t>四部</w:t>
      </w:r>
      <w:r>
        <w:rPr>
          <w:rFonts w:hint="eastAsia" w:ascii="黑体" w:hAnsi="黑体" w:eastAsia="黑体"/>
        </w:rPr>
        <w:t>分附件</w:t>
      </w:r>
      <w:bookmarkEnd w:id="80"/>
      <w:bookmarkEnd w:id="81"/>
    </w:p>
    <w:p>
      <w:pPr>
        <w:spacing w:line="572" w:lineRule="exact"/>
        <w:jc w:val="left"/>
        <w:outlineLvl w:val="1"/>
        <w:rPr>
          <w:rFonts w:ascii="黑体" w:hAnsi="黑体" w:eastAsia="黑体" w:cs="黑体"/>
          <w:sz w:val="32"/>
          <w:szCs w:val="32"/>
        </w:rPr>
      </w:pPr>
      <w:bookmarkStart w:id="83" w:name="_Toc26341"/>
      <w:bookmarkStart w:id="84" w:name="OLE_LINK12"/>
      <w:r>
        <w:rPr>
          <w:rFonts w:hint="eastAsia" w:ascii="黑体" w:hAnsi="黑体" w:eastAsia="黑体" w:cs="黑体"/>
          <w:sz w:val="32"/>
          <w:szCs w:val="32"/>
        </w:rPr>
        <w:t>附件1</w:t>
      </w:r>
      <w:bookmarkEnd w:id="83"/>
    </w:p>
    <w:tbl>
      <w:tblPr>
        <w:tblStyle w:val="7"/>
        <w:tblpPr w:leftFromText="180" w:rightFromText="180" w:vertAnchor="text" w:horzAnchor="page" w:tblpX="910" w:tblpY="877"/>
        <w:tblOverlap w:val="never"/>
        <w:tblW w:w="10575" w:type="dxa"/>
        <w:tblInd w:w="0" w:type="dxa"/>
        <w:tblLayout w:type="autofit"/>
        <w:tblCellMar>
          <w:top w:w="0" w:type="dxa"/>
          <w:left w:w="108" w:type="dxa"/>
          <w:bottom w:w="0" w:type="dxa"/>
          <w:right w:w="108" w:type="dxa"/>
        </w:tblCellMar>
      </w:tblPr>
      <w:tblGrid>
        <w:gridCol w:w="555"/>
        <w:gridCol w:w="765"/>
        <w:gridCol w:w="1034"/>
        <w:gridCol w:w="2500"/>
        <w:gridCol w:w="614"/>
        <w:gridCol w:w="600"/>
        <w:gridCol w:w="1303"/>
        <w:gridCol w:w="944"/>
        <w:gridCol w:w="690"/>
        <w:gridCol w:w="926"/>
        <w:gridCol w:w="644"/>
      </w:tblGrid>
      <w:tr>
        <w:tblPrEx>
          <w:tblCellMar>
            <w:top w:w="0" w:type="dxa"/>
            <w:left w:w="108" w:type="dxa"/>
            <w:bottom w:w="0" w:type="dxa"/>
            <w:right w:w="108" w:type="dxa"/>
          </w:tblCellMar>
        </w:tblPrEx>
        <w:trPr>
          <w:trHeight w:val="570" w:hRule="atLeast"/>
        </w:trPr>
        <w:tc>
          <w:tcPr>
            <w:tcW w:w="10575" w:type="dxa"/>
            <w:gridSpan w:val="11"/>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32"/>
                <w:szCs w:val="32"/>
              </w:rPr>
            </w:pPr>
            <w:r>
              <w:rPr>
                <w:rFonts w:hint="eastAsia" w:ascii="宋体" w:hAnsi="宋体" w:cs="宋体"/>
                <w:b/>
                <w:bCs/>
                <w:color w:val="000000"/>
                <w:kern w:val="0"/>
                <w:sz w:val="32"/>
                <w:szCs w:val="32"/>
              </w:rPr>
              <w:t>绩效目标自评表</w:t>
            </w:r>
          </w:p>
        </w:tc>
      </w:tr>
      <w:tr>
        <w:tblPrEx>
          <w:tblCellMar>
            <w:top w:w="0" w:type="dxa"/>
            <w:left w:w="108" w:type="dxa"/>
            <w:bottom w:w="0" w:type="dxa"/>
            <w:right w:w="108" w:type="dxa"/>
          </w:tblCellMar>
        </w:tblPrEx>
        <w:trPr>
          <w:trHeight w:val="420" w:hRule="atLeast"/>
        </w:trPr>
        <w:tc>
          <w:tcPr>
            <w:tcW w:w="10575" w:type="dxa"/>
            <w:gridSpan w:val="11"/>
            <w:tcBorders>
              <w:top w:val="nil"/>
              <w:left w:val="nil"/>
              <w:bottom w:val="single" w:color="000000" w:sz="4" w:space="0"/>
              <w:right w:val="nil"/>
            </w:tcBorders>
            <w:shd w:val="clear" w:color="auto" w:fill="auto"/>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（2021年度）</w:t>
            </w:r>
          </w:p>
        </w:tc>
      </w:tr>
      <w:tr>
        <w:tblPrEx>
          <w:tblCellMar>
            <w:top w:w="0" w:type="dxa"/>
            <w:left w:w="108" w:type="dxa"/>
            <w:bottom w:w="0" w:type="dxa"/>
            <w:right w:w="108" w:type="dxa"/>
          </w:tblCellMar>
        </w:tblPrEx>
        <w:trPr>
          <w:trHeight w:val="555"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基本公共卫生经费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项目负责人电话</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廖成强</w:t>
            </w:r>
          </w:p>
        </w:tc>
      </w:tr>
      <w:tr>
        <w:tblPrEx>
          <w:tblCellMar>
            <w:top w:w="0" w:type="dxa"/>
            <w:left w:w="108" w:type="dxa"/>
            <w:bottom w:w="0" w:type="dxa"/>
            <w:right w:w="108" w:type="dxa"/>
          </w:tblCellMar>
        </w:tblPrEx>
        <w:trPr>
          <w:trHeight w:val="300"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通江县卫生健康局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实施单位</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通江县杨柏镇卫生院</w:t>
            </w:r>
          </w:p>
        </w:tc>
      </w:tr>
      <w:tr>
        <w:tblPrEx>
          <w:tblCellMar>
            <w:top w:w="0" w:type="dxa"/>
            <w:left w:w="108" w:type="dxa"/>
            <w:bottom w:w="0" w:type="dxa"/>
            <w:right w:w="108" w:type="dxa"/>
          </w:tblCellMar>
        </w:tblPrEx>
        <w:trPr>
          <w:trHeight w:val="465" w:hRule="atLeast"/>
        </w:trPr>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资金情况</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全年预算数（A）</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执行率（B/A</w:t>
            </w:r>
            <w: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78.47</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其中：本年财政拨款</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78.47</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8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年初设定目标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年度总体目标完成情况综述</w:t>
            </w:r>
          </w:p>
        </w:tc>
      </w:tr>
      <w:tr>
        <w:tblPrEx>
          <w:tblCellMar>
            <w:top w:w="0" w:type="dxa"/>
            <w:left w:w="108" w:type="dxa"/>
            <w:bottom w:w="0" w:type="dxa"/>
            <w:right w:w="108" w:type="dxa"/>
          </w:tblCellMar>
        </w:tblPrEx>
        <w:trPr>
          <w:trHeight w:val="52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u w:val="none" w:color="46CD7E"/>
                <w:shd w:val="clear" w:fill="auto"/>
                <w:lang w:eastAsia="zh-CN"/>
              </w:rPr>
              <w:t>.</w:t>
            </w:r>
            <w:r>
              <w:rPr>
                <w:rFonts w:hint="eastAsia" w:ascii="宋体" w:hAnsi="宋体" w:cs="宋体"/>
                <w:color w:val="000000"/>
                <w:kern w:val="0"/>
                <w:sz w:val="20"/>
                <w:szCs w:val="20"/>
              </w:rPr>
              <w:t>实现辖区内群众总体健康档案管理的全覆盖。2</w:t>
            </w:r>
            <w:r>
              <w:rPr>
                <w:rFonts w:hint="eastAsia" w:ascii="宋体" w:hAnsi="宋体" w:cs="宋体"/>
                <w:color w:val="000000"/>
                <w:kern w:val="0"/>
                <w:sz w:val="20"/>
                <w:szCs w:val="20"/>
                <w:u w:val="none" w:color="46CD7E"/>
                <w:shd w:val="clear" w:fill="auto"/>
                <w:lang w:eastAsia="zh-CN"/>
              </w:rPr>
              <w:t>.</w:t>
            </w:r>
            <w:r>
              <w:rPr>
                <w:rFonts w:hint="eastAsia" w:ascii="宋体" w:hAnsi="宋体" w:cs="宋体"/>
                <w:color w:val="000000"/>
                <w:kern w:val="0"/>
                <w:sz w:val="20"/>
                <w:szCs w:val="20"/>
              </w:rPr>
              <w:t>提高辖区内群众的健康知识及了解基本的健康扶贫及慢病筛选的政策。 3</w:t>
            </w:r>
            <w:r>
              <w:rPr>
                <w:rFonts w:hint="eastAsia" w:ascii="宋体" w:hAnsi="宋体" w:cs="宋体"/>
                <w:color w:val="000000"/>
                <w:kern w:val="0"/>
                <w:sz w:val="20"/>
                <w:szCs w:val="20"/>
                <w:u w:val="none" w:color="46CD7E"/>
                <w:shd w:val="clear" w:fill="auto"/>
                <w:lang w:eastAsia="zh-CN"/>
              </w:rPr>
              <w:t>.</w:t>
            </w:r>
            <w:r>
              <w:rPr>
                <w:rFonts w:hint="eastAsia" w:ascii="宋体" w:hAnsi="宋体" w:cs="宋体"/>
                <w:color w:val="000000"/>
                <w:kern w:val="0"/>
                <w:sz w:val="20"/>
                <w:szCs w:val="20"/>
              </w:rPr>
              <w:t>确保辖区内群众的公共卫生的享受权</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已循序完成预定目标</w:t>
            </w:r>
          </w:p>
        </w:tc>
      </w:tr>
      <w:tr>
        <w:tblPrEx>
          <w:tblCellMar>
            <w:top w:w="0" w:type="dxa"/>
            <w:left w:w="108" w:type="dxa"/>
            <w:bottom w:w="0" w:type="dxa"/>
            <w:right w:w="108" w:type="dxa"/>
          </w:tblCellMar>
        </w:tblPrEx>
        <w:trPr>
          <w:trHeight w:val="55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未完成原因及拟采取的改进措施</w:t>
            </w:r>
          </w:p>
        </w:tc>
      </w:tr>
      <w:tr>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出</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50分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财政拨款补助基本公共卫生服务人数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15900人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15900人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财政拨款基本公卫服务经费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78.47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财政拨款补助基本公共卫生人员经费保障率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健康体检、预防接种等项目覆盖率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财政拨款补助基本公共卫生人员经费及公用经费发放及时率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体检、慢病筛查等项目及时完成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7名公共卫生人员绩效工资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7名公卫人员五险一金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6.71万元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6.71万元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val="none" w:color="46CD7E"/>
                <w:shd w:val="clear" w:fill="auto"/>
                <w:lang w:eastAsia="zh-CN"/>
              </w:rPr>
              <w:t>乡村医疗</w:t>
            </w:r>
            <w:r>
              <w:rPr>
                <w:rFonts w:hint="eastAsia" w:ascii="宋体" w:hAnsi="宋体" w:cs="宋体"/>
                <w:color w:val="000000"/>
                <w:kern w:val="0"/>
                <w:sz w:val="20"/>
                <w:szCs w:val="20"/>
              </w:rPr>
              <w:t>服务经费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31.4万元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31.4万元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其他公卫办公用品经费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7.36万元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7.36万元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益</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val="thick" w:color="909090"/>
                <w:shd w:val="clear" w:fill="DDDDDD"/>
              </w:rPr>
              <w:t>(</w:t>
            </w:r>
            <w:r>
              <w:rPr>
                <w:rFonts w:hint="eastAsia" w:ascii="宋体" w:hAnsi="宋体" w:cs="宋体"/>
                <w:color w:val="000000"/>
                <w:kern w:val="0"/>
                <w:sz w:val="20"/>
                <w:szCs w:val="20"/>
              </w:rPr>
              <w:t>30分</w:t>
            </w:r>
            <w:r>
              <w:rPr>
                <w:rFonts w:hint="eastAsia" w:ascii="宋体" w:hAnsi="宋体" w:cs="宋体"/>
                <w:color w:val="000000"/>
                <w:kern w:val="0"/>
                <w:sz w:val="20"/>
                <w:szCs w:val="20"/>
                <w:u w:val="thick" w:color="909090"/>
                <w:shd w:val="clear" w:fill="DDDDDD"/>
              </w:rP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经济效益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公卫人员购买式服务经济增收率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居民健康保健意识和健康知识知晓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生态效益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慢病筛查，健康扶贫等公益项目可持续性</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满意度指标</w:t>
            </w:r>
          </w:p>
          <w:p>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10分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服务对象</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居民满意度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公卫人员满意度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39" w:hRule="atLeast"/>
        </w:trPr>
        <w:tc>
          <w:tcPr>
            <w:tcW w:w="10575" w:type="dxa"/>
            <w:gridSpan w:val="11"/>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469" w:hRule="atLeast"/>
        </w:trPr>
        <w:tc>
          <w:tcPr>
            <w:tcW w:w="10575" w:type="dxa"/>
            <w:gridSpan w:val="11"/>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720" w:hRule="atLeast"/>
        </w:trPr>
        <w:tc>
          <w:tcPr>
            <w:tcW w:w="10575" w:type="dxa"/>
            <w:gridSpan w:val="11"/>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p>
        </w:tc>
      </w:tr>
    </w:tbl>
    <w:tbl>
      <w:tblPr>
        <w:tblStyle w:val="7"/>
        <w:tblpPr w:leftFromText="180" w:rightFromText="180" w:vertAnchor="text" w:horzAnchor="page" w:tblpX="865" w:tblpY="907"/>
        <w:tblOverlap w:val="never"/>
        <w:tblW w:w="10575" w:type="dxa"/>
        <w:tblInd w:w="0" w:type="dxa"/>
        <w:tblLayout w:type="autofit"/>
        <w:tblCellMar>
          <w:top w:w="0" w:type="dxa"/>
          <w:left w:w="108" w:type="dxa"/>
          <w:bottom w:w="0" w:type="dxa"/>
          <w:right w:w="108" w:type="dxa"/>
        </w:tblCellMar>
      </w:tblPr>
      <w:tblGrid>
        <w:gridCol w:w="555"/>
        <w:gridCol w:w="765"/>
        <w:gridCol w:w="1034"/>
        <w:gridCol w:w="2500"/>
        <w:gridCol w:w="614"/>
        <w:gridCol w:w="600"/>
        <w:gridCol w:w="1303"/>
        <w:gridCol w:w="944"/>
        <w:gridCol w:w="690"/>
        <w:gridCol w:w="926"/>
        <w:gridCol w:w="644"/>
      </w:tblGrid>
      <w:tr>
        <w:tblPrEx>
          <w:tblCellMar>
            <w:top w:w="0" w:type="dxa"/>
            <w:left w:w="108" w:type="dxa"/>
            <w:bottom w:w="0" w:type="dxa"/>
            <w:right w:w="108" w:type="dxa"/>
          </w:tblCellMar>
        </w:tblPrEx>
        <w:trPr>
          <w:trHeight w:val="570" w:hRule="atLeast"/>
        </w:trPr>
        <w:tc>
          <w:tcPr>
            <w:tcW w:w="10575" w:type="dxa"/>
            <w:gridSpan w:val="11"/>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32"/>
                <w:szCs w:val="32"/>
              </w:rPr>
            </w:pPr>
            <w:r>
              <w:rPr>
                <w:rFonts w:hint="eastAsia" w:ascii="宋体" w:hAnsi="宋体" w:cs="宋体"/>
                <w:b/>
                <w:bCs/>
                <w:color w:val="000000"/>
                <w:kern w:val="0"/>
                <w:sz w:val="32"/>
                <w:szCs w:val="32"/>
              </w:rPr>
              <w:t>绩效目标自评表</w:t>
            </w:r>
          </w:p>
        </w:tc>
      </w:tr>
      <w:tr>
        <w:tblPrEx>
          <w:tblCellMar>
            <w:top w:w="0" w:type="dxa"/>
            <w:left w:w="108" w:type="dxa"/>
            <w:bottom w:w="0" w:type="dxa"/>
            <w:right w:w="108" w:type="dxa"/>
          </w:tblCellMar>
        </w:tblPrEx>
        <w:trPr>
          <w:trHeight w:val="420" w:hRule="atLeast"/>
        </w:trPr>
        <w:tc>
          <w:tcPr>
            <w:tcW w:w="10575" w:type="dxa"/>
            <w:gridSpan w:val="11"/>
            <w:tcBorders>
              <w:top w:val="nil"/>
              <w:left w:val="nil"/>
              <w:bottom w:val="single" w:color="000000" w:sz="4" w:space="0"/>
              <w:right w:val="nil"/>
            </w:tcBorders>
            <w:shd w:val="clear" w:color="auto" w:fill="auto"/>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（2021年度）</w:t>
            </w:r>
          </w:p>
        </w:tc>
      </w:tr>
      <w:tr>
        <w:tblPrEx>
          <w:tblCellMar>
            <w:top w:w="0" w:type="dxa"/>
            <w:left w:w="108" w:type="dxa"/>
            <w:bottom w:w="0" w:type="dxa"/>
            <w:right w:w="108" w:type="dxa"/>
          </w:tblCellMar>
        </w:tblPrEx>
        <w:trPr>
          <w:trHeight w:val="555"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基药补助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项目负责人电话</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廖成强</w:t>
            </w:r>
          </w:p>
        </w:tc>
      </w:tr>
      <w:tr>
        <w:tblPrEx>
          <w:tblCellMar>
            <w:top w:w="0" w:type="dxa"/>
            <w:left w:w="108" w:type="dxa"/>
            <w:bottom w:w="0" w:type="dxa"/>
            <w:right w:w="108" w:type="dxa"/>
          </w:tblCellMar>
        </w:tblPrEx>
        <w:trPr>
          <w:trHeight w:val="300"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通江县卫生健康局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实施单位</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通江县杨柏镇卫生院</w:t>
            </w:r>
          </w:p>
        </w:tc>
      </w:tr>
      <w:tr>
        <w:tblPrEx>
          <w:tblCellMar>
            <w:top w:w="0" w:type="dxa"/>
            <w:left w:w="108" w:type="dxa"/>
            <w:bottom w:w="0" w:type="dxa"/>
            <w:right w:w="108" w:type="dxa"/>
          </w:tblCellMar>
        </w:tblPrEx>
        <w:trPr>
          <w:trHeight w:val="465" w:hRule="atLeast"/>
        </w:trPr>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资金情况</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全年预算数（A）</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执行率（B/A</w:t>
            </w:r>
            <w: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21.35</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其中：本年财政拨款</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21.35</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8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年初设定目标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年度总体目标完成情况综述</w:t>
            </w:r>
          </w:p>
        </w:tc>
      </w:tr>
      <w:tr>
        <w:tblPrEx>
          <w:tblCellMar>
            <w:top w:w="0" w:type="dxa"/>
            <w:left w:w="108" w:type="dxa"/>
            <w:bottom w:w="0" w:type="dxa"/>
            <w:right w:w="108" w:type="dxa"/>
          </w:tblCellMar>
        </w:tblPrEx>
        <w:trPr>
          <w:trHeight w:val="52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通过预算执行：保障通江县杨柏镇卫生院、村卫生室定向补助及基药补助项目执行，切实保证老百姓的利益。</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完成既定目标</w:t>
            </w:r>
          </w:p>
        </w:tc>
      </w:tr>
      <w:tr>
        <w:tblPrEx>
          <w:tblCellMar>
            <w:top w:w="0" w:type="dxa"/>
            <w:left w:w="108" w:type="dxa"/>
            <w:bottom w:w="0" w:type="dxa"/>
            <w:right w:w="108" w:type="dxa"/>
          </w:tblCellMar>
        </w:tblPrEx>
        <w:trPr>
          <w:trHeight w:val="55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未完成原因及拟采取的改进措施</w:t>
            </w:r>
          </w:p>
        </w:tc>
      </w:tr>
      <w:tr>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出</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50分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西药、中成药零加成品种规模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药品合格率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老百姓对基本药品需求率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取消药品加成完成效率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村卫生室定向补助及基药补助及时拨付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益</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30分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经济效益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减少老百姓就医药品费用支出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大于90%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大于90%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生态效益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减少因就医产生的生活压力，提高社会和谐率</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满意度指标</w:t>
            </w:r>
          </w:p>
          <w:p>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10分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服务对象</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病人满意度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39" w:hRule="atLeast"/>
        </w:trPr>
        <w:tc>
          <w:tcPr>
            <w:tcW w:w="10575" w:type="dxa"/>
            <w:gridSpan w:val="11"/>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469" w:hRule="atLeast"/>
        </w:trPr>
        <w:tc>
          <w:tcPr>
            <w:tcW w:w="10575" w:type="dxa"/>
            <w:gridSpan w:val="11"/>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720" w:hRule="atLeast"/>
        </w:trPr>
        <w:tc>
          <w:tcPr>
            <w:tcW w:w="10575" w:type="dxa"/>
            <w:gridSpan w:val="11"/>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p>
        </w:tc>
      </w:tr>
    </w:tbl>
    <w:tbl>
      <w:tblPr>
        <w:tblStyle w:val="7"/>
        <w:tblpPr w:leftFromText="180" w:rightFromText="180" w:vertAnchor="text" w:horzAnchor="page" w:tblpX="835" w:tblpY="928"/>
        <w:tblOverlap w:val="never"/>
        <w:tblW w:w="10635" w:type="dxa"/>
        <w:tblInd w:w="0" w:type="dxa"/>
        <w:tblLayout w:type="autofit"/>
        <w:tblCellMar>
          <w:top w:w="0" w:type="dxa"/>
          <w:left w:w="108" w:type="dxa"/>
          <w:bottom w:w="0" w:type="dxa"/>
          <w:right w:w="108" w:type="dxa"/>
        </w:tblCellMar>
      </w:tblPr>
      <w:tblGrid>
        <w:gridCol w:w="554"/>
        <w:gridCol w:w="761"/>
        <w:gridCol w:w="1023"/>
        <w:gridCol w:w="2451"/>
        <w:gridCol w:w="484"/>
        <w:gridCol w:w="600"/>
        <w:gridCol w:w="1285"/>
        <w:gridCol w:w="1314"/>
        <w:gridCol w:w="685"/>
        <w:gridCol w:w="926"/>
        <w:gridCol w:w="552"/>
      </w:tblGrid>
      <w:tr>
        <w:tblPrEx>
          <w:tblCellMar>
            <w:top w:w="0" w:type="dxa"/>
            <w:left w:w="108" w:type="dxa"/>
            <w:bottom w:w="0" w:type="dxa"/>
            <w:right w:w="108" w:type="dxa"/>
          </w:tblCellMar>
        </w:tblPrEx>
        <w:trPr>
          <w:trHeight w:val="570" w:hRule="atLeast"/>
        </w:trPr>
        <w:tc>
          <w:tcPr>
            <w:tcW w:w="10635" w:type="dxa"/>
            <w:gridSpan w:val="11"/>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32"/>
                <w:szCs w:val="32"/>
              </w:rPr>
            </w:pPr>
            <w:r>
              <w:rPr>
                <w:rFonts w:hint="eastAsia" w:ascii="宋体" w:hAnsi="宋体" w:cs="宋体"/>
                <w:b/>
                <w:bCs/>
                <w:color w:val="000000"/>
                <w:kern w:val="0"/>
                <w:sz w:val="32"/>
                <w:szCs w:val="32"/>
              </w:rPr>
              <w:t>绩效目标自评表</w:t>
            </w:r>
          </w:p>
        </w:tc>
      </w:tr>
      <w:tr>
        <w:tblPrEx>
          <w:tblCellMar>
            <w:top w:w="0" w:type="dxa"/>
            <w:left w:w="108" w:type="dxa"/>
            <w:bottom w:w="0" w:type="dxa"/>
            <w:right w:w="108" w:type="dxa"/>
          </w:tblCellMar>
        </w:tblPrEx>
        <w:trPr>
          <w:trHeight w:val="420" w:hRule="atLeast"/>
        </w:trPr>
        <w:tc>
          <w:tcPr>
            <w:tcW w:w="10635" w:type="dxa"/>
            <w:gridSpan w:val="11"/>
            <w:tcBorders>
              <w:top w:val="nil"/>
              <w:left w:val="nil"/>
              <w:bottom w:val="single" w:color="000000" w:sz="4" w:space="0"/>
              <w:right w:val="nil"/>
            </w:tcBorders>
            <w:shd w:val="clear" w:color="auto" w:fill="auto"/>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（2021年度）</w:t>
            </w:r>
          </w:p>
        </w:tc>
      </w:tr>
      <w:tr>
        <w:tblPrEx>
          <w:tblCellMar>
            <w:top w:w="0" w:type="dxa"/>
            <w:left w:w="108" w:type="dxa"/>
            <w:bottom w:w="0" w:type="dxa"/>
            <w:right w:w="108" w:type="dxa"/>
          </w:tblCellMar>
        </w:tblPrEx>
        <w:trPr>
          <w:trHeight w:val="555"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驻村工作经费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项目负责人电话</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廖成强</w:t>
            </w:r>
          </w:p>
        </w:tc>
      </w:tr>
      <w:tr>
        <w:trPr>
          <w:trHeight w:val="300"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通江县卫生健康局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实施单位</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通江县杨柏镇卫生院</w:t>
            </w:r>
          </w:p>
        </w:tc>
      </w:tr>
      <w:tr>
        <w:tblPrEx>
          <w:tblCellMar>
            <w:top w:w="0" w:type="dxa"/>
            <w:left w:w="108" w:type="dxa"/>
            <w:bottom w:w="0" w:type="dxa"/>
            <w:right w:w="108" w:type="dxa"/>
          </w:tblCellMar>
        </w:tblPrEx>
        <w:trPr>
          <w:trHeight w:val="465" w:hRule="atLeast"/>
        </w:trPr>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资金情况</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全年预算数（A）</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执行率（B/A</w:t>
            </w:r>
            <w: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其中：本年财政拨款</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其他资金</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8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年初设定目标</w:t>
            </w:r>
          </w:p>
        </w:tc>
        <w:tc>
          <w:tcPr>
            <w:tcW w:w="4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年度总体目标完成情况综述</w:t>
            </w:r>
          </w:p>
        </w:tc>
      </w:tr>
      <w:tr>
        <w:tblPrEx>
          <w:tblCellMar>
            <w:top w:w="0" w:type="dxa"/>
            <w:left w:w="108" w:type="dxa"/>
            <w:bottom w:w="0" w:type="dxa"/>
            <w:right w:w="108" w:type="dxa"/>
          </w:tblCellMar>
        </w:tblPrEx>
        <w:trPr>
          <w:trHeight w:val="52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通过预算执行：保障通江县杨柏镇卫生院1名驻村扶贫人员的生活及工作补助。</w:t>
            </w:r>
          </w:p>
        </w:tc>
        <w:tc>
          <w:tcPr>
            <w:tcW w:w="4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实际支出严格控制在预算内，并按期完成。</w:t>
            </w:r>
          </w:p>
        </w:tc>
      </w:tr>
      <w:tr>
        <w:tblPrEx>
          <w:tblCellMar>
            <w:top w:w="0" w:type="dxa"/>
            <w:left w:w="108" w:type="dxa"/>
            <w:bottom w:w="0" w:type="dxa"/>
            <w:right w:w="108" w:type="dxa"/>
          </w:tblCellMar>
        </w:tblPrEx>
        <w:trPr>
          <w:trHeight w:val="55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未完成原因及拟采取的改进措施</w:t>
            </w:r>
          </w:p>
        </w:tc>
      </w:tr>
      <w:tr>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出</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50分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驻村扶贫人数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驻村扶贫人员办公费的报账使用率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本单位驻村工作队驻村时间不少于22天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rPr>
          <w:trHeight w:val="2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按期完成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2021年1-12月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2021年1-12月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财政拨付资金占项目实施总成本比重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益</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30分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经济效益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驻村人员、帮扶对象幸福指数增加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提高了扶贫对象的生活水平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生态效益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精准扶贫活动，改善人居环境</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体现政策导向，激发社会活力</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长期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长期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对社会未来可持续发展的影响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8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满意度指标</w:t>
            </w:r>
          </w:p>
          <w:p>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10分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服务对象</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通过项目的实施，力争使我县相关</w:t>
            </w:r>
            <w:r>
              <w:rPr>
                <w:rFonts w:hint="eastAsia" w:ascii="宋体" w:hAnsi="宋体" w:cs="宋体"/>
                <w:color w:val="000000"/>
                <w:kern w:val="0"/>
                <w:sz w:val="20"/>
                <w:szCs w:val="20"/>
                <w:u w:val="none" w:color="46CD7E"/>
                <w:shd w:val="clear" w:fill="auto"/>
                <w:lang w:eastAsia="zh-CN"/>
              </w:rPr>
              <w:t>部门</w:t>
            </w:r>
            <w:r>
              <w:rPr>
                <w:rFonts w:hint="eastAsia" w:ascii="宋体" w:hAnsi="宋体" w:cs="宋体"/>
                <w:color w:val="000000"/>
                <w:kern w:val="0"/>
                <w:sz w:val="20"/>
                <w:szCs w:val="20"/>
              </w:rPr>
              <w:t>领导和社会对我院项目实施的满意度达到较好水平</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52" w:hRule="atLeast"/>
        </w:trPr>
        <w:tc>
          <w:tcPr>
            <w:tcW w:w="5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39" w:hRule="atLeast"/>
        </w:trPr>
        <w:tc>
          <w:tcPr>
            <w:tcW w:w="10635" w:type="dxa"/>
            <w:gridSpan w:val="11"/>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469" w:hRule="atLeast"/>
        </w:trPr>
        <w:tc>
          <w:tcPr>
            <w:tcW w:w="10635" w:type="dxa"/>
            <w:gridSpan w:val="11"/>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p>
        </w:tc>
      </w:tr>
      <w:bookmarkEnd w:id="84"/>
      <w:tr>
        <w:tblPrEx>
          <w:tblCellMar>
            <w:top w:w="0" w:type="dxa"/>
            <w:left w:w="108" w:type="dxa"/>
            <w:bottom w:w="0" w:type="dxa"/>
            <w:right w:w="108" w:type="dxa"/>
          </w:tblCellMar>
        </w:tblPrEx>
        <w:trPr>
          <w:trHeight w:val="720" w:hRule="atLeast"/>
        </w:trPr>
        <w:tc>
          <w:tcPr>
            <w:tcW w:w="10635" w:type="dxa"/>
            <w:gridSpan w:val="11"/>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p>
        </w:tc>
      </w:tr>
    </w:tbl>
    <w:p>
      <w:pPr>
        <w:pStyle w:val="3"/>
        <w:spacing w:before="93"/>
      </w:pPr>
    </w:p>
    <w:tbl>
      <w:tblPr>
        <w:tblStyle w:val="7"/>
        <w:tblpPr w:leftFromText="180" w:rightFromText="180" w:vertAnchor="text" w:horzAnchor="page" w:tblpX="925" w:tblpY="427"/>
        <w:tblOverlap w:val="never"/>
        <w:tblW w:w="10140" w:type="dxa"/>
        <w:tblInd w:w="0" w:type="dxa"/>
        <w:tblLayout w:type="autofit"/>
        <w:tblCellMar>
          <w:top w:w="0" w:type="dxa"/>
          <w:left w:w="108" w:type="dxa"/>
          <w:bottom w:w="0" w:type="dxa"/>
          <w:right w:w="108" w:type="dxa"/>
        </w:tblCellMar>
      </w:tblPr>
      <w:tblGrid>
        <w:gridCol w:w="10140"/>
      </w:tblGrid>
      <w:tr>
        <w:trPr>
          <w:trHeight w:val="995" w:hRule="atLeast"/>
        </w:trPr>
        <w:tc>
          <w:tcPr>
            <w:tcW w:w="10140" w:type="dxa"/>
            <w:tcBorders>
              <w:top w:val="nil"/>
              <w:left w:val="nil"/>
              <w:bottom w:val="nil"/>
              <w:right w:val="nil"/>
            </w:tcBorders>
            <w:shd w:val="clear" w:color="auto" w:fill="auto"/>
            <w:vAlign w:val="center"/>
          </w:tcPr>
          <w:p>
            <w:pPr>
              <w:spacing w:line="572" w:lineRule="exact"/>
              <w:jc w:val="left"/>
              <w:outlineLvl w:val="1"/>
              <w:rPr>
                <w:rFonts w:ascii="仿宋_GB2312" w:hAnsi="仿宋_GB2312" w:eastAsia="黑体" w:cs="仿宋_GB2312"/>
                <w:sz w:val="32"/>
                <w:szCs w:val="32"/>
              </w:rPr>
            </w:pPr>
            <w:bookmarkStart w:id="85" w:name="_Toc15396618"/>
            <w:r>
              <w:rPr>
                <w:rFonts w:hint="eastAsia" w:ascii="黑体" w:hAnsi="黑体" w:eastAsia="黑体" w:cs="黑体"/>
                <w:sz w:val="32"/>
                <w:szCs w:val="32"/>
              </w:rPr>
              <w:t>附件2</w:t>
            </w:r>
          </w:p>
          <w:p>
            <w:pPr>
              <w:widowControl/>
              <w:jc w:val="center"/>
              <w:textAlignment w:val="center"/>
              <w:rPr>
                <w:rFonts w:ascii="宋体" w:hAnsi="宋体" w:cs="宋体"/>
                <w:b/>
                <w:bCs/>
                <w:color w:val="000000"/>
                <w:kern w:val="0"/>
                <w:sz w:val="32"/>
                <w:szCs w:val="32"/>
              </w:rPr>
            </w:pPr>
          </w:p>
          <w:p>
            <w:pPr>
              <w:widowControl/>
              <w:jc w:val="center"/>
              <w:textAlignment w:val="center"/>
              <w:rPr>
                <w:rFonts w:ascii="宋体" w:hAnsi="宋体" w:cs="宋体"/>
                <w:b/>
                <w:bCs/>
                <w:color w:val="000000"/>
                <w:sz w:val="32"/>
                <w:szCs w:val="32"/>
              </w:rPr>
            </w:pPr>
          </w:p>
        </w:tc>
      </w:tr>
    </w:tbl>
    <w:tbl>
      <w:tblPr>
        <w:tblStyle w:val="7"/>
        <w:tblpPr w:leftFromText="180" w:rightFromText="180" w:vertAnchor="text" w:horzAnchor="page" w:tblpX="1281" w:tblpY="660"/>
        <w:tblOverlap w:val="never"/>
        <w:tblW w:w="9811" w:type="dxa"/>
        <w:tblInd w:w="0" w:type="dxa"/>
        <w:tblLayout w:type="autofit"/>
        <w:tblCellMar>
          <w:top w:w="0" w:type="dxa"/>
          <w:left w:w="108" w:type="dxa"/>
          <w:bottom w:w="0" w:type="dxa"/>
          <w:right w:w="108" w:type="dxa"/>
        </w:tblCellMar>
      </w:tblPr>
      <w:tblGrid>
        <w:gridCol w:w="1977"/>
        <w:gridCol w:w="1142"/>
        <w:gridCol w:w="1635"/>
        <w:gridCol w:w="1189"/>
        <w:gridCol w:w="1516"/>
        <w:gridCol w:w="1905"/>
        <w:gridCol w:w="447"/>
      </w:tblGrid>
      <w:tr>
        <w:tblPrEx>
          <w:tblCellMar>
            <w:top w:w="0" w:type="dxa"/>
            <w:left w:w="108" w:type="dxa"/>
            <w:bottom w:w="0" w:type="dxa"/>
            <w:right w:w="108" w:type="dxa"/>
          </w:tblCellMar>
        </w:tblPrEx>
        <w:trPr>
          <w:trHeight w:val="90" w:hRule="atLeast"/>
        </w:trPr>
        <w:tc>
          <w:tcPr>
            <w:tcW w:w="9364"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447"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447"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通江县卫生健康局558001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通江县杨柏镇卫生院</w:t>
            </w:r>
          </w:p>
          <w:p>
            <w:pPr>
              <w:widowControl/>
              <w:spacing w:line="320" w:lineRule="exact"/>
              <w:jc w:val="center"/>
              <w:textAlignment w:val="center"/>
              <w:rPr>
                <w:rFonts w:ascii="宋体" w:hAnsi="宋体" w:cs="宋体"/>
                <w:sz w:val="24"/>
              </w:rPr>
            </w:pPr>
            <w:r>
              <w:rPr>
                <w:rFonts w:hint="eastAsia" w:ascii="宋体" w:hAnsi="宋体" w:cs="宋体"/>
                <w:sz w:val="24"/>
              </w:rPr>
              <w:t>558013</w:t>
            </w:r>
          </w:p>
        </w:tc>
      </w:tr>
      <w:tr>
        <w:tblPrEx>
          <w:tblCellMar>
            <w:top w:w="0" w:type="dxa"/>
            <w:left w:w="108" w:type="dxa"/>
            <w:bottom w:w="0" w:type="dxa"/>
            <w:right w:w="108" w:type="dxa"/>
          </w:tblCellMar>
        </w:tblPrEx>
        <w:trPr>
          <w:gridAfter w:val="1"/>
          <w:wAfter w:w="447"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146.75</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146.75</w:t>
            </w:r>
          </w:p>
        </w:tc>
      </w:tr>
      <w:tr>
        <w:tblPrEx>
          <w:tblCellMar>
            <w:top w:w="0" w:type="dxa"/>
            <w:left w:w="108" w:type="dxa"/>
            <w:bottom w:w="0" w:type="dxa"/>
            <w:right w:w="108" w:type="dxa"/>
          </w:tblCellMar>
        </w:tblPrEx>
        <w:trPr>
          <w:gridAfter w:val="1"/>
          <w:wAfter w:w="447"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pPr>
            <w:r>
              <w:rPr>
                <w:rFonts w:hint="eastAsia" w:ascii="宋体" w:hAnsi="宋体" w:cs="宋体"/>
                <w:sz w:val="24"/>
              </w:rPr>
              <w:t>146.75</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146.75</w:t>
            </w:r>
          </w:p>
        </w:tc>
      </w:tr>
      <w:tr>
        <w:tblPrEx>
          <w:tblCellMar>
            <w:top w:w="0" w:type="dxa"/>
            <w:left w:w="108" w:type="dxa"/>
            <w:bottom w:w="0" w:type="dxa"/>
            <w:right w:w="108" w:type="dxa"/>
          </w:tblCellMar>
        </w:tblPrEx>
        <w:trPr>
          <w:gridAfter w:val="1"/>
          <w:wAfter w:w="447"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447"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447"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ascii="宋体" w:hAnsi="宋体" w:cs="宋体"/>
                <w:sz w:val="24"/>
              </w:rPr>
            </w:pPr>
            <w:r>
              <w:rPr>
                <w:rFonts w:hint="eastAsia" w:ascii="宋体" w:hAnsi="宋体" w:cs="宋体"/>
                <w:sz w:val="24"/>
              </w:rPr>
              <w:t>目标1：改善老百姓看病难看病贵的问题</w:t>
            </w:r>
            <w:r>
              <w:t>。</w:t>
            </w:r>
          </w:p>
          <w:p>
            <w:pPr>
              <w:widowControl/>
              <w:spacing w:line="320" w:lineRule="exact"/>
              <w:jc w:val="left"/>
              <w:textAlignment w:val="center"/>
              <w:rPr>
                <w:rFonts w:ascii="宋体" w:hAnsi="宋体" w:cs="宋体"/>
                <w:sz w:val="24"/>
              </w:rPr>
            </w:pPr>
            <w:r>
              <w:rPr>
                <w:rFonts w:hint="eastAsia" w:ascii="宋体" w:hAnsi="宋体" w:cs="宋体"/>
                <w:sz w:val="24"/>
              </w:rPr>
              <w:t>目标2：提升医疗服务能力</w:t>
            </w:r>
            <w:r>
              <w:t>。</w:t>
            </w:r>
          </w:p>
          <w:p>
            <w:pPr>
              <w:widowControl/>
              <w:spacing w:line="320" w:lineRule="exact"/>
              <w:jc w:val="left"/>
              <w:textAlignment w:val="center"/>
              <w:rPr>
                <w:rFonts w:ascii="宋体" w:hAnsi="宋体" w:eastAsia="华文仿宋" w:cs="宋体"/>
                <w:sz w:val="24"/>
              </w:rPr>
            </w:pPr>
            <w:r>
              <w:rPr>
                <w:rFonts w:hint="eastAsia" w:ascii="宋体" w:hAnsi="宋体" w:cs="宋体"/>
                <w:sz w:val="24"/>
              </w:rPr>
              <w:t>目标3：实现财政资金全方位、全过程、全覆盖绩效管理，开展绩效监控和绩效评价。</w:t>
            </w:r>
          </w:p>
        </w:tc>
        <w:tc>
          <w:tcPr>
            <w:tcW w:w="342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ascii="宋体" w:hAnsi="宋体" w:cs="宋体"/>
                <w:sz w:val="24"/>
              </w:rPr>
            </w:pPr>
            <w:r>
              <w:rPr>
                <w:rFonts w:hint="eastAsia" w:ascii="宋体" w:hAnsi="宋体" w:cs="宋体"/>
                <w:sz w:val="24"/>
              </w:rPr>
              <w:t>1</w:t>
            </w:r>
            <w:r>
              <w:rPr>
                <w:rFonts w:hint="eastAsia" w:ascii="宋体" w:hAnsi="宋体" w:cs="宋体"/>
                <w:sz w:val="24"/>
                <w:u w:val="none" w:color="46CD7E"/>
                <w:shd w:val="clear" w:fill="auto"/>
                <w:lang w:eastAsia="zh-CN"/>
              </w:rPr>
              <w:t>.</w:t>
            </w:r>
            <w:r>
              <w:rPr>
                <w:rFonts w:hint="eastAsia" w:ascii="宋体" w:hAnsi="宋体" w:cs="宋体"/>
                <w:sz w:val="24"/>
              </w:rPr>
              <w:t>实行了全部西药、中成药零加成，减轻了老百姓看病买药的负担</w:t>
            </w:r>
            <w:r>
              <w:t>。</w:t>
            </w:r>
          </w:p>
          <w:p>
            <w:pPr>
              <w:widowControl/>
              <w:spacing w:line="320" w:lineRule="exact"/>
              <w:jc w:val="left"/>
              <w:textAlignment w:val="center"/>
              <w:rPr>
                <w:rFonts w:ascii="宋体" w:hAnsi="宋体" w:cs="宋体"/>
                <w:sz w:val="24"/>
              </w:rPr>
            </w:pPr>
            <w:r>
              <w:rPr>
                <w:rFonts w:hint="eastAsia" w:ascii="宋体" w:hAnsi="宋体" w:cs="宋体"/>
                <w:sz w:val="24"/>
              </w:rPr>
              <w:t>2</w:t>
            </w:r>
            <w:r>
              <w:rPr>
                <w:rFonts w:hint="eastAsia" w:ascii="宋体" w:hAnsi="宋体" w:cs="宋体"/>
                <w:sz w:val="24"/>
                <w:u w:val="none" w:color="46CD7E"/>
                <w:shd w:val="clear" w:fill="auto"/>
                <w:lang w:eastAsia="zh-CN"/>
              </w:rPr>
              <w:t>.</w:t>
            </w:r>
            <w:r>
              <w:rPr>
                <w:rFonts w:hint="eastAsia" w:ascii="宋体" w:hAnsi="宋体" w:cs="宋体"/>
                <w:sz w:val="24"/>
              </w:rPr>
              <w:t>扶贫经费按时按标准发放</w:t>
            </w:r>
            <w:r>
              <w:rPr>
                <w:rFonts w:hint="eastAsia" w:ascii="宋体" w:hAnsi="宋体" w:cs="宋体"/>
                <w:sz w:val="24"/>
                <w:u w:val="none" w:color="46CD7E"/>
                <w:shd w:val="clear" w:fill="auto"/>
                <w:lang w:eastAsia="zh-CN"/>
              </w:rPr>
              <w:t>给</w:t>
            </w:r>
            <w:r>
              <w:rPr>
                <w:rFonts w:hint="eastAsia" w:ascii="宋体" w:hAnsi="宋体" w:cs="宋体"/>
                <w:sz w:val="24"/>
              </w:rPr>
              <w:t>驻村工作人员，扶贫工作开展有序</w:t>
            </w:r>
            <w:r>
              <w:t>。</w:t>
            </w:r>
          </w:p>
          <w:p>
            <w:pPr>
              <w:widowControl/>
              <w:spacing w:line="320" w:lineRule="exact"/>
              <w:jc w:val="left"/>
              <w:textAlignment w:val="center"/>
              <w:rPr>
                <w:rFonts w:ascii="宋体" w:hAnsi="宋体" w:eastAsia="华文仿宋" w:cs="宋体"/>
                <w:sz w:val="24"/>
              </w:rPr>
            </w:pPr>
          </w:p>
        </w:tc>
      </w:tr>
      <w:tr>
        <w:tblPrEx>
          <w:tblCellMar>
            <w:top w:w="0" w:type="dxa"/>
            <w:left w:w="108" w:type="dxa"/>
            <w:bottom w:w="0" w:type="dxa"/>
            <w:right w:w="108" w:type="dxa"/>
          </w:tblCellMar>
        </w:tblPrEx>
        <w:trPr>
          <w:gridAfter w:val="1"/>
          <w:wAfter w:w="447"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447"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工资福利保障人数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15人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15人</w:t>
            </w:r>
          </w:p>
        </w:tc>
      </w:tr>
      <w:tr>
        <w:tblPrEx>
          <w:tblCellMar>
            <w:top w:w="0" w:type="dxa"/>
            <w:left w:w="108" w:type="dxa"/>
            <w:bottom w:w="0" w:type="dxa"/>
            <w:right w:w="108" w:type="dxa"/>
          </w:tblCellMar>
        </w:tblPrEx>
        <w:trPr>
          <w:gridAfter w:val="1"/>
          <w:wAfter w:w="447"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工资福利、五险一金</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CellMar>
            <w:top w:w="0" w:type="dxa"/>
            <w:left w:w="108" w:type="dxa"/>
            <w:bottom w:w="0" w:type="dxa"/>
            <w:right w:w="108" w:type="dxa"/>
          </w:tblCellMar>
        </w:tblPrEx>
        <w:trPr>
          <w:gridAfter w:val="1"/>
          <w:wAfter w:w="447"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财政拨款补助基本公共卫生人员经费及公用经费发放及时率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CellMar>
            <w:top w:w="0" w:type="dxa"/>
            <w:left w:w="108" w:type="dxa"/>
            <w:bottom w:w="0" w:type="dxa"/>
            <w:right w:w="108" w:type="dxa"/>
          </w:tblCellMar>
        </w:tblPrEx>
        <w:trPr>
          <w:gridAfter w:val="1"/>
          <w:wAfter w:w="447"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工资福利总额</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≤45.68万元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≤45.68万元</w:t>
            </w:r>
          </w:p>
        </w:tc>
      </w:tr>
      <w:tr>
        <w:tblPrEx>
          <w:tblCellMar>
            <w:top w:w="0" w:type="dxa"/>
            <w:left w:w="108" w:type="dxa"/>
            <w:bottom w:w="0" w:type="dxa"/>
            <w:right w:w="108" w:type="dxa"/>
          </w:tblCellMar>
        </w:tblPrEx>
        <w:trPr>
          <w:gridAfter w:val="1"/>
          <w:wAfter w:w="447"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职工人均征收</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≥5万元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≥5万元</w:t>
            </w:r>
          </w:p>
        </w:tc>
      </w:tr>
      <w:tr>
        <w:tblPrEx>
          <w:tblCellMar>
            <w:top w:w="0" w:type="dxa"/>
            <w:left w:w="108" w:type="dxa"/>
            <w:bottom w:w="0" w:type="dxa"/>
            <w:right w:w="108" w:type="dxa"/>
          </w:tblCellMar>
        </w:tblPrEx>
        <w:trPr>
          <w:gridAfter w:val="1"/>
          <w:wAfter w:w="447"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驻村人员、帮扶对象幸福指数增加</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r>
        <w:tblPrEx>
          <w:tblCellMar>
            <w:top w:w="0" w:type="dxa"/>
            <w:left w:w="108" w:type="dxa"/>
            <w:bottom w:w="0" w:type="dxa"/>
            <w:right w:w="108" w:type="dxa"/>
          </w:tblCellMar>
        </w:tblPrEx>
        <w:trPr>
          <w:gridAfter w:val="1"/>
          <w:wAfter w:w="447"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水电能源节约率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CellMar>
            <w:top w:w="0" w:type="dxa"/>
            <w:left w:w="108" w:type="dxa"/>
            <w:bottom w:w="0" w:type="dxa"/>
            <w:right w:w="108" w:type="dxa"/>
          </w:tblCellMar>
        </w:tblPrEx>
        <w:trPr>
          <w:gridAfter w:val="1"/>
          <w:wAfter w:w="447"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对医疗行业未来可持续发展的影响</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bookmarkStart w:id="86" w:name="OLE_LINK10"/>
            <w:r>
              <w:rPr>
                <w:rFonts w:hint="eastAsia" w:ascii="仿宋_GB2312" w:hAnsi="仿宋_GB2312" w:eastAsia="仿宋_GB2312" w:cs="仿宋_GB2312"/>
                <w:sz w:val="28"/>
                <w:szCs w:val="28"/>
              </w:rPr>
              <w:t>可持续</w:t>
            </w:r>
            <w:bookmarkEnd w:id="86"/>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可持续</w:t>
            </w:r>
          </w:p>
        </w:tc>
      </w:tr>
      <w:tr>
        <w:tblPrEx>
          <w:tblCellMar>
            <w:top w:w="0" w:type="dxa"/>
            <w:left w:w="108" w:type="dxa"/>
            <w:bottom w:w="0" w:type="dxa"/>
            <w:right w:w="108" w:type="dxa"/>
          </w:tblCellMar>
        </w:tblPrEx>
        <w:trPr>
          <w:gridAfter w:val="1"/>
          <w:wAfter w:w="447"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仿宋_GB2312" w:hAnsi="仿宋_GB2312" w:eastAsia="仿宋_GB2312" w:cs="仿宋_GB2312"/>
                <w:sz w:val="28"/>
                <w:szCs w:val="28"/>
              </w:rPr>
              <w:t>病人满意度</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bookmarkStart w:id="87" w:name="OLE_LINK11"/>
            <w:r>
              <w:rPr>
                <w:rFonts w:hint="eastAsia" w:ascii="仿宋_GB2312" w:hAnsi="仿宋_GB2312" w:eastAsia="仿宋_GB2312" w:cs="仿宋_GB2312"/>
                <w:sz w:val="28"/>
                <w:szCs w:val="28"/>
              </w:rPr>
              <w:t>100%</w:t>
            </w:r>
            <w:bookmarkEnd w:id="87"/>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bl>
    <w:p>
      <w:pPr>
        <w:pStyle w:val="3"/>
        <w:spacing w:before="93"/>
      </w:pPr>
    </w:p>
    <w:p>
      <w:pPr>
        <w:spacing w:line="600" w:lineRule="exact"/>
        <w:jc w:val="center"/>
        <w:outlineLvl w:val="0"/>
        <w:rPr>
          <w:rFonts w:ascii="仿宋" w:hAnsi="仿宋" w:eastAsia="仿宋"/>
        </w:rPr>
      </w:pPr>
      <w:bookmarkStart w:id="88" w:name="_Toc12299"/>
      <w:r>
        <w:rPr>
          <w:rFonts w:hint="eastAsia" w:ascii="黑体" w:hAnsi="黑体" w:eastAsia="黑体"/>
          <w:sz w:val="44"/>
          <w:szCs w:val="44"/>
        </w:rPr>
        <w:t>第</w:t>
      </w:r>
      <w:r>
        <w:rPr>
          <w:rStyle w:val="29"/>
          <w:rFonts w:hint="eastAsia" w:ascii="黑体" w:hAnsi="黑体" w:eastAsia="黑体"/>
          <w:b w:val="0"/>
        </w:rPr>
        <w:t>五部</w:t>
      </w:r>
      <w:r>
        <w:rPr>
          <w:rFonts w:hint="eastAsia" w:ascii="黑体" w:hAnsi="黑体" w:eastAsia="黑体"/>
        </w:rPr>
        <w:t>分附表</w:t>
      </w:r>
      <w:bookmarkEnd w:id="82"/>
      <w:bookmarkEnd w:id="85"/>
      <w:bookmarkEnd w:id="88"/>
      <w:bookmarkStart w:id="89" w:name="_Toc15396619"/>
    </w:p>
    <w:p>
      <w:pPr>
        <w:pStyle w:val="14"/>
        <w:spacing w:before="0" w:after="0" w:line="640" w:lineRule="exact"/>
        <w:rPr>
          <w:rFonts w:ascii="仿宋" w:hAnsi="仿宋" w:eastAsia="仿宋"/>
          <w:b w:val="0"/>
        </w:rPr>
      </w:pPr>
      <w:bookmarkStart w:id="90" w:name="_Toc18886"/>
    </w:p>
    <w:p>
      <w:pPr>
        <w:pStyle w:val="14"/>
        <w:spacing w:before="0" w:after="0" w:line="640" w:lineRule="exact"/>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89"/>
      <w:bookmarkEnd w:id="90"/>
    </w:p>
    <w:p>
      <w:pPr>
        <w:pStyle w:val="14"/>
        <w:spacing w:before="0" w:after="0" w:line="640" w:lineRule="exact"/>
        <w:rPr>
          <w:rFonts w:ascii="仿宋" w:hAnsi="仿宋" w:eastAsia="仿宋"/>
        </w:rPr>
      </w:pPr>
      <w:bookmarkStart w:id="91" w:name="_Toc1328"/>
      <w:bookmarkStart w:id="92" w:name="_Toc15396620"/>
      <w:r>
        <w:rPr>
          <w:rFonts w:hint="eastAsia" w:ascii="仿宋" w:hAnsi="仿宋" w:eastAsia="仿宋"/>
          <w:b w:val="0"/>
        </w:rPr>
        <w:t>二、收</w:t>
      </w:r>
      <w:r>
        <w:rPr>
          <w:rStyle w:val="30"/>
          <w:rFonts w:hint="eastAsia" w:ascii="仿宋" w:hAnsi="仿宋" w:eastAsia="仿宋"/>
          <w:b w:val="0"/>
          <w:bCs w:val="0"/>
        </w:rPr>
        <w:t>入决算表</w:t>
      </w:r>
      <w:bookmarkEnd w:id="91"/>
      <w:bookmarkEnd w:id="92"/>
    </w:p>
    <w:p>
      <w:pPr>
        <w:pStyle w:val="14"/>
        <w:spacing w:before="0" w:after="0" w:line="640" w:lineRule="exact"/>
        <w:rPr>
          <w:rFonts w:ascii="仿宋" w:hAnsi="仿宋" w:eastAsia="仿宋"/>
        </w:rPr>
      </w:pPr>
      <w:bookmarkStart w:id="93" w:name="_Toc7826"/>
      <w:bookmarkStart w:id="94"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93"/>
      <w:bookmarkEnd w:id="94"/>
    </w:p>
    <w:p>
      <w:pPr>
        <w:pStyle w:val="14"/>
        <w:spacing w:before="0" w:after="0" w:line="640" w:lineRule="exact"/>
        <w:rPr>
          <w:rFonts w:ascii="仿宋" w:hAnsi="仿宋" w:eastAsia="仿宋"/>
          <w:b w:val="0"/>
        </w:rPr>
      </w:pPr>
      <w:bookmarkStart w:id="95" w:name="_Toc32572"/>
      <w:bookmarkStart w:id="96"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w:t>
      </w:r>
      <w:r>
        <w:rPr>
          <w:rFonts w:hint="eastAsia" w:ascii="仿宋" w:hAnsi="仿宋" w:eastAsia="仿宋"/>
          <w:b w:val="0"/>
          <w:bCs w:val="0"/>
        </w:rPr>
        <w:t>款收入支出决算总表</w:t>
      </w:r>
      <w:bookmarkEnd w:id="95"/>
      <w:bookmarkEnd w:id="96"/>
    </w:p>
    <w:p>
      <w:pPr>
        <w:pStyle w:val="14"/>
        <w:spacing w:before="0" w:after="0" w:line="640" w:lineRule="exact"/>
        <w:rPr>
          <w:rStyle w:val="30"/>
          <w:rFonts w:ascii="仿宋" w:hAnsi="仿宋" w:eastAsia="仿宋"/>
          <w:b w:val="0"/>
          <w:bCs w:val="0"/>
        </w:rPr>
      </w:pPr>
      <w:bookmarkStart w:id="97" w:name="_Toc15396623"/>
      <w:bookmarkStart w:id="98" w:name="_Toc26558"/>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w:t>
      </w:r>
      <w:r>
        <w:rPr>
          <w:rFonts w:hint="eastAsia" w:ascii="仿宋" w:hAnsi="仿宋" w:eastAsia="仿宋"/>
          <w:b w:val="0"/>
          <w:bCs w:val="0"/>
        </w:rPr>
        <w:t>款支出决算明细表</w:t>
      </w:r>
      <w:bookmarkEnd w:id="97"/>
      <w:bookmarkEnd w:id="98"/>
      <w:bookmarkStart w:id="99" w:name="_Toc15396624"/>
    </w:p>
    <w:p>
      <w:pPr>
        <w:pStyle w:val="14"/>
        <w:spacing w:before="0" w:after="0" w:line="640" w:lineRule="exact"/>
        <w:rPr>
          <w:rFonts w:ascii="仿宋" w:hAnsi="仿宋" w:eastAsia="仿宋"/>
        </w:rPr>
      </w:pPr>
      <w:bookmarkStart w:id="100" w:name="_Toc7141"/>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w:t>
      </w:r>
      <w:r>
        <w:rPr>
          <w:rFonts w:hint="eastAsia" w:ascii="仿宋" w:hAnsi="仿宋" w:eastAsia="仿宋"/>
          <w:b w:val="0"/>
          <w:bCs w:val="0"/>
        </w:rPr>
        <w:t>财政拨款支出决算表</w:t>
      </w:r>
      <w:bookmarkEnd w:id="99"/>
      <w:bookmarkEnd w:id="100"/>
    </w:p>
    <w:p>
      <w:pPr>
        <w:pStyle w:val="14"/>
        <w:spacing w:before="0" w:after="0" w:line="640" w:lineRule="exact"/>
        <w:rPr>
          <w:rFonts w:ascii="仿宋" w:hAnsi="仿宋" w:eastAsia="仿宋"/>
        </w:rPr>
      </w:pPr>
      <w:bookmarkStart w:id="101" w:name="_Toc15396625"/>
      <w:bookmarkStart w:id="102" w:name="_Toc20189"/>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w:t>
      </w:r>
      <w:r>
        <w:rPr>
          <w:rFonts w:hint="eastAsia" w:ascii="仿宋" w:hAnsi="仿宋" w:eastAsia="仿宋"/>
          <w:b w:val="0"/>
          <w:bCs w:val="0"/>
        </w:rPr>
        <w:t>财政拨款支出决算明细表</w:t>
      </w:r>
      <w:bookmarkEnd w:id="101"/>
      <w:bookmarkEnd w:id="102"/>
    </w:p>
    <w:p>
      <w:pPr>
        <w:pStyle w:val="14"/>
        <w:spacing w:before="0" w:after="0" w:line="640" w:lineRule="exact"/>
        <w:rPr>
          <w:rFonts w:ascii="仿宋" w:hAnsi="仿宋" w:eastAsia="仿宋"/>
        </w:rPr>
      </w:pPr>
      <w:bookmarkStart w:id="103" w:name="_Toc15963"/>
      <w:bookmarkStart w:id="104"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w:t>
      </w:r>
      <w:r>
        <w:rPr>
          <w:rFonts w:hint="eastAsia" w:ascii="仿宋" w:hAnsi="仿宋" w:eastAsia="仿宋"/>
          <w:b w:val="0"/>
          <w:bCs w:val="0"/>
        </w:rPr>
        <w:t>财政拨款基本支出决算表</w:t>
      </w:r>
      <w:bookmarkEnd w:id="103"/>
      <w:bookmarkEnd w:id="104"/>
    </w:p>
    <w:p>
      <w:pPr>
        <w:pStyle w:val="14"/>
        <w:spacing w:before="0" w:after="0" w:line="640" w:lineRule="exact"/>
        <w:rPr>
          <w:rFonts w:ascii="仿宋" w:hAnsi="仿宋" w:eastAsia="仿宋"/>
        </w:rPr>
      </w:pPr>
      <w:bookmarkStart w:id="105" w:name="_Toc12958"/>
      <w:bookmarkStart w:id="106"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w:t>
      </w:r>
      <w:r>
        <w:rPr>
          <w:rFonts w:hint="eastAsia" w:ascii="仿宋" w:hAnsi="仿宋" w:eastAsia="仿宋"/>
          <w:b w:val="0"/>
          <w:bCs w:val="0"/>
        </w:rPr>
        <w:t>财政拨款项目支出决算表</w:t>
      </w:r>
      <w:bookmarkEnd w:id="105"/>
      <w:bookmarkEnd w:id="106"/>
    </w:p>
    <w:p>
      <w:pPr>
        <w:pStyle w:val="14"/>
        <w:spacing w:before="0" w:after="0" w:line="640" w:lineRule="exact"/>
        <w:rPr>
          <w:rFonts w:ascii="仿宋" w:hAnsi="仿宋" w:eastAsia="仿宋"/>
        </w:rPr>
      </w:pPr>
      <w:bookmarkStart w:id="107" w:name="_Toc14797"/>
      <w:bookmarkStart w:id="108" w:name="_Toc15396628"/>
      <w:r>
        <w:rPr>
          <w:rStyle w:val="30"/>
          <w:rFonts w:hint="eastAsia" w:ascii="仿宋" w:hAnsi="仿宋" w:eastAsia="仿宋"/>
          <w:b w:val="0"/>
          <w:bCs w:val="0"/>
        </w:rPr>
        <w:t>十、</w:t>
      </w:r>
      <w:r>
        <w:rPr>
          <w:rFonts w:hint="eastAsia" w:ascii="仿宋" w:hAnsi="仿宋" w:eastAsia="仿宋"/>
          <w:b w:val="0"/>
        </w:rPr>
        <w:t>一</w:t>
      </w:r>
      <w:r>
        <w:rPr>
          <w:rStyle w:val="30"/>
          <w:rFonts w:hint="eastAsia" w:ascii="仿宋" w:hAnsi="仿宋" w:eastAsia="仿宋"/>
          <w:b w:val="0"/>
          <w:bCs w:val="0"/>
        </w:rPr>
        <w:t>般公共预算</w:t>
      </w:r>
      <w:r>
        <w:rPr>
          <w:rFonts w:hint="eastAsia" w:ascii="仿宋" w:hAnsi="仿宋" w:eastAsia="仿宋"/>
          <w:b w:val="0"/>
          <w:bCs w:val="0"/>
        </w:rPr>
        <w:t>财政拨款“三公”经费支出决算表</w:t>
      </w:r>
      <w:bookmarkEnd w:id="107"/>
      <w:bookmarkEnd w:id="108"/>
    </w:p>
    <w:p>
      <w:pPr>
        <w:pStyle w:val="14"/>
        <w:spacing w:before="0" w:after="0" w:line="640" w:lineRule="exact"/>
        <w:rPr>
          <w:rFonts w:ascii="仿宋" w:hAnsi="仿宋" w:eastAsia="仿宋"/>
        </w:rPr>
      </w:pPr>
      <w:bookmarkStart w:id="109" w:name="_Toc13256"/>
      <w:bookmarkStart w:id="110" w:name="_Toc15396629"/>
      <w:r>
        <w:rPr>
          <w:rStyle w:val="30"/>
          <w:rFonts w:hint="eastAsia" w:ascii="仿宋" w:hAnsi="仿宋" w:eastAsia="仿宋"/>
          <w:b w:val="0"/>
          <w:bCs w:val="0"/>
        </w:rPr>
        <w:t>十一、</w:t>
      </w:r>
      <w:r>
        <w:rPr>
          <w:rFonts w:hint="eastAsia" w:ascii="仿宋" w:hAnsi="仿宋" w:eastAsia="仿宋"/>
          <w:b w:val="0"/>
        </w:rPr>
        <w:t>政</w:t>
      </w:r>
      <w:r>
        <w:rPr>
          <w:rStyle w:val="30"/>
          <w:rFonts w:hint="eastAsia" w:ascii="仿宋" w:hAnsi="仿宋" w:eastAsia="仿宋"/>
          <w:b w:val="0"/>
          <w:bCs w:val="0"/>
        </w:rPr>
        <w:t>府性</w:t>
      </w:r>
      <w:r>
        <w:rPr>
          <w:rFonts w:hint="eastAsia" w:ascii="仿宋" w:hAnsi="仿宋" w:eastAsia="仿宋"/>
          <w:b w:val="0"/>
          <w:bCs w:val="0"/>
        </w:rPr>
        <w:t>基金</w:t>
      </w:r>
      <w:r>
        <w:rPr>
          <w:rStyle w:val="30"/>
          <w:rFonts w:hint="eastAsia" w:ascii="仿宋" w:hAnsi="仿宋" w:eastAsia="仿宋"/>
          <w:b w:val="0"/>
          <w:bCs w:val="0"/>
        </w:rPr>
        <w:t>预算</w:t>
      </w:r>
      <w:r>
        <w:rPr>
          <w:rFonts w:hint="eastAsia" w:ascii="仿宋" w:hAnsi="仿宋" w:eastAsia="仿宋"/>
          <w:b w:val="0"/>
          <w:bCs w:val="0"/>
        </w:rPr>
        <w:t>财政拨款收入支出决算表</w:t>
      </w:r>
      <w:bookmarkEnd w:id="109"/>
      <w:bookmarkEnd w:id="110"/>
    </w:p>
    <w:p>
      <w:pPr>
        <w:pStyle w:val="14"/>
        <w:spacing w:before="0" w:after="0" w:line="640" w:lineRule="exact"/>
        <w:rPr>
          <w:rFonts w:ascii="仿宋" w:hAnsi="仿宋" w:eastAsia="仿宋"/>
        </w:rPr>
      </w:pPr>
      <w:bookmarkStart w:id="111" w:name="_Toc9457"/>
      <w:bookmarkStart w:id="112" w:name="_Toc15396630"/>
      <w:r>
        <w:rPr>
          <w:rStyle w:val="30"/>
          <w:rFonts w:hint="eastAsia" w:ascii="仿宋" w:hAnsi="仿宋" w:eastAsia="仿宋"/>
          <w:b w:val="0"/>
          <w:bCs w:val="0"/>
        </w:rPr>
        <w:t>十二、</w:t>
      </w:r>
      <w:r>
        <w:rPr>
          <w:rFonts w:hint="eastAsia" w:ascii="仿宋" w:hAnsi="仿宋" w:eastAsia="仿宋"/>
          <w:b w:val="0"/>
        </w:rPr>
        <w:t>政</w:t>
      </w:r>
      <w:r>
        <w:rPr>
          <w:rStyle w:val="30"/>
          <w:rFonts w:hint="eastAsia" w:ascii="仿宋" w:hAnsi="仿宋" w:eastAsia="仿宋"/>
          <w:b w:val="0"/>
          <w:bCs w:val="0"/>
        </w:rPr>
        <w:t>府性</w:t>
      </w:r>
      <w:r>
        <w:rPr>
          <w:rFonts w:hint="eastAsia" w:ascii="仿宋" w:hAnsi="仿宋" w:eastAsia="仿宋"/>
          <w:b w:val="0"/>
          <w:bCs w:val="0"/>
        </w:rPr>
        <w:t>基金</w:t>
      </w:r>
      <w:r>
        <w:rPr>
          <w:rStyle w:val="30"/>
          <w:rFonts w:hint="eastAsia" w:ascii="仿宋" w:hAnsi="仿宋" w:eastAsia="仿宋"/>
          <w:b w:val="0"/>
          <w:bCs w:val="0"/>
        </w:rPr>
        <w:t>预算</w:t>
      </w:r>
      <w:r>
        <w:rPr>
          <w:rFonts w:hint="eastAsia" w:ascii="仿宋" w:hAnsi="仿宋" w:eastAsia="仿宋"/>
          <w:b w:val="0"/>
          <w:bCs w:val="0"/>
        </w:rPr>
        <w:t>财政拨款“三公”经费支出决算表</w:t>
      </w:r>
      <w:bookmarkEnd w:id="111"/>
      <w:bookmarkEnd w:id="112"/>
    </w:p>
    <w:p>
      <w:pPr>
        <w:pStyle w:val="14"/>
        <w:spacing w:before="0" w:after="0" w:line="640" w:lineRule="exact"/>
        <w:rPr>
          <w:rStyle w:val="30"/>
          <w:rFonts w:ascii="仿宋" w:hAnsi="仿宋" w:eastAsia="仿宋"/>
          <w:b w:val="0"/>
          <w:bCs w:val="0"/>
        </w:rPr>
      </w:pPr>
      <w:bookmarkStart w:id="113" w:name="_Toc19227"/>
      <w:bookmarkStart w:id="114" w:name="_Toc15396631"/>
      <w:r>
        <w:rPr>
          <w:rStyle w:val="30"/>
          <w:rFonts w:hint="eastAsia" w:ascii="仿宋" w:hAnsi="仿宋" w:eastAsia="仿宋"/>
          <w:b w:val="0"/>
          <w:bCs w:val="0"/>
        </w:rPr>
        <w:t>十三、</w:t>
      </w:r>
      <w:r>
        <w:rPr>
          <w:rFonts w:hint="eastAsia" w:ascii="仿宋" w:hAnsi="仿宋" w:eastAsia="仿宋"/>
          <w:b w:val="0"/>
        </w:rPr>
        <w:t>国</w:t>
      </w:r>
      <w:r>
        <w:rPr>
          <w:rStyle w:val="30"/>
          <w:rFonts w:hint="eastAsia" w:ascii="仿宋" w:hAnsi="仿宋" w:eastAsia="仿宋"/>
          <w:b w:val="0"/>
          <w:bCs w:val="0"/>
        </w:rPr>
        <w:t>有资本经营预算财政拨</w:t>
      </w:r>
      <w:r>
        <w:rPr>
          <w:rFonts w:hint="eastAsia" w:ascii="仿宋" w:hAnsi="仿宋" w:eastAsia="仿宋"/>
          <w:b w:val="0"/>
          <w:bCs w:val="0"/>
        </w:rPr>
        <w:t>款收入</w:t>
      </w:r>
      <w:r>
        <w:rPr>
          <w:rStyle w:val="30"/>
          <w:rFonts w:hint="eastAsia" w:ascii="仿宋" w:hAnsi="仿宋" w:eastAsia="仿宋"/>
          <w:b w:val="0"/>
          <w:bCs w:val="0"/>
        </w:rPr>
        <w:t>支出决算表</w:t>
      </w:r>
      <w:bookmarkEnd w:id="113"/>
      <w:bookmarkEnd w:id="114"/>
    </w:p>
    <w:p>
      <w:pPr>
        <w:spacing w:line="640" w:lineRule="exact"/>
        <w:rPr>
          <w:rFonts w:eastAsia="仿宋"/>
          <w:sz w:val="32"/>
          <w:szCs w:val="32"/>
        </w:rPr>
      </w:pPr>
      <w:bookmarkStart w:id="115" w:name="_Toc26335"/>
      <w:r>
        <w:rPr>
          <w:rStyle w:val="30"/>
          <w:rFonts w:hint="eastAsia" w:ascii="仿宋" w:hAnsi="仿宋" w:eastAsia="仿宋"/>
          <w:b w:val="0"/>
          <w:bCs w:val="0"/>
        </w:rPr>
        <w:t>十四、国有资本经营预算</w:t>
      </w:r>
      <w:r>
        <w:rPr>
          <w:rFonts w:hint="eastAsia" w:ascii="仿宋" w:hAnsi="仿宋" w:eastAsia="仿宋"/>
          <w:sz w:val="32"/>
          <w:szCs w:val="32"/>
        </w:rPr>
        <w:t>财政拨款支出决算表</w:t>
      </w:r>
      <w:bookmarkEnd w:id="11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7"/>
          <w:jc w:val="center"/>
        </w:pPr>
        <w:r>
          <w:fldChar w:fldCharType="begin"/>
        </w:r>
        <w:r>
          <w:instrText xml:space="preserve">PAGE   \* MERGEFORMAT</w:instrText>
        </w:r>
        <w:r>
          <w:fldChar w:fldCharType="separate"/>
        </w:r>
        <w:r>
          <w:rPr>
            <w:lang w:val="zh-CN"/>
          </w:rPr>
          <w:t>18</w:t>
        </w:r>
        <w: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A3338"/>
    <w:multiLevelType w:val="singleLevel"/>
    <w:tmpl w:val="0EFA3338"/>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52A728FD"/>
    <w:multiLevelType w:val="multilevel"/>
    <w:tmpl w:val="52A728F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5E40358"/>
    <w:multiLevelType w:val="singleLevel"/>
    <w:tmpl w:val="75E40358"/>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ViMTY2MzAwNzZjNjc3NDcyZjNiODJhNzZkNmE1YzIifQ=="/>
  </w:docVars>
  <w:rsids>
    <w:rsidRoot w:val="00E7480B"/>
    <w:rsid w:val="00C57BA0"/>
    <w:rsid w:val="00E7480B"/>
    <w:rsid w:val="00F85357"/>
    <w:rsid w:val="7C4E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52"/>
    <w:qFormat/>
    <w:uiPriority w:val="99"/>
    <w:pPr>
      <w:tabs>
        <w:tab w:val="center" w:pos="4153"/>
        <w:tab w:val="right" w:pos="8306"/>
      </w:tabs>
      <w:snapToGrid w:val="0"/>
      <w:jc w:val="left"/>
    </w:pPr>
    <w:rPr>
      <w:sz w:val="18"/>
      <w:szCs w:val="18"/>
    </w:rPr>
  </w:style>
  <w:style w:type="paragraph" w:styleId="6">
    <w:name w:val="header"/>
    <w:basedOn w:val="1"/>
    <w:link w:val="51"/>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uiPriority w:val="99"/>
    <w:rPr>
      <w:sz w:val="21"/>
      <w:szCs w:val="21"/>
    </w:rPr>
  </w:style>
  <w:style w:type="paragraph" w:customStyle="1" w:styleId="13">
    <w:name w:val="Heading 1"/>
    <w:basedOn w:val="1"/>
    <w:next w:val="1"/>
    <w:link w:val="29"/>
    <w:qFormat/>
    <w:uiPriority w:val="9"/>
    <w:pPr>
      <w:keepNext/>
      <w:keepLines/>
      <w:spacing w:before="340" w:after="330" w:line="578" w:lineRule="auto"/>
      <w:outlineLvl w:val="0"/>
    </w:pPr>
    <w:rPr>
      <w:b/>
      <w:bCs/>
      <w:kern w:val="44"/>
      <w:sz w:val="44"/>
      <w:szCs w:val="44"/>
    </w:rPr>
  </w:style>
  <w:style w:type="paragraph" w:customStyle="1" w:styleId="1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Heading 3"/>
    <w:basedOn w:val="1"/>
    <w:next w:val="1"/>
    <w:link w:val="33"/>
    <w:unhideWhenUsed/>
    <w:qFormat/>
    <w:uiPriority w:val="9"/>
    <w:pPr>
      <w:keepNext/>
      <w:keepLines/>
      <w:spacing w:before="260" w:after="260" w:line="416" w:lineRule="auto"/>
      <w:outlineLvl w:val="2"/>
    </w:pPr>
    <w:rPr>
      <w:b/>
      <w:bCs/>
      <w:sz w:val="32"/>
      <w:szCs w:val="32"/>
    </w:rPr>
  </w:style>
  <w:style w:type="paragraph" w:customStyle="1" w:styleId="16">
    <w:name w:val="TOC 3"/>
    <w:basedOn w:val="1"/>
    <w:next w:val="1"/>
    <w:unhideWhenUsed/>
    <w:qFormat/>
    <w:uiPriority w:val="39"/>
    <w:pPr>
      <w:tabs>
        <w:tab w:val="right" w:leader="dot" w:pos="8296"/>
      </w:tabs>
      <w:ind w:left="840" w:leftChars="400"/>
    </w:pPr>
  </w:style>
  <w:style w:type="paragraph" w:customStyle="1" w:styleId="17">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0">
    <w:name w:val="TOC 2"/>
    <w:basedOn w:val="1"/>
    <w:next w:val="1"/>
    <w:unhideWhenUsed/>
    <w:qFormat/>
    <w:uiPriority w:val="39"/>
    <w:pPr>
      <w:tabs>
        <w:tab w:val="right" w:leader="dot" w:pos="8296"/>
      </w:tabs>
      <w:ind w:left="420" w:leftChars="200"/>
    </w:pPr>
  </w:style>
  <w:style w:type="character" w:customStyle="1" w:styleId="21">
    <w:name w:val="Header Char"/>
    <w:basedOn w:val="9"/>
    <w:semiHidden/>
    <w:qFormat/>
    <w:uiPriority w:val="99"/>
    <w:rPr>
      <w:rFonts w:ascii="Times New Roman" w:hAnsi="Times New Roman"/>
      <w:sz w:val="18"/>
      <w:szCs w:val="18"/>
    </w:rPr>
  </w:style>
  <w:style w:type="character" w:customStyle="1" w:styleId="22">
    <w:name w:val="页眉 Char"/>
    <w:semiHidden/>
    <w:qFormat/>
    <w:locked/>
    <w:uiPriority w:val="99"/>
    <w:rPr>
      <w:sz w:val="18"/>
    </w:rPr>
  </w:style>
  <w:style w:type="character" w:customStyle="1" w:styleId="23">
    <w:name w:val="Footer Char"/>
    <w:basedOn w:val="9"/>
    <w:semiHidden/>
    <w:qFormat/>
    <w:uiPriority w:val="99"/>
    <w:rPr>
      <w:rFonts w:ascii="Times New Roman" w:hAnsi="Times New Roman"/>
      <w:sz w:val="18"/>
      <w:szCs w:val="18"/>
    </w:rPr>
  </w:style>
  <w:style w:type="character" w:customStyle="1" w:styleId="24">
    <w:name w:val="页脚 Char"/>
    <w:qFormat/>
    <w:locked/>
    <w:uiPriority w:val="99"/>
    <w:rPr>
      <w:sz w:val="18"/>
    </w:rPr>
  </w:style>
  <w:style w:type="character" w:customStyle="1" w:styleId="25">
    <w:name w:val="Body Text Char"/>
    <w:basedOn w:val="9"/>
    <w:semiHidden/>
    <w:qFormat/>
    <w:uiPriority w:val="99"/>
    <w:rPr>
      <w:rFonts w:ascii="Times New Roman" w:hAnsi="Times New Roman"/>
      <w:szCs w:val="24"/>
    </w:rPr>
  </w:style>
  <w:style w:type="character" w:customStyle="1" w:styleId="26">
    <w:name w:val="正文文本 Char"/>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9"/>
    <w:link w:val="13"/>
    <w:qFormat/>
    <w:uiPriority w:val="9"/>
    <w:rPr>
      <w:rFonts w:ascii="Times New Roman" w:hAnsi="Times New Roman"/>
      <w:b/>
      <w:bCs/>
      <w:kern w:val="44"/>
      <w:sz w:val="44"/>
      <w:szCs w:val="44"/>
    </w:rPr>
  </w:style>
  <w:style w:type="character" w:customStyle="1" w:styleId="30">
    <w:name w:val="标题 2 Char"/>
    <w:basedOn w:val="9"/>
    <w:link w:val="14"/>
    <w:qFormat/>
    <w:uiPriority w:val="9"/>
    <w:rPr>
      <w:rFonts w:asciiTheme="majorHAnsi" w:hAnsiTheme="majorHAnsi" w:eastAsiaTheme="majorEastAsia" w:cstheme="majorBidi"/>
      <w:b/>
      <w:bCs/>
      <w:kern w:val="2"/>
      <w:sz w:val="32"/>
      <w:szCs w:val="32"/>
    </w:rPr>
  </w:style>
  <w:style w:type="paragraph" w:customStyle="1" w:styleId="31">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9"/>
    <w:semiHidden/>
    <w:qFormat/>
    <w:uiPriority w:val="99"/>
    <w:rPr>
      <w:rFonts w:ascii="Times New Roman" w:hAnsi="Times New Roman"/>
      <w:kern w:val="2"/>
      <w:sz w:val="18"/>
      <w:szCs w:val="18"/>
    </w:rPr>
  </w:style>
  <w:style w:type="character" w:customStyle="1" w:styleId="33">
    <w:name w:val="标题 3 Char"/>
    <w:basedOn w:val="9"/>
    <w:link w:val="15"/>
    <w:qFormat/>
    <w:uiPriority w:val="9"/>
    <w:rPr>
      <w:rFonts w:ascii="Times New Roman" w:hAnsi="Times New Roman"/>
      <w:b/>
      <w:bCs/>
      <w:kern w:val="2"/>
      <w:sz w:val="32"/>
      <w:szCs w:val="32"/>
    </w:rPr>
  </w:style>
  <w:style w:type="paragraph" w:customStyle="1" w:styleId="34">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font41"/>
    <w:basedOn w:val="9"/>
    <w:qFormat/>
    <w:uiPriority w:val="0"/>
    <w:rPr>
      <w:rFonts w:hint="eastAsia" w:ascii="宋体" w:hAnsi="宋体" w:eastAsia="宋体" w:cs="宋体"/>
      <w:b/>
      <w:bCs/>
      <w:color w:val="000000"/>
      <w:sz w:val="32"/>
      <w:szCs w:val="32"/>
      <w:u w:val="none"/>
    </w:rPr>
  </w:style>
  <w:style w:type="character" w:customStyle="1" w:styleId="36">
    <w:name w:val="font31"/>
    <w:basedOn w:val="9"/>
    <w:qFormat/>
    <w:uiPriority w:val="0"/>
    <w:rPr>
      <w:rFonts w:hint="eastAsia" w:ascii="宋体" w:hAnsi="宋体" w:eastAsia="宋体" w:cs="宋体"/>
      <w:color w:val="000000"/>
      <w:sz w:val="32"/>
      <w:szCs w:val="32"/>
      <w:u w:val="none"/>
    </w:rPr>
  </w:style>
  <w:style w:type="character" w:customStyle="1" w:styleId="37">
    <w:name w:val="font11"/>
    <w:basedOn w:val="9"/>
    <w:qFormat/>
    <w:uiPriority w:val="0"/>
    <w:rPr>
      <w:rFonts w:hint="eastAsia" w:ascii="宋体" w:hAnsi="宋体" w:eastAsia="宋体" w:cs="宋体"/>
      <w:color w:val="000000"/>
      <w:sz w:val="20"/>
      <w:szCs w:val="20"/>
      <w:u w:val="none"/>
    </w:rPr>
  </w:style>
  <w:style w:type="character" w:customStyle="1" w:styleId="38">
    <w:name w:val="font51"/>
    <w:basedOn w:val="9"/>
    <w:qFormat/>
    <w:uiPriority w:val="0"/>
    <w:rPr>
      <w:rFonts w:hint="eastAsia" w:ascii="宋体" w:hAnsi="宋体" w:eastAsia="宋体" w:cs="宋体"/>
      <w:color w:val="000000"/>
      <w:sz w:val="18"/>
      <w:szCs w:val="18"/>
      <w:u w:val="none"/>
    </w:rPr>
  </w:style>
  <w:style w:type="character" w:customStyle="1" w:styleId="39">
    <w:name w:val="font81"/>
    <w:basedOn w:val="9"/>
    <w:qFormat/>
    <w:uiPriority w:val="0"/>
    <w:rPr>
      <w:rFonts w:hint="eastAsia" w:ascii="宋体" w:hAnsi="宋体" w:eastAsia="宋体" w:cs="宋体"/>
      <w:color w:val="000000"/>
      <w:sz w:val="12"/>
      <w:szCs w:val="12"/>
      <w:u w:val="none"/>
    </w:rPr>
  </w:style>
  <w:style w:type="character" w:customStyle="1" w:styleId="40">
    <w:name w:val="font01"/>
    <w:basedOn w:val="9"/>
    <w:qFormat/>
    <w:uiPriority w:val="0"/>
    <w:rPr>
      <w:rFonts w:hint="eastAsia" w:ascii="宋体" w:hAnsi="宋体" w:eastAsia="宋体" w:cs="宋体"/>
      <w:b/>
      <w:bCs/>
      <w:color w:val="000000"/>
      <w:sz w:val="32"/>
      <w:szCs w:val="32"/>
      <w:u w:val="none"/>
    </w:rPr>
  </w:style>
  <w:style w:type="character" w:customStyle="1" w:styleId="41">
    <w:name w:val="font61"/>
    <w:basedOn w:val="9"/>
    <w:qFormat/>
    <w:uiPriority w:val="0"/>
    <w:rPr>
      <w:rFonts w:hint="eastAsia" w:ascii="宋体" w:hAnsi="宋体" w:eastAsia="宋体" w:cs="宋体"/>
      <w:color w:val="000000"/>
      <w:sz w:val="32"/>
      <w:szCs w:val="32"/>
      <w:u w:val="none"/>
    </w:rPr>
  </w:style>
  <w:style w:type="character" w:customStyle="1" w:styleId="42">
    <w:name w:val="font21"/>
    <w:basedOn w:val="9"/>
    <w:qFormat/>
    <w:uiPriority w:val="0"/>
    <w:rPr>
      <w:rFonts w:hint="eastAsia" w:ascii="宋体" w:hAnsi="宋体" w:eastAsia="宋体" w:cs="宋体"/>
      <w:color w:val="000000"/>
      <w:sz w:val="18"/>
      <w:szCs w:val="18"/>
      <w:u w:val="none"/>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5">
    <w:name w:val="font91"/>
    <w:basedOn w:val="9"/>
    <w:qFormat/>
    <w:uiPriority w:val="0"/>
    <w:rPr>
      <w:rFonts w:hint="eastAsia" w:ascii="宋体" w:hAnsi="宋体" w:eastAsia="宋体" w:cs="宋体"/>
      <w:color w:val="000000"/>
      <w:sz w:val="12"/>
      <w:szCs w:val="12"/>
      <w:u w:val="none"/>
    </w:rPr>
  </w:style>
  <w:style w:type="character" w:customStyle="1" w:styleId="46">
    <w:name w:val="批注文字 Char"/>
    <w:basedOn w:val="9"/>
    <w:semiHidden/>
    <w:uiPriority w:val="99"/>
    <w:rPr>
      <w:kern w:val="2"/>
      <w:sz w:val="21"/>
      <w:szCs w:val="24"/>
    </w:rPr>
  </w:style>
  <w:style w:type="paragraph" w:customStyle="1" w:styleId="47">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8">
    <w:name w:val="页眉 Char1"/>
    <w:basedOn w:val="9"/>
    <w:semiHidden/>
    <w:uiPriority w:val="99"/>
    <w:rPr>
      <w:kern w:val="2"/>
      <w:sz w:val="18"/>
      <w:szCs w:val="18"/>
    </w:rPr>
  </w:style>
  <w:style w:type="paragraph" w:customStyle="1" w:styleId="49">
    <w:name w:val="Footer0"/>
    <w:basedOn w:val="1"/>
    <w:qFormat/>
    <w:uiPriority w:val="99"/>
    <w:pPr>
      <w:tabs>
        <w:tab w:val="center" w:pos="4153"/>
        <w:tab w:val="right" w:pos="8306"/>
      </w:tabs>
      <w:snapToGrid w:val="0"/>
      <w:jc w:val="left"/>
    </w:pPr>
    <w:rPr>
      <w:sz w:val="18"/>
      <w:szCs w:val="18"/>
    </w:rPr>
  </w:style>
  <w:style w:type="character" w:customStyle="1" w:styleId="50">
    <w:name w:val="页脚 Char1"/>
    <w:basedOn w:val="9"/>
    <w:uiPriority w:val="99"/>
    <w:rPr>
      <w:kern w:val="2"/>
      <w:sz w:val="18"/>
      <w:szCs w:val="18"/>
    </w:rPr>
  </w:style>
  <w:style w:type="character" w:customStyle="1" w:styleId="51">
    <w:name w:val="页眉 Char2"/>
    <w:basedOn w:val="9"/>
    <w:link w:val="6"/>
    <w:semiHidden/>
    <w:uiPriority w:val="99"/>
    <w:rPr>
      <w:kern w:val="2"/>
      <w:sz w:val="18"/>
      <w:szCs w:val="18"/>
    </w:rPr>
  </w:style>
  <w:style w:type="character" w:customStyle="1" w:styleId="52">
    <w:name w:val="页脚 Char2"/>
    <w:basedOn w:val="9"/>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Sheet1!$B$1:$C$1</c:f>
              <c:strCache>
                <c:ptCount val="2"/>
                <c:pt idx="0">
                  <c:v>收入</c:v>
                </c:pt>
                <c:pt idx="1">
                  <c:v>支出</c:v>
                </c:pt>
              </c:strCache>
            </c:strRef>
          </c:cat>
          <c:val>
            <c:numRef>
              <c:f>Sheet1!$B$2:$C$2</c:f>
              <c:numCache>
                <c:formatCode>General</c:formatCode>
                <c:ptCount val="2"/>
                <c:pt idx="0">
                  <c:v>418.56</c:v>
                </c:pt>
                <c:pt idx="1">
                  <c:v>418.56</c:v>
                </c:pt>
              </c:numCache>
            </c:numRef>
          </c:val>
        </c:ser>
        <c:ser>
          <c:idx val="1"/>
          <c:order val="1"/>
          <c:tx>
            <c:strRef>
              <c:f>Sheet1!$A$3</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Sheet1!$B$1:$C$1</c:f>
              <c:strCache>
                <c:ptCount val="2"/>
                <c:pt idx="0">
                  <c:v>收入</c:v>
                </c:pt>
                <c:pt idx="1">
                  <c:v>支出</c:v>
                </c:pt>
              </c:strCache>
            </c:strRef>
          </c:cat>
          <c:val>
            <c:numRef>
              <c:f>Sheet1!$B$3:$C$3</c:f>
              <c:numCache>
                <c:formatCode>General</c:formatCode>
                <c:ptCount val="2"/>
                <c:pt idx="0">
                  <c:v>457.3</c:v>
                </c:pt>
                <c:pt idx="1">
                  <c:v>457.3</c:v>
                </c:pt>
              </c:numCache>
            </c:numRef>
          </c:val>
        </c:ser>
        <c:dLbls>
          <c:showLegendKey val="0"/>
          <c:showVal val="1"/>
          <c:showCatName val="0"/>
          <c:showSerName val="0"/>
          <c:showPercent val="0"/>
          <c:showBubbleSize val="0"/>
        </c:dLbls>
        <c:gapWidth val="219"/>
        <c:overlap val="-27"/>
        <c:axId val="320734336"/>
        <c:axId val="320735872"/>
      </c:barChart>
      <c:catAx>
        <c:axId val="3207343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735872"/>
        <c:crosses val="autoZero"/>
        <c:auto val="1"/>
        <c:lblAlgn val="ctr"/>
        <c:lblOffset val="100"/>
        <c:noMultiLvlLbl val="0"/>
      </c:catAx>
      <c:valAx>
        <c:axId val="320735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7343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2021年收入合计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146.76</c:v>
                </c:pt>
                <c:pt idx="1">
                  <c:v>261.3</c:v>
                </c:pt>
                <c:pt idx="2">
                  <c:v>49.25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2021年支出合计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356.22</c:v>
                </c:pt>
                <c:pt idx="1">
                  <c:v>101.08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Sheet1!$B$1:$C$1</c:f>
              <c:strCache>
                <c:ptCount val="2"/>
                <c:pt idx="0">
                  <c:v>收入</c:v>
                </c:pt>
                <c:pt idx="1">
                  <c:v>支出</c:v>
                </c:pt>
              </c:strCache>
            </c:strRef>
          </c:cat>
          <c:val>
            <c:numRef>
              <c:f>Sheet1!$B$2:$C$2</c:f>
              <c:numCache>
                <c:formatCode>General</c:formatCode>
                <c:ptCount val="2"/>
                <c:pt idx="0">
                  <c:v>153.86</c:v>
                </c:pt>
                <c:pt idx="1">
                  <c:v>153.86</c:v>
                </c:pt>
              </c:numCache>
            </c:numRef>
          </c:val>
        </c:ser>
        <c:ser>
          <c:idx val="1"/>
          <c:order val="1"/>
          <c:tx>
            <c:strRef>
              <c:f>Sheet1!$A$3</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Sheet1!$B$1:$C$1</c:f>
              <c:strCache>
                <c:ptCount val="2"/>
                <c:pt idx="0">
                  <c:v>收入</c:v>
                </c:pt>
                <c:pt idx="1">
                  <c:v>支出</c:v>
                </c:pt>
              </c:strCache>
            </c:strRef>
          </c:cat>
          <c:val>
            <c:numRef>
              <c:f>Sheet1!$B$3:$C$3</c:f>
              <c:numCache>
                <c:formatCode>General</c:formatCode>
                <c:ptCount val="2"/>
                <c:pt idx="0">
                  <c:v>146.76</c:v>
                </c:pt>
                <c:pt idx="1">
                  <c:v>146.76</c:v>
                </c:pt>
              </c:numCache>
            </c:numRef>
          </c:val>
        </c:ser>
        <c:dLbls>
          <c:showLegendKey val="0"/>
          <c:showVal val="1"/>
          <c:showCatName val="0"/>
          <c:showSerName val="0"/>
          <c:showPercent val="0"/>
          <c:showBubbleSize val="0"/>
        </c:dLbls>
        <c:gapWidth val="219"/>
        <c:overlap val="-27"/>
        <c:axId val="566526336"/>
        <c:axId val="566528256"/>
      </c:barChart>
      <c:catAx>
        <c:axId val="5665263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6528256"/>
        <c:crosses val="autoZero"/>
        <c:auto val="1"/>
        <c:lblAlgn val="ctr"/>
        <c:lblOffset val="100"/>
        <c:noMultiLvlLbl val="0"/>
      </c:catAx>
      <c:valAx>
        <c:axId val="5665282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65263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stdErr"/>
            <c:noEndCap val="0"/>
            <c:spPr>
              <a:noFill/>
              <a:ln w="9525" cap="flat" cmpd="sng" algn="ctr">
                <a:solidFill>
                  <a:schemeClr val="tx1">
                    <a:lumMod val="65000"/>
                    <a:lumOff val="35000"/>
                  </a:schemeClr>
                </a:solidFill>
                <a:prstDash val="solid"/>
                <a:round/>
              </a:ln>
              <a:effectLst/>
            </c:spPr>
          </c:errBars>
          <c:cat>
            <c:strRef>
              <c:f>Sheet1!$B$1</c:f>
              <c:strCache>
                <c:ptCount val="1"/>
                <c:pt idx="0">
                  <c:v>一般公共预算财政拨款支出</c:v>
                </c:pt>
              </c:strCache>
            </c:strRef>
          </c:cat>
          <c:val>
            <c:numRef>
              <c:f>Sheet1!$B$2</c:f>
              <c:numCache>
                <c:formatCode>General</c:formatCode>
                <c:ptCount val="1"/>
                <c:pt idx="0">
                  <c:v>153.86</c:v>
                </c:pt>
              </c:numCache>
            </c:numRef>
          </c:val>
        </c:ser>
        <c:ser>
          <c:idx val="1"/>
          <c:order val="1"/>
          <c:tx>
            <c:strRef>
              <c:f>Sheet1!$A$3</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stdErr"/>
            <c:noEndCap val="0"/>
            <c:spPr>
              <a:noFill/>
              <a:ln w="9525" cap="flat" cmpd="sng" algn="ctr">
                <a:solidFill>
                  <a:schemeClr val="tx1">
                    <a:lumMod val="65000"/>
                    <a:lumOff val="35000"/>
                  </a:schemeClr>
                </a:solidFill>
                <a:prstDash val="solid"/>
                <a:round/>
              </a:ln>
              <a:effectLst/>
            </c:spPr>
          </c:errBars>
          <c:cat>
            <c:strRef>
              <c:f>Sheet1!$B$1</c:f>
              <c:strCache>
                <c:ptCount val="1"/>
                <c:pt idx="0">
                  <c:v>一般公共预算财政拨款支出</c:v>
                </c:pt>
              </c:strCache>
            </c:strRef>
          </c:cat>
          <c:val>
            <c:numRef>
              <c:f>Sheet1!$B$3</c:f>
              <c:numCache>
                <c:formatCode>General</c:formatCode>
                <c:ptCount val="1"/>
                <c:pt idx="0">
                  <c:v>146.76</c:v>
                </c:pt>
              </c:numCache>
            </c:numRef>
          </c:val>
        </c:ser>
        <c:dLbls>
          <c:showLegendKey val="0"/>
          <c:showVal val="1"/>
          <c:showCatName val="0"/>
          <c:showSerName val="0"/>
          <c:showPercent val="0"/>
          <c:showBubbleSize val="0"/>
        </c:dLbls>
        <c:gapWidth val="500"/>
        <c:overlap val="-100"/>
        <c:axId val="701169024"/>
        <c:axId val="701232256"/>
      </c:barChart>
      <c:catAx>
        <c:axId val="7011690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232256"/>
        <c:crosses val="autoZero"/>
        <c:auto val="1"/>
        <c:lblAlgn val="ctr"/>
        <c:lblOffset val="100"/>
        <c:noMultiLvlLbl val="0"/>
      </c:catAx>
      <c:valAx>
        <c:axId val="7012322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1690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卫生健康支出</c:v>
                </c:pt>
                <c:pt idx="1">
                  <c:v>农林水支出</c:v>
                </c:pt>
              </c:strCache>
            </c:strRef>
          </c:cat>
          <c:val>
            <c:numRef>
              <c:f>Sheet1!$B$2:$B$3</c:f>
              <c:numCache>
                <c:formatCode>General</c:formatCode>
                <c:ptCount val="2"/>
                <c:pt idx="0">
                  <c:v>145.51</c:v>
                </c:pt>
                <c:pt idx="1">
                  <c:v>1.25</c:v>
                </c:pt>
              </c:numCache>
            </c:numRef>
          </c:val>
        </c:ser>
        <c:ser>
          <c:idx val="1"/>
          <c:order val="1"/>
          <c:explosion val="0"/>
          <c:dPt>
            <c:idx val="0"/>
            <c:bubble3D val="0"/>
            <c:spPr>
              <a:solidFill>
                <a:schemeClr val="accent1"/>
              </a:solidFill>
              <a:ln w="19050">
                <a:solidFill>
                  <a:schemeClr val="lt1"/>
                </a:solidFill>
              </a:ln>
              <a:effectLst/>
            </c:spPr>
          </c:dPt>
          <c:dLbls>
            <c:delete val="1"/>
          </c:dLbls>
          <c:cat>
            <c:strRef>
              <c:f>Sheet1!$A$2:$A$3</c:f>
              <c:strCache>
                <c:ptCount val="2"/>
                <c:pt idx="0">
                  <c:v>卫生健康支出</c:v>
                </c:pt>
                <c:pt idx="1">
                  <c:v>农林水支出</c:v>
                </c:pt>
              </c:strCache>
            </c:strRef>
          </c:cat>
          <c:val>
            <c:numRef>
              <c:f>{1}</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TotalTime>9</TotalTime>
  <Pages>18</Pages>
  <Words>1433</Words>
  <Characters>8172</Characters>
  <Application>Microsoft Office Word</Application>
  <DocSecurity>0</DocSecurity>
  <Lines>68</Lines>
  <Paragraphs>19</Paragraphs>
  <ScaleCrop>false</ScaleCrop>
  <Company>四川省财政厅</Company>
  <LinksUpToDate>false</LinksUpToDate>
  <CharactersWithSpaces>9586</CharactersWithSpaces>
  <SharedDoc>false</SharedDoc>
  <HyperlinksChanged>false</HyperlinksChanged>
  <AppVersion>12.0000</AppVersion>
</Properties>
</file>

<file path=customXml/item10.xml><?xml version="1.0" encoding="utf-8"?>
<Properties xmlns:vt="http://schemas.openxmlformats.org/officeDocument/2006/docPropsVTypes" xmlns="http://schemas.openxmlformats.org/officeDocument/2006/extended-properties">
  <Template>Normal.dotm</Template>
  <TotalTime>3</TotalTime>
  <Pages>21</Pages>
  <Words>6703</Words>
  <Characters>7510</Characters>
  <Application>WPS Office_11.1.0.9208_F1E327BC-269C-435d-A152-05C5408002CA</Application>
  <DocSecurity>0</DocSecurity>
  <Lines>61</Lines>
  <Paragraphs>17</Paragraphs>
  <Company>四川省财政厅</Company>
  <CharactersWithSpaces>7690</CharactersWithSpaces>
  <AppVersion>14.0000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2022-11-02T06:51:18Z</dcterms:modified>
  <dc:title>四川省***</dc:title>
  <cp:revision>32</cp:revision>
</cp:coreProperties>
</file>

<file path=customXml/item12.xml><?xml version="1.0" encoding="utf-8"?>
<Properties xmlns="http://schemas.openxmlformats.org/officeDocument/2006/extended-properties" xmlns:vt="http://schemas.openxmlformats.org/officeDocument/2006/docPropsVTypes">
  <Template>Normal.dotm</Template>
  <Company>四川省财政厅</Company>
  <Pages>21</Pages>
  <Words>6703</Words>
  <Characters>7510</Characters>
  <Lines>61</Lines>
  <Paragraphs>17</Paragraphs>
  <TotalTime>3</TotalTime>
  <ScaleCrop>false</ScaleCrop>
  <LinksUpToDate>false</LinksUpToDate>
  <CharactersWithSpaces>7690</CharactersWithSpaces>
  <Application>WPS Office_11.1.0.9208_F1E327BC-269C-435d-A152-05C5408002CA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2022-08-06T02:23:00Z</cp:lastPrinted>
  <dcterms:created xsi:type="dcterms:W3CDTF">2020-08-05T01:49:00Z</dcterms:created>
  <dcterms:modified xsi:type="dcterms:W3CDTF">2022-11-02T06:51:18Z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35</cp:revision>
  <cp:lastPrinted>2022-08-06T02:23:00Z</cp:lastPrinted>
  <dcterms:created xsi:type="dcterms:W3CDTF">2020-08-05T01:49:00Z</dcterms:created>
  <dcterms:modified xsi:type="dcterms:W3CDTF">2023-02-24T06:52:00Z</dcterms:modified>
</cp:coreProperties>
</file>

<file path=customXml/item4.xml><?xml version="1.0" encoding="utf-8"?>
<Properties xmlns:vt="http://schemas.openxmlformats.org/officeDocument/2006/docPropsVTypes" xmlns="http://schemas.openxmlformats.org/officeDocument/2006/extended-properties">
  <Template>Normal</Template>
  <TotalTime>9</TotalTime>
  <Pages>18</Pages>
  <Words>1433</Words>
  <Characters>8172</Characters>
  <Application>Microsoft Office Word</Application>
  <DocSecurity>0</DocSecurity>
  <Lines>68</Lines>
  <Paragraphs>19</Paragraphs>
  <Company>四川省财政厅</Company>
  <CharactersWithSpaces>9586</CharactersWithSpaces>
  <AppVersion>12.0000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E011D7653B6B46BA8F19B51E6809542E</vt:lpw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E011D7653B6B46BA8F19B51E6809542E</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E011D7653B6B46BA8F19B51E6809542E</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E011D7653B6B46BA8F19B51E6809542E</vt:lp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35</cp:revision>
  <cp:lastPrinted>2022-08-06T02:23:00Z</cp:lastPrinted>
  <dcterms:created xsi:type="dcterms:W3CDTF">2020-08-05T01:49:00Z</dcterms:created>
  <dcterms:modified xsi:type="dcterms:W3CDTF">2023-02-24T06:52:00Z</dcterms:modified>
</cp:coreProperties>
</file>

<file path=customXml/itemProps1.xml><?xml version="1.0" encoding="utf-8"?>
<ds:datastoreItem xmlns:ds="http://schemas.openxmlformats.org/officeDocument/2006/customXml" ds:itemID="{27BFFCCF-7D8E-496F-9882-0E7ABF62D238}">
  <ds:schemaRefs/>
</ds:datastoreItem>
</file>

<file path=customXml/itemProps10.xml><?xml version="1.0" encoding="utf-8"?>
<ds:datastoreItem xmlns:ds="http://schemas.openxmlformats.org/officeDocument/2006/customXml" ds:itemID="{204B653C-A34F-43E6-AA2C-8F1FB2CFFEB2}">
  <ds:schemaRefs/>
</ds:datastoreItem>
</file>

<file path=customXml/itemProps11.xml><?xml version="1.0" encoding="utf-8"?>
<ds:datastoreItem xmlns:ds="http://schemas.openxmlformats.org/officeDocument/2006/customXml" ds:itemID="{B2EF2C41-F37A-41F7-AFB3-6E3733CA02AA}">
  <ds:schemaRefs/>
</ds:datastoreItem>
</file>

<file path=customXml/itemProps12.xml><?xml version="1.0" encoding="utf-8"?>
<ds:datastoreItem xmlns:ds="http://schemas.openxmlformats.org/officeDocument/2006/customXml" ds:itemID="{1FF0C5BB-2ED8-4F76-8228-A35AA05D5B78}">
  <ds:schemaRefs/>
</ds:datastoreItem>
</file>

<file path=customXml/itemProps2.xml><?xml version="1.0" encoding="utf-8"?>
<ds:datastoreItem xmlns:ds="http://schemas.openxmlformats.org/officeDocument/2006/customXml" ds:itemID="{7AE266F2-2DF8-420C-A769-4A5D7231CA48}">
  <ds:schemaRefs/>
</ds:datastoreItem>
</file>

<file path=customXml/itemProps3.xml><?xml version="1.0" encoding="utf-8"?>
<ds:datastoreItem xmlns:ds="http://schemas.openxmlformats.org/officeDocument/2006/customXml" ds:itemID="{2C996560-A951-4BE9-BA6D-03984CA61A2C}">
  <ds:schemaRefs/>
</ds:datastoreItem>
</file>

<file path=customXml/itemProps4.xml><?xml version="1.0" encoding="utf-8"?>
<ds:datastoreItem xmlns:ds="http://schemas.openxmlformats.org/officeDocument/2006/customXml" ds:itemID="{4EE5A8CB-B0BD-4560-A817-F71C09904563}">
  <ds:schemaRefs/>
</ds:datastoreItem>
</file>

<file path=customXml/itemProps5.xml><?xml version="1.0" encoding="utf-8"?>
<ds:datastoreItem xmlns:ds="http://schemas.openxmlformats.org/officeDocument/2006/customXml" ds:itemID="{FFA2A9F0-2393-4416-8E8E-5FE76162695B}">
  <ds:schemaRefs/>
</ds:datastoreItem>
</file>

<file path=customXml/itemProps6.xml><?xml version="1.0" encoding="utf-8"?>
<ds:datastoreItem xmlns:ds="http://schemas.openxmlformats.org/officeDocument/2006/customXml" ds:itemID="{B7448C9D-EAFE-448B-8A3B-45209232CC0B}">
  <ds:schemaRefs/>
</ds:datastoreItem>
</file>

<file path=customXml/itemProps7.xml><?xml version="1.0" encoding="utf-8"?>
<ds:datastoreItem xmlns:ds="http://schemas.openxmlformats.org/officeDocument/2006/customXml" ds:itemID="{2EB7ED2A-2EFE-4A23-BFD9-44FADC9D241D}">
  <ds:schemaRefs/>
</ds:datastoreItem>
</file>

<file path=customXml/itemProps8.xml><?xml version="1.0" encoding="utf-8"?>
<ds:datastoreItem xmlns:ds="http://schemas.openxmlformats.org/officeDocument/2006/customXml" ds:itemID="{EC374498-5EED-42B8-838D-0754B3F5446F}">
  <ds:schemaRefs/>
</ds:datastoreItem>
</file>

<file path=customXml/itemProps9.xml><?xml version="1.0" encoding="utf-8"?>
<ds:datastoreItem xmlns:ds="http://schemas.openxmlformats.org/officeDocument/2006/customXml" ds:itemID="{D7CDD134-C160-4BFB-A238-5EA6B0A7113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5726</Words>
  <Characters>6393</Characters>
  <Lines>67</Lines>
  <Paragraphs>19</Paragraphs>
  <TotalTime>13</TotalTime>
  <ScaleCrop>false</ScaleCrop>
  <LinksUpToDate>false</LinksUpToDate>
  <CharactersWithSpaces>6495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2022-08-06T02:23:00Z</cp:lastPrinted>
  <dcterms:modified xsi:type="dcterms:W3CDTF">2023-06-26T13:09:28Z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E011D7653B6B46BA8F19B51E6809542E</vt:lpwstr>
  </property>
</Properties>
</file>