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EA" w:rsidRDefault="007B4DEA">
      <w:pPr>
        <w:spacing w:line="600" w:lineRule="exact"/>
        <w:jc w:val="center"/>
        <w:outlineLvl w:val="0"/>
        <w:rPr>
          <w:rFonts w:ascii="方正小标宋简体" w:eastAsia="方正小标宋简体" w:hAnsi="宋体"/>
          <w:sz w:val="72"/>
          <w:szCs w:val="72"/>
        </w:rPr>
      </w:pPr>
      <w:bookmarkStart w:id="0" w:name="_Toc15306267"/>
    </w:p>
    <w:p w:rsidR="007B4DEA" w:rsidRDefault="007B4DEA">
      <w:pPr>
        <w:spacing w:line="600" w:lineRule="exact"/>
        <w:jc w:val="center"/>
        <w:outlineLvl w:val="0"/>
        <w:rPr>
          <w:rFonts w:ascii="方正小标宋简体" w:eastAsia="方正小标宋简体" w:hAnsi="宋体"/>
          <w:sz w:val="72"/>
          <w:szCs w:val="72"/>
        </w:rPr>
      </w:pPr>
    </w:p>
    <w:p w:rsidR="007B4DEA" w:rsidRDefault="007B4DEA">
      <w:pPr>
        <w:spacing w:line="600" w:lineRule="exact"/>
        <w:jc w:val="center"/>
        <w:outlineLvl w:val="0"/>
        <w:rPr>
          <w:rFonts w:ascii="方正小标宋简体" w:eastAsia="方正小标宋简体" w:hAnsi="宋体"/>
          <w:sz w:val="72"/>
          <w:szCs w:val="72"/>
        </w:rPr>
      </w:pPr>
    </w:p>
    <w:p w:rsidR="007B4DEA" w:rsidRDefault="007B4DEA">
      <w:pPr>
        <w:spacing w:line="600" w:lineRule="exact"/>
        <w:jc w:val="center"/>
        <w:outlineLvl w:val="0"/>
        <w:rPr>
          <w:rFonts w:ascii="方正小标宋简体" w:eastAsia="方正小标宋简体" w:hAnsi="宋体"/>
          <w:sz w:val="72"/>
          <w:szCs w:val="72"/>
        </w:rPr>
      </w:pPr>
    </w:p>
    <w:p w:rsidR="007B4DEA" w:rsidRDefault="00B45477">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597"/>
      <w:bookmarkStart w:id="2" w:name="_Toc15377193"/>
      <w:bookmarkStart w:id="3" w:name="_Toc15378441"/>
      <w:bookmarkStart w:id="4" w:name="_Toc15377425"/>
      <w:bookmarkStart w:id="5" w:name="_Toc15396475"/>
      <w:r>
        <w:rPr>
          <w:rFonts w:ascii="方正小标宋简体" w:eastAsia="方正小标宋简体" w:hAnsi="方正小标宋简体" w:cs="方正小标宋简体" w:hint="eastAsia"/>
          <w:sz w:val="72"/>
          <w:szCs w:val="72"/>
        </w:rPr>
        <w:t>2021年度</w:t>
      </w:r>
      <w:bookmarkStart w:id="6" w:name="_Toc15378442"/>
      <w:bookmarkStart w:id="7" w:name="_Toc15377426"/>
      <w:bookmarkStart w:id="8" w:name="_Toc15396476"/>
      <w:bookmarkStart w:id="9" w:name="_Toc15396598"/>
      <w:bookmarkStart w:id="10" w:name="_Toc15377194"/>
      <w:bookmarkStart w:id="11" w:name="_Toc15306268"/>
      <w:bookmarkEnd w:id="0"/>
      <w:bookmarkEnd w:id="1"/>
      <w:bookmarkEnd w:id="2"/>
      <w:bookmarkEnd w:id="3"/>
      <w:bookmarkEnd w:id="4"/>
      <w:bookmarkEnd w:id="5"/>
      <w:r>
        <w:rPr>
          <w:rFonts w:ascii="方正小标宋简体" w:eastAsia="方正小标宋简体" w:hAnsi="方正小标宋简体" w:cs="方正小标宋简体" w:hint="eastAsia"/>
          <w:sz w:val="72"/>
          <w:szCs w:val="72"/>
        </w:rPr>
        <w:t>通江县</w:t>
      </w:r>
    </w:p>
    <w:p w:rsidR="007B4DEA" w:rsidRDefault="00B45477">
      <w:pPr>
        <w:adjustRightInd w:val="0"/>
        <w:snapToGrid w:val="0"/>
        <w:spacing w:line="360" w:lineRule="auto"/>
        <w:jc w:val="center"/>
        <w:outlineLvl w:val="0"/>
        <w:rPr>
          <w:rFonts w:ascii="方正小标宋简体" w:eastAsia="方正小标宋简体" w:hAnsi="方正小标宋简体" w:cs="方正小标宋简体"/>
          <w:sz w:val="72"/>
          <w:szCs w:val="72"/>
        </w:rPr>
      </w:pPr>
      <w:proofErr w:type="gramStart"/>
      <w:r w:rsidRPr="00A27F69">
        <w:rPr>
          <w:rFonts w:ascii="方正小标宋简体" w:eastAsia="方正小标宋简体" w:hAnsi="方正小标宋简体" w:cs="方正小标宋简体" w:hint="eastAsia"/>
          <w:sz w:val="72"/>
          <w:szCs w:val="72"/>
          <w:u w:color="46CD7E"/>
        </w:rPr>
        <w:t>毛浴镇</w:t>
      </w:r>
      <w:proofErr w:type="gramEnd"/>
      <w:r w:rsidRPr="00A27F69">
        <w:rPr>
          <w:rFonts w:ascii="方正小标宋简体" w:eastAsia="方正小标宋简体" w:hAnsi="方正小标宋简体" w:cs="方正小标宋简体" w:hint="eastAsia"/>
          <w:sz w:val="72"/>
          <w:szCs w:val="72"/>
          <w:u w:color="46CD7E"/>
        </w:rPr>
        <w:t>人民政府（本级）</w:t>
      </w:r>
    </w:p>
    <w:p w:rsidR="007B4DEA" w:rsidRDefault="00B45477">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7B4DEA" w:rsidRDefault="007B4DEA">
      <w:pPr>
        <w:pStyle w:val="a3"/>
        <w:spacing w:before="93"/>
        <w:rPr>
          <w:rFonts w:ascii="方正小标宋简体" w:eastAsia="方正小标宋简体" w:hAnsi="方正小标宋简体" w:cs="方正小标宋简体"/>
          <w:sz w:val="72"/>
          <w:szCs w:val="72"/>
        </w:rPr>
      </w:pPr>
    </w:p>
    <w:p w:rsidR="007B4DEA" w:rsidRDefault="007B4DEA">
      <w:pPr>
        <w:pStyle w:val="a3"/>
        <w:spacing w:before="93"/>
        <w:rPr>
          <w:rFonts w:ascii="方正小标宋简体" w:eastAsia="方正小标宋简体" w:hAnsi="方正小标宋简体" w:cs="方正小标宋简体"/>
          <w:sz w:val="72"/>
          <w:szCs w:val="72"/>
        </w:rPr>
      </w:pPr>
    </w:p>
    <w:p w:rsidR="00B04623" w:rsidRDefault="00B04623">
      <w:pPr>
        <w:widowControl/>
        <w:jc w:val="center"/>
        <w:rPr>
          <w:rFonts w:ascii="黑体" w:eastAsia="黑体" w:hAnsi="黑体"/>
          <w:sz w:val="48"/>
          <w:szCs w:val="48"/>
        </w:rPr>
      </w:pPr>
    </w:p>
    <w:p w:rsidR="00B04623" w:rsidRDefault="00B04623">
      <w:pPr>
        <w:widowControl/>
        <w:jc w:val="center"/>
        <w:rPr>
          <w:rFonts w:ascii="黑体" w:eastAsia="黑体" w:hAnsi="黑体"/>
          <w:sz w:val="48"/>
          <w:szCs w:val="48"/>
        </w:rPr>
      </w:pPr>
    </w:p>
    <w:p w:rsidR="00B04623" w:rsidRDefault="00B04623">
      <w:pPr>
        <w:widowControl/>
        <w:jc w:val="center"/>
        <w:rPr>
          <w:rFonts w:ascii="黑体" w:eastAsia="黑体" w:hAnsi="黑体"/>
          <w:sz w:val="48"/>
          <w:szCs w:val="48"/>
        </w:rPr>
      </w:pPr>
    </w:p>
    <w:p w:rsidR="00B04623" w:rsidRDefault="00B04623">
      <w:pPr>
        <w:widowControl/>
        <w:jc w:val="center"/>
        <w:rPr>
          <w:rFonts w:ascii="黑体" w:eastAsia="黑体" w:hAnsi="黑体"/>
          <w:sz w:val="48"/>
          <w:szCs w:val="48"/>
        </w:rPr>
      </w:pPr>
    </w:p>
    <w:p w:rsidR="00B04623" w:rsidRDefault="00B04623">
      <w:pPr>
        <w:widowControl/>
        <w:jc w:val="center"/>
        <w:rPr>
          <w:rFonts w:ascii="黑体" w:eastAsia="黑体" w:hAnsi="黑体"/>
          <w:sz w:val="48"/>
          <w:szCs w:val="48"/>
        </w:rPr>
      </w:pPr>
    </w:p>
    <w:p w:rsidR="007B4DEA" w:rsidRDefault="00B45477">
      <w:pPr>
        <w:widowControl/>
        <w:jc w:val="center"/>
        <w:rPr>
          <w:rFonts w:ascii="黑体" w:eastAsia="黑体" w:hAnsi="黑体"/>
          <w:sz w:val="48"/>
          <w:szCs w:val="48"/>
        </w:rPr>
      </w:pPr>
      <w:r>
        <w:rPr>
          <w:rFonts w:ascii="黑体" w:eastAsia="黑体" w:hAnsi="黑体" w:hint="eastAsia"/>
          <w:sz w:val="48"/>
          <w:szCs w:val="48"/>
        </w:rPr>
        <w:lastRenderedPageBreak/>
        <w:t>目</w:t>
      </w:r>
      <w:r w:rsidR="00B04623">
        <w:rPr>
          <w:rFonts w:ascii="黑体" w:eastAsia="黑体" w:hAnsi="黑体" w:hint="eastAsia"/>
          <w:sz w:val="48"/>
          <w:szCs w:val="48"/>
        </w:rPr>
        <w:t xml:space="preserve"> </w:t>
      </w:r>
      <w:r w:rsidR="00B04623">
        <w:rPr>
          <w:rFonts w:ascii="黑体" w:eastAsia="黑体" w:hAnsi="黑体"/>
          <w:sz w:val="48"/>
          <w:szCs w:val="48"/>
        </w:rPr>
        <w:t xml:space="preserve"> </w:t>
      </w:r>
      <w:r>
        <w:rPr>
          <w:rFonts w:ascii="黑体" w:eastAsia="黑体" w:hAnsi="黑体" w:hint="eastAsia"/>
          <w:sz w:val="48"/>
          <w:szCs w:val="48"/>
        </w:rPr>
        <w:t>录</w:t>
      </w:r>
    </w:p>
    <w:p w:rsidR="007B4DEA" w:rsidRDefault="007B4DEA">
      <w:pPr>
        <w:widowControl/>
        <w:jc w:val="center"/>
        <w:rPr>
          <w:rFonts w:ascii="黑体" w:eastAsia="黑体" w:hAnsi="黑体" w:cstheme="minorBidi"/>
          <w:sz w:val="28"/>
          <w:szCs w:val="28"/>
        </w:rPr>
      </w:pPr>
    </w:p>
    <w:p w:rsidR="007B4DEA" w:rsidRDefault="00B45477">
      <w:pPr>
        <w:pStyle w:val="TOC11"/>
      </w:pPr>
      <w:r>
        <w:rPr>
          <w:rFonts w:hint="eastAsia"/>
        </w:rPr>
        <w:t>公开时间：2022年8月25日</w:t>
      </w:r>
    </w:p>
    <w:p w:rsidR="007B4DEA" w:rsidRDefault="007B4DEA"/>
    <w:p w:rsidR="007B4DEA" w:rsidRPr="00B04623" w:rsidRDefault="00B45477">
      <w:pPr>
        <w:pStyle w:val="TOC11"/>
        <w:adjustRightInd w:val="0"/>
        <w:snapToGrid w:val="0"/>
        <w:spacing w:before="0" w:line="440" w:lineRule="exact"/>
        <w:jc w:val="left"/>
        <w:rPr>
          <w:rFonts w:cs="宋体"/>
          <w:color w:val="000000"/>
          <w:kern w:val="0"/>
        </w:rPr>
      </w:pPr>
      <w:r w:rsidRPr="00B04623">
        <w:rPr>
          <w:rFonts w:cs="宋体" w:hint="eastAsia"/>
          <w:color w:val="000000"/>
          <w:kern w:val="0"/>
        </w:rPr>
        <w:t>第一部分 单位概况........................................4</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一、职能简介.........................................4-5</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二、2021年重点工作完成情况...........................5-6</w:t>
      </w:r>
    </w:p>
    <w:p w:rsidR="007B4DEA" w:rsidRPr="00B04623" w:rsidRDefault="00B45477">
      <w:pPr>
        <w:pStyle w:val="TOC11"/>
        <w:adjustRightInd w:val="0"/>
        <w:snapToGrid w:val="0"/>
        <w:spacing w:before="0" w:line="440" w:lineRule="exact"/>
        <w:jc w:val="left"/>
        <w:rPr>
          <w:rFonts w:cs="宋体"/>
          <w:color w:val="000000"/>
          <w:kern w:val="0"/>
        </w:rPr>
      </w:pPr>
      <w:r w:rsidRPr="00B04623">
        <w:rPr>
          <w:rFonts w:cs="宋体" w:hint="eastAsia"/>
          <w:color w:val="000000"/>
          <w:kern w:val="0"/>
        </w:rPr>
        <w:t>第二部分 2021年度单位决算情况说明.......</w:t>
      </w:r>
      <w:r w:rsidR="00B04623" w:rsidRPr="00B04623">
        <w:rPr>
          <w:rFonts w:cs="宋体" w:hint="eastAsia"/>
          <w:color w:val="000000"/>
          <w:kern w:val="0"/>
        </w:rPr>
        <w:t xml:space="preserve"> </w:t>
      </w:r>
      <w:r w:rsidR="00B04623" w:rsidRPr="00B04623">
        <w:rPr>
          <w:rFonts w:cs="宋体" w:hint="eastAsia"/>
          <w:color w:val="000000"/>
          <w:kern w:val="0"/>
        </w:rPr>
        <w:t>.</w:t>
      </w:r>
      <w:r w:rsidRPr="00B04623">
        <w:rPr>
          <w:rFonts w:cs="宋体" w:hint="eastAsia"/>
          <w:color w:val="000000"/>
          <w:kern w:val="0"/>
        </w:rPr>
        <w:t>................7</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一、收入支出决算总体情况说明............................7</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二、收入决算情况说明...................</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Pr="00B04623">
        <w:rPr>
          <w:rFonts w:ascii="仿宋" w:eastAsia="仿宋" w:hAnsi="仿宋" w:cs="宋体" w:hint="eastAsia"/>
          <w:color w:val="000000"/>
          <w:kern w:val="0"/>
          <w:sz w:val="28"/>
          <w:szCs w:val="28"/>
        </w:rPr>
        <w:t>..........8</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三、支出决算情况说明.....................</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Pr="00B04623">
        <w:rPr>
          <w:rFonts w:ascii="仿宋" w:eastAsia="仿宋" w:hAnsi="仿宋" w:cs="宋体" w:hint="eastAsia"/>
          <w:color w:val="000000"/>
          <w:kern w:val="0"/>
          <w:sz w:val="28"/>
          <w:szCs w:val="28"/>
        </w:rPr>
        <w:t>..........9</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四、财政拨款收入支出决算总体情况说明.................9-10</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五、一般公共预算财政拨款支出决算情况说明............10-17</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六、一般公共预算财政拨款基本支出决算情况说明....</w:t>
      </w:r>
      <w:r w:rsidR="00B04623" w:rsidRPr="00B04623">
        <w:rPr>
          <w:rFonts w:ascii="仿宋" w:eastAsia="仿宋" w:hAnsi="仿宋" w:cs="宋体" w:hint="eastAsia"/>
          <w:color w:val="000000"/>
          <w:kern w:val="0"/>
          <w:sz w:val="28"/>
          <w:szCs w:val="28"/>
        </w:rPr>
        <w:t xml:space="preserve"> </w:t>
      </w:r>
      <w:bookmarkStart w:id="12" w:name="_GoBack"/>
      <w:r w:rsidR="00B04623" w:rsidRPr="00A27F69">
        <w:rPr>
          <w:rFonts w:ascii="仿宋" w:eastAsia="仿宋" w:hAnsi="仿宋" w:cs="宋体" w:hint="eastAsia"/>
          <w:color w:val="000000"/>
          <w:kern w:val="0"/>
          <w:sz w:val="28"/>
          <w:szCs w:val="28"/>
          <w:u w:color="46CD7E"/>
        </w:rPr>
        <w:t>.</w:t>
      </w:r>
      <w:r w:rsidRPr="00A27F69">
        <w:rPr>
          <w:rFonts w:ascii="仿宋" w:eastAsia="仿宋" w:hAnsi="仿宋" w:cs="宋体" w:hint="eastAsia"/>
          <w:color w:val="000000"/>
          <w:kern w:val="0"/>
          <w:sz w:val="28"/>
          <w:szCs w:val="28"/>
          <w:u w:color="46CD7E"/>
        </w:rPr>
        <w:t>.....</w:t>
      </w:r>
      <w:bookmarkEnd w:id="12"/>
      <w:r w:rsidRPr="00B04623">
        <w:rPr>
          <w:rFonts w:ascii="仿宋" w:eastAsia="仿宋" w:hAnsi="仿宋" w:cs="宋体" w:hint="eastAsia"/>
          <w:color w:val="000000"/>
          <w:kern w:val="0"/>
          <w:sz w:val="28"/>
          <w:szCs w:val="28"/>
        </w:rPr>
        <w:t>18</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七、“三公”经费财政拨款支出决算情况说明..............18-21</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八、政府性基金预算支出决算情况说明........</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Pr="00B04623">
        <w:rPr>
          <w:rFonts w:ascii="仿宋" w:eastAsia="仿宋" w:hAnsi="仿宋" w:cs="宋体" w:hint="eastAsia"/>
          <w:color w:val="000000"/>
          <w:kern w:val="0"/>
          <w:sz w:val="28"/>
          <w:szCs w:val="28"/>
        </w:rPr>
        <w:t>.........18</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九、国有资本经营预算支出决算情况说明...................18</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十、其他重要事项的情况说明.....</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Pr="00B04623">
        <w:rPr>
          <w:rFonts w:ascii="仿宋" w:eastAsia="仿宋" w:hAnsi="仿宋" w:cs="宋体" w:hint="eastAsia"/>
          <w:color w:val="000000"/>
          <w:kern w:val="0"/>
          <w:sz w:val="28"/>
          <w:szCs w:val="28"/>
        </w:rPr>
        <w:t>...............18-22</w:t>
      </w:r>
    </w:p>
    <w:p w:rsidR="007B4DEA" w:rsidRPr="00B04623" w:rsidRDefault="00B45477">
      <w:pPr>
        <w:pStyle w:val="TOC11"/>
        <w:adjustRightInd w:val="0"/>
        <w:snapToGrid w:val="0"/>
        <w:spacing w:before="0" w:line="440" w:lineRule="exact"/>
        <w:jc w:val="left"/>
        <w:rPr>
          <w:rFonts w:cs="宋体"/>
          <w:color w:val="000000"/>
          <w:kern w:val="0"/>
        </w:rPr>
      </w:pPr>
      <w:r w:rsidRPr="00B04623">
        <w:rPr>
          <w:rFonts w:cs="宋体" w:hint="eastAsia"/>
          <w:color w:val="000000"/>
          <w:kern w:val="0"/>
        </w:rPr>
        <w:t>第三部分 名词解释.................</w:t>
      </w:r>
      <w:r w:rsidR="00B04623" w:rsidRPr="00B04623">
        <w:rPr>
          <w:rFonts w:cs="宋体" w:hint="eastAsia"/>
          <w:color w:val="000000"/>
          <w:kern w:val="0"/>
        </w:rPr>
        <w:t xml:space="preserve"> </w:t>
      </w:r>
      <w:r w:rsidR="00B04623" w:rsidRPr="00B04623">
        <w:rPr>
          <w:rFonts w:cs="宋体" w:hint="eastAsia"/>
          <w:color w:val="000000"/>
          <w:kern w:val="0"/>
        </w:rPr>
        <w:t>.</w:t>
      </w:r>
      <w:r w:rsidR="00B04623" w:rsidRPr="00B04623">
        <w:rPr>
          <w:rFonts w:cs="宋体" w:hint="eastAsia"/>
          <w:color w:val="000000"/>
          <w:kern w:val="0"/>
        </w:rPr>
        <w:t xml:space="preserve"> </w:t>
      </w:r>
      <w:r w:rsidR="00B04623" w:rsidRPr="00B04623">
        <w:rPr>
          <w:rFonts w:cs="宋体" w:hint="eastAsia"/>
          <w:color w:val="000000"/>
          <w:kern w:val="0"/>
        </w:rPr>
        <w:t>.</w:t>
      </w:r>
      <w:r w:rsidRPr="00B04623">
        <w:rPr>
          <w:rFonts w:cs="宋体" w:hint="eastAsia"/>
          <w:color w:val="000000"/>
          <w:kern w:val="0"/>
        </w:rPr>
        <w:t>................23-27</w:t>
      </w:r>
    </w:p>
    <w:p w:rsidR="007B4DEA" w:rsidRPr="00B04623" w:rsidRDefault="00B45477">
      <w:pPr>
        <w:pStyle w:val="TOC11"/>
        <w:adjustRightInd w:val="0"/>
        <w:snapToGrid w:val="0"/>
        <w:spacing w:before="0" w:line="440" w:lineRule="exact"/>
        <w:jc w:val="left"/>
        <w:rPr>
          <w:rFonts w:cs="宋体"/>
          <w:color w:val="000000"/>
          <w:kern w:val="0"/>
        </w:rPr>
      </w:pPr>
      <w:r w:rsidRPr="00B04623">
        <w:rPr>
          <w:rFonts w:cs="宋体" w:hint="eastAsia"/>
          <w:color w:val="000000"/>
          <w:kern w:val="0"/>
        </w:rPr>
        <w:t>第四部分 附件.....................</w:t>
      </w:r>
      <w:r w:rsidR="00B04623" w:rsidRPr="00B04623">
        <w:rPr>
          <w:rFonts w:cs="宋体" w:hint="eastAsia"/>
          <w:color w:val="000000"/>
          <w:kern w:val="0"/>
        </w:rPr>
        <w:t xml:space="preserve"> </w:t>
      </w:r>
      <w:r w:rsidR="00B04623" w:rsidRPr="00B04623">
        <w:rPr>
          <w:rFonts w:cs="宋体" w:hint="eastAsia"/>
          <w:color w:val="000000"/>
          <w:kern w:val="0"/>
        </w:rPr>
        <w:t>.</w:t>
      </w:r>
      <w:r w:rsidRPr="00B04623">
        <w:rPr>
          <w:rFonts w:cs="宋体" w:hint="eastAsia"/>
          <w:color w:val="000000"/>
          <w:kern w:val="0"/>
        </w:rPr>
        <w:t>..................28-59</w:t>
      </w:r>
    </w:p>
    <w:p w:rsidR="007B4DEA" w:rsidRPr="00B04623" w:rsidRDefault="00B45477">
      <w:pPr>
        <w:pStyle w:val="TOC11"/>
        <w:adjustRightInd w:val="0"/>
        <w:snapToGrid w:val="0"/>
        <w:spacing w:before="0" w:line="440" w:lineRule="exact"/>
        <w:jc w:val="left"/>
        <w:rPr>
          <w:rFonts w:cs="宋体"/>
          <w:color w:val="000000"/>
          <w:kern w:val="0"/>
        </w:rPr>
      </w:pPr>
      <w:r w:rsidRPr="00B04623">
        <w:rPr>
          <w:rFonts w:cs="宋体" w:hint="eastAsia"/>
          <w:color w:val="000000"/>
          <w:kern w:val="0"/>
        </w:rPr>
        <w:t>第五部分 附表.....................</w:t>
      </w:r>
      <w:r w:rsidR="00B04623" w:rsidRPr="00B04623">
        <w:rPr>
          <w:rFonts w:cs="宋体" w:hint="eastAsia"/>
          <w:color w:val="000000"/>
          <w:kern w:val="0"/>
        </w:rPr>
        <w:t xml:space="preserve"> </w:t>
      </w:r>
      <w:r w:rsidR="00B04623" w:rsidRPr="00B04623">
        <w:rPr>
          <w:rFonts w:cs="宋体" w:hint="eastAsia"/>
          <w:color w:val="000000"/>
          <w:kern w:val="0"/>
        </w:rPr>
        <w:t>.</w:t>
      </w:r>
      <w:r w:rsidR="00B04623" w:rsidRPr="00B04623">
        <w:rPr>
          <w:rFonts w:cs="宋体" w:hint="eastAsia"/>
          <w:color w:val="000000"/>
          <w:kern w:val="0"/>
        </w:rPr>
        <w:t xml:space="preserve"> </w:t>
      </w:r>
      <w:r w:rsidR="00B04623" w:rsidRPr="00B04623">
        <w:rPr>
          <w:rFonts w:cs="宋体" w:hint="eastAsia"/>
          <w:color w:val="000000"/>
          <w:kern w:val="0"/>
        </w:rPr>
        <w:t>.</w:t>
      </w:r>
      <w:r w:rsidRPr="00B04623">
        <w:rPr>
          <w:rFonts w:cs="宋体" w:hint="eastAsia"/>
          <w:color w:val="000000"/>
          <w:kern w:val="0"/>
        </w:rPr>
        <w:t>...................60</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一、收入支出决算总表................................60-61</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二、收入决算表......................................61-64</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三、支出决算表.....................</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Pr="00B04623">
        <w:rPr>
          <w:rFonts w:ascii="仿宋" w:eastAsia="仿宋" w:hAnsi="仿宋" w:cs="宋体" w:hint="eastAsia"/>
          <w:color w:val="000000"/>
          <w:kern w:val="0"/>
          <w:sz w:val="28"/>
          <w:szCs w:val="28"/>
        </w:rPr>
        <w:t>........65-68</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四、财政拨款收入支出决算总表.......................68-69</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五、财政拨款支出决算明细表.............</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Pr="00B04623">
        <w:rPr>
          <w:rFonts w:ascii="仿宋" w:eastAsia="仿宋" w:hAnsi="仿宋" w:cs="宋体" w:hint="eastAsia"/>
          <w:color w:val="000000"/>
          <w:kern w:val="0"/>
          <w:sz w:val="28"/>
          <w:szCs w:val="28"/>
        </w:rPr>
        <w:t>......70-74</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六、一般公共预算财政拨款支出决算表.................75-78</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七、一般公共预算财政拨款支出决算明细表.............78-87</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八、一般公共预算财政拨款基本支出决算表.............87-90</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九、一般公共预算财政拨款项目支出决算表..............91-92</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lastRenderedPageBreak/>
        <w:t>十、一般公共预算财政拨款“三公”经费支出决算表........92-93</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十一、政府性基金预算财政拨款收入支出决算表.............93</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十二、政府性基金预算财政拨款“三公”经费支出决算表...</w:t>
      </w:r>
      <w:r w:rsidR="00B04623" w:rsidRPr="00B04623">
        <w:rPr>
          <w:rFonts w:ascii="仿宋" w:eastAsia="仿宋" w:hAnsi="仿宋" w:cs="宋体" w:hint="eastAsia"/>
          <w:color w:val="000000"/>
          <w:kern w:val="0"/>
          <w:sz w:val="28"/>
          <w:szCs w:val="28"/>
        </w:rPr>
        <w:t xml:space="preserve"> </w:t>
      </w:r>
      <w:r w:rsidRPr="00B04623">
        <w:rPr>
          <w:rFonts w:ascii="仿宋" w:eastAsia="仿宋" w:hAnsi="仿宋" w:cs="宋体" w:hint="eastAsia"/>
          <w:color w:val="000000"/>
          <w:kern w:val="0"/>
          <w:sz w:val="28"/>
          <w:szCs w:val="28"/>
        </w:rPr>
        <w:t>93-94</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十三、国有资本经营预算财政拨款收入支出决算表...</w:t>
      </w:r>
      <w:r w:rsidR="00B04623" w:rsidRPr="00B04623">
        <w:rPr>
          <w:rFonts w:ascii="仿宋" w:eastAsia="仿宋" w:hAnsi="仿宋" w:cs="宋体" w:hint="eastAsia"/>
          <w:color w:val="000000"/>
          <w:kern w:val="0"/>
          <w:sz w:val="28"/>
          <w:szCs w:val="28"/>
        </w:rPr>
        <w:t xml:space="preserve"> </w:t>
      </w:r>
      <w:r w:rsidR="00B04623" w:rsidRPr="00A27F69">
        <w:rPr>
          <w:rFonts w:ascii="仿宋" w:eastAsia="仿宋" w:hAnsi="仿宋" w:cs="宋体" w:hint="eastAsia"/>
          <w:color w:val="000000"/>
          <w:kern w:val="0"/>
          <w:sz w:val="28"/>
          <w:szCs w:val="28"/>
          <w:u w:color="46CD7E"/>
        </w:rPr>
        <w:t>.</w:t>
      </w:r>
      <w:r w:rsidRPr="00A27F69">
        <w:rPr>
          <w:rFonts w:ascii="仿宋" w:eastAsia="仿宋" w:hAnsi="仿宋" w:cs="宋体" w:hint="eastAsia"/>
          <w:color w:val="000000"/>
          <w:kern w:val="0"/>
          <w:sz w:val="28"/>
          <w:szCs w:val="28"/>
          <w:u w:color="46CD7E"/>
        </w:rPr>
        <w:t>.....</w:t>
      </w:r>
      <w:r w:rsidRPr="00B04623">
        <w:rPr>
          <w:rFonts w:ascii="仿宋" w:eastAsia="仿宋" w:hAnsi="仿宋" w:cs="宋体" w:hint="eastAsia"/>
          <w:color w:val="000000"/>
          <w:kern w:val="0"/>
          <w:sz w:val="28"/>
          <w:szCs w:val="28"/>
        </w:rPr>
        <w:t>94</w:t>
      </w:r>
    </w:p>
    <w:p w:rsidR="007B4DEA" w:rsidRPr="00B04623" w:rsidRDefault="00B45477">
      <w:pPr>
        <w:pStyle w:val="TOC21"/>
        <w:adjustRightInd w:val="0"/>
        <w:snapToGrid w:val="0"/>
        <w:spacing w:line="440" w:lineRule="exact"/>
        <w:jc w:val="left"/>
        <w:rPr>
          <w:rFonts w:ascii="仿宋" w:eastAsia="仿宋" w:hAnsi="仿宋" w:cs="宋体"/>
          <w:color w:val="000000"/>
          <w:kern w:val="0"/>
          <w:sz w:val="28"/>
          <w:szCs w:val="28"/>
        </w:rPr>
      </w:pPr>
      <w:r w:rsidRPr="00B04623">
        <w:rPr>
          <w:rFonts w:ascii="仿宋" w:eastAsia="仿宋" w:hAnsi="仿宋" w:cs="宋体" w:hint="eastAsia"/>
          <w:color w:val="000000"/>
          <w:kern w:val="0"/>
          <w:sz w:val="28"/>
          <w:szCs w:val="28"/>
        </w:rPr>
        <w:t>十四、国有资本经营预算财政拨款支出决算表</w:t>
      </w:r>
      <w:r w:rsidRPr="00A27F69">
        <w:rPr>
          <w:rFonts w:ascii="仿宋" w:eastAsia="仿宋" w:hAnsi="仿宋" w:cs="宋体" w:hint="eastAsia"/>
          <w:color w:val="000000"/>
          <w:kern w:val="0"/>
          <w:sz w:val="28"/>
          <w:szCs w:val="28"/>
          <w:u w:color="46CD7E"/>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00B04623" w:rsidRPr="00B04623">
        <w:rPr>
          <w:rFonts w:ascii="仿宋" w:eastAsia="仿宋" w:hAnsi="仿宋" w:cs="宋体" w:hint="eastAsia"/>
          <w:color w:val="000000"/>
          <w:kern w:val="0"/>
          <w:sz w:val="28"/>
          <w:szCs w:val="28"/>
        </w:rPr>
        <w:t xml:space="preserve"> </w:t>
      </w:r>
      <w:r w:rsidR="00B04623" w:rsidRPr="00B04623">
        <w:rPr>
          <w:rFonts w:ascii="仿宋" w:eastAsia="仿宋" w:hAnsi="仿宋" w:cs="宋体" w:hint="eastAsia"/>
          <w:color w:val="000000"/>
          <w:kern w:val="0"/>
          <w:sz w:val="28"/>
          <w:szCs w:val="28"/>
        </w:rPr>
        <w:t>.</w:t>
      </w:r>
      <w:r w:rsidRPr="00B04623">
        <w:rPr>
          <w:rFonts w:ascii="仿宋" w:eastAsia="仿宋" w:hAnsi="仿宋" w:cs="宋体" w:hint="eastAsia"/>
          <w:color w:val="000000"/>
          <w:kern w:val="0"/>
          <w:sz w:val="28"/>
          <w:szCs w:val="28"/>
        </w:rPr>
        <w:t>......94-95</w:t>
      </w:r>
    </w:p>
    <w:p w:rsidR="007B4DEA" w:rsidRPr="00B04623" w:rsidRDefault="00B45477">
      <w:pPr>
        <w:widowControl/>
        <w:spacing w:line="440" w:lineRule="exact"/>
        <w:jc w:val="left"/>
        <w:rPr>
          <w:rFonts w:ascii="仿宋" w:eastAsia="仿宋" w:hAnsi="仿宋" w:cs="宋体"/>
          <w:color w:val="000000"/>
          <w:kern w:val="0"/>
          <w:sz w:val="28"/>
          <w:szCs w:val="28"/>
        </w:rPr>
      </w:pPr>
      <w:bookmarkStart w:id="13" w:name="_Toc15377196"/>
      <w:bookmarkStart w:id="14" w:name="_Toc15396599"/>
      <w:r w:rsidRPr="00B04623">
        <w:rPr>
          <w:rFonts w:ascii="仿宋" w:eastAsia="仿宋" w:hAnsi="仿宋" w:cs="宋体"/>
          <w:color w:val="000000"/>
          <w:kern w:val="0"/>
          <w:sz w:val="28"/>
          <w:szCs w:val="28"/>
        </w:rPr>
        <w:br w:type="page"/>
      </w:r>
    </w:p>
    <w:p w:rsidR="007B4DEA" w:rsidRDefault="00B45477">
      <w:pPr>
        <w:pStyle w:val="1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3"/>
      <w:bookmarkEnd w:id="14"/>
    </w:p>
    <w:p w:rsidR="007B4DEA" w:rsidRDefault="007B4DEA">
      <w:pPr>
        <w:widowControl/>
        <w:jc w:val="left"/>
        <w:rPr>
          <w:rFonts w:ascii="黑体" w:eastAsia="黑体"/>
          <w:sz w:val="32"/>
          <w:szCs w:val="32"/>
        </w:rPr>
      </w:pPr>
    </w:p>
    <w:p w:rsidR="007B4DEA" w:rsidRDefault="00B45477">
      <w:pPr>
        <w:pStyle w:val="21"/>
        <w:numPr>
          <w:ilvl w:val="0"/>
          <w:numId w:val="7"/>
        </w:numPr>
        <w:rPr>
          <w:rStyle w:val="2Char"/>
          <w:rFonts w:ascii="黑体" w:eastAsia="黑体" w:hAnsi="黑体"/>
        </w:rPr>
      </w:pPr>
      <w:bookmarkStart w:id="15" w:name="_Toc15396600"/>
      <w:bookmarkStart w:id="16" w:name="_Toc15377197"/>
      <w:r>
        <w:rPr>
          <w:rStyle w:val="2Char"/>
          <w:rFonts w:ascii="黑体" w:eastAsia="黑体" w:hAnsi="黑体" w:hint="eastAsia"/>
        </w:rPr>
        <w:t>职能简介</w:t>
      </w:r>
    </w:p>
    <w:p w:rsidR="007B4DEA" w:rsidRDefault="00B45477">
      <w:pPr>
        <w:widowControl/>
        <w:shd w:val="clear" w:color="auto" w:fill="FFFFFF"/>
        <w:ind w:firstLine="560"/>
        <w:jc w:val="left"/>
        <w:rPr>
          <w:rFonts w:ascii="仿宋" w:eastAsia="仿宋" w:hAnsi="仿宋" w:cs="宋体"/>
          <w:color w:val="000000"/>
          <w:kern w:val="0"/>
          <w:szCs w:val="21"/>
        </w:rPr>
      </w:pPr>
      <w:r>
        <w:rPr>
          <w:rFonts w:ascii="仿宋" w:eastAsia="仿宋" w:hAnsi="仿宋" w:cs="宋体" w:hint="eastAsia"/>
          <w:color w:val="000000"/>
          <w:kern w:val="0"/>
          <w:sz w:val="28"/>
          <w:szCs w:val="28"/>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rsidR="007B4DEA" w:rsidRDefault="00B45477">
      <w:pPr>
        <w:widowControl/>
        <w:shd w:val="clear" w:color="auto" w:fill="FFFFFF"/>
        <w:ind w:firstLineChars="200" w:firstLine="560"/>
        <w:jc w:val="left"/>
        <w:rPr>
          <w:rFonts w:ascii="仿宋" w:eastAsia="仿宋" w:hAnsi="仿宋" w:cs="宋体"/>
          <w:color w:val="000000"/>
          <w:kern w:val="0"/>
          <w:szCs w:val="21"/>
        </w:rPr>
      </w:pPr>
      <w:r>
        <w:rPr>
          <w:rFonts w:ascii="仿宋" w:eastAsia="仿宋" w:hAnsi="仿宋" w:cs="宋体"/>
          <w:color w:val="000000"/>
          <w:kern w:val="0"/>
          <w:sz w:val="28"/>
          <w:szCs w:val="28"/>
        </w:rPr>
        <w:t>1</w:t>
      </w:r>
      <w:r w:rsidR="00382AB3" w:rsidRPr="001446C9">
        <w:rPr>
          <w:rFonts w:ascii="仿宋" w:eastAsia="仿宋" w:hAnsi="仿宋" w:cs="宋体"/>
          <w:color w:val="000000"/>
          <w:kern w:val="0"/>
          <w:sz w:val="28"/>
          <w:szCs w:val="28"/>
          <w:u w:color="46CD7E"/>
        </w:rPr>
        <w:t>.</w:t>
      </w:r>
      <w:r>
        <w:rPr>
          <w:rFonts w:ascii="仿宋" w:eastAsia="仿宋" w:hAnsi="仿宋" w:cs="宋体" w:hint="eastAsia"/>
          <w:color w:val="000000"/>
          <w:kern w:val="0"/>
          <w:sz w:val="28"/>
          <w:szCs w:val="28"/>
        </w:rPr>
        <w:t>执行本级人民代表大会的决议和上级国家行政机关的决定和命令，发布决定和命令</w:t>
      </w:r>
      <w:r>
        <w:t>。</w:t>
      </w:r>
    </w:p>
    <w:p w:rsidR="007B4DEA" w:rsidRDefault="00B45477">
      <w:pPr>
        <w:widowControl/>
        <w:shd w:val="clear" w:color="auto" w:fill="FFFFFF"/>
        <w:ind w:firstLine="560"/>
        <w:jc w:val="left"/>
        <w:rPr>
          <w:rFonts w:ascii="仿宋" w:eastAsia="仿宋" w:hAnsi="仿宋" w:cs="宋体"/>
          <w:color w:val="000000"/>
          <w:kern w:val="0"/>
          <w:szCs w:val="21"/>
        </w:rPr>
      </w:pPr>
      <w:r>
        <w:rPr>
          <w:rFonts w:ascii="仿宋" w:eastAsia="仿宋" w:hAnsi="仿宋" w:cs="宋体"/>
          <w:color w:val="000000"/>
          <w:kern w:val="0"/>
          <w:sz w:val="28"/>
          <w:szCs w:val="28"/>
        </w:rPr>
        <w:t>2</w:t>
      </w:r>
      <w:r w:rsidR="00382AB3" w:rsidRPr="001446C9">
        <w:rPr>
          <w:rFonts w:ascii="仿宋" w:eastAsia="仿宋" w:hAnsi="仿宋" w:cs="宋体"/>
          <w:color w:val="000000"/>
          <w:kern w:val="0"/>
          <w:sz w:val="28"/>
          <w:szCs w:val="28"/>
          <w:u w:color="46CD7E"/>
        </w:rPr>
        <w:t>.</w:t>
      </w:r>
      <w:r>
        <w:rPr>
          <w:rFonts w:ascii="仿宋" w:eastAsia="仿宋" w:hAnsi="仿宋" w:cs="宋体" w:hint="eastAsia"/>
          <w:color w:val="000000"/>
          <w:kern w:val="0"/>
          <w:sz w:val="28"/>
          <w:szCs w:val="28"/>
        </w:rPr>
        <w:t>执行本行政区域内的经济和社会发展计划、预算，管理本行政区域内的经济、教育、科学、文化、卫生、体育事业和财政、民政、公安、司法行政、计划生育等行政工作</w:t>
      </w:r>
      <w:r>
        <w:t>。</w:t>
      </w:r>
      <w:r>
        <w:rPr>
          <w:rFonts w:ascii="仿宋" w:eastAsia="仿宋" w:hAnsi="仿宋" w:cs="宋体"/>
          <w:color w:val="000000"/>
          <w:kern w:val="0"/>
          <w:sz w:val="28"/>
          <w:szCs w:val="28"/>
        </w:rPr>
        <w:t>3</w:t>
      </w:r>
      <w:r w:rsidR="00382AB3" w:rsidRPr="001446C9">
        <w:rPr>
          <w:rFonts w:ascii="仿宋" w:eastAsia="仿宋" w:hAnsi="仿宋" w:cs="宋体"/>
          <w:color w:val="000000"/>
          <w:kern w:val="0"/>
          <w:sz w:val="28"/>
          <w:szCs w:val="28"/>
          <w:u w:color="46CD7E"/>
        </w:rPr>
        <w:t>.</w:t>
      </w:r>
      <w:r>
        <w:rPr>
          <w:rFonts w:ascii="仿宋" w:eastAsia="仿宋" w:hAnsi="仿宋" w:cs="宋体" w:hint="eastAsia"/>
          <w:color w:val="000000"/>
          <w:kern w:val="0"/>
          <w:sz w:val="28"/>
          <w:szCs w:val="28"/>
        </w:rPr>
        <w:t>保护社会主义的全民所有的财产和劳动群众集体所有的财产，保护公民私人所有的合法财产，维护社会秩序，保障公民的人身权利、民</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主权利和其他权利</w:t>
      </w:r>
      <w:r>
        <w:t>。</w:t>
      </w:r>
      <w:r>
        <w:rPr>
          <w:rFonts w:ascii="仿宋" w:eastAsia="仿宋" w:hAnsi="仿宋" w:cs="宋体"/>
          <w:color w:val="000000"/>
          <w:kern w:val="0"/>
          <w:sz w:val="28"/>
          <w:szCs w:val="28"/>
        </w:rPr>
        <w:t>4</w:t>
      </w:r>
      <w:r w:rsidR="00382AB3" w:rsidRPr="001446C9">
        <w:rPr>
          <w:rFonts w:ascii="仿宋" w:eastAsia="仿宋" w:hAnsi="仿宋" w:cs="宋体"/>
          <w:color w:val="000000"/>
          <w:kern w:val="0"/>
          <w:sz w:val="28"/>
          <w:szCs w:val="28"/>
          <w:u w:color="46CD7E"/>
        </w:rPr>
        <w:t>.</w:t>
      </w:r>
      <w:r>
        <w:rPr>
          <w:rFonts w:ascii="仿宋" w:eastAsia="仿宋" w:hAnsi="仿宋" w:cs="宋体" w:hint="eastAsia"/>
          <w:color w:val="000000"/>
          <w:kern w:val="0"/>
          <w:sz w:val="28"/>
          <w:szCs w:val="28"/>
        </w:rPr>
        <w:t>保护各种经济组织的合法权益</w:t>
      </w:r>
      <w:r w:rsidR="00BD4A83">
        <w:t>。</w:t>
      </w:r>
    </w:p>
    <w:p w:rsidR="007B4DEA" w:rsidRDefault="00B45477">
      <w:pPr>
        <w:widowControl/>
        <w:shd w:val="clear" w:color="auto" w:fill="FFFFFF"/>
        <w:ind w:firstLine="560"/>
        <w:jc w:val="left"/>
        <w:rPr>
          <w:rFonts w:ascii="仿宋" w:eastAsia="仿宋" w:hAnsi="仿宋" w:cs="宋体"/>
          <w:color w:val="000000"/>
          <w:kern w:val="0"/>
          <w:szCs w:val="21"/>
        </w:rPr>
      </w:pPr>
      <w:r>
        <w:rPr>
          <w:rFonts w:ascii="仿宋" w:eastAsia="仿宋" w:hAnsi="仿宋" w:cs="宋体"/>
          <w:color w:val="000000"/>
          <w:kern w:val="0"/>
          <w:sz w:val="28"/>
          <w:szCs w:val="28"/>
        </w:rPr>
        <w:t>5</w:t>
      </w:r>
      <w:r w:rsidR="00382AB3" w:rsidRPr="001446C9">
        <w:rPr>
          <w:rFonts w:ascii="仿宋" w:eastAsia="仿宋" w:hAnsi="仿宋" w:cs="宋体"/>
          <w:color w:val="000000"/>
          <w:kern w:val="0"/>
          <w:sz w:val="28"/>
          <w:szCs w:val="28"/>
          <w:u w:color="46CD7E"/>
        </w:rPr>
        <w:t>.</w:t>
      </w:r>
      <w:r>
        <w:rPr>
          <w:rFonts w:ascii="仿宋" w:eastAsia="仿宋" w:hAnsi="仿宋" w:cs="宋体" w:hint="eastAsia"/>
          <w:color w:val="000000"/>
          <w:kern w:val="0"/>
          <w:sz w:val="28"/>
          <w:szCs w:val="28"/>
        </w:rPr>
        <w:t>保障少数民族的权利和尊重少数民族的风俗习惯</w:t>
      </w:r>
      <w:r>
        <w:t>。</w:t>
      </w:r>
    </w:p>
    <w:p w:rsidR="007B4DEA" w:rsidRDefault="00B45477">
      <w:pPr>
        <w:pStyle w:val="a3"/>
        <w:adjustRightInd w:val="0"/>
        <w:snapToGrid w:val="0"/>
        <w:spacing w:before="93" w:line="600" w:lineRule="exact"/>
        <w:ind w:firstLineChars="210" w:firstLine="588"/>
        <w:outlineLvl w:val="2"/>
        <w:rPr>
          <w:rFonts w:ascii="仿宋" w:eastAsia="仿宋" w:hAnsi="仿宋"/>
          <w:color w:val="000000"/>
          <w:sz w:val="28"/>
          <w:szCs w:val="28"/>
        </w:rPr>
      </w:pPr>
      <w:r>
        <w:rPr>
          <w:rFonts w:ascii="仿宋" w:eastAsia="仿宋" w:hAnsi="仿宋"/>
          <w:color w:val="000000"/>
          <w:sz w:val="28"/>
          <w:szCs w:val="28"/>
        </w:rPr>
        <w:t>6</w:t>
      </w:r>
      <w:r w:rsidR="00382AB3" w:rsidRPr="001446C9">
        <w:rPr>
          <w:rFonts w:ascii="仿宋" w:eastAsia="仿宋" w:hAnsi="仿宋"/>
          <w:color w:val="000000"/>
          <w:sz w:val="28"/>
          <w:szCs w:val="28"/>
          <w:u w:color="46CD7E"/>
        </w:rPr>
        <w:t>.</w:t>
      </w:r>
      <w:r>
        <w:rPr>
          <w:rFonts w:ascii="仿宋" w:eastAsia="仿宋" w:hAnsi="仿宋" w:hint="eastAsia"/>
          <w:color w:val="000000"/>
          <w:sz w:val="28"/>
          <w:szCs w:val="28"/>
        </w:rPr>
        <w:t>办理上级县委、县政府交办的其他事项。</w:t>
      </w:r>
    </w:p>
    <w:p w:rsidR="007B4DEA" w:rsidRDefault="007B4DEA"/>
    <w:p w:rsidR="007B4DEA" w:rsidRDefault="00B45477">
      <w:pPr>
        <w:pStyle w:val="21"/>
        <w:rPr>
          <w:rFonts w:ascii="黑体" w:eastAsia="黑体" w:hAnsi="黑体"/>
          <w:b w:val="0"/>
        </w:rPr>
      </w:pPr>
      <w:r w:rsidRPr="00A27F69">
        <w:rPr>
          <w:rFonts w:ascii="黑体" w:eastAsia="黑体" w:hAnsi="黑体" w:hint="eastAsia"/>
          <w:b w:val="0"/>
          <w:u w:val="thick" w:color="FFB03A"/>
          <w:shd w:val="clear" w:color="auto" w:fill="FFEFD8"/>
        </w:rPr>
        <w:t>二、</w:t>
      </w:r>
      <w:r>
        <w:rPr>
          <w:rFonts w:ascii="黑体" w:eastAsia="黑体" w:hAnsi="黑体" w:hint="eastAsia"/>
          <w:b w:val="0"/>
        </w:rPr>
        <w:t>2021年重点工作</w:t>
      </w:r>
      <w:bookmarkEnd w:id="15"/>
      <w:bookmarkEnd w:id="16"/>
      <w:r>
        <w:rPr>
          <w:rFonts w:ascii="黑体" w:eastAsia="黑体" w:hAnsi="黑体" w:hint="eastAsia"/>
          <w:b w:val="0"/>
        </w:rPr>
        <w:t>完成情况</w:t>
      </w:r>
    </w:p>
    <w:p w:rsidR="007B4DEA" w:rsidRDefault="00B45477">
      <w:pPr>
        <w:spacing w:line="56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1.抓好疫情防控，有序推进产业发展。2021年排查中、</w:t>
      </w:r>
      <w:r>
        <w:rPr>
          <w:rFonts w:ascii="仿宋" w:eastAsia="仿宋" w:hAnsi="仿宋" w:cs="仿宋" w:hint="eastAsia"/>
          <w:snapToGrid w:val="0"/>
          <w:color w:val="000000"/>
          <w:kern w:val="0"/>
          <w:sz w:val="32"/>
          <w:szCs w:val="32"/>
        </w:rPr>
        <w:lastRenderedPageBreak/>
        <w:t>高风险返</w:t>
      </w:r>
      <w:proofErr w:type="gramStart"/>
      <w:r>
        <w:rPr>
          <w:rFonts w:ascii="仿宋" w:eastAsia="仿宋" w:hAnsi="仿宋" w:cs="仿宋" w:hint="eastAsia"/>
          <w:snapToGrid w:val="0"/>
          <w:color w:val="000000"/>
          <w:kern w:val="0"/>
          <w:sz w:val="32"/>
          <w:szCs w:val="32"/>
        </w:rPr>
        <w:t>通人员</w:t>
      </w:r>
      <w:proofErr w:type="gramEnd"/>
      <w:r>
        <w:rPr>
          <w:rFonts w:ascii="仿宋" w:eastAsia="仿宋" w:hAnsi="仿宋" w:cs="仿宋" w:hint="eastAsia"/>
          <w:snapToGrid w:val="0"/>
          <w:color w:val="000000"/>
          <w:kern w:val="0"/>
          <w:sz w:val="32"/>
          <w:szCs w:val="32"/>
        </w:rPr>
        <w:t>22人，建立了3本台账，已接种疫苗11940人次，接种率达到96%，全镇无一例确诊或疑似新冠肺炎患者。融合一、二、三产业，强化产业结构调整，建立</w:t>
      </w:r>
      <w:proofErr w:type="gramStart"/>
      <w:r>
        <w:rPr>
          <w:rFonts w:ascii="仿宋" w:eastAsia="仿宋" w:hAnsi="仿宋" w:cs="仿宋" w:hint="eastAsia"/>
          <w:snapToGrid w:val="0"/>
          <w:color w:val="000000"/>
          <w:kern w:val="0"/>
          <w:sz w:val="32"/>
          <w:szCs w:val="32"/>
        </w:rPr>
        <w:t>密李特色</w:t>
      </w:r>
      <w:proofErr w:type="gramEnd"/>
      <w:r>
        <w:rPr>
          <w:rFonts w:ascii="仿宋" w:eastAsia="仿宋" w:hAnsi="仿宋" w:cs="仿宋" w:hint="eastAsia"/>
          <w:snapToGrid w:val="0"/>
          <w:color w:val="000000"/>
          <w:kern w:val="0"/>
          <w:sz w:val="32"/>
          <w:szCs w:val="32"/>
        </w:rPr>
        <w:t>产业园500亩、银耳种植专业村1个、中药材1748亩、青花椒2187亩；通过引进回乡创业人才25人，新增6家种植养殖专业合作社和3家家庭农（牧）场。</w:t>
      </w:r>
    </w:p>
    <w:p w:rsidR="007B4DEA" w:rsidRDefault="00B45477">
      <w:pPr>
        <w:spacing w:line="560" w:lineRule="exact"/>
        <w:rPr>
          <w:rFonts w:ascii="仿宋" w:eastAsia="仿宋" w:hAnsi="仿宋" w:cs="仿宋"/>
          <w:snapToGrid w:val="0"/>
          <w:color w:val="000000"/>
          <w:kern w:val="0"/>
          <w:sz w:val="32"/>
          <w:szCs w:val="32"/>
        </w:rPr>
      </w:pPr>
      <w:r>
        <w:rPr>
          <w:rFonts w:ascii="仿宋" w:eastAsia="仿宋" w:hAnsi="仿宋" w:cs="仿宋" w:hint="eastAsia"/>
          <w:color w:val="000000"/>
          <w:sz w:val="32"/>
          <w:szCs w:val="32"/>
          <w:shd w:val="clear" w:color="auto" w:fill="FFFFFF"/>
        </w:rPr>
        <w:t xml:space="preserve">   2.</w:t>
      </w:r>
      <w:r w:rsidR="00382AB3" w:rsidRPr="001446C9">
        <w:rPr>
          <w:rFonts w:ascii="仿宋" w:eastAsia="仿宋" w:hAnsi="仿宋" w:cs="仿宋" w:hint="eastAsia"/>
          <w:snapToGrid w:val="0"/>
          <w:color w:val="000000"/>
          <w:kern w:val="0"/>
          <w:sz w:val="32"/>
          <w:szCs w:val="32"/>
          <w:u w:color="46CD7E"/>
        </w:rPr>
        <w:t>抓好</w:t>
      </w:r>
      <w:r>
        <w:rPr>
          <w:rFonts w:ascii="仿宋" w:eastAsia="仿宋" w:hAnsi="仿宋" w:cs="仿宋" w:hint="eastAsia"/>
          <w:snapToGrid w:val="0"/>
          <w:color w:val="000000"/>
          <w:kern w:val="0"/>
          <w:sz w:val="32"/>
          <w:szCs w:val="32"/>
        </w:rPr>
        <w:t>镇村换届，夯实“后半篇”文章。3—10月完成镇村换届工作，制定完善“后半篇”文章机制，清理集体资产经营性资产2525万元，公益性资产4398万元，资源性资产2.1万亩，获得股权人数15365人。</w:t>
      </w:r>
    </w:p>
    <w:p w:rsidR="007B4DEA" w:rsidRDefault="00B45477">
      <w:pPr>
        <w:spacing w:line="560" w:lineRule="exact"/>
        <w:ind w:firstLine="56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3.抓成效巩固，强化乡村振兴衔接。按照“四不摘”的要求，安排7名第一书记、21名驻村工作队员加强脱贫</w:t>
      </w:r>
      <w:proofErr w:type="gramStart"/>
      <w:r>
        <w:rPr>
          <w:rFonts w:ascii="仿宋" w:eastAsia="仿宋" w:hAnsi="仿宋" w:cs="仿宋" w:hint="eastAsia"/>
          <w:snapToGrid w:val="0"/>
          <w:color w:val="000000"/>
          <w:kern w:val="0"/>
          <w:sz w:val="32"/>
          <w:szCs w:val="32"/>
        </w:rPr>
        <w:t>攻坚成效</w:t>
      </w:r>
      <w:proofErr w:type="gramEnd"/>
      <w:r>
        <w:rPr>
          <w:rFonts w:ascii="仿宋" w:eastAsia="仿宋" w:hAnsi="仿宋" w:cs="仿宋" w:hint="eastAsia"/>
          <w:snapToGrid w:val="0"/>
          <w:color w:val="000000"/>
          <w:kern w:val="0"/>
          <w:sz w:val="32"/>
          <w:szCs w:val="32"/>
        </w:rPr>
        <w:t>巩固工作，完成了21户</w:t>
      </w:r>
      <w:proofErr w:type="gramStart"/>
      <w:r>
        <w:rPr>
          <w:rFonts w:ascii="仿宋" w:eastAsia="仿宋" w:hAnsi="仿宋" w:cs="仿宋" w:hint="eastAsia"/>
          <w:snapToGrid w:val="0"/>
          <w:color w:val="000000"/>
          <w:kern w:val="0"/>
          <w:sz w:val="32"/>
          <w:szCs w:val="32"/>
        </w:rPr>
        <w:t>监测户</w:t>
      </w:r>
      <w:proofErr w:type="gramEnd"/>
      <w:r>
        <w:rPr>
          <w:rFonts w:ascii="仿宋" w:eastAsia="仿宋" w:hAnsi="仿宋" w:cs="仿宋" w:hint="eastAsia"/>
          <w:snapToGrid w:val="0"/>
          <w:color w:val="000000"/>
          <w:kern w:val="0"/>
          <w:sz w:val="32"/>
          <w:szCs w:val="32"/>
        </w:rPr>
        <w:t>帮扶和18户掉边掉角户住房的建设，开展3次排查整改“回头看”，发现和整改问题12个，宣传政策30场次。坚持耕地红线底线，完成200亩撂荒土地处置。</w:t>
      </w:r>
    </w:p>
    <w:p w:rsidR="007B4DEA" w:rsidRDefault="00B45477">
      <w:pPr>
        <w:ind w:firstLineChars="200" w:firstLine="640"/>
        <w:rPr>
          <w:rFonts w:ascii="仿宋" w:eastAsia="仿宋" w:hAnsi="仿宋" w:cs="仿宋"/>
        </w:rPr>
      </w:pPr>
      <w:r>
        <w:rPr>
          <w:rFonts w:ascii="仿宋" w:eastAsia="仿宋" w:hAnsi="仿宋" w:cs="仿宋" w:hint="eastAsia"/>
          <w:color w:val="000000"/>
          <w:sz w:val="32"/>
          <w:szCs w:val="32"/>
        </w:rPr>
        <w:t>4.抓基层整治，强化乡村治理。</w:t>
      </w:r>
      <w:r>
        <w:rPr>
          <w:rFonts w:ascii="仿宋" w:eastAsia="仿宋" w:hAnsi="仿宋" w:cs="仿宋" w:hint="eastAsia"/>
          <w:snapToGrid w:val="0"/>
          <w:color w:val="000000"/>
          <w:kern w:val="0"/>
          <w:sz w:val="32"/>
          <w:szCs w:val="32"/>
        </w:rPr>
        <w:t>运用“四议四调四评”和新型“枫桥经验”工作法，完善“院户长”治理模式，化解矛盾纠纷50余件，处理信访31余件次；开展环境整治20次，河道整治4次，规范了车辆停放和场镇秩序，完善了安全生产、森林防灭火、防灾抢险的管理。</w:t>
      </w:r>
    </w:p>
    <w:p w:rsidR="007B4DEA" w:rsidRDefault="00B45477">
      <w:pPr>
        <w:widowControl/>
        <w:jc w:val="left"/>
        <w:rPr>
          <w:rFonts w:ascii="仿宋" w:eastAsia="仿宋" w:hAnsi="仿宋"/>
          <w:kern w:val="0"/>
          <w:sz w:val="32"/>
          <w:szCs w:val="32"/>
        </w:rPr>
      </w:pPr>
      <w:r>
        <w:br w:type="page"/>
      </w:r>
    </w:p>
    <w:p w:rsidR="007B4DEA" w:rsidRDefault="00B45477">
      <w:pPr>
        <w:pStyle w:val="11"/>
        <w:ind w:right="440"/>
        <w:jc w:val="center"/>
        <w:rPr>
          <w:rStyle w:val="1Char"/>
          <w:rFonts w:ascii="黑体" w:eastAsia="黑体" w:hAnsi="黑体"/>
          <w:bCs/>
        </w:rPr>
      </w:pPr>
      <w:bookmarkStart w:id="17" w:name="_Toc15396602"/>
      <w:bookmarkStart w:id="18" w:name="_Toc15377204"/>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7"/>
      <w:bookmarkEnd w:id="18"/>
    </w:p>
    <w:p w:rsidR="007B4DEA" w:rsidRDefault="007B4DEA"/>
    <w:p w:rsidR="007B4DEA" w:rsidRDefault="00B45477">
      <w:pPr>
        <w:pStyle w:val="a7"/>
        <w:numPr>
          <w:ilvl w:val="0"/>
          <w:numId w:val="9"/>
        </w:numPr>
        <w:spacing w:line="600" w:lineRule="exact"/>
        <w:ind w:firstLineChars="0"/>
        <w:outlineLvl w:val="1"/>
        <w:rPr>
          <w:rStyle w:val="2Char"/>
          <w:rFonts w:ascii="黑体" w:eastAsia="黑体" w:hAnsi="黑体"/>
          <w:b w:val="0"/>
        </w:rPr>
      </w:pPr>
      <w:bookmarkStart w:id="19" w:name="_Toc15396603"/>
      <w:bookmarkStart w:id="20" w:name="_Toc15377205"/>
      <w:r>
        <w:rPr>
          <w:rFonts w:ascii="黑体" w:eastAsia="黑体" w:hAnsi="黑体" w:hint="eastAsia"/>
          <w:sz w:val="32"/>
          <w:szCs w:val="32"/>
        </w:rPr>
        <w:t>收</w:t>
      </w:r>
      <w:r>
        <w:rPr>
          <w:rStyle w:val="2Char"/>
          <w:rFonts w:ascii="黑体" w:eastAsia="黑体" w:hAnsi="黑体" w:hint="eastAsia"/>
          <w:b w:val="0"/>
        </w:rPr>
        <w:t>入支出</w:t>
      </w:r>
      <w:r>
        <w:rPr>
          <w:rFonts w:ascii="黑体" w:eastAsia="黑体" w:hAnsi="黑体" w:hint="eastAsia"/>
        </w:rPr>
        <w:t>决算总体情况说明</w:t>
      </w:r>
      <w:bookmarkEnd w:id="19"/>
      <w:bookmarkEnd w:id="20"/>
    </w:p>
    <w:p w:rsidR="007B4DEA" w:rsidRDefault="00B45477">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2021年度收、支总计2377.94万元。与2020年相比，收、支总计各增加925.86万元，增长63.76</w:t>
      </w:r>
      <w:r>
        <w:rPr>
          <w:rFonts w:ascii="仿宋" w:eastAsia="仿宋" w:hAnsi="仿宋"/>
          <w:sz w:val="32"/>
          <w:szCs w:val="32"/>
        </w:rPr>
        <w:t>%</w:t>
      </w:r>
      <w:r>
        <w:rPr>
          <w:rFonts w:ascii="仿宋" w:eastAsia="仿宋" w:hAnsi="仿宋" w:hint="eastAsia"/>
          <w:sz w:val="32"/>
          <w:szCs w:val="32"/>
        </w:rPr>
        <w:t>。主要变动原因是脱贫攻坚后续及乡村振兴。</w:t>
      </w:r>
    </w:p>
    <w:p w:rsidR="007B4DEA" w:rsidRDefault="00B45477">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7B4DEA" w:rsidRDefault="00B45477">
      <w:pPr>
        <w:ind w:firstLineChars="200" w:firstLine="420"/>
        <w:jc w:val="left"/>
        <w:rPr>
          <w:rFonts w:ascii="仿宋_GB2312" w:eastAsia="仿宋_GB2312"/>
          <w:sz w:val="32"/>
          <w:szCs w:val="32"/>
        </w:rPr>
      </w:pPr>
      <w:r>
        <w:rPr>
          <w:noProof/>
        </w:rPr>
        <w:drawing>
          <wp:inline distT="0" distB="0" distL="114300" distR="114300">
            <wp:extent cx="4572000" cy="2743200"/>
            <wp:effectExtent l="4445" t="4445" r="14605" b="14605"/>
            <wp:docPr id="478" name="_x0000_i23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B4DEA" w:rsidRDefault="00B45477">
      <w:pPr>
        <w:pStyle w:val="a7"/>
        <w:numPr>
          <w:ilvl w:val="0"/>
          <w:numId w:val="9"/>
        </w:numPr>
        <w:spacing w:line="600" w:lineRule="exact"/>
        <w:ind w:firstLineChars="0"/>
        <w:outlineLvl w:val="1"/>
        <w:rPr>
          <w:rStyle w:val="2Char"/>
          <w:rFonts w:ascii="黑体" w:eastAsia="黑体" w:hAnsi="黑体"/>
          <w:b w:val="0"/>
        </w:rPr>
      </w:pPr>
      <w:bookmarkStart w:id="21" w:name="_Toc15396604"/>
      <w:bookmarkStart w:id="22"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7B4DEA" w:rsidRDefault="00B45477">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21年本年收入合计2377.94万元，其中：一般公共预算财政拨款收入2377.94万元，占100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；经营收入0万元，占比0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p>
    <w:p w:rsidR="007B4DEA" w:rsidRDefault="00B45477">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7B4DEA" w:rsidRDefault="00B45477">
      <w:pPr>
        <w:ind w:firstLineChars="200" w:firstLine="420"/>
        <w:rPr>
          <w:rFonts w:ascii="仿宋_GB2312" w:eastAsia="仿宋_GB2312"/>
          <w:sz w:val="32"/>
          <w:szCs w:val="32"/>
        </w:rPr>
      </w:pPr>
      <w:r>
        <w:rPr>
          <w:noProof/>
        </w:rPr>
        <w:lastRenderedPageBreak/>
        <w:drawing>
          <wp:inline distT="0" distB="0" distL="114300" distR="114300">
            <wp:extent cx="4572000" cy="2914650"/>
            <wp:effectExtent l="4445" t="4445" r="14605" b="14605"/>
            <wp:docPr id="479" name="_x0000_i23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B4DEA" w:rsidRDefault="00B45477">
      <w:pPr>
        <w:pStyle w:val="a7"/>
        <w:numPr>
          <w:ilvl w:val="0"/>
          <w:numId w:val="9"/>
        </w:numPr>
        <w:spacing w:line="600" w:lineRule="exact"/>
        <w:ind w:firstLineChars="0"/>
        <w:outlineLvl w:val="1"/>
        <w:rPr>
          <w:rStyle w:val="2Char"/>
          <w:rFonts w:ascii="黑体" w:eastAsia="黑体" w:hAnsi="黑体"/>
          <w:b w:val="0"/>
        </w:rPr>
      </w:pPr>
      <w:bookmarkStart w:id="23" w:name="_Toc15377207"/>
      <w:bookmarkStart w:id="24" w:name="_Toc15396605"/>
      <w:r>
        <w:rPr>
          <w:rFonts w:ascii="黑体" w:eastAsia="黑体" w:hAnsi="黑体" w:hint="eastAsia"/>
          <w:sz w:val="32"/>
          <w:szCs w:val="32"/>
        </w:rPr>
        <w:t>支</w:t>
      </w:r>
      <w:r w:rsidRPr="00F419F2">
        <w:rPr>
          <w:rFonts w:ascii="黑体" w:eastAsia="黑体" w:hAnsi="黑体" w:hint="eastAsia"/>
          <w:sz w:val="32"/>
          <w:szCs w:val="32"/>
        </w:rPr>
        <w:t>出决算情况说明</w:t>
      </w:r>
      <w:bookmarkEnd w:id="23"/>
      <w:bookmarkEnd w:id="24"/>
    </w:p>
    <w:p w:rsidR="007B4DEA" w:rsidRDefault="00B45477">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21年本年支出合计2377.94万元，其中：基本支出948.65万元，占39.89</w:t>
      </w:r>
      <w:r>
        <w:rPr>
          <w:rFonts w:ascii="仿宋" w:eastAsia="仿宋" w:hAnsi="仿宋"/>
          <w:sz w:val="32"/>
          <w:szCs w:val="32"/>
        </w:rPr>
        <w:t>%</w:t>
      </w:r>
      <w:r>
        <w:rPr>
          <w:rFonts w:ascii="仿宋" w:eastAsia="仿宋" w:hAnsi="仿宋" w:hint="eastAsia"/>
          <w:sz w:val="32"/>
          <w:szCs w:val="32"/>
        </w:rPr>
        <w:t>；项目支出1429.3万元，占60.11</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7B4DEA" w:rsidRDefault="00B45477">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7B4DEA" w:rsidRDefault="00B45477">
      <w:pPr>
        <w:ind w:firstLineChars="200" w:firstLine="420"/>
        <w:rPr>
          <w:rFonts w:ascii="仿宋_GB2312" w:eastAsia="仿宋_GB2312"/>
          <w:sz w:val="32"/>
          <w:szCs w:val="32"/>
        </w:rPr>
      </w:pPr>
      <w:r>
        <w:rPr>
          <w:noProof/>
        </w:rPr>
        <w:drawing>
          <wp:inline distT="0" distB="0" distL="114300" distR="114300">
            <wp:extent cx="4572000" cy="2914650"/>
            <wp:effectExtent l="4445" t="4445" r="14605" b="14605"/>
            <wp:docPr id="480" name="_x0000_i23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B4DEA" w:rsidRDefault="00B45477">
      <w:pPr>
        <w:spacing w:line="600" w:lineRule="exact"/>
        <w:ind w:firstLineChars="200" w:firstLine="640"/>
        <w:outlineLvl w:val="1"/>
        <w:rPr>
          <w:rStyle w:val="2Char"/>
          <w:rFonts w:ascii="黑体" w:eastAsia="黑体" w:hAnsi="黑体"/>
          <w:b w:val="0"/>
        </w:rPr>
      </w:pPr>
      <w:bookmarkStart w:id="25" w:name="_Toc15377208"/>
      <w:bookmarkStart w:id="26" w:name="_Toc15396606"/>
      <w:r>
        <w:rPr>
          <w:rFonts w:ascii="黑体" w:eastAsia="黑体" w:hAnsi="黑体" w:hint="eastAsia"/>
          <w:sz w:val="32"/>
          <w:szCs w:val="32"/>
        </w:rPr>
        <w:t>四、财</w:t>
      </w:r>
      <w:r>
        <w:rPr>
          <w:rStyle w:val="2Char"/>
          <w:rFonts w:ascii="黑体" w:eastAsia="黑体" w:hAnsi="黑体" w:hint="eastAsia"/>
          <w:b w:val="0"/>
        </w:rPr>
        <w:t>政拨款收入支出</w:t>
      </w:r>
      <w:r w:rsidRPr="00F419F2">
        <w:rPr>
          <w:rFonts w:ascii="黑体" w:eastAsia="黑体" w:hAnsi="黑体" w:hint="eastAsia"/>
          <w:sz w:val="32"/>
          <w:szCs w:val="32"/>
        </w:rPr>
        <w:t>决算总体情况说明</w:t>
      </w:r>
      <w:bookmarkEnd w:id="25"/>
      <w:bookmarkEnd w:id="26"/>
    </w:p>
    <w:p w:rsidR="007B4DEA" w:rsidRDefault="00B45477">
      <w:pPr>
        <w:spacing w:line="600" w:lineRule="exact"/>
        <w:ind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21年财政拨款收、支总计2377.94万元。与</w:t>
      </w:r>
      <w:r>
        <w:rPr>
          <w:rFonts w:ascii="仿宋" w:eastAsia="仿宋" w:hAnsi="仿宋"/>
          <w:sz w:val="32"/>
          <w:szCs w:val="32"/>
        </w:rPr>
        <w:t>20</w:t>
      </w:r>
      <w:r>
        <w:rPr>
          <w:rFonts w:ascii="仿宋" w:eastAsia="仿宋" w:hAnsi="仿宋" w:hint="eastAsia"/>
          <w:sz w:val="32"/>
          <w:szCs w:val="32"/>
        </w:rPr>
        <w:t>20年相比，财政拨款收、支总计各增加925.86万元，增长63.76</w:t>
      </w:r>
      <w:r>
        <w:rPr>
          <w:rFonts w:ascii="仿宋" w:eastAsia="仿宋" w:hAnsi="仿宋"/>
          <w:sz w:val="32"/>
          <w:szCs w:val="32"/>
        </w:rPr>
        <w:t>%</w:t>
      </w:r>
      <w:r>
        <w:rPr>
          <w:rFonts w:ascii="仿宋" w:eastAsia="仿宋" w:hAnsi="仿宋" w:hint="eastAsia"/>
          <w:sz w:val="32"/>
          <w:szCs w:val="32"/>
        </w:rPr>
        <w:t>。主要变动原因是脱贫攻坚后续及乡村振兴</w:t>
      </w:r>
      <w:r>
        <w:t>。</w:t>
      </w:r>
    </w:p>
    <w:p w:rsidR="007B4DEA" w:rsidRDefault="00B45477">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7B4DEA" w:rsidRDefault="00B45477">
      <w:pPr>
        <w:pStyle w:val="a3"/>
        <w:spacing w:before="93"/>
      </w:pPr>
      <w:r>
        <w:rPr>
          <w:noProof/>
        </w:rPr>
        <w:drawing>
          <wp:inline distT="0" distB="0" distL="114300" distR="114300">
            <wp:extent cx="4572000" cy="2743200"/>
            <wp:effectExtent l="4445" t="4445" r="14605" b="14605"/>
            <wp:docPr id="481" name="_x0000_i23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B4DEA" w:rsidRDefault="007B4DEA">
      <w:pPr>
        <w:spacing w:line="600" w:lineRule="exact"/>
        <w:ind w:firstLine="640"/>
        <w:rPr>
          <w:rFonts w:ascii="仿宋" w:eastAsia="仿宋" w:hAnsi="仿宋"/>
          <w:b/>
          <w:sz w:val="32"/>
          <w:szCs w:val="32"/>
        </w:rPr>
      </w:pPr>
    </w:p>
    <w:p w:rsidR="007B4DEA" w:rsidRDefault="00B45477">
      <w:pPr>
        <w:spacing w:line="600" w:lineRule="exact"/>
        <w:ind w:firstLineChars="200" w:firstLine="640"/>
        <w:outlineLvl w:val="1"/>
        <w:rPr>
          <w:rStyle w:val="2Char"/>
          <w:rFonts w:ascii="黑体" w:eastAsia="黑体" w:hAnsi="黑体"/>
          <w:b w:val="0"/>
        </w:rPr>
      </w:pPr>
      <w:bookmarkStart w:id="27" w:name="_Toc15396607"/>
      <w:bookmarkStart w:id="28"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w:t>
      </w:r>
      <w:r w:rsidRPr="00F419F2">
        <w:rPr>
          <w:rStyle w:val="2Char"/>
          <w:rFonts w:ascii="黑体" w:eastAsia="黑体" w:hAnsi="黑体" w:hint="eastAsia"/>
          <w:b w:val="0"/>
        </w:rPr>
        <w:t>算</w:t>
      </w:r>
      <w:r w:rsidRPr="00F419F2">
        <w:rPr>
          <w:rFonts w:ascii="黑体" w:eastAsia="黑体" w:hAnsi="黑体" w:hint="eastAsia"/>
          <w:sz w:val="32"/>
          <w:szCs w:val="32"/>
        </w:rPr>
        <w:t>财政拨款支出决算情况说明</w:t>
      </w:r>
      <w:bookmarkEnd w:id="27"/>
      <w:bookmarkEnd w:id="28"/>
    </w:p>
    <w:p w:rsidR="007B4DEA" w:rsidRDefault="00B45477">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7B4DEA" w:rsidRDefault="00B45477">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21年一般公共预算财政拨款支出2377.94万元，占本年支出合计的100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20年相比，一般公共预算财政拨款支出增加925.86万元，增长63.76</w:t>
      </w:r>
      <w:r>
        <w:rPr>
          <w:rFonts w:ascii="仿宋" w:eastAsia="仿宋" w:hAnsi="仿宋"/>
          <w:sz w:val="32"/>
          <w:szCs w:val="32"/>
        </w:rPr>
        <w:t>%</w:t>
      </w:r>
      <w:r>
        <w:rPr>
          <w:rFonts w:ascii="仿宋" w:eastAsia="仿宋" w:hAnsi="仿宋" w:hint="eastAsia"/>
          <w:sz w:val="32"/>
          <w:szCs w:val="32"/>
        </w:rPr>
        <w:t>。主要变动原因是脱贫攻坚后续及乡村振兴</w:t>
      </w:r>
      <w:r>
        <w:t>。</w:t>
      </w:r>
    </w:p>
    <w:p w:rsidR="007B4DEA" w:rsidRDefault="00B45477">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7B4DEA" w:rsidRDefault="00B45477">
      <w:pPr>
        <w:ind w:firstLineChars="200" w:firstLine="420"/>
        <w:rPr>
          <w:rFonts w:ascii="仿宋" w:eastAsia="仿宋" w:hAnsi="仿宋"/>
          <w:sz w:val="32"/>
          <w:szCs w:val="32"/>
        </w:rPr>
      </w:pPr>
      <w:r>
        <w:rPr>
          <w:noProof/>
        </w:rPr>
        <w:lastRenderedPageBreak/>
        <w:drawing>
          <wp:inline distT="0" distB="0" distL="114300" distR="114300">
            <wp:extent cx="4572000" cy="2743200"/>
            <wp:effectExtent l="4445" t="4445" r="14605" b="14605"/>
            <wp:docPr id="482" name="_x0000_i23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B4DEA" w:rsidRDefault="00B45477">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7B4DEA" w:rsidRDefault="00B45477">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21年一般公共预算财政拨款支出2377.94万元，主要用于以下方面</w:t>
      </w:r>
      <w:r>
        <w:t>：</w:t>
      </w:r>
      <w:r>
        <w:rPr>
          <w:rFonts w:ascii="仿宋" w:eastAsia="仿宋" w:hAnsi="仿宋" w:hint="eastAsia"/>
          <w:sz w:val="32"/>
          <w:szCs w:val="32"/>
        </w:rPr>
        <w:t>一般公共服务（类）支出500.41万元，占21.04</w:t>
      </w:r>
      <w:r>
        <w:rPr>
          <w:rFonts w:ascii="仿宋" w:eastAsia="仿宋" w:hAnsi="仿宋"/>
          <w:sz w:val="32"/>
          <w:szCs w:val="32"/>
        </w:rPr>
        <w:t>%</w:t>
      </w:r>
      <w:r>
        <w:rPr>
          <w:rFonts w:ascii="仿宋" w:eastAsia="仿宋" w:hAnsi="仿宋" w:hint="eastAsia"/>
          <w:sz w:val="32"/>
          <w:szCs w:val="32"/>
        </w:rPr>
        <w:t>；文化旅游体育与传媒（类）支出25.75万元，占1.08</w:t>
      </w:r>
      <w:r>
        <w:rPr>
          <w:rFonts w:ascii="仿宋" w:eastAsia="仿宋" w:hAnsi="仿宋"/>
          <w:sz w:val="32"/>
          <w:szCs w:val="32"/>
        </w:rPr>
        <w:t>%</w:t>
      </w:r>
      <w:r>
        <w:rPr>
          <w:rFonts w:ascii="仿宋" w:eastAsia="仿宋" w:hAnsi="仿宋" w:hint="eastAsia"/>
          <w:sz w:val="32"/>
          <w:szCs w:val="32"/>
        </w:rPr>
        <w:t>；社会保障和就业（类）支出108.19万元，占4.55</w:t>
      </w:r>
      <w:r>
        <w:rPr>
          <w:rFonts w:ascii="仿宋" w:eastAsia="仿宋" w:hAnsi="仿宋"/>
          <w:sz w:val="32"/>
          <w:szCs w:val="32"/>
        </w:rPr>
        <w:t>%</w:t>
      </w:r>
      <w:r>
        <w:rPr>
          <w:rFonts w:ascii="仿宋" w:eastAsia="仿宋" w:hAnsi="仿宋" w:hint="eastAsia"/>
          <w:sz w:val="32"/>
          <w:szCs w:val="32"/>
        </w:rPr>
        <w:t>；卫生健康（类）支出45.2万元，占1.90</w:t>
      </w:r>
      <w:r>
        <w:rPr>
          <w:rFonts w:ascii="仿宋" w:eastAsia="仿宋" w:hAnsi="仿宋"/>
          <w:sz w:val="32"/>
          <w:szCs w:val="32"/>
        </w:rPr>
        <w:t>%</w:t>
      </w:r>
      <w:r>
        <w:rPr>
          <w:rFonts w:ascii="仿宋" w:eastAsia="仿宋" w:hAnsi="仿宋" w:hint="eastAsia"/>
          <w:sz w:val="32"/>
          <w:szCs w:val="32"/>
        </w:rPr>
        <w:t>；城乡社区（类）支出6.18万元，占0.26%；农林水（类）支出1129.97万元，占47.52%；交通运输（类）支出16.13万元，占0.68%；住房保障支出546.1万元，占比22.97</w:t>
      </w:r>
      <w:r>
        <w:rPr>
          <w:rFonts w:ascii="仿宋" w:eastAsia="仿宋" w:hAnsi="仿宋"/>
          <w:sz w:val="32"/>
          <w:szCs w:val="32"/>
        </w:rPr>
        <w:t>%</w:t>
      </w:r>
      <w:r>
        <w:rPr>
          <w:rFonts w:ascii="仿宋" w:eastAsia="仿宋" w:hAnsi="仿宋" w:hint="eastAsia"/>
          <w:sz w:val="32"/>
          <w:szCs w:val="32"/>
        </w:rPr>
        <w:t>。</w:t>
      </w:r>
    </w:p>
    <w:p w:rsidR="007B4DEA" w:rsidRDefault="00B45477">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7B4DEA" w:rsidRDefault="00B45477">
      <w:pPr>
        <w:ind w:firstLineChars="200" w:firstLine="420"/>
        <w:rPr>
          <w:rFonts w:ascii="仿宋" w:eastAsia="仿宋" w:hAnsi="仿宋"/>
          <w:sz w:val="32"/>
          <w:szCs w:val="32"/>
        </w:rPr>
      </w:pPr>
      <w:r>
        <w:rPr>
          <w:noProof/>
        </w:rPr>
        <w:lastRenderedPageBreak/>
        <w:drawing>
          <wp:inline distT="0" distB="0" distL="114300" distR="114300">
            <wp:extent cx="4732020" cy="2906395"/>
            <wp:effectExtent l="4445" t="4445" r="6985" b="22860"/>
            <wp:docPr id="483" name="_x0000_i23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B4DEA" w:rsidRDefault="00B45477">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7B4DEA" w:rsidRDefault="00B45477">
      <w:pPr>
        <w:spacing w:line="600" w:lineRule="exact"/>
        <w:ind w:firstLineChars="200" w:firstLine="643"/>
        <w:outlineLvl w:val="2"/>
        <w:rPr>
          <w:rFonts w:ascii="仿宋" w:eastAsia="仿宋" w:hAnsi="仿宋"/>
          <w:sz w:val="32"/>
          <w:szCs w:val="32"/>
        </w:rPr>
      </w:pPr>
      <w:bookmarkStart w:id="32" w:name="_Toc15377444"/>
      <w:bookmarkStart w:id="33" w:name="_Toc15378460"/>
      <w:bookmarkStart w:id="34" w:name="_Toc15377213"/>
      <w:r>
        <w:rPr>
          <w:rFonts w:ascii="仿宋" w:eastAsia="仿宋" w:hAnsi="仿宋" w:hint="eastAsia"/>
          <w:b/>
          <w:sz w:val="32"/>
          <w:szCs w:val="32"/>
        </w:rPr>
        <w:t>2021年一般公共预算支出决算数为2377.94万元</w:t>
      </w:r>
      <w:r>
        <w:rPr>
          <w:rFonts w:ascii="仿宋" w:eastAsia="仿宋" w:hAnsi="仿宋" w:hint="eastAsia"/>
          <w:sz w:val="32"/>
          <w:szCs w:val="32"/>
        </w:rPr>
        <w:t>，</w:t>
      </w:r>
      <w:r>
        <w:rPr>
          <w:rStyle w:val="a5"/>
          <w:rFonts w:ascii="仿宋" w:eastAsia="仿宋" w:hAnsi="仿宋" w:hint="eastAsia"/>
          <w:bCs/>
          <w:sz w:val="32"/>
          <w:szCs w:val="32"/>
        </w:rPr>
        <w:t>完成预算的100</w:t>
      </w:r>
      <w:r>
        <w:rPr>
          <w:rStyle w:val="a5"/>
          <w:rFonts w:ascii="仿宋" w:eastAsia="仿宋" w:hAnsi="仿宋"/>
          <w:bCs/>
          <w:sz w:val="32"/>
          <w:szCs w:val="32"/>
        </w:rPr>
        <w:t>%</w:t>
      </w:r>
      <w:r>
        <w:rPr>
          <w:rStyle w:val="a5"/>
          <w:rFonts w:ascii="仿宋" w:eastAsia="仿宋" w:hAnsi="仿宋" w:hint="eastAsia"/>
          <w:bCs/>
          <w:sz w:val="32"/>
          <w:szCs w:val="32"/>
        </w:rPr>
        <w:t>。其中：</w:t>
      </w:r>
      <w:bookmarkEnd w:id="32"/>
      <w:bookmarkEnd w:id="33"/>
      <w:bookmarkEnd w:id="34"/>
    </w:p>
    <w:p w:rsidR="007B4DEA" w:rsidRDefault="00B45477">
      <w:pPr>
        <w:numPr>
          <w:ilvl w:val="0"/>
          <w:numId w:val="8"/>
        </w:numPr>
        <w:spacing w:line="600" w:lineRule="exact"/>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一般公共服务（类）</w:t>
      </w:r>
      <w:r>
        <w:rPr>
          <w:rFonts w:ascii="仿宋" w:eastAsia="仿宋" w:hAnsi="仿宋" w:hint="eastAsia"/>
          <w:bCs/>
          <w:sz w:val="32"/>
          <w:szCs w:val="32"/>
        </w:rPr>
        <w:t>人大事务（款）行政运行（项）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8万元，完成预算100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8"/>
        </w:numPr>
        <w:spacing w:line="600" w:lineRule="exact"/>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一般公共服务（类）</w:t>
      </w:r>
      <w:r>
        <w:rPr>
          <w:rFonts w:ascii="仿宋" w:eastAsia="仿宋" w:hAnsi="仿宋" w:hint="eastAsia"/>
          <w:bCs/>
          <w:sz w:val="32"/>
          <w:szCs w:val="32"/>
        </w:rPr>
        <w:t>政府办公厅（室）及相关机构事务</w:t>
      </w:r>
      <w:r>
        <w:rPr>
          <w:rStyle w:val="a5"/>
          <w:rFonts w:ascii="仿宋" w:eastAsia="仿宋" w:hAnsi="仿宋" w:hint="eastAsia"/>
          <w:bCs/>
          <w:sz w:val="32"/>
          <w:szCs w:val="32"/>
        </w:rPr>
        <w:t>（款）</w:t>
      </w:r>
      <w:r>
        <w:rPr>
          <w:rFonts w:ascii="仿宋" w:eastAsia="仿宋" w:hAnsi="仿宋" w:hint="eastAsia"/>
          <w:bCs/>
          <w:sz w:val="32"/>
          <w:szCs w:val="32"/>
        </w:rPr>
        <w:t>行政运行（项）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399.24万元，完成预算100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pStyle w:val="a3"/>
        <w:numPr>
          <w:ilvl w:val="0"/>
          <w:numId w:val="8"/>
        </w:numPr>
        <w:spacing w:before="93"/>
        <w:ind w:firstLineChars="200" w:firstLine="643"/>
      </w:pPr>
      <w:r>
        <w:rPr>
          <w:rStyle w:val="a5"/>
          <w:rFonts w:ascii="仿宋" w:eastAsia="仿宋" w:hAnsi="仿宋" w:hint="eastAsia"/>
          <w:bCs/>
          <w:sz w:val="32"/>
          <w:szCs w:val="32"/>
        </w:rPr>
        <w:t>一般公共服务（类）</w:t>
      </w:r>
      <w:r>
        <w:rPr>
          <w:rFonts w:ascii="仿宋" w:eastAsia="仿宋" w:hAnsi="仿宋" w:hint="eastAsia"/>
          <w:bCs/>
          <w:sz w:val="32"/>
          <w:szCs w:val="32"/>
        </w:rPr>
        <w:t>政府办公厅（室）及相关机构事务</w:t>
      </w:r>
      <w:r>
        <w:rPr>
          <w:rStyle w:val="a5"/>
          <w:rFonts w:ascii="仿宋" w:eastAsia="仿宋" w:hAnsi="仿宋" w:hint="eastAsia"/>
          <w:bCs/>
          <w:sz w:val="32"/>
          <w:szCs w:val="32"/>
        </w:rPr>
        <w:t>（款）</w:t>
      </w:r>
      <w:r>
        <w:rPr>
          <w:rFonts w:ascii="仿宋" w:eastAsia="仿宋" w:hAnsi="仿宋" w:hint="eastAsia"/>
          <w:bCs/>
          <w:sz w:val="32"/>
          <w:szCs w:val="32"/>
        </w:rPr>
        <w:t>信访事务（项）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pStyle w:val="a3"/>
        <w:numPr>
          <w:ilvl w:val="0"/>
          <w:numId w:val="8"/>
        </w:numPr>
        <w:spacing w:before="93"/>
        <w:ind w:firstLineChars="200" w:firstLine="643"/>
      </w:pPr>
      <w:r>
        <w:rPr>
          <w:rStyle w:val="a5"/>
          <w:rFonts w:ascii="仿宋" w:eastAsia="仿宋" w:hAnsi="仿宋" w:hint="eastAsia"/>
          <w:bCs/>
          <w:sz w:val="32"/>
          <w:szCs w:val="32"/>
        </w:rPr>
        <w:t>一般公共服务（类）</w:t>
      </w:r>
      <w:r>
        <w:rPr>
          <w:rFonts w:ascii="仿宋" w:eastAsia="仿宋" w:hAnsi="仿宋" w:hint="eastAsia"/>
          <w:bCs/>
          <w:sz w:val="32"/>
          <w:szCs w:val="32"/>
        </w:rPr>
        <w:t>政府办公厅（室）及相关机构事务</w:t>
      </w:r>
      <w:r>
        <w:rPr>
          <w:rStyle w:val="a5"/>
          <w:rFonts w:ascii="仿宋" w:eastAsia="仿宋" w:hAnsi="仿宋" w:hint="eastAsia"/>
          <w:bCs/>
          <w:sz w:val="32"/>
          <w:szCs w:val="32"/>
        </w:rPr>
        <w:t>（款）</w:t>
      </w:r>
      <w:r>
        <w:rPr>
          <w:rFonts w:ascii="仿宋" w:eastAsia="仿宋" w:hAnsi="仿宋" w:hint="eastAsia"/>
          <w:bCs/>
          <w:sz w:val="32"/>
          <w:szCs w:val="32"/>
        </w:rPr>
        <w:t>事业运行（项）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15.9万元，完成预算100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pStyle w:val="a3"/>
        <w:numPr>
          <w:ilvl w:val="0"/>
          <w:numId w:val="8"/>
        </w:numPr>
        <w:spacing w:before="93"/>
        <w:ind w:firstLineChars="200" w:firstLine="643"/>
      </w:pPr>
      <w:r>
        <w:rPr>
          <w:rStyle w:val="a5"/>
          <w:rFonts w:ascii="仿宋" w:eastAsia="仿宋" w:hAnsi="仿宋" w:hint="eastAsia"/>
          <w:bCs/>
          <w:sz w:val="32"/>
          <w:szCs w:val="32"/>
        </w:rPr>
        <w:lastRenderedPageBreak/>
        <w:t>一般公共服务（类）</w:t>
      </w:r>
      <w:r>
        <w:rPr>
          <w:rFonts w:ascii="仿宋" w:eastAsia="仿宋" w:hAnsi="仿宋" w:hint="eastAsia"/>
          <w:bCs/>
          <w:sz w:val="32"/>
          <w:szCs w:val="32"/>
        </w:rPr>
        <w:t>财政事务（款）行政运行（项）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21.53万元，完成预算100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pStyle w:val="a3"/>
        <w:numPr>
          <w:ilvl w:val="0"/>
          <w:numId w:val="8"/>
        </w:numPr>
        <w:spacing w:before="93"/>
        <w:ind w:firstLineChars="200" w:firstLine="643"/>
      </w:pPr>
      <w:r>
        <w:rPr>
          <w:rStyle w:val="a5"/>
          <w:rFonts w:ascii="仿宋" w:eastAsia="仿宋" w:hAnsi="仿宋" w:hint="eastAsia"/>
          <w:bCs/>
          <w:sz w:val="32"/>
          <w:szCs w:val="32"/>
        </w:rPr>
        <w:t>一般公共服务（类）</w:t>
      </w:r>
      <w:r>
        <w:rPr>
          <w:rFonts w:ascii="仿宋" w:eastAsia="仿宋" w:hAnsi="仿宋" w:hint="eastAsia"/>
          <w:bCs/>
          <w:sz w:val="32"/>
          <w:szCs w:val="32"/>
        </w:rPr>
        <w:t>财政事务（款）事业运行（项）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12.06万元，完成预算100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pStyle w:val="a3"/>
        <w:numPr>
          <w:ilvl w:val="0"/>
          <w:numId w:val="8"/>
        </w:numPr>
        <w:spacing w:before="93"/>
        <w:ind w:firstLineChars="200" w:firstLine="643"/>
      </w:pPr>
      <w:r>
        <w:rPr>
          <w:rStyle w:val="a5"/>
          <w:rFonts w:ascii="仿宋" w:eastAsia="仿宋" w:hAnsi="仿宋" w:hint="eastAsia"/>
          <w:bCs/>
          <w:sz w:val="32"/>
          <w:szCs w:val="32"/>
        </w:rPr>
        <w:t>一般公共服务（类）</w:t>
      </w:r>
      <w:r>
        <w:rPr>
          <w:rFonts w:ascii="仿宋" w:eastAsia="仿宋" w:hAnsi="仿宋" w:hint="eastAsia"/>
          <w:bCs/>
          <w:sz w:val="32"/>
          <w:szCs w:val="32"/>
        </w:rPr>
        <w:t>纪检监察事务（款）行政运行（项）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14.34万元，完成预算100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pStyle w:val="a3"/>
        <w:numPr>
          <w:ilvl w:val="0"/>
          <w:numId w:val="8"/>
        </w:numPr>
        <w:spacing w:before="93"/>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一般公共服务（类）</w:t>
      </w:r>
      <w:r>
        <w:rPr>
          <w:rFonts w:ascii="仿宋" w:eastAsia="仿宋" w:hAnsi="仿宋" w:hint="eastAsia"/>
          <w:bCs/>
          <w:sz w:val="32"/>
          <w:szCs w:val="32"/>
        </w:rPr>
        <w:t>党委办公厅（室）及相关机构事务</w:t>
      </w:r>
      <w:r>
        <w:rPr>
          <w:rStyle w:val="a5"/>
          <w:rFonts w:ascii="仿宋" w:eastAsia="仿宋" w:hAnsi="仿宋" w:hint="eastAsia"/>
          <w:bCs/>
          <w:sz w:val="32"/>
          <w:szCs w:val="32"/>
        </w:rPr>
        <w:t>（款）</w:t>
      </w:r>
      <w:r>
        <w:rPr>
          <w:rFonts w:ascii="仿宋" w:eastAsia="仿宋" w:hAnsi="仿宋" w:hint="eastAsia"/>
          <w:bCs/>
          <w:sz w:val="32"/>
          <w:szCs w:val="32"/>
        </w:rPr>
        <w:t>行政运行（项）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15.64万元，完成预算100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pStyle w:val="a3"/>
        <w:numPr>
          <w:ilvl w:val="0"/>
          <w:numId w:val="8"/>
        </w:numPr>
        <w:spacing w:before="93"/>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一般公共服务（类）</w:t>
      </w:r>
      <w:r>
        <w:rPr>
          <w:rFonts w:ascii="仿宋" w:eastAsia="仿宋" w:hAnsi="仿宋" w:hint="eastAsia"/>
          <w:bCs/>
          <w:sz w:val="32"/>
          <w:szCs w:val="32"/>
        </w:rPr>
        <w:t>市场监督管理事务（款）事业运行（项）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7.71万元，完成预算100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pStyle w:val="a3"/>
        <w:numPr>
          <w:ilvl w:val="0"/>
          <w:numId w:val="8"/>
        </w:numPr>
        <w:spacing w:before="93"/>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一般公共服务（类）</w:t>
      </w:r>
      <w:r>
        <w:rPr>
          <w:rFonts w:ascii="仿宋" w:eastAsia="仿宋" w:hAnsi="仿宋" w:hint="eastAsia"/>
          <w:bCs/>
          <w:sz w:val="32"/>
          <w:szCs w:val="32"/>
        </w:rPr>
        <w:t>其他一般公共服务（款）其他一般公共服务（项）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8"/>
        </w:numPr>
        <w:spacing w:line="600" w:lineRule="exact"/>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文化旅游体育与传媒（类）</w:t>
      </w:r>
      <w:r>
        <w:rPr>
          <w:rFonts w:ascii="仿宋" w:eastAsia="仿宋" w:hAnsi="仿宋" w:hint="eastAsia"/>
          <w:bCs/>
          <w:sz w:val="32"/>
          <w:szCs w:val="32"/>
        </w:rPr>
        <w:t>文化和旅游（款）群众文化（项）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15.75万元，完成预算100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8"/>
        </w:numPr>
        <w:spacing w:line="600" w:lineRule="exact"/>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文化旅游体育与传媒（类）</w:t>
      </w:r>
      <w:r>
        <w:rPr>
          <w:rFonts w:ascii="仿宋" w:eastAsia="仿宋" w:hAnsi="仿宋" w:hint="eastAsia"/>
          <w:bCs/>
          <w:sz w:val="32"/>
          <w:szCs w:val="32"/>
        </w:rPr>
        <w:t>文化和旅游（款）其他文化和旅游（项）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10万元，完成预算100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w:t>
      </w:r>
      <w:r>
        <w:rPr>
          <w:rStyle w:val="a5"/>
          <w:rFonts w:ascii="仿宋" w:eastAsia="仿宋" w:hAnsi="仿宋" w:hint="eastAsia"/>
          <w:b w:val="0"/>
          <w:bCs/>
          <w:sz w:val="32"/>
          <w:szCs w:val="32"/>
        </w:rPr>
        <w:lastRenderedPageBreak/>
        <w:t>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8"/>
        </w:numPr>
        <w:spacing w:line="600" w:lineRule="exact"/>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社会保障和就业（类）</w:t>
      </w:r>
      <w:r>
        <w:rPr>
          <w:rFonts w:ascii="仿宋" w:eastAsia="仿宋" w:hAnsi="仿宋" w:hint="eastAsia"/>
          <w:bCs/>
          <w:sz w:val="32"/>
          <w:szCs w:val="32"/>
        </w:rPr>
        <w:t>人力资源和社会保障管理事务（款）社会保险经办机构（项）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6.9万元，完成预算100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spacing w:line="600" w:lineRule="exact"/>
        <w:ind w:firstLineChars="200" w:firstLine="643"/>
        <w:rPr>
          <w:rFonts w:ascii="仿宋" w:eastAsia="仿宋" w:hAnsi="仿宋"/>
          <w:b/>
          <w:sz w:val="32"/>
          <w:szCs w:val="32"/>
        </w:rPr>
      </w:pPr>
      <w:r>
        <w:rPr>
          <w:rStyle w:val="a5"/>
          <w:rFonts w:ascii="仿宋" w:eastAsia="仿宋" w:hAnsi="仿宋" w:hint="eastAsia"/>
          <w:bCs/>
          <w:sz w:val="32"/>
          <w:szCs w:val="32"/>
        </w:rPr>
        <w:t>14.社会保障和就业（类）</w:t>
      </w:r>
      <w:r>
        <w:rPr>
          <w:rFonts w:ascii="仿宋" w:eastAsia="仿宋" w:hAnsi="仿宋" w:hint="eastAsia"/>
          <w:bCs/>
          <w:sz w:val="32"/>
          <w:szCs w:val="32"/>
        </w:rPr>
        <w:t>行政事业单位养老（款）机关事业单位基本养老保险缴费（项）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57.13万元，完成预算100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spacing w:line="600" w:lineRule="exact"/>
        <w:ind w:firstLineChars="200" w:firstLine="643"/>
        <w:rPr>
          <w:rFonts w:ascii="仿宋" w:eastAsia="仿宋" w:hAnsi="仿宋"/>
          <w:b/>
          <w:sz w:val="32"/>
          <w:szCs w:val="32"/>
        </w:rPr>
      </w:pPr>
      <w:r>
        <w:rPr>
          <w:rStyle w:val="a5"/>
          <w:rFonts w:ascii="仿宋" w:eastAsia="仿宋" w:hAnsi="仿宋" w:hint="eastAsia"/>
          <w:bCs/>
          <w:sz w:val="32"/>
          <w:szCs w:val="32"/>
        </w:rPr>
        <w:t>15.社会保障和就业（类）</w:t>
      </w:r>
      <w:r>
        <w:rPr>
          <w:rFonts w:ascii="仿宋" w:eastAsia="仿宋" w:hAnsi="仿宋" w:hint="eastAsia"/>
          <w:bCs/>
          <w:sz w:val="32"/>
          <w:szCs w:val="32"/>
        </w:rPr>
        <w:t>就业补助（款）社会保险补贴（项）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2.15万元，完成预算100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spacing w:line="600" w:lineRule="exact"/>
        <w:ind w:firstLineChars="200" w:firstLine="640"/>
        <w:rPr>
          <w:rStyle w:val="a5"/>
          <w:rFonts w:ascii="仿宋" w:eastAsia="仿宋" w:hAnsi="仿宋"/>
          <w:b w:val="0"/>
          <w:bCs/>
          <w:sz w:val="32"/>
          <w:szCs w:val="32"/>
        </w:rPr>
      </w:pPr>
      <w:r>
        <w:rPr>
          <w:rFonts w:ascii="仿宋" w:eastAsia="仿宋" w:hAnsi="仿宋" w:cs="仿宋" w:hint="eastAsia"/>
          <w:sz w:val="32"/>
          <w:szCs w:val="32"/>
        </w:rPr>
        <w:t>16.</w:t>
      </w:r>
      <w:r>
        <w:rPr>
          <w:rStyle w:val="a5"/>
          <w:rFonts w:ascii="仿宋" w:eastAsia="仿宋" w:hAnsi="仿宋" w:hint="eastAsia"/>
          <w:bCs/>
          <w:sz w:val="32"/>
          <w:szCs w:val="32"/>
        </w:rPr>
        <w:t>社会保障和就业（类）</w:t>
      </w:r>
      <w:r>
        <w:rPr>
          <w:rFonts w:ascii="仿宋" w:eastAsia="仿宋" w:hAnsi="仿宋" w:hint="eastAsia"/>
          <w:bCs/>
          <w:sz w:val="32"/>
          <w:szCs w:val="32"/>
        </w:rPr>
        <w:t>就业补助（款）公益性岗位补贴（项）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37.52万元，完成预算100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spacing w:line="600" w:lineRule="exact"/>
        <w:ind w:firstLineChars="200" w:firstLine="640"/>
        <w:rPr>
          <w:rFonts w:ascii="仿宋" w:eastAsia="仿宋" w:hAnsi="仿宋"/>
          <w:b/>
          <w:sz w:val="32"/>
          <w:szCs w:val="32"/>
        </w:rPr>
      </w:pPr>
      <w:r>
        <w:rPr>
          <w:rStyle w:val="a5"/>
          <w:rFonts w:ascii="仿宋" w:eastAsia="仿宋" w:hAnsi="仿宋" w:hint="eastAsia"/>
          <w:b w:val="0"/>
          <w:bCs/>
          <w:sz w:val="32"/>
          <w:szCs w:val="32"/>
        </w:rPr>
        <w:t>17.</w:t>
      </w:r>
      <w:r>
        <w:rPr>
          <w:rStyle w:val="a5"/>
          <w:rFonts w:ascii="仿宋" w:eastAsia="仿宋" w:hAnsi="仿宋" w:hint="eastAsia"/>
          <w:bCs/>
          <w:sz w:val="32"/>
          <w:szCs w:val="32"/>
        </w:rPr>
        <w:t>社会保障和就业（类）</w:t>
      </w:r>
      <w:r>
        <w:rPr>
          <w:rFonts w:ascii="仿宋" w:eastAsia="仿宋" w:hAnsi="仿宋" w:hint="eastAsia"/>
          <w:bCs/>
          <w:sz w:val="32"/>
          <w:szCs w:val="32"/>
        </w:rPr>
        <w:t>就业补助（款）其他就业补助（项）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4.5万元，完成预算100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卫生健康</w:t>
      </w:r>
      <w:r>
        <w:rPr>
          <w:rStyle w:val="a5"/>
          <w:rFonts w:ascii="仿宋" w:eastAsia="仿宋" w:hAnsi="仿宋" w:hint="eastAsia"/>
          <w:bCs/>
          <w:sz w:val="32"/>
          <w:szCs w:val="32"/>
        </w:rPr>
        <w:t>（类）</w:t>
      </w:r>
      <w:r>
        <w:rPr>
          <w:rFonts w:ascii="仿宋" w:eastAsia="仿宋" w:hAnsi="仿宋" w:hint="eastAsia"/>
          <w:bCs/>
          <w:sz w:val="32"/>
          <w:szCs w:val="32"/>
        </w:rPr>
        <w:t>卫生健康管理事务（款）行政运行（项）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8.86万元，完成预算100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卫生健康</w:t>
      </w:r>
      <w:r>
        <w:rPr>
          <w:rStyle w:val="a5"/>
          <w:rFonts w:ascii="仿宋" w:eastAsia="仿宋" w:hAnsi="仿宋" w:hint="eastAsia"/>
          <w:bCs/>
          <w:sz w:val="32"/>
          <w:szCs w:val="32"/>
        </w:rPr>
        <w:t>（类）</w:t>
      </w:r>
      <w:r>
        <w:rPr>
          <w:rFonts w:ascii="仿宋" w:eastAsia="仿宋" w:hAnsi="仿宋" w:hint="eastAsia"/>
          <w:bCs/>
          <w:sz w:val="32"/>
          <w:szCs w:val="32"/>
        </w:rPr>
        <w:t>行政事业单位医疗（款）行政单位医疗（项）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17.68万元，完成预算100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卫生健康</w:t>
      </w:r>
      <w:r>
        <w:rPr>
          <w:rStyle w:val="a5"/>
          <w:rFonts w:ascii="仿宋" w:eastAsia="仿宋" w:hAnsi="仿宋" w:hint="eastAsia"/>
          <w:bCs/>
          <w:sz w:val="32"/>
          <w:szCs w:val="32"/>
        </w:rPr>
        <w:t>（类）</w:t>
      </w:r>
      <w:r>
        <w:rPr>
          <w:rFonts w:ascii="仿宋" w:eastAsia="仿宋" w:hAnsi="仿宋" w:hint="eastAsia"/>
          <w:bCs/>
          <w:sz w:val="32"/>
          <w:szCs w:val="32"/>
        </w:rPr>
        <w:t>行政事业单位医疗（款）事业单位</w:t>
      </w:r>
      <w:r>
        <w:rPr>
          <w:rFonts w:ascii="仿宋" w:eastAsia="仿宋" w:hAnsi="仿宋" w:hint="eastAsia"/>
          <w:bCs/>
          <w:sz w:val="32"/>
          <w:szCs w:val="32"/>
        </w:rPr>
        <w:lastRenderedPageBreak/>
        <w:t>医疗（项）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14.98万元，完成预算100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卫生健康</w:t>
      </w:r>
      <w:r>
        <w:rPr>
          <w:rStyle w:val="a5"/>
          <w:rFonts w:ascii="仿宋" w:eastAsia="仿宋" w:hAnsi="仿宋" w:hint="eastAsia"/>
          <w:bCs/>
          <w:sz w:val="32"/>
          <w:szCs w:val="32"/>
        </w:rPr>
        <w:t>（类）</w:t>
      </w:r>
      <w:r>
        <w:rPr>
          <w:rFonts w:ascii="仿宋" w:eastAsia="仿宋" w:hAnsi="仿宋" w:hint="eastAsia"/>
          <w:bCs/>
          <w:sz w:val="32"/>
          <w:szCs w:val="32"/>
        </w:rPr>
        <w:t>行政事业单位医疗</w:t>
      </w:r>
      <w:r>
        <w:rPr>
          <w:rStyle w:val="a5"/>
          <w:rFonts w:ascii="仿宋" w:eastAsia="仿宋" w:hAnsi="仿宋" w:hint="eastAsia"/>
          <w:bCs/>
          <w:sz w:val="32"/>
          <w:szCs w:val="32"/>
        </w:rPr>
        <w:t>补助（款）</w:t>
      </w:r>
      <w:r>
        <w:rPr>
          <w:rFonts w:ascii="仿宋" w:eastAsia="仿宋" w:hAnsi="仿宋" w:hint="eastAsia"/>
          <w:bCs/>
          <w:sz w:val="32"/>
          <w:szCs w:val="32"/>
        </w:rPr>
        <w:t>公务员医疗补助</w:t>
      </w:r>
      <w:r>
        <w:rPr>
          <w:rStyle w:val="a5"/>
          <w:rFonts w:ascii="仿宋" w:eastAsia="仿宋" w:hAnsi="仿宋" w:hint="eastAsia"/>
          <w:bCs/>
          <w:sz w:val="32"/>
          <w:szCs w:val="32"/>
        </w:rPr>
        <w:t>（项）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3.68万元，完成预算100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城乡社区</w:t>
      </w:r>
      <w:r>
        <w:rPr>
          <w:rStyle w:val="a5"/>
          <w:rFonts w:ascii="仿宋" w:eastAsia="仿宋" w:hAnsi="仿宋" w:hint="eastAsia"/>
          <w:bCs/>
          <w:sz w:val="32"/>
          <w:szCs w:val="32"/>
        </w:rPr>
        <w:t>（类）</w:t>
      </w:r>
      <w:r>
        <w:rPr>
          <w:rFonts w:ascii="仿宋" w:eastAsia="仿宋" w:hAnsi="仿宋" w:hint="eastAsia"/>
          <w:bCs/>
          <w:sz w:val="32"/>
          <w:szCs w:val="32"/>
        </w:rPr>
        <w:t>城乡社区管理事务（款）其他城乡社区管理事务（项）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6.18万元，完成预算100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农林水</w:t>
      </w:r>
      <w:r>
        <w:rPr>
          <w:rStyle w:val="a5"/>
          <w:rFonts w:ascii="仿宋" w:eastAsia="仿宋" w:hAnsi="仿宋" w:hint="eastAsia"/>
          <w:bCs/>
          <w:sz w:val="32"/>
          <w:szCs w:val="32"/>
        </w:rPr>
        <w:t>（类）</w:t>
      </w:r>
      <w:r>
        <w:rPr>
          <w:rFonts w:ascii="仿宋" w:eastAsia="仿宋" w:hAnsi="仿宋" w:hint="eastAsia"/>
          <w:bCs/>
          <w:sz w:val="32"/>
          <w:szCs w:val="32"/>
        </w:rPr>
        <w:t>农业农村（款）事业运行（项）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65.27万元，完成预算100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农林水</w:t>
      </w:r>
      <w:r>
        <w:rPr>
          <w:rStyle w:val="a5"/>
          <w:rFonts w:ascii="仿宋" w:eastAsia="仿宋" w:hAnsi="仿宋" w:hint="eastAsia"/>
          <w:bCs/>
          <w:sz w:val="32"/>
          <w:szCs w:val="32"/>
        </w:rPr>
        <w:t>（类）</w:t>
      </w:r>
      <w:r>
        <w:rPr>
          <w:rFonts w:ascii="仿宋" w:eastAsia="仿宋" w:hAnsi="仿宋" w:hint="eastAsia"/>
          <w:bCs/>
          <w:sz w:val="32"/>
          <w:szCs w:val="32"/>
        </w:rPr>
        <w:t>林业和草原（款）事业机构（项）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15.22万元，完成预算100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农林水</w:t>
      </w:r>
      <w:r>
        <w:rPr>
          <w:rStyle w:val="a5"/>
          <w:rFonts w:ascii="仿宋" w:eastAsia="仿宋" w:hAnsi="仿宋" w:hint="eastAsia"/>
          <w:bCs/>
          <w:sz w:val="32"/>
          <w:szCs w:val="32"/>
        </w:rPr>
        <w:t>（类）</w:t>
      </w:r>
      <w:r>
        <w:rPr>
          <w:rFonts w:ascii="仿宋" w:eastAsia="仿宋" w:hAnsi="仿宋" w:hint="eastAsia"/>
          <w:bCs/>
          <w:sz w:val="32"/>
          <w:szCs w:val="32"/>
        </w:rPr>
        <w:t>水利（款）水利技术推广（项）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12.15万元，完成预算100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农林水</w:t>
      </w:r>
      <w:r>
        <w:rPr>
          <w:rStyle w:val="a5"/>
          <w:rFonts w:ascii="仿宋" w:eastAsia="仿宋" w:hAnsi="仿宋" w:hint="eastAsia"/>
          <w:bCs/>
          <w:sz w:val="32"/>
          <w:szCs w:val="32"/>
        </w:rPr>
        <w:t>（类）</w:t>
      </w:r>
      <w:r>
        <w:rPr>
          <w:rFonts w:ascii="仿宋" w:eastAsia="仿宋" w:hAnsi="仿宋" w:hint="eastAsia"/>
          <w:bCs/>
          <w:sz w:val="32"/>
          <w:szCs w:val="32"/>
        </w:rPr>
        <w:t>扶贫（款）农村基础设施建设（项）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583.02万元，完成预算100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农林水</w:t>
      </w:r>
      <w:r>
        <w:rPr>
          <w:rStyle w:val="a5"/>
          <w:rFonts w:ascii="仿宋" w:eastAsia="仿宋" w:hAnsi="仿宋" w:hint="eastAsia"/>
          <w:bCs/>
          <w:sz w:val="32"/>
          <w:szCs w:val="32"/>
        </w:rPr>
        <w:t>（类）</w:t>
      </w:r>
      <w:r>
        <w:rPr>
          <w:rFonts w:ascii="仿宋" w:eastAsia="仿宋" w:hAnsi="仿宋" w:hint="eastAsia"/>
          <w:bCs/>
          <w:sz w:val="32"/>
          <w:szCs w:val="32"/>
        </w:rPr>
        <w:t>扶贫（款）生产发展（项）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70.95万元，完成预算100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农林水</w:t>
      </w:r>
      <w:r>
        <w:rPr>
          <w:rStyle w:val="a5"/>
          <w:rFonts w:ascii="仿宋" w:eastAsia="仿宋" w:hAnsi="仿宋" w:hint="eastAsia"/>
          <w:bCs/>
          <w:sz w:val="32"/>
          <w:szCs w:val="32"/>
        </w:rPr>
        <w:t>（类）</w:t>
      </w:r>
      <w:r>
        <w:rPr>
          <w:rFonts w:ascii="仿宋" w:eastAsia="仿宋" w:hAnsi="仿宋" w:hint="eastAsia"/>
          <w:bCs/>
          <w:sz w:val="32"/>
          <w:szCs w:val="32"/>
        </w:rPr>
        <w:t>扶贫（款）其他扶贫（项）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119.32万元，完成预算100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农林水</w:t>
      </w:r>
      <w:r>
        <w:rPr>
          <w:rStyle w:val="a5"/>
          <w:rFonts w:ascii="仿宋" w:eastAsia="仿宋" w:hAnsi="仿宋" w:hint="eastAsia"/>
          <w:bCs/>
          <w:sz w:val="32"/>
          <w:szCs w:val="32"/>
        </w:rPr>
        <w:t>（类）</w:t>
      </w:r>
      <w:r>
        <w:rPr>
          <w:rFonts w:ascii="仿宋" w:eastAsia="仿宋" w:hAnsi="仿宋" w:hint="eastAsia"/>
          <w:bCs/>
          <w:sz w:val="32"/>
          <w:szCs w:val="32"/>
        </w:rPr>
        <w:t>农村综合改革（款）对村民委员会和村党支部的补助（项）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264.04万元，完成预算</w:t>
      </w:r>
      <w:r>
        <w:rPr>
          <w:rStyle w:val="a5"/>
          <w:rFonts w:ascii="仿宋" w:eastAsia="仿宋" w:hAnsi="仿宋" w:hint="eastAsia"/>
          <w:b w:val="0"/>
          <w:bCs/>
          <w:sz w:val="32"/>
          <w:szCs w:val="32"/>
        </w:rPr>
        <w:lastRenderedPageBreak/>
        <w:t>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交通运输</w:t>
      </w:r>
      <w:r>
        <w:rPr>
          <w:rStyle w:val="a5"/>
          <w:rFonts w:ascii="仿宋" w:eastAsia="仿宋" w:hAnsi="仿宋" w:hint="eastAsia"/>
          <w:bCs/>
          <w:sz w:val="32"/>
          <w:szCs w:val="32"/>
        </w:rPr>
        <w:t>（类）</w:t>
      </w:r>
      <w:r>
        <w:rPr>
          <w:rFonts w:ascii="仿宋" w:eastAsia="仿宋" w:hAnsi="仿宋" w:hint="eastAsia"/>
          <w:bCs/>
          <w:sz w:val="32"/>
          <w:szCs w:val="32"/>
        </w:rPr>
        <w:t>公路水路运输（款）公路运输管理（项）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16.13万元，完成预算100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住房保障</w:t>
      </w:r>
      <w:r>
        <w:rPr>
          <w:rStyle w:val="a5"/>
          <w:rFonts w:ascii="仿宋" w:eastAsia="仿宋" w:hAnsi="仿宋" w:hint="eastAsia"/>
          <w:bCs/>
          <w:sz w:val="32"/>
          <w:szCs w:val="32"/>
        </w:rPr>
        <w:t>（类）</w:t>
      </w:r>
      <w:r>
        <w:rPr>
          <w:rFonts w:ascii="仿宋" w:eastAsia="仿宋" w:hAnsi="仿宋" w:hint="eastAsia"/>
          <w:bCs/>
          <w:sz w:val="32"/>
          <w:szCs w:val="32"/>
        </w:rPr>
        <w:t>保障性安居工程（款）农村危房改造（项）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504.25万元，完成预算100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numPr>
          <w:ilvl w:val="0"/>
          <w:numId w:val="11"/>
        </w:numPr>
        <w:spacing w:line="600" w:lineRule="exact"/>
        <w:ind w:firstLineChars="200" w:firstLine="643"/>
        <w:rPr>
          <w:rStyle w:val="a5"/>
          <w:rFonts w:ascii="仿宋" w:eastAsia="仿宋" w:hAnsi="仿宋"/>
          <w:b w:val="0"/>
          <w:bCs/>
          <w:sz w:val="32"/>
          <w:szCs w:val="32"/>
        </w:rPr>
      </w:pPr>
      <w:r>
        <w:rPr>
          <w:rFonts w:ascii="仿宋" w:eastAsia="仿宋" w:hAnsi="仿宋" w:hint="eastAsia"/>
          <w:b/>
          <w:bCs/>
          <w:sz w:val="32"/>
          <w:szCs w:val="32"/>
        </w:rPr>
        <w:t>住房保障</w:t>
      </w:r>
      <w:r>
        <w:rPr>
          <w:rStyle w:val="a5"/>
          <w:rFonts w:ascii="仿宋" w:eastAsia="仿宋" w:hAnsi="仿宋" w:hint="eastAsia"/>
          <w:bCs/>
          <w:sz w:val="32"/>
          <w:szCs w:val="32"/>
        </w:rPr>
        <w:t>（类）</w:t>
      </w:r>
      <w:r>
        <w:rPr>
          <w:rFonts w:ascii="仿宋" w:eastAsia="仿宋" w:hAnsi="仿宋" w:hint="eastAsia"/>
          <w:bCs/>
          <w:sz w:val="32"/>
          <w:szCs w:val="32"/>
        </w:rPr>
        <w:t>住房改革（款）住房公积金（项）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41.85万元，完成预算100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，决算数等</w:t>
      </w:r>
      <w:r>
        <w:rPr>
          <w:rFonts w:ascii="仿宋" w:eastAsia="仿宋" w:hAnsi="仿宋" w:hint="eastAsia"/>
          <w:bCs/>
          <w:sz w:val="32"/>
          <w:szCs w:val="32"/>
        </w:rPr>
        <w:t>于</w:t>
      </w:r>
      <w:r>
        <w:rPr>
          <w:rStyle w:val="a5"/>
          <w:rFonts w:ascii="仿宋" w:eastAsia="仿宋" w:hAnsi="仿宋" w:hint="eastAsia"/>
          <w:b w:val="0"/>
          <w:bCs/>
          <w:sz w:val="32"/>
          <w:szCs w:val="32"/>
        </w:rPr>
        <w:t>预算</w:t>
      </w:r>
      <w:r>
        <w:rPr>
          <w:rFonts w:ascii="仿宋" w:eastAsia="仿宋" w:hAnsi="仿宋" w:hint="eastAsia"/>
          <w:bCs/>
          <w:sz w:val="32"/>
          <w:szCs w:val="32"/>
        </w:rPr>
        <w:t>数。</w:t>
      </w:r>
    </w:p>
    <w:p w:rsidR="007B4DEA" w:rsidRDefault="00B45477">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w:t>
      </w:r>
      <w:r w:rsidRPr="00F419F2">
        <w:rPr>
          <w:rStyle w:val="2Char"/>
          <w:rFonts w:ascii="黑体" w:eastAsia="黑体" w:hAnsi="黑体" w:hint="eastAsia"/>
          <w:b w:val="0"/>
        </w:rPr>
        <w:t>算</w:t>
      </w:r>
      <w:r w:rsidRPr="00F419F2">
        <w:rPr>
          <w:rFonts w:ascii="黑体" w:eastAsia="黑体" w:hAnsi="黑体" w:hint="eastAsia"/>
          <w:sz w:val="32"/>
          <w:szCs w:val="32"/>
        </w:rPr>
        <w:t>财政拨款基本支出决算情况说明</w:t>
      </w:r>
      <w:bookmarkEnd w:id="35"/>
      <w:bookmarkEnd w:id="36"/>
      <w:r>
        <w:rPr>
          <w:rStyle w:val="2Char"/>
          <w:rFonts w:ascii="黑体" w:eastAsia="黑体" w:hAnsi="黑体"/>
          <w:b w:val="0"/>
        </w:rPr>
        <w:tab/>
      </w:r>
    </w:p>
    <w:p w:rsidR="007B4DEA" w:rsidRDefault="00B45477">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21年一般公共预算财政拨款基本支出948.65万元，其中：</w:t>
      </w:r>
    </w:p>
    <w:p w:rsidR="007B4DEA" w:rsidRDefault="00B45477">
      <w:pPr>
        <w:spacing w:line="600" w:lineRule="exact"/>
        <w:ind w:firstLine="645"/>
        <w:rPr>
          <w:rFonts w:ascii="仿宋" w:eastAsia="仿宋" w:hAnsi="仿宋"/>
          <w:sz w:val="32"/>
          <w:szCs w:val="32"/>
        </w:rPr>
      </w:pPr>
      <w:r>
        <w:rPr>
          <w:rFonts w:ascii="仿宋" w:eastAsia="仿宋" w:hAnsi="仿宋" w:hint="eastAsia"/>
          <w:sz w:val="32"/>
          <w:szCs w:val="32"/>
        </w:rPr>
        <w:t>人员经费836.76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111.89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w:t>
      </w:r>
    </w:p>
    <w:p w:rsidR="007B4DEA" w:rsidRDefault="00B45477">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w:t>
      </w:r>
      <w:r w:rsidRPr="00F419F2">
        <w:rPr>
          <w:rStyle w:val="2Char"/>
          <w:rFonts w:ascii="黑体" w:eastAsia="黑体" w:hAnsi="黑体" w:hint="eastAsia"/>
          <w:b w:val="0"/>
        </w:rPr>
        <w:t>出</w:t>
      </w:r>
      <w:r w:rsidRPr="00F419F2">
        <w:rPr>
          <w:rFonts w:ascii="黑体" w:eastAsia="黑体" w:hAnsi="黑体" w:hint="eastAsia"/>
          <w:sz w:val="32"/>
          <w:szCs w:val="32"/>
        </w:rPr>
        <w:t>决算情况说明</w:t>
      </w:r>
      <w:bookmarkEnd w:id="37"/>
      <w:bookmarkEnd w:id="38"/>
    </w:p>
    <w:p w:rsidR="007B4DEA" w:rsidRDefault="00B45477">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7B4DEA" w:rsidRDefault="00B45477">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21年“三公”经费财政拨款支出决算为3万元，完成预算100</w:t>
      </w:r>
      <w:r>
        <w:rPr>
          <w:rFonts w:ascii="仿宋" w:eastAsia="仿宋" w:hAnsi="仿宋"/>
          <w:sz w:val="32"/>
          <w:szCs w:val="32"/>
        </w:rPr>
        <w:t>%</w:t>
      </w:r>
      <w:r>
        <w:rPr>
          <w:rFonts w:ascii="仿宋" w:eastAsia="仿宋" w:hAnsi="仿宋" w:hint="eastAsia"/>
          <w:sz w:val="32"/>
          <w:szCs w:val="32"/>
        </w:rPr>
        <w:t>，决算数与预算数持平。</w:t>
      </w:r>
    </w:p>
    <w:p w:rsidR="007B4DEA" w:rsidRDefault="00B45477">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7B4DEA" w:rsidRDefault="00B45477">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；公务接待费支出决算3万元，占比100</w:t>
      </w:r>
      <w:r>
        <w:rPr>
          <w:rFonts w:ascii="仿宋" w:eastAsia="仿宋" w:hAnsi="仿宋"/>
          <w:sz w:val="32"/>
          <w:szCs w:val="32"/>
        </w:rPr>
        <w:t>%</w:t>
      </w:r>
      <w:r>
        <w:rPr>
          <w:rFonts w:ascii="仿宋" w:eastAsia="仿宋" w:hAnsi="仿宋" w:hint="eastAsia"/>
          <w:sz w:val="32"/>
          <w:szCs w:val="32"/>
        </w:rPr>
        <w:t>。具体情况如下：</w:t>
      </w:r>
    </w:p>
    <w:p w:rsidR="007B4DEA" w:rsidRDefault="00B45477">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7B4DEA" w:rsidRDefault="00B45477">
      <w:pPr>
        <w:pStyle w:val="a3"/>
        <w:spacing w:before="93"/>
      </w:pPr>
      <w:r>
        <w:rPr>
          <w:noProof/>
        </w:rPr>
        <w:drawing>
          <wp:inline distT="0" distB="0" distL="114300" distR="114300">
            <wp:extent cx="4572000" cy="2914650"/>
            <wp:effectExtent l="4445" t="4445" r="14605" b="14605"/>
            <wp:docPr id="484" name="_x0000_i23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B4DEA" w:rsidRPr="00382AB3" w:rsidRDefault="00B45477" w:rsidP="00382AB3">
      <w:pPr>
        <w:numPr>
          <w:ilvl w:val="0"/>
          <w:numId w:val="15"/>
        </w:numPr>
        <w:spacing w:line="600" w:lineRule="exact"/>
        <w:ind w:firstLine="640"/>
        <w:rPr>
          <w:rFonts w:ascii="仿宋_GB2312" w:eastAsia="仿宋_GB2312"/>
          <w:sz w:val="32"/>
          <w:szCs w:val="32"/>
        </w:rPr>
      </w:pP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5"/>
          <w:rFonts w:ascii="仿宋" w:eastAsia="仿宋" w:hAnsi="仿宋" w:hint="eastAsia"/>
          <w:b w:val="0"/>
          <w:bCs/>
          <w:sz w:val="32"/>
          <w:szCs w:val="32"/>
        </w:rPr>
        <w:t>完成预算的100</w:t>
      </w:r>
      <w:r>
        <w:rPr>
          <w:rStyle w:val="a5"/>
          <w:rFonts w:ascii="仿宋" w:eastAsia="仿宋" w:hAnsi="仿宋"/>
          <w:b w:val="0"/>
          <w:bCs/>
          <w:sz w:val="32"/>
          <w:szCs w:val="32"/>
        </w:rPr>
        <w:t>%</w:t>
      </w:r>
      <w:r>
        <w:rPr>
          <w:rStyle w:val="a5"/>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20年持平。</w:t>
      </w:r>
    </w:p>
    <w:p w:rsidR="007B4DEA" w:rsidRDefault="00B45477">
      <w:pPr>
        <w:spacing w:line="600" w:lineRule="exact"/>
        <w:ind w:firstLine="640"/>
        <w:rPr>
          <w:rFonts w:ascii="仿宋_GB2312" w:eastAsia="仿宋_GB2312"/>
          <w:b/>
          <w:sz w:val="32"/>
          <w:szCs w:val="32"/>
        </w:rPr>
      </w:pPr>
      <w:r w:rsidRPr="00A27F69">
        <w:rPr>
          <w:rFonts w:ascii="仿宋_GB2312" w:eastAsia="仿宋_GB2312"/>
          <w:b/>
          <w:sz w:val="32"/>
          <w:szCs w:val="32"/>
          <w:u w:val="thick" w:color="FFB03A"/>
          <w:shd w:val="clear" w:color="auto" w:fill="FFEFD8"/>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t>，</w:t>
      </w:r>
      <w:r>
        <w:rPr>
          <w:rStyle w:val="a5"/>
          <w:rFonts w:ascii="仿宋" w:eastAsia="仿宋" w:hAnsi="仿宋" w:hint="eastAsia"/>
          <w:b w:val="0"/>
          <w:bCs/>
          <w:sz w:val="32"/>
          <w:szCs w:val="32"/>
        </w:rPr>
        <w:t>完成预算100</w:t>
      </w:r>
      <w:r>
        <w:rPr>
          <w:rStyle w:val="a5"/>
          <w:rFonts w:ascii="仿宋" w:eastAsia="仿宋" w:hAnsi="仿宋"/>
          <w:b w:val="0"/>
          <w:bCs/>
          <w:sz w:val="32"/>
          <w:szCs w:val="32"/>
        </w:rPr>
        <w:t>%</w:t>
      </w:r>
      <w:r>
        <w:rPr>
          <w:rStyle w:val="a5"/>
          <w:rFonts w:ascii="仿宋" w:eastAsia="仿宋" w:hAnsi="仿宋" w:hint="eastAsia"/>
          <w:b w:val="0"/>
          <w:bCs/>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20年持平。</w:t>
      </w:r>
    </w:p>
    <w:p w:rsidR="007B4DEA" w:rsidRDefault="00B45477">
      <w:pPr>
        <w:spacing w:line="600" w:lineRule="exact"/>
        <w:ind w:firstLineChars="200" w:firstLine="640"/>
        <w:rPr>
          <w:rFonts w:ascii="仿宋_GB2312" w:eastAsia="仿宋_GB2312"/>
          <w:b/>
          <w:sz w:val="32"/>
          <w:szCs w:val="32"/>
        </w:rPr>
      </w:pPr>
      <w:r>
        <w:rPr>
          <w:rFonts w:ascii="仿宋_GB2312" w:eastAsia="仿宋_GB2312" w:hint="eastAsia"/>
          <w:sz w:val="32"/>
          <w:szCs w:val="32"/>
        </w:rPr>
        <w:lastRenderedPageBreak/>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月底，单位共有公务用车0辆，其中：轿车0辆、越野车0辆、载客汽车0辆。</w:t>
      </w:r>
    </w:p>
    <w:p w:rsidR="007B4DEA" w:rsidRDefault="00B45477">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0万元。主要用于</w:t>
      </w:r>
      <w:r w:rsidRPr="00A27F69">
        <w:rPr>
          <w:rFonts w:ascii="仿宋_GB2312" w:eastAsia="仿宋_GB2312"/>
          <w:sz w:val="32"/>
          <w:szCs w:val="32"/>
          <w:u w:color="46CD7E"/>
        </w:rPr>
        <w:t>…</w:t>
      </w:r>
      <w:r>
        <w:rPr>
          <w:rFonts w:ascii="仿宋_GB2312" w:eastAsia="仿宋_GB2312" w:hint="eastAsia"/>
          <w:sz w:val="32"/>
          <w:szCs w:val="32"/>
        </w:rPr>
        <w:t>（具体工作）等所需的公务用车燃料费、维修费、过路过桥费、保险费等支出。</w:t>
      </w:r>
    </w:p>
    <w:p w:rsidR="007B4DEA" w:rsidRDefault="00B45477">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3万元，</w:t>
      </w:r>
      <w:r>
        <w:rPr>
          <w:rStyle w:val="a5"/>
          <w:rFonts w:ascii="仿宋" w:eastAsia="仿宋" w:hAnsi="仿宋" w:hint="eastAsia"/>
          <w:b w:val="0"/>
          <w:bCs/>
          <w:sz w:val="32"/>
          <w:szCs w:val="32"/>
        </w:rPr>
        <w:t>完成预算的100</w:t>
      </w:r>
      <w:r>
        <w:rPr>
          <w:rStyle w:val="a5"/>
          <w:rFonts w:ascii="仿宋" w:eastAsia="仿宋" w:hAnsi="仿宋"/>
          <w:b w:val="0"/>
          <w:bCs/>
          <w:sz w:val="32"/>
          <w:szCs w:val="32"/>
        </w:rPr>
        <w:t>%</w:t>
      </w:r>
      <w:r>
        <w:rPr>
          <w:rStyle w:val="a5"/>
          <w:rFonts w:ascii="仿宋" w:eastAsia="仿宋" w:hAnsi="仿宋" w:hint="eastAsia"/>
          <w:b w:val="0"/>
          <w:bCs/>
          <w:sz w:val="32"/>
          <w:szCs w:val="32"/>
        </w:rPr>
        <w:t>。</w:t>
      </w:r>
      <w:r>
        <w:rPr>
          <w:rFonts w:ascii="仿宋_GB2312" w:eastAsia="仿宋_GB2312" w:hint="eastAsia"/>
          <w:sz w:val="32"/>
          <w:szCs w:val="32"/>
        </w:rPr>
        <w:t>公务接待费支出决算与</w:t>
      </w:r>
      <w:r>
        <w:rPr>
          <w:rFonts w:ascii="仿宋_GB2312" w:eastAsia="仿宋_GB2312"/>
          <w:sz w:val="32"/>
          <w:szCs w:val="32"/>
        </w:rPr>
        <w:t>20</w:t>
      </w:r>
      <w:r>
        <w:rPr>
          <w:rFonts w:ascii="仿宋_GB2312" w:eastAsia="仿宋_GB2312" w:hint="eastAsia"/>
          <w:sz w:val="32"/>
          <w:szCs w:val="32"/>
        </w:rPr>
        <w:t>20年持平。其中：</w:t>
      </w:r>
    </w:p>
    <w:p w:rsidR="007B4DEA" w:rsidRDefault="00B45477">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3</w:t>
      </w:r>
      <w:r>
        <w:rPr>
          <w:rFonts w:ascii="仿宋_GB2312" w:eastAsia="仿宋_GB2312" w:hint="eastAsia"/>
          <w:sz w:val="32"/>
          <w:szCs w:val="32"/>
        </w:rPr>
        <w:t>万元，主要用于执行公务、开展业务活动开支的交通费、住宿费、用餐费等。国内公务接待108批次，1112人次（不包括陪同人员），共计支出</w:t>
      </w:r>
      <w:r>
        <w:rPr>
          <w:rFonts w:ascii="仿宋_GB2312" w:eastAsia="仿宋_GB2312"/>
          <w:sz w:val="32"/>
          <w:szCs w:val="32"/>
        </w:rPr>
        <w:t>**</w:t>
      </w:r>
      <w:r>
        <w:rPr>
          <w:rFonts w:ascii="仿宋_GB2312" w:eastAsia="仿宋_GB2312" w:hint="eastAsia"/>
          <w:sz w:val="32"/>
          <w:szCs w:val="32"/>
        </w:rPr>
        <w:t>万元，具体内容包括：检查工作人员的工作生活开支。</w:t>
      </w:r>
    </w:p>
    <w:p w:rsidR="007B4DEA" w:rsidRDefault="00B45477">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万元，外事接待0批次，0人，共计支出</w:t>
      </w:r>
      <w:r>
        <w:rPr>
          <w:rFonts w:ascii="仿宋_GB2312" w:eastAsia="仿宋_GB2312"/>
          <w:sz w:val="32"/>
          <w:szCs w:val="32"/>
        </w:rPr>
        <w:t>**</w:t>
      </w:r>
      <w:r>
        <w:rPr>
          <w:rFonts w:ascii="仿宋_GB2312" w:eastAsia="仿宋_GB2312" w:hint="eastAsia"/>
          <w:sz w:val="32"/>
          <w:szCs w:val="32"/>
        </w:rPr>
        <w:t>万元，主要用于接待</w:t>
      </w:r>
      <w:r>
        <w:rPr>
          <w:rFonts w:ascii="仿宋_GB2312" w:eastAsia="仿宋_GB2312"/>
          <w:sz w:val="32"/>
          <w:szCs w:val="32"/>
        </w:rPr>
        <w:t>…</w:t>
      </w:r>
      <w:r>
        <w:rPr>
          <w:rFonts w:ascii="仿宋_GB2312" w:eastAsia="仿宋_GB2312" w:hint="eastAsia"/>
          <w:sz w:val="32"/>
          <w:szCs w:val="32"/>
        </w:rPr>
        <w:t>（具体项目）。主要用于……</w:t>
      </w:r>
    </w:p>
    <w:p w:rsidR="007B4DEA" w:rsidRDefault="00B45477">
      <w:pPr>
        <w:spacing w:line="600" w:lineRule="exact"/>
        <w:ind w:firstLine="640"/>
        <w:outlineLvl w:val="1"/>
        <w:rPr>
          <w:rStyle w:val="2Char"/>
          <w:rFonts w:ascii="黑体" w:eastAsia="黑体" w:hAnsi="黑体"/>
        </w:rPr>
      </w:pPr>
      <w:bookmarkStart w:id="41" w:name="_Toc15396610"/>
      <w:bookmarkStart w:id="42" w:name="_Toc15377218"/>
      <w:r>
        <w:rPr>
          <w:rFonts w:ascii="黑体" w:eastAsia="黑体" w:hint="eastAsia"/>
          <w:sz w:val="32"/>
          <w:szCs w:val="32"/>
        </w:rPr>
        <w:t>八、</w:t>
      </w:r>
      <w:r>
        <w:rPr>
          <w:rStyle w:val="2Char"/>
          <w:rFonts w:ascii="黑体" w:eastAsia="黑体" w:hAnsi="黑体" w:hint="eastAsia"/>
          <w:b w:val="0"/>
        </w:rPr>
        <w:t>政府性基金预</w:t>
      </w:r>
      <w:r w:rsidRPr="006C348C">
        <w:rPr>
          <w:rStyle w:val="2Char"/>
          <w:rFonts w:ascii="黑体" w:eastAsia="黑体" w:hAnsi="黑体" w:hint="eastAsia"/>
          <w:b w:val="0"/>
        </w:rPr>
        <w:t>算</w:t>
      </w:r>
      <w:r w:rsidRPr="006C348C">
        <w:rPr>
          <w:rFonts w:ascii="黑体" w:eastAsia="黑体" w:hAnsi="黑体" w:hint="eastAsia"/>
          <w:sz w:val="32"/>
          <w:szCs w:val="32"/>
        </w:rPr>
        <w:t>支出决算情况说明</w:t>
      </w:r>
      <w:bookmarkEnd w:id="41"/>
      <w:bookmarkEnd w:id="42"/>
    </w:p>
    <w:p w:rsidR="007B4DEA" w:rsidRDefault="00B45477">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rsidR="007B4DEA" w:rsidRDefault="00B45477">
      <w:pPr>
        <w:numPr>
          <w:ilvl w:val="0"/>
          <w:numId w:val="12"/>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w:t>
      </w:r>
      <w:r w:rsidRPr="006C348C">
        <w:rPr>
          <w:rStyle w:val="2Char"/>
          <w:rFonts w:ascii="黑体" w:eastAsia="黑体" w:hAnsi="黑体" w:hint="eastAsia"/>
          <w:b w:val="0"/>
        </w:rPr>
        <w:t>算</w:t>
      </w:r>
      <w:r w:rsidRPr="006C348C">
        <w:rPr>
          <w:rFonts w:ascii="黑体" w:eastAsia="黑体" w:hAnsi="黑体" w:hint="eastAsia"/>
          <w:sz w:val="32"/>
          <w:szCs w:val="32"/>
        </w:rPr>
        <w:t>支出决算情况说明</w:t>
      </w:r>
      <w:bookmarkEnd w:id="43"/>
      <w:bookmarkEnd w:id="44"/>
    </w:p>
    <w:p w:rsidR="007B4DEA" w:rsidRDefault="00B45477">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rsidR="007B4DEA" w:rsidRDefault="00B45477">
      <w:pPr>
        <w:numPr>
          <w:ilvl w:val="0"/>
          <w:numId w:val="12"/>
        </w:numPr>
        <w:spacing w:line="600" w:lineRule="exact"/>
        <w:ind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t>其他重要事项的情况说明</w:t>
      </w:r>
      <w:bookmarkEnd w:id="45"/>
      <w:bookmarkEnd w:id="46"/>
    </w:p>
    <w:p w:rsidR="007B4DEA" w:rsidRDefault="00B45477">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7B4DEA" w:rsidRDefault="00B45477">
      <w:pPr>
        <w:spacing w:line="600" w:lineRule="exact"/>
        <w:ind w:firstLineChars="200" w:firstLine="640"/>
        <w:rPr>
          <w:rFonts w:ascii="仿宋_GB2312" w:eastAsia="仿宋_GB2312"/>
          <w:sz w:val="32"/>
          <w:szCs w:val="32"/>
        </w:rPr>
      </w:pPr>
      <w:r w:rsidRPr="00A27F69">
        <w:rPr>
          <w:rFonts w:ascii="仿宋_GB2312" w:eastAsia="仿宋_GB2312"/>
          <w:sz w:val="32"/>
          <w:szCs w:val="32"/>
          <w:u w:color="46CD7E"/>
        </w:rPr>
        <w:t>20</w:t>
      </w:r>
      <w:r w:rsidRPr="00A27F69">
        <w:rPr>
          <w:rFonts w:ascii="仿宋_GB2312" w:eastAsia="仿宋_GB2312" w:hint="eastAsia"/>
          <w:sz w:val="32"/>
          <w:szCs w:val="32"/>
          <w:u w:color="46CD7E"/>
        </w:rPr>
        <w:t>21年，通江县</w:t>
      </w:r>
      <w:proofErr w:type="gramStart"/>
      <w:r w:rsidRPr="00A27F69">
        <w:rPr>
          <w:rFonts w:ascii="仿宋_GB2312" w:eastAsia="仿宋_GB2312" w:hint="eastAsia"/>
          <w:sz w:val="32"/>
          <w:szCs w:val="32"/>
          <w:u w:color="46CD7E"/>
        </w:rPr>
        <w:t>毛浴镇</w:t>
      </w:r>
      <w:proofErr w:type="gramEnd"/>
      <w:r w:rsidRPr="00A27F69">
        <w:rPr>
          <w:rFonts w:ascii="仿宋_GB2312" w:eastAsia="仿宋_GB2312" w:hint="eastAsia"/>
          <w:sz w:val="32"/>
          <w:szCs w:val="32"/>
          <w:u w:color="46CD7E"/>
        </w:rPr>
        <w:t>人民政府机关运行经费支出111.89万元，比</w:t>
      </w:r>
      <w:r w:rsidRPr="00A27F69">
        <w:rPr>
          <w:rFonts w:ascii="仿宋_GB2312" w:eastAsia="仿宋_GB2312"/>
          <w:sz w:val="32"/>
          <w:szCs w:val="32"/>
          <w:u w:color="46CD7E"/>
        </w:rPr>
        <w:t>20</w:t>
      </w:r>
      <w:r w:rsidRPr="00A27F69">
        <w:rPr>
          <w:rFonts w:ascii="仿宋_GB2312" w:eastAsia="仿宋_GB2312" w:hint="eastAsia"/>
          <w:sz w:val="32"/>
          <w:szCs w:val="32"/>
          <w:u w:color="46CD7E"/>
        </w:rPr>
        <w:t>20年减少36.16万元，下降24.42</w:t>
      </w:r>
      <w:r w:rsidRPr="00A27F69">
        <w:rPr>
          <w:rFonts w:ascii="仿宋_GB2312" w:eastAsia="仿宋_GB2312"/>
          <w:sz w:val="32"/>
          <w:szCs w:val="32"/>
          <w:u w:color="46CD7E"/>
        </w:rPr>
        <w:t>%</w:t>
      </w:r>
      <w:r w:rsidRPr="00A27F69">
        <w:rPr>
          <w:rFonts w:ascii="仿宋_GB2312" w:eastAsia="仿宋_GB2312" w:hint="eastAsia"/>
          <w:sz w:val="32"/>
          <w:szCs w:val="32"/>
          <w:u w:color="46CD7E"/>
        </w:rPr>
        <w:t>。</w:t>
      </w:r>
      <w:r>
        <w:rPr>
          <w:rFonts w:ascii="仿宋_GB2312" w:eastAsia="仿宋_GB2312" w:hint="eastAsia"/>
          <w:sz w:val="32"/>
          <w:szCs w:val="32"/>
        </w:rPr>
        <w:t>主要原因是厉行节约减耗见成效。</w:t>
      </w:r>
    </w:p>
    <w:p w:rsidR="007B4DEA" w:rsidRDefault="00B4547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lastRenderedPageBreak/>
        <w:t>（二）政府采购支出情况</w:t>
      </w:r>
      <w:bookmarkEnd w:id="48"/>
    </w:p>
    <w:p w:rsidR="007B4DEA" w:rsidRDefault="00B45477">
      <w:pPr>
        <w:spacing w:line="600" w:lineRule="exact"/>
        <w:ind w:firstLineChars="200" w:firstLine="640"/>
        <w:rPr>
          <w:rFonts w:ascii="仿宋_GB2312" w:eastAsia="仿宋_GB2312"/>
          <w:sz w:val="32"/>
          <w:szCs w:val="32"/>
        </w:rPr>
      </w:pPr>
      <w:r w:rsidRPr="00A27F69">
        <w:rPr>
          <w:rFonts w:ascii="仿宋_GB2312" w:eastAsia="仿宋_GB2312"/>
          <w:sz w:val="32"/>
          <w:szCs w:val="32"/>
          <w:u w:color="46CD7E"/>
        </w:rPr>
        <w:t>20</w:t>
      </w:r>
      <w:r w:rsidRPr="00A27F69">
        <w:rPr>
          <w:rFonts w:ascii="仿宋_GB2312" w:eastAsia="仿宋_GB2312" w:hint="eastAsia"/>
          <w:sz w:val="32"/>
          <w:szCs w:val="32"/>
          <w:u w:color="46CD7E"/>
        </w:rPr>
        <w:t>21年，通江县</w:t>
      </w:r>
      <w:proofErr w:type="gramStart"/>
      <w:r w:rsidRPr="00A27F69">
        <w:rPr>
          <w:rFonts w:ascii="仿宋_GB2312" w:eastAsia="仿宋_GB2312" w:hint="eastAsia"/>
          <w:sz w:val="32"/>
          <w:szCs w:val="32"/>
          <w:u w:color="46CD7E"/>
        </w:rPr>
        <w:t>毛浴镇</w:t>
      </w:r>
      <w:proofErr w:type="gramEnd"/>
      <w:r w:rsidRPr="00A27F69">
        <w:rPr>
          <w:rFonts w:ascii="仿宋_GB2312" w:eastAsia="仿宋_GB2312" w:hint="eastAsia"/>
          <w:sz w:val="32"/>
          <w:szCs w:val="32"/>
          <w:u w:color="46CD7E"/>
        </w:rPr>
        <w:t>人民政府采购支出总额0万元，其中：政府采购货物支出0万元、政府采购工程支出0万元、政府采购服务支出0万元。</w:t>
      </w:r>
      <w:r>
        <w:rPr>
          <w:rFonts w:ascii="仿宋_GB2312" w:eastAsia="仿宋_GB2312" w:hint="eastAsia"/>
          <w:sz w:val="32"/>
          <w:szCs w:val="32"/>
        </w:rPr>
        <w:t>授予中小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p>
    <w:p w:rsidR="007B4DEA" w:rsidRDefault="00B4547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7B4DEA" w:rsidRDefault="00B45477">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日，通江县</w:t>
      </w:r>
      <w:proofErr w:type="gramStart"/>
      <w:r>
        <w:rPr>
          <w:rFonts w:ascii="仿宋_GB2312" w:eastAsia="仿宋_GB2312" w:hint="eastAsia"/>
          <w:sz w:val="32"/>
          <w:szCs w:val="32"/>
        </w:rPr>
        <w:t>毛浴镇</w:t>
      </w:r>
      <w:proofErr w:type="gramEnd"/>
      <w:r>
        <w:rPr>
          <w:rFonts w:ascii="仿宋_GB2312" w:eastAsia="仿宋_GB2312" w:hint="eastAsia"/>
          <w:sz w:val="32"/>
          <w:szCs w:val="32"/>
        </w:rPr>
        <w:t>人民政府共有车辆0辆，其中：主要领导干部用车0辆、机要通信用车0辆、应急保障用车0辆、其他用车0辆</w:t>
      </w:r>
      <w:r w:rsidR="00624152">
        <w:rPr>
          <w:rFonts w:ascii="仿宋_GB2312" w:eastAsia="仿宋_GB2312" w:hint="eastAsia"/>
          <w:sz w:val="32"/>
          <w:szCs w:val="32"/>
        </w:rPr>
        <w:t>，</w:t>
      </w:r>
      <w:r>
        <w:rPr>
          <w:rFonts w:ascii="仿宋_GB2312" w:eastAsia="仿宋_GB2312" w:hint="eastAsia"/>
          <w:sz w:val="32"/>
          <w:szCs w:val="32"/>
        </w:rPr>
        <w:t>其他用车主要是用于</w:t>
      </w:r>
      <w:r w:rsidR="00624152">
        <w:rPr>
          <w:rFonts w:ascii="仿宋_GB2312" w:eastAsia="仿宋_GB2312" w:hint="eastAsia"/>
          <w:sz w:val="32"/>
          <w:szCs w:val="32"/>
        </w:rPr>
        <w:t>，</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rsidR="007B4DEA" w:rsidRDefault="00B45477">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7B4DEA" w:rsidRDefault="00B4547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阶段，组织对安全饮水（朝阳村、药铺村、迎春村、浴江村、龙江村）、产业道路（天兴村、朝阳村、高安村、杨坪村）等15个项目开展了预算事前绩效评估，对15个项目编制了绩效目标，预算执行过程中，选取15个项目开展绩效监控，年终执行完毕后，对15个项目开展了绩效自评，2021年特定目标类部门预算项目绩效目标自评表见附件（第四部分）。</w:t>
      </w:r>
    </w:p>
    <w:p w:rsidR="007B4DEA" w:rsidRDefault="007B4DEA">
      <w:pPr>
        <w:pStyle w:val="a3"/>
        <w:spacing w:before="93"/>
        <w:rPr>
          <w:highlight w:val="yellow"/>
        </w:rPr>
      </w:pPr>
    </w:p>
    <w:p w:rsidR="007B4DEA" w:rsidRDefault="00B45477">
      <w:pPr>
        <w:widowControl/>
        <w:jc w:val="left"/>
        <w:rPr>
          <w:rFonts w:ascii="仿宋_GB2312" w:eastAsia="仿宋_GB2312"/>
          <w:b/>
          <w:sz w:val="32"/>
          <w:szCs w:val="32"/>
        </w:rPr>
      </w:pPr>
      <w:r>
        <w:br w:type="page"/>
      </w:r>
    </w:p>
    <w:p w:rsidR="007B4DEA" w:rsidRDefault="00B45477">
      <w:pPr>
        <w:numPr>
          <w:ilvl w:val="0"/>
          <w:numId w:val="5"/>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7B4DEA" w:rsidRDefault="007B4DEA">
      <w:pPr>
        <w:spacing w:line="600" w:lineRule="exact"/>
        <w:jc w:val="left"/>
        <w:rPr>
          <w:rFonts w:ascii="宋体"/>
          <w:b/>
          <w:sz w:val="44"/>
          <w:szCs w:val="44"/>
        </w:rPr>
      </w:pP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财政拨款收入：指单位从同级财政部门取得的财政预算资金。</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事业收入：指事业单位开展专业业务活动及辅助活动取得的收入。如</w:t>
      </w:r>
      <w:r w:rsidRPr="00A27F69">
        <w:rPr>
          <w:rFonts w:ascii="仿宋_GB2312" w:eastAsia="仿宋_GB2312" w:hint="eastAsia"/>
          <w:sz w:val="28"/>
          <w:szCs w:val="28"/>
          <w:u w:color="909090"/>
        </w:rPr>
        <w:t>…</w:t>
      </w:r>
      <w:r>
        <w:rPr>
          <w:rFonts w:ascii="仿宋_GB2312" w:eastAsia="仿宋_GB2312" w:hint="eastAsia"/>
          <w:sz w:val="28"/>
          <w:szCs w:val="28"/>
        </w:rPr>
        <w:t>（二级预算单位事业收入情况）等。</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经营收入：指事业单位在专业业务活动及其辅助活动之外开展非独立核算经营活动取得的收入。如…（二级预算单位经营收入情况）等。</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其他收入：指单位取得的除上述收入以外的各项收入。主要是…（收入类型）等。</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年初结转和结余：指以前年度尚未完成、结转到</w:t>
      </w:r>
      <w:r w:rsidR="00382AB3" w:rsidRPr="001446C9">
        <w:rPr>
          <w:rFonts w:ascii="仿宋_GB2312" w:eastAsia="仿宋_GB2312" w:hint="eastAsia"/>
          <w:sz w:val="28"/>
          <w:szCs w:val="28"/>
          <w:u w:color="46CD7E"/>
        </w:rPr>
        <w:t>本年度</w:t>
      </w:r>
      <w:r>
        <w:rPr>
          <w:rFonts w:ascii="仿宋_GB2312" w:eastAsia="仿宋_GB2312" w:hint="eastAsia"/>
          <w:sz w:val="28"/>
          <w:szCs w:val="28"/>
        </w:rPr>
        <w:t>有关规定继续使用的资金。</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结余分配：指事业单位按照事业单位会计制度的规定从非财政补助结余中分配的事业基金和职工福利基金等。</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sz w:val="28"/>
          <w:szCs w:val="28"/>
        </w:rPr>
        <w:t>8</w:t>
      </w:r>
      <w:r w:rsidR="005E0888" w:rsidRPr="001446C9">
        <w:rPr>
          <w:rFonts w:ascii="仿宋_GB2312" w:eastAsia="仿宋_GB2312"/>
          <w:sz w:val="28"/>
          <w:szCs w:val="28"/>
          <w:u w:color="46CD7E"/>
        </w:rPr>
        <w:t>.</w:t>
      </w:r>
      <w:r>
        <w:rPr>
          <w:rFonts w:ascii="仿宋_GB2312" w:eastAsia="仿宋_GB2312" w:hint="eastAsia"/>
          <w:sz w:val="28"/>
          <w:szCs w:val="28"/>
        </w:rPr>
        <w:t>年末结转和结余：指单位按有关规定结转到下年或以后年度继续使用的资金。</w:t>
      </w:r>
    </w:p>
    <w:p w:rsidR="007B4DEA" w:rsidRDefault="00B45477">
      <w:pPr>
        <w:pStyle w:val="Default"/>
        <w:spacing w:line="560" w:lineRule="exact"/>
        <w:ind w:firstLineChars="200" w:firstLine="560"/>
        <w:rPr>
          <w:rFonts w:ascii="仿宋_GB2312" w:eastAsia="仿宋_GB2312"/>
          <w:sz w:val="28"/>
          <w:szCs w:val="28"/>
        </w:rPr>
      </w:pPr>
      <w:r w:rsidRPr="00A27F69">
        <w:rPr>
          <w:rFonts w:ascii="仿宋_GB2312" w:eastAsia="仿宋_GB2312" w:hint="eastAsia"/>
          <w:sz w:val="28"/>
          <w:szCs w:val="28"/>
          <w:u w:color="46CD7E"/>
        </w:rPr>
        <w:t>9.一般公共服务（类）政府办公厅〔室〕及相关机构事务（款）一般行政管理事务（项）：指用于保障云</w:t>
      </w:r>
      <w:proofErr w:type="gramStart"/>
      <w:r w:rsidRPr="00A27F69">
        <w:rPr>
          <w:rFonts w:ascii="仿宋_GB2312" w:eastAsia="仿宋_GB2312" w:hint="eastAsia"/>
          <w:sz w:val="28"/>
          <w:szCs w:val="28"/>
          <w:u w:color="46CD7E"/>
        </w:rPr>
        <w:t>昙</w:t>
      </w:r>
      <w:proofErr w:type="gramEnd"/>
      <w:r w:rsidRPr="00A27F69">
        <w:rPr>
          <w:rFonts w:ascii="仿宋_GB2312" w:eastAsia="仿宋_GB2312" w:hint="eastAsia"/>
          <w:sz w:val="28"/>
          <w:szCs w:val="28"/>
          <w:u w:color="46CD7E"/>
        </w:rPr>
        <w:t>乡人民政府机关正常运转，为完成特定的工作任务，用于一般行政管理事务方面的经费支出。</w:t>
      </w:r>
      <w:r>
        <w:rPr>
          <w:rFonts w:ascii="仿宋_GB2312" w:eastAsia="仿宋_GB2312" w:hint="eastAsia"/>
          <w:sz w:val="28"/>
          <w:szCs w:val="28"/>
        </w:rPr>
        <w:br/>
      </w:r>
      <w:r>
        <w:rPr>
          <w:rFonts w:ascii="仿宋_GB2312" w:eastAsia="仿宋_GB2312" w:hint="eastAsia"/>
          <w:sz w:val="28"/>
          <w:szCs w:val="28"/>
        </w:rPr>
        <w:lastRenderedPageBreak/>
        <w:t xml:space="preserve">    </w:t>
      </w:r>
      <w:r w:rsidRPr="00A27F69">
        <w:rPr>
          <w:rFonts w:ascii="仿宋_GB2312" w:eastAsia="仿宋_GB2312" w:hint="eastAsia"/>
          <w:sz w:val="28"/>
          <w:szCs w:val="28"/>
          <w:u w:color="46CD7E"/>
        </w:rPr>
        <w:t>10.一般公共服务（类）政府办公厅〔室〕及相关机构事务（款）信访事务（项）：指用于保障云</w:t>
      </w:r>
      <w:proofErr w:type="gramStart"/>
      <w:r w:rsidRPr="00A27F69">
        <w:rPr>
          <w:rFonts w:ascii="仿宋_GB2312" w:eastAsia="仿宋_GB2312" w:hint="eastAsia"/>
          <w:sz w:val="28"/>
          <w:szCs w:val="28"/>
          <w:u w:color="46CD7E"/>
        </w:rPr>
        <w:t>昙</w:t>
      </w:r>
      <w:proofErr w:type="gramEnd"/>
      <w:r w:rsidRPr="00A27F69">
        <w:rPr>
          <w:rFonts w:ascii="仿宋_GB2312" w:eastAsia="仿宋_GB2312" w:hint="eastAsia"/>
          <w:sz w:val="28"/>
          <w:szCs w:val="28"/>
          <w:u w:color="46CD7E"/>
        </w:rPr>
        <w:t>乡人民政府机关信访事务方面的经费支出。</w:t>
      </w:r>
      <w:r>
        <w:rPr>
          <w:rFonts w:ascii="仿宋_GB2312" w:eastAsia="仿宋_GB2312" w:hint="eastAsia"/>
          <w:sz w:val="28"/>
          <w:szCs w:val="28"/>
        </w:rPr>
        <w:br/>
        <w:t xml:space="preserve">    </w:t>
      </w:r>
      <w:r w:rsidRPr="00A27F69">
        <w:rPr>
          <w:rFonts w:ascii="仿宋_GB2312" w:eastAsia="仿宋_GB2312" w:hint="eastAsia"/>
          <w:sz w:val="28"/>
          <w:szCs w:val="28"/>
          <w:u w:color="46CD7E"/>
        </w:rPr>
        <w:t>11.一般公共服务（类）财政事务（款）行政运行（项）：指用于保障云</w:t>
      </w:r>
      <w:proofErr w:type="gramStart"/>
      <w:r w:rsidRPr="00A27F69">
        <w:rPr>
          <w:rFonts w:ascii="仿宋_GB2312" w:eastAsia="仿宋_GB2312" w:hint="eastAsia"/>
          <w:sz w:val="28"/>
          <w:szCs w:val="28"/>
          <w:u w:color="46CD7E"/>
        </w:rPr>
        <w:t>昙</w:t>
      </w:r>
      <w:proofErr w:type="gramEnd"/>
      <w:r w:rsidRPr="00A27F69">
        <w:rPr>
          <w:rFonts w:ascii="仿宋_GB2312" w:eastAsia="仿宋_GB2312" w:hint="eastAsia"/>
          <w:sz w:val="28"/>
          <w:szCs w:val="28"/>
          <w:u w:color="46CD7E"/>
        </w:rPr>
        <w:t>乡人民政府机关财政场所正常运转的基本支出。</w:t>
      </w:r>
      <w:r>
        <w:rPr>
          <w:rFonts w:ascii="仿宋_GB2312" w:eastAsia="仿宋_GB2312" w:hint="eastAsia"/>
          <w:sz w:val="28"/>
          <w:szCs w:val="28"/>
        </w:rPr>
        <w:t> </w:t>
      </w:r>
    </w:p>
    <w:p w:rsidR="005E0888" w:rsidRDefault="00B45477">
      <w:pPr>
        <w:pStyle w:val="Default"/>
        <w:spacing w:line="560" w:lineRule="exact"/>
        <w:ind w:firstLineChars="200" w:firstLine="560"/>
        <w:rPr>
          <w:rFonts w:ascii="仿宋_GB2312" w:eastAsia="仿宋_GB2312"/>
          <w:sz w:val="28"/>
          <w:szCs w:val="28"/>
        </w:rPr>
      </w:pPr>
      <w:r>
        <w:rPr>
          <w:rFonts w:ascii="仿宋_GB2312" w:eastAsia="仿宋_GB2312" w:hint="eastAsia"/>
          <w:sz w:val="28"/>
          <w:szCs w:val="28"/>
        </w:rPr>
        <w:t>12.一般公共服务（类）党委办公厅〔室〕及相关机构事务（款）行政运行（项）：指用于保障行政单位正常运转，用于行政运行方面的基本支出。</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hint="eastAsia"/>
          <w:sz w:val="28"/>
          <w:szCs w:val="28"/>
        </w:rPr>
        <w:t>13.教育支出（类）普通教育（款）学前教育（项）：指用于学前教育的支出。</w:t>
      </w:r>
      <w:r>
        <w:rPr>
          <w:rFonts w:ascii="仿宋_GB2312" w:eastAsia="仿宋_GB2312" w:hint="eastAsia"/>
          <w:sz w:val="28"/>
          <w:szCs w:val="28"/>
        </w:rPr>
        <w:br/>
        <w:t xml:space="preserve">    14</w:t>
      </w:r>
      <w:r w:rsidR="00624152" w:rsidRPr="001446C9">
        <w:rPr>
          <w:rFonts w:ascii="仿宋_GB2312" w:eastAsia="仿宋_GB2312"/>
          <w:sz w:val="28"/>
          <w:szCs w:val="28"/>
          <w:u w:color="46CD7E"/>
        </w:rPr>
        <w:t>.</w:t>
      </w:r>
      <w:r>
        <w:rPr>
          <w:rFonts w:ascii="仿宋_GB2312" w:eastAsia="仿宋_GB2312" w:hint="eastAsia"/>
          <w:sz w:val="28"/>
          <w:szCs w:val="28"/>
        </w:rPr>
        <w:t>教育支出（类）普通教育（款）小学教育（项）：指用于小学教育</w:t>
      </w:r>
      <w:r w:rsidRPr="00A27F69">
        <w:rPr>
          <w:rFonts w:ascii="仿宋_GB2312" w:eastAsia="仿宋_GB2312" w:hint="eastAsia"/>
          <w:sz w:val="28"/>
          <w:szCs w:val="28"/>
          <w:u w:color="46CD7E"/>
        </w:rPr>
        <w:t>的基本支出。</w:t>
      </w:r>
      <w:r w:rsidRPr="00A27F69">
        <w:rPr>
          <w:rFonts w:ascii="仿宋_GB2312" w:eastAsia="仿宋_GB2312" w:hint="eastAsia"/>
          <w:sz w:val="28"/>
          <w:szCs w:val="28"/>
          <w:u w:color="46CD7E"/>
        </w:rPr>
        <w:br/>
        <w:t xml:space="preserve">    15.教育支出（类）普通教育（款）其他普通教育支出（项）：指用于小学教育的其他支出</w:t>
      </w:r>
      <w:r w:rsidRPr="00A27F69">
        <w:rPr>
          <w:rFonts w:ascii="仿宋_GB2312" w:eastAsia="仿宋_GB2312" w:hint="eastAsia"/>
          <w:sz w:val="28"/>
          <w:szCs w:val="28"/>
          <w:u w:color="46CD7E"/>
        </w:rPr>
        <w:br/>
        <w:t xml:space="preserve">    16.文化体育与传媒支出（类）文化（款）群众文化支出（项）：指用于保障云</w:t>
      </w:r>
      <w:proofErr w:type="gramStart"/>
      <w:r>
        <w:rPr>
          <w:rFonts w:ascii="仿宋_GB2312" w:eastAsia="仿宋_GB2312" w:hint="eastAsia"/>
          <w:sz w:val="28"/>
          <w:szCs w:val="28"/>
        </w:rPr>
        <w:t>昙</w:t>
      </w:r>
      <w:proofErr w:type="gramEnd"/>
      <w:r>
        <w:rPr>
          <w:rFonts w:ascii="仿宋_GB2312" w:eastAsia="仿宋_GB2312" w:hint="eastAsia"/>
          <w:sz w:val="28"/>
          <w:szCs w:val="28"/>
        </w:rPr>
        <w:t>乡人民政府文化站基本支出。</w:t>
      </w:r>
      <w:r>
        <w:rPr>
          <w:rFonts w:ascii="仿宋_GB2312" w:eastAsia="仿宋_GB2312" w:hint="eastAsia"/>
          <w:sz w:val="28"/>
          <w:szCs w:val="28"/>
        </w:rPr>
        <w:br/>
        <w:t xml:space="preserve">    </w:t>
      </w:r>
      <w:r w:rsidRPr="00A27F69">
        <w:rPr>
          <w:rFonts w:ascii="仿宋_GB2312" w:eastAsia="仿宋_GB2312" w:hint="eastAsia"/>
          <w:sz w:val="28"/>
          <w:szCs w:val="28"/>
          <w:u w:val="thick" w:color="FFB03A"/>
          <w:shd w:val="clear" w:color="auto" w:fill="FFEFD8"/>
        </w:rPr>
        <w:t>17.</w:t>
      </w:r>
      <w:r>
        <w:rPr>
          <w:rFonts w:ascii="仿宋_GB2312" w:eastAsia="仿宋_GB2312" w:hint="eastAsia"/>
          <w:sz w:val="28"/>
          <w:szCs w:val="28"/>
        </w:rPr>
        <w:t>文化体育与传媒支出（类）文化（款）其他文化支出（项）：指用于保障云</w:t>
      </w:r>
      <w:r w:rsidR="00BD4A83">
        <w:rPr>
          <w:rFonts w:ascii="仿宋_GB2312" w:eastAsia="仿宋_GB2312" w:hint="eastAsia"/>
          <w:sz w:val="28"/>
          <w:szCs w:val="28"/>
        </w:rPr>
        <w:t>潭</w:t>
      </w:r>
      <w:r>
        <w:rPr>
          <w:rFonts w:ascii="仿宋_GB2312" w:eastAsia="仿宋_GB2312" w:hint="eastAsia"/>
          <w:sz w:val="28"/>
          <w:szCs w:val="28"/>
        </w:rPr>
        <w:t>乡人民政府</w:t>
      </w:r>
      <w:proofErr w:type="gramStart"/>
      <w:r>
        <w:rPr>
          <w:rFonts w:ascii="仿宋_GB2312" w:eastAsia="仿宋_GB2312" w:hint="eastAsia"/>
          <w:sz w:val="28"/>
          <w:szCs w:val="28"/>
        </w:rPr>
        <w:t>文化奖补经费</w:t>
      </w:r>
      <w:proofErr w:type="gramEnd"/>
      <w:r>
        <w:rPr>
          <w:rFonts w:ascii="仿宋_GB2312" w:eastAsia="仿宋_GB2312" w:hint="eastAsia"/>
          <w:sz w:val="28"/>
          <w:szCs w:val="28"/>
        </w:rPr>
        <w:t>支出。</w:t>
      </w:r>
      <w:r>
        <w:rPr>
          <w:rFonts w:ascii="仿宋_GB2312" w:eastAsia="仿宋_GB2312" w:hint="eastAsia"/>
          <w:sz w:val="28"/>
          <w:szCs w:val="28"/>
        </w:rPr>
        <w:br/>
        <w:t xml:space="preserve">    18．社会保障和就业支出（类）人力资源和社会保障管理事务（款）社会保险经办机构（项）：指用于社保人员基本支出。</w:t>
      </w:r>
      <w:r>
        <w:rPr>
          <w:rFonts w:ascii="仿宋_GB2312" w:eastAsia="仿宋_GB2312" w:hint="eastAsia"/>
          <w:sz w:val="28"/>
          <w:szCs w:val="28"/>
        </w:rPr>
        <w:br/>
        <w:t xml:space="preserve">    19．社会保障和就业支出（类）行政单位离退休（款）机关事业单位基本养老保险缴费支出（项）：指用于机关事业单位基本养老保险缴费支出。</w:t>
      </w:r>
      <w:r>
        <w:rPr>
          <w:rFonts w:ascii="仿宋_GB2312" w:eastAsia="仿宋_GB2312" w:hint="eastAsia"/>
          <w:sz w:val="28"/>
          <w:szCs w:val="28"/>
        </w:rPr>
        <w:br/>
        <w:t xml:space="preserve">    20.医疗卫生与计划生育支出</w:t>
      </w:r>
      <w:r>
        <w:t>（</w:t>
      </w:r>
      <w:r>
        <w:rPr>
          <w:rFonts w:ascii="仿宋_GB2312" w:eastAsia="仿宋_GB2312" w:hint="eastAsia"/>
          <w:sz w:val="28"/>
          <w:szCs w:val="28"/>
        </w:rPr>
        <w:t>类)基层医疗卫生机构（款）乡镇</w:t>
      </w:r>
      <w:r>
        <w:rPr>
          <w:rFonts w:ascii="仿宋_GB2312" w:eastAsia="仿宋_GB2312" w:hint="eastAsia"/>
          <w:sz w:val="28"/>
          <w:szCs w:val="28"/>
        </w:rPr>
        <w:lastRenderedPageBreak/>
        <w:t>卫生院支出（项）：指用于乡镇卫生院的基本支出。</w:t>
      </w:r>
      <w:r>
        <w:rPr>
          <w:rFonts w:ascii="仿宋_GB2312" w:eastAsia="仿宋_GB2312" w:hint="eastAsia"/>
          <w:sz w:val="28"/>
          <w:szCs w:val="28"/>
        </w:rPr>
        <w:br/>
        <w:t xml:space="preserve">    21.医疗卫生与计划生育支出</w:t>
      </w:r>
      <w:r>
        <w:t>（</w:t>
      </w:r>
      <w:r>
        <w:rPr>
          <w:rFonts w:ascii="仿宋_GB2312" w:eastAsia="仿宋_GB2312" w:hint="eastAsia"/>
          <w:sz w:val="28"/>
          <w:szCs w:val="28"/>
        </w:rPr>
        <w:t>类</w:t>
      </w:r>
      <w:r>
        <w:t>）</w:t>
      </w:r>
      <w:r>
        <w:rPr>
          <w:rFonts w:ascii="仿宋_GB2312" w:eastAsia="仿宋_GB2312" w:hint="eastAsia"/>
          <w:sz w:val="28"/>
          <w:szCs w:val="28"/>
        </w:rPr>
        <w:t>公共卫生（款）基本公共卫生服务（项）：指用于基本公共卫生服务支出。</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hint="eastAsia"/>
          <w:sz w:val="28"/>
          <w:szCs w:val="28"/>
        </w:rPr>
        <w:t>22.医疗卫生与计划生育支出</w:t>
      </w:r>
      <w:r>
        <w:t>（</w:t>
      </w:r>
      <w:r>
        <w:rPr>
          <w:rFonts w:ascii="仿宋_GB2312" w:eastAsia="仿宋_GB2312" w:hint="eastAsia"/>
          <w:sz w:val="28"/>
          <w:szCs w:val="28"/>
        </w:rPr>
        <w:t>类</w:t>
      </w:r>
      <w:r>
        <w:t>）</w:t>
      </w:r>
      <w:r>
        <w:rPr>
          <w:rFonts w:ascii="仿宋_GB2312" w:eastAsia="仿宋_GB2312" w:hint="eastAsia"/>
          <w:sz w:val="28"/>
          <w:szCs w:val="28"/>
        </w:rPr>
        <w:t>食品和药品监督管理事务（款）事业运行支出（项）：指用于食品和药品监督管理人员的基本支出。</w:t>
      </w:r>
      <w:r>
        <w:rPr>
          <w:rFonts w:ascii="仿宋_GB2312" w:eastAsia="仿宋_GB2312" w:hint="eastAsia"/>
          <w:sz w:val="28"/>
          <w:szCs w:val="28"/>
        </w:rPr>
        <w:br/>
        <w:t xml:space="preserve">    23.医疗卫生与计划生育支出</w:t>
      </w:r>
      <w:r>
        <w:t>（</w:t>
      </w:r>
      <w:r>
        <w:rPr>
          <w:rFonts w:ascii="仿宋_GB2312" w:eastAsia="仿宋_GB2312" w:hint="eastAsia"/>
          <w:sz w:val="28"/>
          <w:szCs w:val="28"/>
        </w:rPr>
        <w:t>类</w:t>
      </w:r>
      <w:r>
        <w:t>）</w:t>
      </w:r>
      <w:r>
        <w:rPr>
          <w:rFonts w:ascii="仿宋_GB2312" w:eastAsia="仿宋_GB2312" w:hint="eastAsia"/>
          <w:sz w:val="28"/>
          <w:szCs w:val="28"/>
        </w:rPr>
        <w:t>财政对基本医疗保险基金的补助（款）财政对城乡居民基本医疗保险基金的补助（项）：指用于贫困户的医疗保险缴费。</w:t>
      </w:r>
      <w:r>
        <w:rPr>
          <w:rFonts w:ascii="仿宋_GB2312" w:eastAsia="仿宋_GB2312" w:hint="eastAsia"/>
          <w:sz w:val="28"/>
          <w:szCs w:val="28"/>
        </w:rPr>
        <w:br/>
        <w:t xml:space="preserve">    24.节能环保支出（类）退耕还林（款）</w:t>
      </w:r>
      <w:r w:rsidRPr="00A27F69">
        <w:rPr>
          <w:rFonts w:ascii="仿宋_GB2312" w:eastAsia="仿宋_GB2312" w:hint="eastAsia"/>
          <w:sz w:val="28"/>
          <w:szCs w:val="28"/>
          <w:u w:val="thick" w:color="FFB03A"/>
          <w:shd w:val="clear" w:color="auto" w:fill="FFEFD8"/>
        </w:rPr>
        <w:t>退耕</w:t>
      </w:r>
      <w:r>
        <w:rPr>
          <w:rFonts w:ascii="仿宋_GB2312" w:eastAsia="仿宋_GB2312" w:hint="eastAsia"/>
          <w:sz w:val="28"/>
          <w:szCs w:val="28"/>
        </w:rPr>
        <w:t>现金（项）：指用于退耕</w:t>
      </w:r>
      <w:r w:rsidR="00382AB3" w:rsidRPr="001446C9">
        <w:rPr>
          <w:rFonts w:ascii="仿宋_GB2312" w:eastAsia="仿宋_GB2312" w:hint="eastAsia"/>
          <w:sz w:val="28"/>
          <w:szCs w:val="28"/>
          <w:u w:color="46CD7E"/>
        </w:rPr>
        <w:t>农户的</w:t>
      </w:r>
      <w:r>
        <w:rPr>
          <w:rFonts w:ascii="仿宋_GB2312" w:eastAsia="仿宋_GB2312" w:hint="eastAsia"/>
          <w:sz w:val="28"/>
          <w:szCs w:val="28"/>
        </w:rPr>
        <w:t>生活补助。</w:t>
      </w:r>
      <w:r>
        <w:rPr>
          <w:rFonts w:ascii="仿宋_GB2312" w:eastAsia="仿宋_GB2312" w:hint="eastAsia"/>
          <w:sz w:val="28"/>
          <w:szCs w:val="28"/>
        </w:rPr>
        <w:br/>
        <w:t xml:space="preserve">    25.城乡社区支出（类）城乡社区公共设施（款）其他城乡社区公共设施支出（项）：指用于城乡社区公共设施支出。</w:t>
      </w:r>
      <w:r>
        <w:rPr>
          <w:rFonts w:ascii="仿宋_GB2312" w:eastAsia="仿宋_GB2312" w:hint="eastAsia"/>
          <w:sz w:val="28"/>
          <w:szCs w:val="28"/>
        </w:rPr>
        <w:br/>
        <w:t xml:space="preserve">    26．农林水支出（类）农业（款）事业运行（项）：指用于农业事业单位方面的支出。</w:t>
      </w:r>
      <w:r>
        <w:rPr>
          <w:rFonts w:ascii="仿宋_GB2312" w:eastAsia="仿宋_GB2312" w:hint="eastAsia"/>
          <w:sz w:val="28"/>
          <w:szCs w:val="28"/>
        </w:rPr>
        <w:br/>
        <w:t xml:space="preserve">    27．农林水支出（类）农业（款）农业生产支持补贴（项）：指用于农户耕地地力保护补贴等方面支出。</w:t>
      </w:r>
      <w:r>
        <w:rPr>
          <w:rFonts w:ascii="仿宋_GB2312" w:eastAsia="仿宋_GB2312" w:hint="eastAsia"/>
          <w:sz w:val="28"/>
          <w:szCs w:val="28"/>
        </w:rPr>
        <w:br/>
        <w:t xml:space="preserve">    28.农林水支出（类）农业（款）农村道路建设（项）：指用于农村</w:t>
      </w:r>
      <w:r w:rsidRPr="00A27F69">
        <w:rPr>
          <w:rFonts w:ascii="仿宋_GB2312" w:eastAsia="仿宋_GB2312" w:hint="eastAsia"/>
          <w:sz w:val="28"/>
          <w:szCs w:val="28"/>
          <w:u w:val="thick" w:color="FFB03A"/>
          <w:shd w:val="clear" w:color="auto" w:fill="FFEFD8"/>
        </w:rPr>
        <w:t>道路</w:t>
      </w:r>
      <w:r>
        <w:rPr>
          <w:rFonts w:ascii="仿宋_GB2312" w:eastAsia="仿宋_GB2312" w:hint="eastAsia"/>
          <w:sz w:val="28"/>
          <w:szCs w:val="28"/>
        </w:rPr>
        <w:t>方面</w:t>
      </w:r>
      <w:r w:rsidRPr="00A27F69">
        <w:rPr>
          <w:rFonts w:ascii="仿宋_GB2312" w:eastAsia="仿宋_GB2312" w:hint="eastAsia"/>
          <w:sz w:val="28"/>
          <w:szCs w:val="28"/>
          <w:u w:val="thick" w:color="FFB03A"/>
          <w:shd w:val="clear" w:color="auto" w:fill="FFEFD8"/>
        </w:rPr>
        <w:t>等</w:t>
      </w:r>
      <w:r>
        <w:rPr>
          <w:rFonts w:ascii="仿宋_GB2312" w:eastAsia="仿宋_GB2312" w:hint="eastAsia"/>
          <w:sz w:val="28"/>
          <w:szCs w:val="28"/>
        </w:rPr>
        <w:t>支出。</w:t>
      </w:r>
      <w:r>
        <w:rPr>
          <w:rFonts w:ascii="仿宋_GB2312" w:eastAsia="仿宋_GB2312" w:hint="eastAsia"/>
          <w:sz w:val="28"/>
          <w:szCs w:val="28"/>
        </w:rPr>
        <w:br/>
        <w:t xml:space="preserve">    29．农林水支出（类）林业（款）林业事业机构（项）：指用于林业机构方面的支出。</w:t>
      </w:r>
      <w:r>
        <w:rPr>
          <w:rFonts w:ascii="仿宋_GB2312" w:eastAsia="仿宋_GB2312" w:hint="eastAsia"/>
          <w:sz w:val="28"/>
          <w:szCs w:val="28"/>
        </w:rPr>
        <w:br/>
        <w:t xml:space="preserve">    30． 农林水支出（类）林业（款）森林生态效益补偿（项）：指用于林业生态效益方面</w:t>
      </w:r>
      <w:r w:rsidRPr="00A27F69">
        <w:rPr>
          <w:rFonts w:ascii="仿宋_GB2312" w:eastAsia="仿宋_GB2312" w:hint="eastAsia"/>
          <w:sz w:val="28"/>
          <w:szCs w:val="28"/>
          <w:u w:color="FFB03A"/>
        </w:rPr>
        <w:t>等</w:t>
      </w:r>
      <w:r>
        <w:rPr>
          <w:rFonts w:ascii="仿宋_GB2312" w:eastAsia="仿宋_GB2312" w:hint="eastAsia"/>
          <w:sz w:val="28"/>
          <w:szCs w:val="28"/>
        </w:rPr>
        <w:t>支出。</w:t>
      </w:r>
      <w:r>
        <w:rPr>
          <w:rFonts w:ascii="仿宋_GB2312" w:eastAsia="仿宋_GB2312" w:hint="eastAsia"/>
          <w:sz w:val="28"/>
          <w:szCs w:val="28"/>
        </w:rPr>
        <w:br/>
        <w:t xml:space="preserve">    31．农林水支出（类）水利（款）水利技术推广（项）：指用于水利机构方面等支出。</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32．农林水支出（类）水利（款）农村人畜饮水（项）：指用于农村人畜饮水方面的支出。</w:t>
      </w:r>
      <w:r>
        <w:rPr>
          <w:rFonts w:ascii="仿宋_GB2312" w:eastAsia="仿宋_GB2312" w:hint="eastAsia"/>
          <w:sz w:val="28"/>
          <w:szCs w:val="28"/>
        </w:rPr>
        <w:br/>
        <w:t xml:space="preserve">    33．农林水支出（类）扶贫（款）生产发展（项）：指用于农村产业发展及危房改造方面等支出。</w:t>
      </w:r>
      <w:r>
        <w:rPr>
          <w:rFonts w:ascii="仿宋_GB2312" w:eastAsia="仿宋_GB2312" w:hint="eastAsia"/>
          <w:sz w:val="28"/>
          <w:szCs w:val="28"/>
        </w:rPr>
        <w:br/>
        <w:t xml:space="preserve">    34．农林水支出（类）扶贫（款）其他扶贫支出（项）：指用于易地扶贫搬迁方面</w:t>
      </w:r>
      <w:r w:rsidRPr="00A27F69">
        <w:rPr>
          <w:rFonts w:ascii="仿宋_GB2312" w:eastAsia="仿宋_GB2312" w:hint="eastAsia"/>
          <w:sz w:val="28"/>
          <w:szCs w:val="28"/>
          <w:u w:val="thick" w:color="FFB03A"/>
          <w:shd w:val="clear" w:color="auto" w:fill="FFEFD8"/>
        </w:rPr>
        <w:t>等</w:t>
      </w:r>
      <w:r>
        <w:rPr>
          <w:rFonts w:ascii="仿宋_GB2312" w:eastAsia="仿宋_GB2312" w:hint="eastAsia"/>
          <w:sz w:val="28"/>
          <w:szCs w:val="28"/>
        </w:rPr>
        <w:t>支出。</w:t>
      </w:r>
      <w:r>
        <w:rPr>
          <w:rFonts w:ascii="仿宋_GB2312" w:eastAsia="仿宋_GB2312" w:hint="eastAsia"/>
          <w:sz w:val="28"/>
          <w:szCs w:val="28"/>
        </w:rPr>
        <w:br/>
        <w:t xml:space="preserve">    35．农林水支出（类）农村综合改革（款）对村民委员会和村党支部的补助（项）：指用于村社干部生活补助及村办公费方面等支出。</w:t>
      </w:r>
      <w:r>
        <w:rPr>
          <w:rFonts w:ascii="仿宋_GB2312" w:eastAsia="仿宋_GB2312" w:hint="eastAsia"/>
          <w:sz w:val="28"/>
          <w:szCs w:val="28"/>
        </w:rPr>
        <w:br/>
        <w:t xml:space="preserve">    36．农林水支出（类）农村综合改革（款）其他农村综合改革支出（项）：指用于农村离职村干部方面的支出。</w:t>
      </w:r>
      <w:r>
        <w:rPr>
          <w:rFonts w:ascii="仿宋_GB2312" w:eastAsia="仿宋_GB2312" w:hint="eastAsia"/>
          <w:sz w:val="28"/>
          <w:szCs w:val="28"/>
        </w:rPr>
        <w:br/>
        <w:t xml:space="preserve">    37.交通运输支出（类）公路水路运输（款）公路运输管理（项）：指用于乡交通管理站人员方面等支出。</w:t>
      </w:r>
      <w:r>
        <w:rPr>
          <w:rFonts w:ascii="仿宋_GB2312" w:eastAsia="仿宋_GB2312" w:hint="eastAsia"/>
          <w:sz w:val="28"/>
          <w:szCs w:val="28"/>
        </w:rPr>
        <w:br/>
        <w:t xml:space="preserve">    38．住房保障支出（类）住房改革支出（款）住房公积金（项）：指用于按政策规定为职工缴纳的住房公积金支出。</w:t>
      </w:r>
    </w:p>
    <w:p w:rsidR="007B4DEA" w:rsidRDefault="00B45477">
      <w:pPr>
        <w:ind w:firstLineChars="200" w:firstLine="560"/>
        <w:rPr>
          <w:rFonts w:ascii="仿宋_GB2312" w:eastAsia="仿宋_GB2312"/>
          <w:color w:val="000000"/>
          <w:sz w:val="28"/>
          <w:szCs w:val="28"/>
        </w:rPr>
      </w:pPr>
      <w:r>
        <w:rPr>
          <w:rFonts w:ascii="仿宋_GB2312" w:eastAsia="仿宋_GB2312" w:hint="eastAsia"/>
          <w:color w:val="000000"/>
          <w:sz w:val="28"/>
          <w:szCs w:val="28"/>
        </w:rPr>
        <w:t>39</w:t>
      </w:r>
      <w:r>
        <w:rPr>
          <w:rFonts w:ascii="仿宋_GB2312" w:eastAsia="仿宋_GB2312"/>
          <w:color w:val="000000"/>
          <w:sz w:val="28"/>
          <w:szCs w:val="28"/>
        </w:rPr>
        <w:t>.</w:t>
      </w:r>
      <w:r>
        <w:rPr>
          <w:rFonts w:ascii="仿宋_GB2312" w:eastAsia="仿宋_GB2312" w:hint="eastAsia"/>
          <w:color w:val="000000"/>
          <w:sz w:val="28"/>
          <w:szCs w:val="28"/>
        </w:rPr>
        <w:t>基本支出：指为保障机构正常运转、完成日常工作任务而发生的人员支出和公用支出。</w:t>
      </w:r>
    </w:p>
    <w:p w:rsidR="007B4DEA" w:rsidRDefault="00B45477">
      <w:pPr>
        <w:ind w:firstLineChars="200" w:firstLine="560"/>
        <w:rPr>
          <w:rFonts w:ascii="仿宋_GB2312" w:eastAsia="仿宋_GB2312"/>
          <w:color w:val="000000"/>
          <w:sz w:val="28"/>
          <w:szCs w:val="28"/>
        </w:rPr>
      </w:pPr>
      <w:r>
        <w:rPr>
          <w:rFonts w:ascii="仿宋_GB2312" w:eastAsia="仿宋_GB2312" w:hint="eastAsia"/>
          <w:color w:val="000000"/>
          <w:sz w:val="28"/>
          <w:szCs w:val="28"/>
        </w:rPr>
        <w:t>40</w:t>
      </w:r>
      <w:r>
        <w:rPr>
          <w:rFonts w:ascii="仿宋_GB2312" w:eastAsia="仿宋_GB2312"/>
          <w:color w:val="000000"/>
          <w:sz w:val="28"/>
          <w:szCs w:val="28"/>
        </w:rPr>
        <w:t>.</w:t>
      </w:r>
      <w:r>
        <w:rPr>
          <w:rFonts w:ascii="仿宋_GB2312" w:eastAsia="仿宋_GB2312" w:hint="eastAsia"/>
          <w:color w:val="000000"/>
          <w:sz w:val="28"/>
          <w:szCs w:val="28"/>
        </w:rPr>
        <w:t>项目支出：指在基本支出之外为完成特定行政任务和</w:t>
      </w:r>
      <w:r w:rsidRPr="00A27F69">
        <w:rPr>
          <w:rFonts w:ascii="仿宋_GB2312" w:eastAsia="仿宋_GB2312" w:hint="eastAsia"/>
          <w:color w:val="000000"/>
          <w:sz w:val="28"/>
          <w:szCs w:val="28"/>
          <w:u w:val="thick" w:color="FFB03A"/>
          <w:shd w:val="clear" w:color="auto" w:fill="FFEFD8"/>
        </w:rPr>
        <w:t>事业</w:t>
      </w:r>
      <w:r>
        <w:rPr>
          <w:rFonts w:ascii="仿宋_GB2312" w:eastAsia="仿宋_GB2312" w:hint="eastAsia"/>
          <w:color w:val="000000"/>
          <w:sz w:val="28"/>
          <w:szCs w:val="28"/>
        </w:rPr>
        <w:t>发展目标所发生的支出。</w:t>
      </w:r>
    </w:p>
    <w:p w:rsidR="007B4DEA" w:rsidRDefault="00B45477">
      <w:pPr>
        <w:pStyle w:val="Default"/>
        <w:spacing w:line="560" w:lineRule="exact"/>
        <w:ind w:firstLineChars="200" w:firstLine="560"/>
        <w:rPr>
          <w:rFonts w:ascii="仿宋_GB2312" w:eastAsia="仿宋_GB2312"/>
          <w:sz w:val="28"/>
          <w:szCs w:val="28"/>
        </w:rPr>
      </w:pPr>
      <w:r>
        <w:rPr>
          <w:rFonts w:ascii="仿宋_GB2312" w:eastAsia="仿宋_GB2312" w:hint="eastAsia"/>
          <w:sz w:val="28"/>
          <w:szCs w:val="28"/>
        </w:rPr>
        <w:t>41</w:t>
      </w:r>
      <w:r>
        <w:rPr>
          <w:rFonts w:ascii="仿宋_GB2312" w:eastAsia="仿宋_GB2312"/>
          <w:sz w:val="28"/>
          <w:szCs w:val="28"/>
        </w:rPr>
        <w:t>.</w:t>
      </w:r>
      <w:r>
        <w:rPr>
          <w:rFonts w:ascii="仿宋_GB2312" w:eastAsia="仿宋_GB2312" w:hint="eastAsia"/>
          <w:sz w:val="28"/>
          <w:szCs w:val="28"/>
        </w:rPr>
        <w:t>“三公”经费：指部门用财政拨款安排的因公出国（境）费、公务用车购置及运行费和公务接待费。其中，因公出国（境）</w:t>
      </w:r>
      <w:proofErr w:type="gramStart"/>
      <w:r>
        <w:rPr>
          <w:rFonts w:ascii="仿宋_GB2312" w:eastAsia="仿宋_GB2312" w:hint="eastAsia"/>
          <w:sz w:val="28"/>
          <w:szCs w:val="28"/>
        </w:rPr>
        <w:t>费反映</w:t>
      </w:r>
      <w:proofErr w:type="gramEnd"/>
      <w:r>
        <w:rPr>
          <w:rFonts w:ascii="仿宋_GB2312" w:eastAsia="仿宋_GB2312" w:hint="eastAsia"/>
          <w:sz w:val="28"/>
          <w:szCs w:val="28"/>
        </w:rPr>
        <w:t>单位公务出国（境）的国际旅费、国外城市间交通费、住宿费、伙食费、培训费、公杂费等支出；公务用车购置及运行</w:t>
      </w:r>
      <w:proofErr w:type="gramStart"/>
      <w:r>
        <w:rPr>
          <w:rFonts w:ascii="仿宋_GB2312" w:eastAsia="仿宋_GB2312" w:hint="eastAsia"/>
          <w:sz w:val="28"/>
          <w:szCs w:val="28"/>
        </w:rPr>
        <w:t>费反映</w:t>
      </w:r>
      <w:proofErr w:type="gramEnd"/>
      <w:r>
        <w:rPr>
          <w:rFonts w:ascii="仿宋_GB2312" w:eastAsia="仿宋_GB2312" w:hint="eastAsia"/>
          <w:sz w:val="28"/>
          <w:szCs w:val="28"/>
        </w:rPr>
        <w:t>单位公务用车车辆购置支出（</w:t>
      </w:r>
      <w:proofErr w:type="gramStart"/>
      <w:r>
        <w:rPr>
          <w:rFonts w:ascii="仿宋_GB2312" w:eastAsia="仿宋_GB2312" w:hint="eastAsia"/>
          <w:sz w:val="28"/>
          <w:szCs w:val="28"/>
        </w:rPr>
        <w:t>含车</w:t>
      </w:r>
      <w:proofErr w:type="gramEnd"/>
      <w:r>
        <w:rPr>
          <w:rFonts w:ascii="仿宋_GB2312" w:eastAsia="仿宋_GB2312" w:hint="eastAsia"/>
          <w:sz w:val="28"/>
          <w:szCs w:val="28"/>
        </w:rPr>
        <w:t>辆购置税）及租用费、燃料费、维修费、过路</w:t>
      </w:r>
      <w:r>
        <w:rPr>
          <w:rFonts w:ascii="仿宋_GB2312" w:eastAsia="仿宋_GB2312" w:hint="eastAsia"/>
          <w:sz w:val="28"/>
          <w:szCs w:val="28"/>
        </w:rPr>
        <w:lastRenderedPageBreak/>
        <w:t>过桥费、保险费等支出；公务接待</w:t>
      </w:r>
      <w:proofErr w:type="gramStart"/>
      <w:r>
        <w:rPr>
          <w:rFonts w:ascii="仿宋_GB2312" w:eastAsia="仿宋_GB2312" w:hint="eastAsia"/>
          <w:sz w:val="28"/>
          <w:szCs w:val="28"/>
        </w:rPr>
        <w:t>费反映</w:t>
      </w:r>
      <w:proofErr w:type="gramEnd"/>
      <w:r>
        <w:rPr>
          <w:rFonts w:ascii="仿宋_GB2312" w:eastAsia="仿宋_GB2312" w:hint="eastAsia"/>
          <w:sz w:val="28"/>
          <w:szCs w:val="28"/>
        </w:rPr>
        <w:t>单位按规定开支的各类公务接待（含外宾接待）支出。</w:t>
      </w:r>
    </w:p>
    <w:p w:rsidR="007B4DEA" w:rsidRDefault="00B45477">
      <w:pPr>
        <w:pStyle w:val="Default"/>
        <w:spacing w:line="560" w:lineRule="exact"/>
        <w:ind w:firstLineChars="200" w:firstLine="560"/>
        <w:rPr>
          <w:rFonts w:ascii="仿宋_GB2312" w:eastAsia="仿宋_GB2312" w:cs="黑体"/>
          <w:color w:val="auto"/>
          <w:sz w:val="32"/>
          <w:szCs w:val="32"/>
        </w:rPr>
      </w:pPr>
      <w:r>
        <w:rPr>
          <w:rFonts w:ascii="仿宋_GB2312" w:eastAsia="仿宋_GB2312" w:hint="eastAsia"/>
          <w:sz w:val="28"/>
          <w:szCs w:val="28"/>
        </w:rPr>
        <w:t>42</w:t>
      </w:r>
      <w:r>
        <w:rPr>
          <w:rFonts w:ascii="仿宋_GB2312" w:eastAsia="仿宋_GB2312"/>
          <w:sz w:val="28"/>
          <w:szCs w:val="28"/>
        </w:rPr>
        <w:t>.</w:t>
      </w:r>
      <w:r>
        <w:rPr>
          <w:rFonts w:ascii="仿宋_GB2312" w:eastAsia="仿宋_GB2312"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B4DEA" w:rsidRDefault="00B45477">
      <w:pPr>
        <w:spacing w:line="600" w:lineRule="exact"/>
        <w:jc w:val="center"/>
        <w:outlineLvl w:val="0"/>
        <w:rPr>
          <w:rStyle w:val="1Char"/>
          <w:rFonts w:ascii="黑体" w:eastAsia="黑体" w:hAnsi="黑体"/>
          <w:b w:val="0"/>
        </w:rPr>
      </w:pPr>
      <w:bookmarkStart w:id="52" w:name="_Toc15377226"/>
      <w: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7B4DEA" w:rsidRDefault="00B45477">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w:t>
      </w:r>
    </w:p>
    <w:tbl>
      <w:tblPr>
        <w:tblpPr w:leftFromText="180" w:rightFromText="180" w:vertAnchor="text" w:horzAnchor="page" w:tblpX="1281" w:tblpY="660"/>
        <w:tblOverlap w:val="never"/>
        <w:tblW w:w="9811" w:type="dxa"/>
        <w:tblLayout w:type="fixed"/>
        <w:tblLook w:val="0600" w:firstRow="0" w:lastRow="0" w:firstColumn="0" w:lastColumn="0" w:noHBand="1" w:noVBand="1"/>
      </w:tblPr>
      <w:tblGrid>
        <w:gridCol w:w="1976"/>
        <w:gridCol w:w="1142"/>
        <w:gridCol w:w="1635"/>
        <w:gridCol w:w="1189"/>
        <w:gridCol w:w="1224"/>
        <w:gridCol w:w="2409"/>
        <w:gridCol w:w="236"/>
      </w:tblGrid>
      <w:tr w:rsidR="007B4DEA">
        <w:trPr>
          <w:trHeight w:val="675"/>
        </w:trPr>
        <w:tc>
          <w:tcPr>
            <w:tcW w:w="9577" w:type="dxa"/>
            <w:gridSpan w:val="6"/>
            <w:tcBorders>
              <w:top w:val="nil"/>
              <w:left w:val="nil"/>
              <w:bottom w:val="nil"/>
              <w:right w:val="nil"/>
            </w:tcBorders>
            <w:shd w:val="clear" w:color="auto" w:fill="auto"/>
            <w:vAlign w:val="center"/>
          </w:tcPr>
          <w:p w:rsidR="007B4DEA" w:rsidRDefault="00B45477">
            <w:pPr>
              <w:widowControl/>
              <w:textAlignment w:val="center"/>
              <w:rPr>
                <w:rFonts w:ascii="宋体" w:hAnsi="宋体" w:cs="宋体"/>
                <w:b/>
                <w:sz w:val="32"/>
                <w:szCs w:val="32"/>
              </w:rPr>
            </w:pPr>
            <w:bookmarkStart w:id="54" w:name="_Toc15396618"/>
            <w:r>
              <w:rPr>
                <w:rFonts w:ascii="宋体" w:hAnsi="宋体" w:cs="宋体" w:hint="eastAsia"/>
                <w:b/>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rsidR="007B4DEA" w:rsidRDefault="007B4DEA">
            <w:pPr>
              <w:widowControl/>
              <w:jc w:val="center"/>
              <w:textAlignment w:val="center"/>
              <w:rPr>
                <w:rFonts w:ascii="宋体" w:hAnsi="宋体" w:cs="宋体"/>
                <w:b/>
                <w:kern w:val="0"/>
                <w:sz w:val="32"/>
                <w:szCs w:val="32"/>
              </w:rPr>
            </w:pPr>
          </w:p>
        </w:tc>
      </w:tr>
      <w:tr w:rsidR="007B4DEA">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widowControl/>
              <w:spacing w:line="320" w:lineRule="exac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widowControl/>
              <w:spacing w:line="320" w:lineRule="exact"/>
              <w:jc w:val="center"/>
              <w:textAlignment w:val="center"/>
              <w:rPr>
                <w:rFonts w:ascii="宋体" w:hAnsi="宋体" w:cs="宋体"/>
                <w:sz w:val="24"/>
              </w:rPr>
            </w:pPr>
          </w:p>
        </w:tc>
      </w:tr>
      <w:tr w:rsidR="007B4DEA">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left"/>
              <w:textAlignment w:val="center"/>
              <w:rPr>
                <w:rFonts w:ascii="宋体" w:hAnsi="宋体" w:cs="宋体"/>
                <w:sz w:val="24"/>
              </w:rPr>
            </w:pP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widowControl/>
              <w:spacing w:line="320" w:lineRule="exact"/>
              <w:jc w:val="right"/>
              <w:textAlignment w:val="center"/>
              <w:rPr>
                <w:rFonts w:ascii="宋体" w:hAnsi="宋体" w:cs="宋体"/>
                <w:sz w:val="24"/>
              </w:rPr>
            </w:pPr>
          </w:p>
        </w:tc>
      </w:tr>
      <w:tr w:rsidR="007B4DEA">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7B4DEA" w:rsidRDefault="00B4547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7B4DEA" w:rsidRDefault="00B4547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widowControl/>
              <w:spacing w:line="320" w:lineRule="exact"/>
              <w:textAlignment w:val="center"/>
              <w:rPr>
                <w:rFonts w:ascii="宋体" w:hAnsi="宋体" w:cs="宋体"/>
                <w:sz w:val="24"/>
              </w:rPr>
            </w:pPr>
          </w:p>
        </w:tc>
      </w:tr>
      <w:tr w:rsidR="007B4DEA">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widowControl/>
              <w:spacing w:line="320" w:lineRule="exact"/>
              <w:jc w:val="center"/>
              <w:textAlignment w:val="center"/>
              <w:rPr>
                <w:rFonts w:ascii="宋体" w:hAnsi="宋体" w:cs="宋体"/>
                <w:sz w:val="24"/>
              </w:rPr>
            </w:pPr>
          </w:p>
        </w:tc>
      </w:tr>
      <w:tr w:rsidR="007B4DEA">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7B4DEA" w:rsidRDefault="00B45477">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7B4DEA">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7B4DEA">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7B4DEA" w:rsidRDefault="007B4DEA">
            <w:pPr>
              <w:widowControl/>
              <w:spacing w:line="320" w:lineRule="exact"/>
              <w:jc w:val="left"/>
              <w:textAlignment w:val="top"/>
              <w:rPr>
                <w:rFonts w:ascii="宋体" w:hAnsi="宋体" w:cs="宋体"/>
                <w:sz w:val="24"/>
              </w:rPr>
            </w:pP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7B4DEA" w:rsidRDefault="007B4DEA">
            <w:pPr>
              <w:widowControl/>
              <w:spacing w:line="320" w:lineRule="exact"/>
              <w:jc w:val="left"/>
              <w:textAlignment w:val="top"/>
              <w:rPr>
                <w:rFonts w:ascii="宋体" w:hAnsi="宋体" w:cs="宋体"/>
                <w:sz w:val="24"/>
              </w:rPr>
            </w:pPr>
          </w:p>
        </w:tc>
      </w:tr>
      <w:tr w:rsidR="007B4DEA">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7B4DEA" w:rsidRDefault="00B4547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7B4DEA" w:rsidRDefault="00B4547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7B4DEA" w:rsidRDefault="00B4547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7B4DEA">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7B4DEA" w:rsidRDefault="007B4DEA">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7B4DEA" w:rsidRDefault="00B454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r>
      <w:tr w:rsidR="007B4DEA">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7B4DEA" w:rsidRDefault="007B4DEA">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r>
      <w:tr w:rsidR="007B4DEA">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7B4DEA" w:rsidRDefault="007B4DEA">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jc w:val="center"/>
              <w:textAlignment w:val="bottom"/>
              <w:rPr>
                <w:rFonts w:ascii="仿宋_GB2312" w:eastAsia="仿宋_GB2312" w:hAnsi="仿宋_GB2312" w:cs="仿宋_GB2312"/>
                <w:sz w:val="28"/>
                <w:szCs w:val="28"/>
              </w:rPr>
            </w:pPr>
            <w:r w:rsidRPr="00A27F69">
              <w:rPr>
                <w:rFonts w:ascii="仿宋_GB2312" w:eastAsia="仿宋_GB2312" w:hAnsi="仿宋_GB2312" w:cs="仿宋_GB2312" w:hint="eastAsia"/>
                <w:kern w:val="0"/>
                <w:sz w:val="28"/>
                <w:szCs w:val="28"/>
                <w:u w:val="thick" w:color="FFB03A"/>
                <w:shd w:val="clear" w:color="auto" w:fill="FFEFD8"/>
              </w:rPr>
              <w:t>时效</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r>
      <w:tr w:rsidR="007B4DEA">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7B4DEA" w:rsidRDefault="007B4DEA">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r>
      <w:tr w:rsidR="007B4DEA">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7B4DEA" w:rsidRDefault="007B4DEA">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4DEA" w:rsidRDefault="00B454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r>
      <w:tr w:rsidR="007B4DEA">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7B4DEA" w:rsidRDefault="007B4DEA">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r>
      <w:tr w:rsidR="007B4DEA">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7B4DEA" w:rsidRDefault="007B4DEA">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r>
      <w:tr w:rsidR="007B4DEA">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7B4DEA" w:rsidRDefault="007B4DEA">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r>
      <w:tr w:rsidR="007B4DEA">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7B4DEA" w:rsidRDefault="007B4DEA">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B45477">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7B4DEA" w:rsidRDefault="00B454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DEA" w:rsidRDefault="007B4DEA">
            <w:pPr>
              <w:widowControl/>
              <w:spacing w:line="320" w:lineRule="exact"/>
              <w:jc w:val="center"/>
              <w:textAlignment w:val="bottom"/>
              <w:rPr>
                <w:rFonts w:ascii="仿宋_GB2312" w:eastAsia="仿宋_GB2312" w:hAnsi="仿宋_GB2312" w:cs="仿宋_GB2312"/>
                <w:sz w:val="28"/>
                <w:szCs w:val="28"/>
              </w:rPr>
            </w:pPr>
          </w:p>
        </w:tc>
      </w:tr>
    </w:tbl>
    <w:p w:rsidR="007B4DEA" w:rsidRDefault="007B4DEA">
      <w:pPr>
        <w:spacing w:line="600" w:lineRule="exact"/>
        <w:jc w:val="center"/>
        <w:outlineLvl w:val="0"/>
        <w:rPr>
          <w:rFonts w:ascii="黑体" w:eastAsia="黑体" w:hAnsi="黑体"/>
          <w:sz w:val="44"/>
          <w:szCs w:val="44"/>
        </w:rPr>
      </w:pPr>
    </w:p>
    <w:p w:rsidR="007B4DEA" w:rsidRDefault="00B45477">
      <w:pPr>
        <w:widowControl/>
        <w:adjustRightInd w:val="0"/>
        <w:snapToGrid w:val="0"/>
        <w:spacing w:line="580" w:lineRule="exact"/>
        <w:contextualSpacing/>
        <w:jc w:val="left"/>
      </w:pPr>
      <w:r>
        <w:rPr>
          <w:rFonts w:ascii="仿宋_GB2312" w:eastAsia="仿宋_GB2312" w:hAnsi="宋体" w:cs="宋体" w:hint="eastAsia"/>
          <w:color w:val="000000"/>
          <w:kern w:val="0"/>
          <w:sz w:val="32"/>
          <w:szCs w:val="32"/>
          <w:shd w:val="clear" w:color="auto" w:fill="FFFFFF"/>
        </w:rPr>
        <w:t>（注：有两个及以上100万元以上（含）特定目标类部门预算项目的，需分别开展绩效目标自评并填写附表</w:t>
      </w:r>
      <w:r w:rsidR="00BD4A83">
        <w:t>。</w:t>
      </w:r>
    </w:p>
    <w:p w:rsidR="007B4DEA" w:rsidRDefault="007B4DEA">
      <w:pPr>
        <w:spacing w:line="600" w:lineRule="exact"/>
        <w:jc w:val="center"/>
        <w:outlineLvl w:val="0"/>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tbl>
      <w:tblPr>
        <w:tblW w:w="10575" w:type="dxa"/>
        <w:tblCellMar>
          <w:left w:w="0" w:type="dxa"/>
          <w:right w:w="0" w:type="dxa"/>
        </w:tblCellMar>
        <w:tblLook w:val="0600" w:firstRow="0" w:lastRow="0" w:firstColumn="0" w:lastColumn="0" w:noHBand="1" w:noVBand="1"/>
      </w:tblPr>
      <w:tblGrid>
        <w:gridCol w:w="555"/>
        <w:gridCol w:w="45"/>
        <w:gridCol w:w="270"/>
        <w:gridCol w:w="450"/>
        <w:gridCol w:w="45"/>
        <w:gridCol w:w="345"/>
        <w:gridCol w:w="645"/>
        <w:gridCol w:w="195"/>
        <w:gridCol w:w="105"/>
        <w:gridCol w:w="135"/>
        <w:gridCol w:w="1080"/>
        <w:gridCol w:w="584"/>
        <w:gridCol w:w="181"/>
        <w:gridCol w:w="164"/>
        <w:gridCol w:w="61"/>
        <w:gridCol w:w="90"/>
        <w:gridCol w:w="30"/>
        <w:gridCol w:w="405"/>
        <w:gridCol w:w="14"/>
        <w:gridCol w:w="76"/>
        <w:gridCol w:w="45"/>
        <w:gridCol w:w="330"/>
        <w:gridCol w:w="225"/>
        <w:gridCol w:w="45"/>
        <w:gridCol w:w="30"/>
        <w:gridCol w:w="734"/>
        <w:gridCol w:w="46"/>
        <w:gridCol w:w="300"/>
        <w:gridCol w:w="150"/>
        <w:gridCol w:w="45"/>
        <w:gridCol w:w="585"/>
        <w:gridCol w:w="164"/>
        <w:gridCol w:w="136"/>
        <w:gridCol w:w="15"/>
        <w:gridCol w:w="45"/>
        <w:gridCol w:w="494"/>
        <w:gridCol w:w="151"/>
        <w:gridCol w:w="15"/>
        <w:gridCol w:w="30"/>
        <w:gridCol w:w="90"/>
        <w:gridCol w:w="629"/>
        <w:gridCol w:w="76"/>
        <w:gridCol w:w="75"/>
        <w:gridCol w:w="45"/>
        <w:gridCol w:w="510"/>
        <w:gridCol w:w="15"/>
        <w:gridCol w:w="30"/>
        <w:gridCol w:w="29"/>
        <w:gridCol w:w="16"/>
      </w:tblGrid>
      <w:tr w:rsidR="007B4DEA">
        <w:trPr>
          <w:trHeight w:val="420"/>
        </w:trPr>
        <w:tc>
          <w:tcPr>
            <w:tcW w:w="10575" w:type="dxa"/>
            <w:gridSpan w:val="49"/>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Style w:val="font91"/>
                <w:rFonts w:hint="default"/>
              </w:rPr>
              <w:t>绩效目标</w:t>
            </w:r>
            <w:r>
              <w:t>自评</w:t>
            </w:r>
            <w:r>
              <w:rPr>
                <w:rStyle w:val="font91"/>
                <w:rFonts w:hint="default"/>
              </w:rPr>
              <w:t>表</w:t>
            </w:r>
          </w:p>
        </w:tc>
      </w:tr>
      <w:tr w:rsidR="007B4DEA">
        <w:trPr>
          <w:trHeight w:val="420"/>
        </w:trPr>
        <w:tc>
          <w:tcPr>
            <w:tcW w:w="10575" w:type="dxa"/>
            <w:gridSpan w:val="49"/>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trHeight w:val="72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朝阳村安全饮水工程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trHeight w:val="439"/>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通江县水利局</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trHeight w:val="465"/>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6.66</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6.66</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Style w:val="font61"/>
                <w:rFonts w:hint="default"/>
              </w:rPr>
              <w:t xml:space="preserve"> 其中：本年财政拨款</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6.66</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6.66</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Style w:val="font61"/>
                <w:rFonts w:hint="default"/>
              </w:rPr>
              <w:t xml:space="preserve">       其他资金</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20"/>
                <w:szCs w:val="20"/>
              </w:rPr>
            </w:pP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trHeight w:val="525"/>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2021年计划申请6.66万元财政资金，解决农村人口用水问题，保障农村人口饮水安全。</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申请6.66万元财政资金，完善基础设施建设，解决农村人口用水问题，保障农村人口饮水安全。</w:t>
            </w:r>
          </w:p>
        </w:tc>
      </w:tr>
      <w:tr w:rsidR="007B4DEA">
        <w:trPr>
          <w:trHeight w:val="559"/>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60分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新建农村饮水安全水源点</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≥1个</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3个</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新建饮水管道长度（≥ 米）</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≧2000米</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8000米</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r>
              <w:rPr>
                <w:rStyle w:val="font101"/>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饮水设施水质达标率（</w:t>
            </w:r>
            <w:r>
              <w:rPr>
                <w:rStyle w:val="font101"/>
              </w:rPr>
              <w:t>≧％</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饮水安全工程补助标准（</w:t>
            </w:r>
            <w:r>
              <w:rPr>
                <w:rStyle w:val="font101"/>
              </w:rPr>
              <w:t>≧</w:t>
            </w:r>
            <w:r>
              <w:rPr>
                <w:rStyle w:val="font61"/>
                <w:rFonts w:hint="default"/>
              </w:rPr>
              <w:t>元/人</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经济效益</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项目全</w:t>
            </w:r>
            <w:r w:rsidRPr="00A27F69">
              <w:rPr>
                <w:rFonts w:ascii="宋体" w:hAnsi="宋体" w:cs="宋体" w:hint="eastAsia"/>
                <w:color w:val="000000"/>
                <w:kern w:val="0"/>
                <w:sz w:val="20"/>
                <w:szCs w:val="20"/>
                <w:u w:val="thick" w:color="FFB03A"/>
                <w:shd w:val="clear" w:color="auto" w:fill="FFEFD8"/>
              </w:rPr>
              <w:t>覆盖</w:t>
            </w:r>
            <w:r>
              <w:rPr>
                <w:rFonts w:ascii="宋体" w:hAnsi="宋体" w:cs="宋体" w:hint="eastAsia"/>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是否促进生态环境改善（是或否）</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工程使用年限</w:t>
            </w:r>
            <w:r>
              <w:rPr>
                <w:rStyle w:val="font101"/>
              </w:rPr>
              <w:t>≧年</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w:t>
            </w:r>
            <w:r>
              <w:rPr>
                <w:rStyle w:val="font61"/>
                <w:rFonts w:hint="default"/>
              </w:rPr>
              <w:t>15年</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15年</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受益人口满意度（</w:t>
            </w:r>
            <w:r>
              <w:rPr>
                <w:rStyle w:val="font101"/>
              </w:rPr>
              <w:t>≧％</w:t>
            </w:r>
            <w:r>
              <w:rPr>
                <w:rStyle w:val="font61"/>
                <w:rFonts w:hint="default"/>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98%</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47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420"/>
        </w:trPr>
        <w:tc>
          <w:tcPr>
            <w:tcW w:w="10575" w:type="dxa"/>
            <w:gridSpan w:val="49"/>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trHeight w:val="420"/>
        </w:trPr>
        <w:tc>
          <w:tcPr>
            <w:tcW w:w="10575" w:type="dxa"/>
            <w:gridSpan w:val="49"/>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trHeight w:val="72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草帽村安全饮水工程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trHeight w:val="439"/>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通江县水利局</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trHeight w:val="465"/>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29.01</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29.01</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29.01</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29.01</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20"/>
                <w:szCs w:val="20"/>
              </w:rPr>
            </w:pP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trHeight w:val="525"/>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2021年计划申请29.01万元财政资金，解决农村人口用水问题，保障农村人口饮水安全。</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申请29.01万元财政资金，完善基础设施建设，解决农村人口用水问题，保障农村人口饮水安全。</w:t>
            </w:r>
          </w:p>
        </w:tc>
      </w:tr>
      <w:tr w:rsidR="007B4DEA">
        <w:trPr>
          <w:trHeight w:val="559"/>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60分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新建农村饮水安全水源点</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≥1个</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12个</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新建饮水管道长度（≥ 米）</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≧2000米</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7000米</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r>
              <w:rPr>
                <w:rFonts w:ascii="宋体" w:hAnsi="宋体" w:cs="宋体"/>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饮水设施水质达标率（</w:t>
            </w:r>
            <w:r>
              <w:rPr>
                <w:rFonts w:ascii="宋体" w:hAnsi="宋体" w:cs="宋体"/>
                <w:color w:val="000000"/>
                <w:kern w:val="0"/>
                <w:sz w:val="20"/>
                <w:szCs w:val="20"/>
              </w:rPr>
              <w:t>≧％</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饮水安全工程补助标准（</w:t>
            </w:r>
            <w:r>
              <w:rPr>
                <w:rFonts w:ascii="宋体" w:hAnsi="宋体" w:cs="宋体"/>
                <w:color w:val="000000"/>
                <w:kern w:val="0"/>
                <w:sz w:val="20"/>
                <w:szCs w:val="20"/>
              </w:rPr>
              <w:t>≧</w:t>
            </w:r>
            <w:r>
              <w:rPr>
                <w:rFonts w:ascii="宋体" w:hAnsi="宋体" w:cs="宋体" w:hint="eastAsia"/>
                <w:color w:val="000000"/>
                <w:kern w:val="0"/>
                <w:sz w:val="20"/>
                <w:szCs w:val="20"/>
              </w:rPr>
              <w:t>元/人</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项目全</w:t>
            </w:r>
            <w:r w:rsidRPr="00A27F69">
              <w:rPr>
                <w:rFonts w:ascii="宋体" w:hAnsi="宋体" w:cs="宋体" w:hint="eastAsia"/>
                <w:color w:val="000000"/>
                <w:kern w:val="0"/>
                <w:sz w:val="20"/>
                <w:szCs w:val="20"/>
                <w:u w:val="thick" w:color="FFB03A"/>
                <w:shd w:val="clear" w:color="auto" w:fill="FFEFD8"/>
              </w:rPr>
              <w:t>覆盖</w:t>
            </w:r>
            <w:r>
              <w:rPr>
                <w:rFonts w:ascii="宋体" w:hAnsi="宋体" w:cs="宋体" w:hint="eastAsia"/>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是否促进生态环境改善（是或否）</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工程使用年限</w:t>
            </w:r>
            <w:r>
              <w:rPr>
                <w:rFonts w:ascii="宋体" w:hAnsi="宋体" w:cs="宋体"/>
                <w:color w:val="000000"/>
                <w:kern w:val="0"/>
                <w:sz w:val="20"/>
                <w:szCs w:val="20"/>
              </w:rPr>
              <w:t>≧年</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w:t>
            </w:r>
            <w:r>
              <w:rPr>
                <w:rFonts w:ascii="宋体" w:hAnsi="宋体" w:cs="宋体" w:hint="eastAsia"/>
                <w:color w:val="000000"/>
                <w:kern w:val="0"/>
                <w:sz w:val="20"/>
                <w:szCs w:val="20"/>
              </w:rPr>
              <w:t>15年</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15年</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受益人口满意度（</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97%</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47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420"/>
        </w:trPr>
        <w:tc>
          <w:tcPr>
            <w:tcW w:w="10575" w:type="dxa"/>
            <w:gridSpan w:val="49"/>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trHeight w:val="420"/>
        </w:trPr>
        <w:tc>
          <w:tcPr>
            <w:tcW w:w="10575" w:type="dxa"/>
            <w:gridSpan w:val="49"/>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trHeight w:val="72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迎春村安全饮水补短板工程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trHeight w:val="439"/>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通江县水利局</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trHeight w:val="465"/>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20"/>
                <w:szCs w:val="20"/>
              </w:rPr>
            </w:pP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trHeight w:val="525"/>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2021年计划申请140万元财政资金，解决农村人口用水问题，保障农村人口饮水安全。</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申请140万元财政资金，完善基础设施建设，解决农村人口用水问题，保障农村人口饮水安全。</w:t>
            </w:r>
          </w:p>
        </w:tc>
      </w:tr>
      <w:tr w:rsidR="007B4DEA">
        <w:trPr>
          <w:trHeight w:val="559"/>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60分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新建农村饮水安全水源点</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≥1个</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3个</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新建饮水管道长度（≥ 米）</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≧2000米</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2600米</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r>
              <w:rPr>
                <w:rFonts w:ascii="宋体" w:hAnsi="宋体" w:cs="宋体"/>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饮水设施水质达标率（</w:t>
            </w:r>
            <w:r>
              <w:rPr>
                <w:rFonts w:ascii="宋体" w:hAnsi="宋体" w:cs="宋体"/>
                <w:color w:val="000000"/>
                <w:kern w:val="0"/>
                <w:sz w:val="20"/>
                <w:szCs w:val="20"/>
              </w:rPr>
              <w:t>≧％</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饮水安全工程补助标准（</w:t>
            </w:r>
            <w:r>
              <w:rPr>
                <w:rFonts w:ascii="宋体" w:hAnsi="宋体" w:cs="宋体"/>
                <w:color w:val="000000"/>
                <w:kern w:val="0"/>
                <w:sz w:val="20"/>
                <w:szCs w:val="20"/>
              </w:rPr>
              <w:t>≧</w:t>
            </w:r>
            <w:r>
              <w:rPr>
                <w:rFonts w:ascii="宋体" w:hAnsi="宋体" w:cs="宋体" w:hint="eastAsia"/>
                <w:color w:val="000000"/>
                <w:kern w:val="0"/>
                <w:sz w:val="20"/>
                <w:szCs w:val="20"/>
              </w:rPr>
              <w:t>元/人</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项目全</w:t>
            </w:r>
            <w:r w:rsidRPr="00A27F69">
              <w:rPr>
                <w:rFonts w:ascii="宋体" w:hAnsi="宋体" w:cs="宋体" w:hint="eastAsia"/>
                <w:color w:val="000000"/>
                <w:kern w:val="0"/>
                <w:sz w:val="20"/>
                <w:szCs w:val="20"/>
                <w:u w:val="thick" w:color="FFB03A"/>
                <w:shd w:val="clear" w:color="auto" w:fill="FFEFD8"/>
              </w:rPr>
              <w:t>覆盖</w:t>
            </w:r>
            <w:r>
              <w:rPr>
                <w:rFonts w:ascii="宋体" w:hAnsi="宋体" w:cs="宋体" w:hint="eastAsia"/>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是否促进生态环境改善（是或否）</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工程使用年限</w:t>
            </w:r>
            <w:r>
              <w:rPr>
                <w:rFonts w:ascii="宋体" w:hAnsi="宋体" w:cs="宋体"/>
                <w:color w:val="000000"/>
                <w:kern w:val="0"/>
                <w:sz w:val="20"/>
                <w:szCs w:val="20"/>
              </w:rPr>
              <w:t>≧年</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w:t>
            </w:r>
            <w:r>
              <w:rPr>
                <w:rFonts w:ascii="宋体" w:hAnsi="宋体" w:cs="宋体" w:hint="eastAsia"/>
                <w:color w:val="000000"/>
                <w:kern w:val="0"/>
                <w:sz w:val="20"/>
                <w:szCs w:val="20"/>
              </w:rPr>
              <w:t>15年</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15年</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受益人口满意度（</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98%</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47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420"/>
        </w:trPr>
        <w:tc>
          <w:tcPr>
            <w:tcW w:w="10575" w:type="dxa"/>
            <w:gridSpan w:val="49"/>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trHeight w:val="420"/>
        </w:trPr>
        <w:tc>
          <w:tcPr>
            <w:tcW w:w="10575" w:type="dxa"/>
            <w:gridSpan w:val="49"/>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trHeight w:val="72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龙江村安全饮水补短板工程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trHeight w:val="439"/>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通江县水利局</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trHeight w:val="465"/>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20"/>
                <w:szCs w:val="20"/>
              </w:rPr>
            </w:pP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trHeight w:val="525"/>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2021年计划申请40万元财政资金，解决农村人口用水问题，保障农村人口饮水安全。</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申请40万元财政资金，完善基础设施建设，解决农村人口用水问题，保障农村人口饮水安全。</w:t>
            </w:r>
          </w:p>
        </w:tc>
      </w:tr>
      <w:tr w:rsidR="007B4DEA">
        <w:trPr>
          <w:trHeight w:val="559"/>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60分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新建农村饮水安全水源点</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≥1个</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9个</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新建饮水管道长度（≥ 米）</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≧2000米</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8000米</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r>
              <w:rPr>
                <w:rFonts w:ascii="宋体" w:hAnsi="宋体" w:cs="宋体"/>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饮水设施水质达标率（</w:t>
            </w:r>
            <w:r>
              <w:rPr>
                <w:rFonts w:ascii="宋体" w:hAnsi="宋体" w:cs="宋体"/>
                <w:color w:val="000000"/>
                <w:kern w:val="0"/>
                <w:sz w:val="20"/>
                <w:szCs w:val="20"/>
              </w:rPr>
              <w:t>≧％</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饮水安全工程补助标准（</w:t>
            </w:r>
            <w:r>
              <w:rPr>
                <w:rFonts w:ascii="宋体" w:hAnsi="宋体" w:cs="宋体"/>
                <w:color w:val="000000"/>
                <w:kern w:val="0"/>
                <w:sz w:val="20"/>
                <w:szCs w:val="20"/>
              </w:rPr>
              <w:t>≧</w:t>
            </w:r>
            <w:r>
              <w:rPr>
                <w:rFonts w:ascii="宋体" w:hAnsi="宋体" w:cs="宋体" w:hint="eastAsia"/>
                <w:color w:val="000000"/>
                <w:kern w:val="0"/>
                <w:sz w:val="20"/>
                <w:szCs w:val="20"/>
              </w:rPr>
              <w:t>元/人</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项目全</w:t>
            </w:r>
            <w:r w:rsidRPr="00A27F69">
              <w:rPr>
                <w:rFonts w:ascii="宋体" w:hAnsi="宋体" w:cs="宋体" w:hint="eastAsia"/>
                <w:color w:val="000000"/>
                <w:kern w:val="0"/>
                <w:sz w:val="20"/>
                <w:szCs w:val="20"/>
                <w:u w:val="thick" w:color="FFB03A"/>
                <w:shd w:val="clear" w:color="auto" w:fill="FFEFD8"/>
              </w:rPr>
              <w:t>覆盖</w:t>
            </w:r>
            <w:r>
              <w:rPr>
                <w:rFonts w:ascii="宋体" w:hAnsi="宋体" w:cs="宋体" w:hint="eastAsia"/>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是否促进生态环境改善（是或否）</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工程使用年限</w:t>
            </w:r>
            <w:r>
              <w:rPr>
                <w:rFonts w:ascii="宋体" w:hAnsi="宋体" w:cs="宋体"/>
                <w:color w:val="000000"/>
                <w:kern w:val="0"/>
                <w:sz w:val="20"/>
                <w:szCs w:val="20"/>
              </w:rPr>
              <w:t>≧年</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w:t>
            </w:r>
            <w:r>
              <w:rPr>
                <w:rFonts w:ascii="宋体" w:hAnsi="宋体" w:cs="宋体" w:hint="eastAsia"/>
                <w:color w:val="000000"/>
                <w:kern w:val="0"/>
                <w:sz w:val="20"/>
                <w:szCs w:val="20"/>
              </w:rPr>
              <w:t>15年</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15年</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受益人口满意度（</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97%</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47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420"/>
        </w:trPr>
        <w:tc>
          <w:tcPr>
            <w:tcW w:w="10575" w:type="dxa"/>
            <w:gridSpan w:val="49"/>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trHeight w:val="420"/>
        </w:trPr>
        <w:tc>
          <w:tcPr>
            <w:tcW w:w="10575" w:type="dxa"/>
            <w:gridSpan w:val="49"/>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trHeight w:val="72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项目名称</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安全饮水补短板工程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朱丹</w:t>
            </w:r>
          </w:p>
        </w:tc>
      </w:tr>
      <w:tr w:rsidR="007B4DEA">
        <w:trPr>
          <w:trHeight w:val="439"/>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7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通江县水利局</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19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trHeight w:val="465"/>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11.56</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11.56</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11.56</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11.56</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50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121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20"/>
                <w:szCs w:val="20"/>
              </w:rPr>
            </w:pPr>
          </w:p>
        </w:tc>
        <w:tc>
          <w:tcPr>
            <w:tcW w:w="64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trHeight w:val="282"/>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trHeight w:val="525"/>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5520"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2021年计划申请11.56万元财政资金，解决农村人口用水问题，保障农村人口饮水安全。</w:t>
            </w:r>
          </w:p>
        </w:tc>
        <w:tc>
          <w:tcPr>
            <w:tcW w:w="4500"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申请11.56万元财政资金，完善基础设施建设，解决农村人口用水问题，保障农村人口饮水安全。</w:t>
            </w:r>
          </w:p>
        </w:tc>
      </w:tr>
      <w:tr w:rsidR="007B4DEA">
        <w:trPr>
          <w:trHeight w:val="559"/>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60分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维修农村饮水安全水源点</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≥1个</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10个</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维修饮水管道长度（≥ 米）</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≧2000米</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7500米</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r>
              <w:rPr>
                <w:rFonts w:ascii="宋体" w:hAnsi="宋体" w:cs="宋体"/>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饮水设施水质达标率（</w:t>
            </w:r>
            <w:r>
              <w:rPr>
                <w:rFonts w:ascii="宋体" w:hAnsi="宋体" w:cs="宋体"/>
                <w:color w:val="000000"/>
                <w:kern w:val="0"/>
                <w:sz w:val="20"/>
                <w:szCs w:val="20"/>
              </w:rPr>
              <w:t>≧％</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工程建设任务完成及时率（≧％）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饮水安全工程补助标准（</w:t>
            </w:r>
            <w:r>
              <w:rPr>
                <w:rFonts w:ascii="宋体" w:hAnsi="宋体" w:cs="宋体"/>
                <w:color w:val="000000"/>
                <w:kern w:val="0"/>
                <w:sz w:val="20"/>
                <w:szCs w:val="20"/>
              </w:rPr>
              <w:t>≧</w:t>
            </w:r>
            <w:r>
              <w:rPr>
                <w:rFonts w:ascii="宋体" w:hAnsi="宋体" w:cs="宋体" w:hint="eastAsia"/>
                <w:color w:val="000000"/>
                <w:kern w:val="0"/>
                <w:sz w:val="20"/>
                <w:szCs w:val="20"/>
              </w:rPr>
              <w:t>元/人</w:t>
            </w:r>
            <w: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800/人</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项目全</w:t>
            </w:r>
            <w:r w:rsidRPr="00A27F69">
              <w:rPr>
                <w:rFonts w:ascii="宋体" w:hAnsi="宋体" w:cs="宋体" w:hint="eastAsia"/>
                <w:color w:val="000000"/>
                <w:kern w:val="0"/>
                <w:sz w:val="20"/>
                <w:szCs w:val="20"/>
                <w:u w:val="thick" w:color="FFB03A"/>
                <w:shd w:val="clear" w:color="auto" w:fill="FFEFD8"/>
              </w:rPr>
              <w:t>覆盖</w:t>
            </w:r>
            <w:r>
              <w:rPr>
                <w:rFonts w:ascii="宋体" w:hAnsi="宋体" w:cs="宋体" w:hint="eastAsia"/>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是否促进生态环境改善（是或否）</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工程使用年限</w:t>
            </w:r>
            <w:r>
              <w:rPr>
                <w:rFonts w:ascii="宋体" w:hAnsi="宋体" w:cs="宋体"/>
                <w:color w:val="000000"/>
                <w:kern w:val="0"/>
                <w:sz w:val="20"/>
                <w:szCs w:val="20"/>
              </w:rPr>
              <w:t>≧年</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w:t>
            </w:r>
            <w:r>
              <w:rPr>
                <w:rFonts w:ascii="宋体" w:hAnsi="宋体" w:cs="宋体" w:hint="eastAsia"/>
                <w:color w:val="000000"/>
                <w:kern w:val="0"/>
                <w:sz w:val="20"/>
                <w:szCs w:val="20"/>
              </w:rPr>
              <w:t>15年</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15年</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受益人口满意度（</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97%</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312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trHeight w:val="252"/>
        </w:trPr>
        <w:tc>
          <w:tcPr>
            <w:tcW w:w="5475"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lastRenderedPageBreak/>
              <w:t>总分</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5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405"/>
        </w:trPr>
        <w:tc>
          <w:tcPr>
            <w:tcW w:w="10559" w:type="dxa"/>
            <w:gridSpan w:val="48"/>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Style w:val="font81"/>
                <w:rFonts w:hint="default"/>
              </w:rPr>
              <w:t>绩效目标</w:t>
            </w:r>
            <w:r>
              <w:t>自评</w:t>
            </w:r>
            <w:r>
              <w:rPr>
                <w:rStyle w:val="font81"/>
                <w:rFonts w:hint="default"/>
              </w:rPr>
              <w:t>表</w:t>
            </w:r>
          </w:p>
        </w:tc>
      </w:tr>
      <w:tr w:rsidR="007B4DEA">
        <w:trPr>
          <w:gridAfter w:val="1"/>
          <w:wAfter w:w="16" w:type="dxa"/>
          <w:trHeight w:val="270"/>
        </w:trPr>
        <w:tc>
          <w:tcPr>
            <w:tcW w:w="10559" w:type="dxa"/>
            <w:gridSpan w:val="48"/>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等线" w:eastAsia="等线" w:hAnsi="等线" w:cs="等线"/>
                <w:color w:val="000000"/>
                <w:sz w:val="22"/>
                <w:szCs w:val="22"/>
              </w:rPr>
            </w:pPr>
            <w:r>
              <w:rPr>
                <w:rFonts w:ascii="等线" w:eastAsia="等线" w:hAnsi="等线" w:cs="等线"/>
                <w:color w:val="000000"/>
                <w:kern w:val="0"/>
                <w:sz w:val="22"/>
                <w:szCs w:val="22"/>
              </w:rPr>
              <w:t>（2021年度）</w:t>
            </w:r>
          </w:p>
        </w:tc>
      </w:tr>
      <w:tr w:rsidR="007B4DEA">
        <w:trPr>
          <w:gridAfter w:val="1"/>
          <w:wAfter w:w="16" w:type="dxa"/>
          <w:trHeight w:val="48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朝阳村产业道路</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朱丹</w:t>
            </w:r>
          </w:p>
        </w:tc>
      </w:tr>
      <w:tr w:rsidR="007B4DEA">
        <w:trPr>
          <w:gridAfter w:val="1"/>
          <w:wAfter w:w="16" w:type="dxa"/>
          <w:trHeight w:val="36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通江县交通运输局</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1"/>
          <w:wAfter w:w="16" w:type="dxa"/>
          <w:trHeight w:val="480"/>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31.5</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31.5</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31.5</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31.5</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2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1"/>
          <w:wAfter w:w="16" w:type="dxa"/>
          <w:trHeight w:val="10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sidR="00624152" w:rsidRPr="001446C9">
              <w:rPr>
                <w:rFonts w:ascii="宋体" w:hAnsi="宋体" w:cs="宋体"/>
                <w:color w:val="000000"/>
                <w:kern w:val="0"/>
                <w:sz w:val="20"/>
                <w:szCs w:val="20"/>
                <w:u w:color="46CD7E"/>
              </w:rPr>
              <w:t>.</w:t>
            </w:r>
            <w:r>
              <w:rPr>
                <w:rFonts w:ascii="宋体" w:hAnsi="宋体" w:cs="宋体" w:hint="eastAsia"/>
                <w:color w:val="000000"/>
                <w:kern w:val="0"/>
                <w:sz w:val="20"/>
                <w:szCs w:val="20"/>
              </w:rPr>
              <w:t>提高项目片区出行效率，规范项目片区交通建设。2</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完成项目片区农村公路硬化工程建设，3</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切实改变项目片区贫困群众出行问题，提高社会满意度。</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按要求完成项目建设</w:t>
            </w:r>
            <w:r>
              <w:t>。</w:t>
            </w:r>
            <w:r>
              <w:rPr>
                <w:rFonts w:ascii="宋体" w:hAnsi="宋体" w:cs="宋体" w:hint="eastAsia"/>
                <w:color w:val="000000"/>
                <w:kern w:val="0"/>
                <w:sz w:val="20"/>
                <w:szCs w:val="20"/>
              </w:rPr>
              <w:br/>
              <w:t>2</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提高出行效率</w:t>
            </w:r>
            <w:r>
              <w:t>。</w:t>
            </w:r>
            <w:r>
              <w:rPr>
                <w:rFonts w:ascii="宋体" w:hAnsi="宋体" w:cs="宋体" w:hint="eastAsia"/>
                <w:color w:val="000000"/>
                <w:kern w:val="0"/>
                <w:sz w:val="20"/>
                <w:szCs w:val="20"/>
              </w:rPr>
              <w:br/>
              <w:t>3、提高社会满意度。</w:t>
            </w:r>
          </w:p>
        </w:tc>
      </w:tr>
      <w:tr w:rsidR="007B4DEA">
        <w:trPr>
          <w:gridAfter w:val="1"/>
          <w:wAfter w:w="16" w:type="dxa"/>
          <w:trHeight w:val="4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45分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新建道路里程数</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实现受益人口</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≥1000人</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1065人</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项目（工程）设计合格率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沥青混凝土厚度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产业道路验收合格率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工程未完工</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项目（工程）完成及时率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已按要求完成进度</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新建3.5</w:t>
            </w:r>
            <w:proofErr w:type="gramStart"/>
            <w:r>
              <w:rPr>
                <w:rFonts w:ascii="宋体" w:hAnsi="宋体" w:cs="宋体" w:hint="eastAsia"/>
                <w:color w:val="000000"/>
                <w:kern w:val="0"/>
                <w:sz w:val="16"/>
                <w:szCs w:val="16"/>
              </w:rPr>
              <w:t>宽道路</w:t>
            </w:r>
            <w:proofErr w:type="gramEnd"/>
            <w:r>
              <w:rPr>
                <w:rFonts w:ascii="宋体" w:hAnsi="宋体" w:cs="宋体" w:hint="eastAsia"/>
                <w:color w:val="000000"/>
                <w:kern w:val="0"/>
                <w:sz w:val="16"/>
                <w:szCs w:val="16"/>
              </w:rPr>
              <w:t>硬化补助标准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≥45万元/公里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45万元/公里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促进村集体经济发展收入</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≥5万元</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5.5万元</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缩短村民出行时间</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≥0.5小时</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0.6小时</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新建公路（道路段）</w:t>
            </w:r>
            <w:proofErr w:type="gramStart"/>
            <w:r>
              <w:rPr>
                <w:rFonts w:ascii="宋体" w:hAnsi="宋体" w:cs="宋体" w:hint="eastAsia"/>
                <w:color w:val="000000"/>
                <w:kern w:val="0"/>
                <w:sz w:val="16"/>
                <w:szCs w:val="16"/>
              </w:rPr>
              <w:t>列养率</w:t>
            </w:r>
            <w:proofErr w:type="gramEnd"/>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5 </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工程设计使用年限</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受益群众满意度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4799"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94</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405"/>
        </w:trPr>
        <w:tc>
          <w:tcPr>
            <w:tcW w:w="10559" w:type="dxa"/>
            <w:gridSpan w:val="48"/>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gridAfter w:val="1"/>
          <w:wAfter w:w="16" w:type="dxa"/>
          <w:trHeight w:val="270"/>
        </w:trPr>
        <w:tc>
          <w:tcPr>
            <w:tcW w:w="10559" w:type="dxa"/>
            <w:gridSpan w:val="48"/>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等线" w:eastAsia="等线" w:hAnsi="等线" w:cs="等线"/>
                <w:color w:val="000000"/>
                <w:sz w:val="22"/>
                <w:szCs w:val="22"/>
              </w:rPr>
            </w:pPr>
            <w:r>
              <w:rPr>
                <w:rFonts w:ascii="等线" w:eastAsia="等线" w:hAnsi="等线" w:cs="等线"/>
                <w:color w:val="000000"/>
                <w:kern w:val="0"/>
                <w:sz w:val="22"/>
                <w:szCs w:val="22"/>
              </w:rPr>
              <w:t>（2021年度）</w:t>
            </w:r>
          </w:p>
        </w:tc>
      </w:tr>
      <w:tr w:rsidR="007B4DEA">
        <w:trPr>
          <w:gridAfter w:val="1"/>
          <w:wAfter w:w="16" w:type="dxa"/>
          <w:trHeight w:val="48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毛浴镇杨坪</w:t>
            </w:r>
            <w:proofErr w:type="gramEnd"/>
            <w:r>
              <w:rPr>
                <w:rFonts w:ascii="宋体" w:hAnsi="宋体" w:cs="宋体" w:hint="eastAsia"/>
                <w:color w:val="000000"/>
                <w:kern w:val="0"/>
                <w:sz w:val="20"/>
                <w:szCs w:val="20"/>
              </w:rPr>
              <w:t>村产业道路</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gridAfter w:val="1"/>
          <w:wAfter w:w="16" w:type="dxa"/>
          <w:trHeight w:val="36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通江县交通运输局</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1"/>
          <w:wAfter w:w="16" w:type="dxa"/>
          <w:trHeight w:val="480"/>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65</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65</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65</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2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1"/>
          <w:wAfter w:w="16" w:type="dxa"/>
          <w:trHeight w:val="10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提高项目片区出行效率，规范项目片区交通建设。2</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完成项目片区农村公路硬化工程建设，3</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切实改变项目片区贫困群众出行问题，提高社会满意度。</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按要求完成项目建设</w:t>
            </w:r>
            <w:r>
              <w:t>。</w:t>
            </w:r>
            <w:r>
              <w:rPr>
                <w:rFonts w:ascii="宋体" w:hAnsi="宋体" w:cs="宋体" w:hint="eastAsia"/>
                <w:color w:val="000000"/>
                <w:kern w:val="0"/>
                <w:sz w:val="20"/>
                <w:szCs w:val="20"/>
              </w:rPr>
              <w:br/>
              <w:t>2</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提高出行效率</w:t>
            </w:r>
            <w:r>
              <w:t>。</w:t>
            </w:r>
            <w:r>
              <w:rPr>
                <w:rFonts w:ascii="宋体" w:hAnsi="宋体" w:cs="宋体" w:hint="eastAsia"/>
                <w:color w:val="000000"/>
                <w:kern w:val="0"/>
                <w:sz w:val="20"/>
                <w:szCs w:val="20"/>
              </w:rPr>
              <w:br/>
              <w:t>3、提高社会满意度。</w:t>
            </w:r>
          </w:p>
        </w:tc>
      </w:tr>
      <w:tr w:rsidR="007B4DEA">
        <w:trPr>
          <w:gridAfter w:val="1"/>
          <w:wAfter w:w="16" w:type="dxa"/>
          <w:trHeight w:val="4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45分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新建道路里程数</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实现受益人口</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≥1000人</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1320人</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项目（工程）设计合格率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沥青混凝土厚度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产业道路验收合格率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项目（工程）完成及时率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新建4.5</w:t>
            </w:r>
            <w:proofErr w:type="gramStart"/>
            <w:r>
              <w:rPr>
                <w:rFonts w:ascii="宋体" w:hAnsi="宋体" w:cs="宋体" w:hint="eastAsia"/>
                <w:color w:val="000000"/>
                <w:kern w:val="0"/>
                <w:sz w:val="16"/>
                <w:szCs w:val="16"/>
              </w:rPr>
              <w:t>宽道路</w:t>
            </w:r>
            <w:proofErr w:type="gramEnd"/>
            <w:r>
              <w:rPr>
                <w:rFonts w:ascii="宋体" w:hAnsi="宋体" w:cs="宋体" w:hint="eastAsia"/>
                <w:color w:val="000000"/>
                <w:kern w:val="0"/>
                <w:sz w:val="16"/>
                <w:szCs w:val="16"/>
              </w:rPr>
              <w:t>硬化补助标准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≥45万元/公里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47.2万元/公里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促进村集体经济发展收入</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≥5万元</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6.3万元</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缩短村民出行时间</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≥0.5小时</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1小时</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新建公路（道路段）</w:t>
            </w:r>
            <w:proofErr w:type="gramStart"/>
            <w:r>
              <w:rPr>
                <w:rFonts w:ascii="宋体" w:hAnsi="宋体" w:cs="宋体" w:hint="eastAsia"/>
                <w:color w:val="000000"/>
                <w:kern w:val="0"/>
                <w:sz w:val="16"/>
                <w:szCs w:val="16"/>
              </w:rPr>
              <w:t>列养率</w:t>
            </w:r>
            <w:proofErr w:type="gramEnd"/>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5 </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工程设计使用年限</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受益群众满意度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4799"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405"/>
        </w:trPr>
        <w:tc>
          <w:tcPr>
            <w:tcW w:w="10559" w:type="dxa"/>
            <w:gridSpan w:val="48"/>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gridAfter w:val="1"/>
          <w:wAfter w:w="16" w:type="dxa"/>
          <w:trHeight w:val="270"/>
        </w:trPr>
        <w:tc>
          <w:tcPr>
            <w:tcW w:w="10559" w:type="dxa"/>
            <w:gridSpan w:val="48"/>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等线" w:eastAsia="等线" w:hAnsi="等线" w:cs="等线"/>
                <w:color w:val="000000"/>
                <w:sz w:val="22"/>
                <w:szCs w:val="22"/>
              </w:rPr>
            </w:pPr>
            <w:r>
              <w:rPr>
                <w:rFonts w:ascii="等线" w:eastAsia="等线" w:hAnsi="等线" w:cs="等线"/>
                <w:color w:val="000000"/>
                <w:kern w:val="0"/>
                <w:sz w:val="22"/>
                <w:szCs w:val="22"/>
              </w:rPr>
              <w:t>（2021年度）</w:t>
            </w:r>
          </w:p>
        </w:tc>
      </w:tr>
      <w:tr w:rsidR="007B4DEA">
        <w:trPr>
          <w:gridAfter w:val="1"/>
          <w:wAfter w:w="16" w:type="dxa"/>
          <w:trHeight w:val="48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毛浴镇长</w:t>
            </w:r>
            <w:proofErr w:type="gramEnd"/>
            <w:r>
              <w:rPr>
                <w:rFonts w:ascii="宋体" w:hAnsi="宋体" w:cs="宋体" w:hint="eastAsia"/>
                <w:color w:val="000000"/>
                <w:kern w:val="0"/>
                <w:sz w:val="20"/>
                <w:szCs w:val="20"/>
              </w:rPr>
              <w:t>江村产业道路</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gridAfter w:val="1"/>
          <w:wAfter w:w="16" w:type="dxa"/>
          <w:trHeight w:val="36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通江县交通运输局</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1"/>
          <w:wAfter w:w="16" w:type="dxa"/>
          <w:trHeight w:val="480"/>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2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1"/>
          <w:wAfter w:w="16" w:type="dxa"/>
          <w:trHeight w:val="10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提高项目片区出行效率，规范项目片区交通建设。2</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完成项目片区农村公路硬化工程建设，3</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切实改变项目片区贫困群众出行问题，提高社会满意度。</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按要求完成项目建设</w:t>
            </w:r>
            <w:r w:rsidR="00806F42">
              <w:rPr>
                <w:rFonts w:ascii="宋体" w:hAnsi="宋体" w:cs="宋体" w:hint="eastAsia"/>
                <w:color w:val="000000"/>
                <w:kern w:val="0"/>
                <w:sz w:val="20"/>
                <w:szCs w:val="20"/>
              </w:rPr>
              <w:t>。</w:t>
            </w:r>
            <w:r>
              <w:rPr>
                <w:rFonts w:ascii="宋体" w:hAnsi="宋体" w:cs="宋体" w:hint="eastAsia"/>
                <w:color w:val="000000"/>
                <w:kern w:val="0"/>
                <w:sz w:val="20"/>
                <w:szCs w:val="20"/>
              </w:rPr>
              <w:br/>
              <w:t>2</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提高出行效率</w:t>
            </w:r>
            <w:r w:rsidR="00806F42">
              <w:rPr>
                <w:rFonts w:ascii="宋体" w:hAnsi="宋体" w:cs="宋体" w:hint="eastAsia"/>
                <w:color w:val="000000"/>
                <w:kern w:val="0"/>
                <w:sz w:val="20"/>
                <w:szCs w:val="20"/>
              </w:rPr>
              <w:t>。</w:t>
            </w:r>
            <w:r>
              <w:rPr>
                <w:rFonts w:ascii="宋体" w:hAnsi="宋体" w:cs="宋体" w:hint="eastAsia"/>
                <w:color w:val="000000"/>
                <w:kern w:val="0"/>
                <w:sz w:val="20"/>
                <w:szCs w:val="20"/>
              </w:rPr>
              <w:br/>
              <w:t>3、提高社会满意度。</w:t>
            </w:r>
          </w:p>
        </w:tc>
      </w:tr>
      <w:tr w:rsidR="007B4DEA">
        <w:trPr>
          <w:gridAfter w:val="1"/>
          <w:wAfter w:w="16" w:type="dxa"/>
          <w:trHeight w:val="4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45分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新建道路里程数</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实现受益人口</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≥1000人</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1150人</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项目（工程）设计合格率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沥青混凝土厚度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产业道路验收合格率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项目（工程）完成及时率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新建3.5</w:t>
            </w:r>
            <w:proofErr w:type="gramStart"/>
            <w:r>
              <w:rPr>
                <w:rFonts w:ascii="宋体" w:hAnsi="宋体" w:cs="宋体" w:hint="eastAsia"/>
                <w:color w:val="000000"/>
                <w:kern w:val="0"/>
                <w:sz w:val="16"/>
                <w:szCs w:val="16"/>
              </w:rPr>
              <w:t>宽道路</w:t>
            </w:r>
            <w:proofErr w:type="gramEnd"/>
            <w:r>
              <w:rPr>
                <w:rFonts w:ascii="宋体" w:hAnsi="宋体" w:cs="宋体" w:hint="eastAsia"/>
                <w:color w:val="000000"/>
                <w:kern w:val="0"/>
                <w:sz w:val="16"/>
                <w:szCs w:val="16"/>
              </w:rPr>
              <w:t>硬化补助标准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≥45万元/公里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45万元/公里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经济效益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促进村集体经济发展收入</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≥5万元</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5.4万元</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缩短村民出行时间</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≥0.5小时</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0.5小时</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新建公路（道路段）</w:t>
            </w:r>
            <w:proofErr w:type="gramStart"/>
            <w:r>
              <w:rPr>
                <w:rFonts w:ascii="宋体" w:hAnsi="宋体" w:cs="宋体" w:hint="eastAsia"/>
                <w:color w:val="000000"/>
                <w:kern w:val="0"/>
                <w:sz w:val="16"/>
                <w:szCs w:val="16"/>
              </w:rPr>
              <w:t>列养率</w:t>
            </w:r>
            <w:proofErr w:type="gramEnd"/>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5 </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工程设计使用年限</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受益群众满意度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4799"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405"/>
        </w:trPr>
        <w:tc>
          <w:tcPr>
            <w:tcW w:w="10559" w:type="dxa"/>
            <w:gridSpan w:val="48"/>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gridAfter w:val="1"/>
          <w:wAfter w:w="16" w:type="dxa"/>
          <w:trHeight w:val="270"/>
        </w:trPr>
        <w:tc>
          <w:tcPr>
            <w:tcW w:w="10559" w:type="dxa"/>
            <w:gridSpan w:val="48"/>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等线" w:eastAsia="等线" w:hAnsi="等线" w:cs="等线"/>
                <w:color w:val="000000"/>
                <w:sz w:val="22"/>
                <w:szCs w:val="22"/>
              </w:rPr>
            </w:pPr>
            <w:r>
              <w:rPr>
                <w:rFonts w:ascii="等线" w:eastAsia="等线" w:hAnsi="等线" w:cs="等线"/>
                <w:color w:val="000000"/>
                <w:kern w:val="0"/>
                <w:sz w:val="22"/>
                <w:szCs w:val="22"/>
              </w:rPr>
              <w:t>（2021年度）</w:t>
            </w:r>
          </w:p>
        </w:tc>
      </w:tr>
      <w:tr w:rsidR="007B4DEA">
        <w:trPr>
          <w:gridAfter w:val="1"/>
          <w:wAfter w:w="16" w:type="dxa"/>
          <w:trHeight w:val="48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天兴村产业道路</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gridAfter w:val="1"/>
          <w:wAfter w:w="16" w:type="dxa"/>
          <w:trHeight w:val="36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通江县交通运输局</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1"/>
          <w:wAfter w:w="16" w:type="dxa"/>
          <w:trHeight w:val="480"/>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2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1"/>
          <w:wAfter w:w="16" w:type="dxa"/>
          <w:trHeight w:val="10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提高项目片区出行效率，规范项目片区交通建设。2</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完成项目片区农村公路硬化工程建设，3</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切实改变项目片区贫困群众出行问题，提高社会满意度。</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pPr>
            <w:r>
              <w:rPr>
                <w:rFonts w:ascii="宋体" w:hAnsi="宋体" w:cs="宋体" w:hint="eastAsia"/>
                <w:color w:val="000000"/>
                <w:kern w:val="0"/>
                <w:sz w:val="20"/>
                <w:szCs w:val="20"/>
              </w:rPr>
              <w:t>1</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按要求完成项目建设</w:t>
            </w:r>
            <w:r>
              <w:t>。</w:t>
            </w:r>
          </w:p>
          <w:p w:rsidR="007B4DEA" w:rsidRDefault="00B45477">
            <w:pPr>
              <w:widowControl/>
              <w:jc w:val="left"/>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2</w:t>
            </w:r>
            <w:r w:rsidR="005E0888" w:rsidRPr="00A27F69">
              <w:rPr>
                <w:rFonts w:ascii="宋体" w:hAnsi="宋体" w:cs="宋体"/>
                <w:color w:val="000000"/>
                <w:kern w:val="0"/>
                <w:sz w:val="20"/>
                <w:szCs w:val="20"/>
                <w:u w:val="thick" w:color="FFB03A"/>
                <w:shd w:val="clear" w:color="auto" w:fill="FFEFD8"/>
              </w:rPr>
              <w:t>.</w:t>
            </w:r>
            <w:r>
              <w:rPr>
                <w:rFonts w:ascii="宋体" w:hAnsi="宋体" w:cs="宋体" w:hint="eastAsia"/>
                <w:color w:val="000000"/>
                <w:kern w:val="0"/>
                <w:sz w:val="20"/>
                <w:szCs w:val="20"/>
              </w:rPr>
              <w:t>提高出行效率</w:t>
            </w:r>
            <w:r>
              <w:t>。</w:t>
            </w:r>
            <w:r>
              <w:rPr>
                <w:rFonts w:ascii="宋体" w:hAnsi="宋体" w:cs="宋体" w:hint="eastAsia"/>
                <w:color w:val="000000"/>
                <w:kern w:val="0"/>
                <w:sz w:val="20"/>
                <w:szCs w:val="20"/>
              </w:rPr>
              <w:br/>
              <w:t>3、提高社会满意度。</w:t>
            </w:r>
          </w:p>
        </w:tc>
      </w:tr>
      <w:tr w:rsidR="007B4DEA">
        <w:trPr>
          <w:gridAfter w:val="1"/>
          <w:wAfter w:w="16" w:type="dxa"/>
          <w:trHeight w:val="4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45分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新建道路里程数</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实现受益人口</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≥1000人</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1265人</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项目（工程）设计合格率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沥青混凝土厚度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产业道路验收合格率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工程未完工</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项目（工程）完成及时率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已按要求完成进度</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新建3.5</w:t>
            </w:r>
            <w:proofErr w:type="gramStart"/>
            <w:r>
              <w:rPr>
                <w:rFonts w:ascii="宋体" w:hAnsi="宋体" w:cs="宋体" w:hint="eastAsia"/>
                <w:color w:val="000000"/>
                <w:kern w:val="0"/>
                <w:sz w:val="16"/>
                <w:szCs w:val="16"/>
              </w:rPr>
              <w:t>宽道路</w:t>
            </w:r>
            <w:proofErr w:type="gramEnd"/>
            <w:r>
              <w:rPr>
                <w:rFonts w:ascii="宋体" w:hAnsi="宋体" w:cs="宋体" w:hint="eastAsia"/>
                <w:color w:val="000000"/>
                <w:kern w:val="0"/>
                <w:sz w:val="16"/>
                <w:szCs w:val="16"/>
              </w:rPr>
              <w:t>硬化补助标准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≥45万元/公里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45万元/公里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促进村集体经济发展收入</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≥5万元</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6.3万元</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缩短村民出行时间</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≥0.5小时</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0.7小时</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新建公路（道路段）</w:t>
            </w:r>
            <w:proofErr w:type="gramStart"/>
            <w:r>
              <w:rPr>
                <w:rFonts w:ascii="宋体" w:hAnsi="宋体" w:cs="宋体" w:hint="eastAsia"/>
                <w:color w:val="000000"/>
                <w:kern w:val="0"/>
                <w:sz w:val="16"/>
                <w:szCs w:val="16"/>
              </w:rPr>
              <w:t>列养率</w:t>
            </w:r>
            <w:proofErr w:type="gramEnd"/>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5 </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工程设计使用年限</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受益群众满意度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98%</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4799"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94</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405"/>
        </w:trPr>
        <w:tc>
          <w:tcPr>
            <w:tcW w:w="10559" w:type="dxa"/>
            <w:gridSpan w:val="48"/>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gridAfter w:val="1"/>
          <w:wAfter w:w="16" w:type="dxa"/>
          <w:trHeight w:val="270"/>
        </w:trPr>
        <w:tc>
          <w:tcPr>
            <w:tcW w:w="10559" w:type="dxa"/>
            <w:gridSpan w:val="48"/>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等线" w:eastAsia="等线" w:hAnsi="等线" w:cs="等线"/>
                <w:color w:val="000000"/>
                <w:sz w:val="22"/>
                <w:szCs w:val="22"/>
              </w:rPr>
            </w:pPr>
            <w:r>
              <w:rPr>
                <w:rFonts w:ascii="等线" w:eastAsia="等线" w:hAnsi="等线" w:cs="等线"/>
                <w:color w:val="000000"/>
                <w:kern w:val="0"/>
                <w:sz w:val="22"/>
                <w:szCs w:val="22"/>
              </w:rPr>
              <w:t>（2021年度）</w:t>
            </w:r>
          </w:p>
        </w:tc>
      </w:tr>
      <w:tr w:rsidR="007B4DEA">
        <w:trPr>
          <w:gridAfter w:val="1"/>
          <w:wAfter w:w="16" w:type="dxa"/>
          <w:trHeight w:val="48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天兴村产业道路</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gridAfter w:val="1"/>
          <w:wAfter w:w="16" w:type="dxa"/>
          <w:trHeight w:val="360"/>
        </w:trPr>
        <w:tc>
          <w:tcPr>
            <w:tcW w:w="235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04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通江县交通运输局</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675" w:type="dxa"/>
            <w:gridSpan w:val="2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1"/>
          <w:wAfter w:w="16" w:type="dxa"/>
          <w:trHeight w:val="480"/>
        </w:trPr>
        <w:tc>
          <w:tcPr>
            <w:tcW w:w="235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67.5</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67.5</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67.5</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67.5</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300"/>
        </w:trPr>
        <w:tc>
          <w:tcPr>
            <w:tcW w:w="235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0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8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1"/>
          <w:wAfter w:w="16" w:type="dxa"/>
          <w:trHeight w:val="2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1"/>
          <w:wAfter w:w="16" w:type="dxa"/>
          <w:trHeight w:val="10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48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1、提高项目片区出行效率，规范项目片区交通建设。</w:t>
            </w:r>
            <w:r w:rsidRPr="00A27F69">
              <w:rPr>
                <w:rFonts w:ascii="宋体" w:hAnsi="宋体" w:cs="宋体" w:hint="eastAsia"/>
                <w:color w:val="000000"/>
                <w:kern w:val="0"/>
                <w:sz w:val="20"/>
                <w:szCs w:val="20"/>
                <w:u w:val="thick" w:color="FFB03A"/>
                <w:shd w:val="clear" w:color="auto" w:fill="FFEFD8"/>
              </w:rPr>
              <w:t>2</w:t>
            </w:r>
            <w:r w:rsidR="005E0888" w:rsidRPr="00A27F69">
              <w:rPr>
                <w:rFonts w:ascii="宋体" w:hAnsi="宋体" w:cs="宋体"/>
                <w:color w:val="000000"/>
                <w:kern w:val="0"/>
                <w:sz w:val="20"/>
                <w:szCs w:val="20"/>
                <w:u w:val="thick" w:color="FFB03A"/>
                <w:shd w:val="clear" w:color="auto" w:fill="FFEFD8"/>
              </w:rPr>
              <w:t>.</w:t>
            </w:r>
            <w:r>
              <w:rPr>
                <w:rFonts w:ascii="宋体" w:hAnsi="宋体" w:cs="宋体" w:hint="eastAsia"/>
                <w:color w:val="000000"/>
                <w:kern w:val="0"/>
                <w:sz w:val="20"/>
                <w:szCs w:val="20"/>
              </w:rPr>
              <w:t>完成项目片区农村公路硬化工程建设，3</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切实改变项目片区贫困群众出行问题，提高社会满意度。</w:t>
            </w:r>
          </w:p>
        </w:tc>
        <w:tc>
          <w:tcPr>
            <w:tcW w:w="5160" w:type="dxa"/>
            <w:gridSpan w:val="2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按要求完成项目建设</w:t>
            </w:r>
            <w:r>
              <w:t>。</w:t>
            </w:r>
            <w:r>
              <w:rPr>
                <w:rFonts w:ascii="宋体" w:hAnsi="宋体" w:cs="宋体" w:hint="eastAsia"/>
                <w:color w:val="000000"/>
                <w:kern w:val="0"/>
                <w:sz w:val="20"/>
                <w:szCs w:val="20"/>
              </w:rPr>
              <w:br/>
              <w:t>2</w:t>
            </w:r>
            <w:r w:rsidR="005E0888" w:rsidRPr="001446C9">
              <w:rPr>
                <w:rFonts w:ascii="宋体" w:hAnsi="宋体" w:cs="宋体"/>
                <w:color w:val="000000"/>
                <w:kern w:val="0"/>
                <w:sz w:val="20"/>
                <w:szCs w:val="20"/>
                <w:u w:color="46CD7E"/>
              </w:rPr>
              <w:t>.</w:t>
            </w:r>
            <w:r>
              <w:rPr>
                <w:rFonts w:ascii="宋体" w:hAnsi="宋体" w:cs="宋体" w:hint="eastAsia"/>
                <w:color w:val="000000"/>
                <w:kern w:val="0"/>
                <w:sz w:val="20"/>
                <w:szCs w:val="20"/>
              </w:rPr>
              <w:t>提高出行效率</w:t>
            </w:r>
            <w:r>
              <w:t>。</w:t>
            </w:r>
            <w:r>
              <w:rPr>
                <w:rFonts w:ascii="宋体" w:hAnsi="宋体" w:cs="宋体" w:hint="eastAsia"/>
                <w:color w:val="000000"/>
                <w:kern w:val="0"/>
                <w:sz w:val="20"/>
                <w:szCs w:val="20"/>
              </w:rPr>
              <w:br/>
              <w:t>3、提高社会满意度。</w:t>
            </w:r>
          </w:p>
        </w:tc>
      </w:tr>
      <w:tr w:rsidR="007B4DEA">
        <w:trPr>
          <w:gridAfter w:val="1"/>
          <w:wAfter w:w="16" w:type="dxa"/>
          <w:trHeight w:val="4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45分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新建道路里程数</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实现受益人口</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≥1000人</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1265人</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项目（工程）设计合格率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沥青混凝土厚度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20厘米</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产业道路验收合格率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工程未完工</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项目（工程）完成及时率</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已按要求完成进度</w:t>
            </w: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新建3.5</w:t>
            </w:r>
            <w:proofErr w:type="gramStart"/>
            <w:r>
              <w:rPr>
                <w:rFonts w:ascii="宋体" w:hAnsi="宋体" w:cs="宋体" w:hint="eastAsia"/>
                <w:color w:val="000000"/>
                <w:kern w:val="0"/>
                <w:sz w:val="16"/>
                <w:szCs w:val="16"/>
              </w:rPr>
              <w:t>宽道路</w:t>
            </w:r>
            <w:proofErr w:type="gramEnd"/>
            <w:r>
              <w:rPr>
                <w:rFonts w:ascii="宋体" w:hAnsi="宋体" w:cs="宋体" w:hint="eastAsia"/>
                <w:color w:val="000000"/>
                <w:kern w:val="0"/>
                <w:sz w:val="16"/>
                <w:szCs w:val="16"/>
              </w:rPr>
              <w:t>硬化补助标准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≥45万元/公里</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45万元/公里</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35分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促进村集体经济发展收入</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≥5万元</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5.8万元</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缩短村民出行时间</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≥0.5小时</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0.8小时</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FF0000"/>
                <w:sz w:val="18"/>
                <w:szCs w:val="18"/>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16"/>
                <w:szCs w:val="16"/>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新建公路（道路段）</w:t>
            </w:r>
            <w:proofErr w:type="gramStart"/>
            <w:r>
              <w:rPr>
                <w:rFonts w:ascii="宋体" w:hAnsi="宋体" w:cs="宋体" w:hint="eastAsia"/>
                <w:color w:val="000000"/>
                <w:kern w:val="0"/>
                <w:sz w:val="16"/>
                <w:szCs w:val="16"/>
              </w:rPr>
              <w:t>列养率</w:t>
            </w:r>
            <w:proofErr w:type="gramEnd"/>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5 </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工程设计使用年限</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10年</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受益群众满意度</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98%</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8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2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1"/>
          <w:wAfter w:w="16" w:type="dxa"/>
          <w:trHeight w:val="300"/>
        </w:trPr>
        <w:tc>
          <w:tcPr>
            <w:tcW w:w="4799"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总分</w:t>
            </w:r>
          </w:p>
        </w:tc>
        <w:tc>
          <w:tcPr>
            <w:tcW w:w="6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77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94</w:t>
            </w:r>
          </w:p>
        </w:tc>
        <w:tc>
          <w:tcPr>
            <w:tcW w:w="169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420"/>
        </w:trPr>
        <w:tc>
          <w:tcPr>
            <w:tcW w:w="10485" w:type="dxa"/>
            <w:gridSpan w:val="45"/>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gridAfter w:val="4"/>
          <w:wAfter w:w="90" w:type="dxa"/>
          <w:trHeight w:val="420"/>
        </w:trPr>
        <w:tc>
          <w:tcPr>
            <w:tcW w:w="10485" w:type="dxa"/>
            <w:gridSpan w:val="45"/>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gridAfter w:val="4"/>
          <w:wAfter w:w="90" w:type="dxa"/>
          <w:trHeight w:val="720"/>
        </w:trPr>
        <w:tc>
          <w:tcPr>
            <w:tcW w:w="255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57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农村环境整治补助</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06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朱丹</w:t>
            </w:r>
          </w:p>
        </w:tc>
      </w:tr>
      <w:tr w:rsidR="007B4DEA">
        <w:trPr>
          <w:gridAfter w:val="4"/>
          <w:wAfter w:w="90" w:type="dxa"/>
          <w:trHeight w:val="439"/>
        </w:trPr>
        <w:tc>
          <w:tcPr>
            <w:tcW w:w="255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57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通江县农业农村局</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06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4"/>
          <w:wAfter w:w="90" w:type="dxa"/>
          <w:trHeight w:val="465"/>
        </w:trPr>
        <w:tc>
          <w:tcPr>
            <w:tcW w:w="255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24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1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4"/>
          <w:wAfter w:w="90" w:type="dxa"/>
          <w:trHeight w:val="282"/>
        </w:trPr>
        <w:tc>
          <w:tcPr>
            <w:tcW w:w="255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1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33.29</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33.29</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4"/>
          <w:wAfter w:w="90" w:type="dxa"/>
          <w:trHeight w:val="282"/>
        </w:trPr>
        <w:tc>
          <w:tcPr>
            <w:tcW w:w="255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Style w:val="font11"/>
                <w:rFonts w:hint="default"/>
              </w:rPr>
              <w:t xml:space="preserve"> 其中：本年财政拨款</w:t>
            </w:r>
          </w:p>
        </w:tc>
        <w:tc>
          <w:tcPr>
            <w:tcW w:w="11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33.29</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33.29</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4"/>
          <w:wAfter w:w="90" w:type="dxa"/>
          <w:trHeight w:val="282"/>
        </w:trPr>
        <w:tc>
          <w:tcPr>
            <w:tcW w:w="255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4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Style w:val="font11"/>
                <w:rFonts w:hint="default"/>
              </w:rPr>
              <w:t xml:space="preserve">       其他资金</w:t>
            </w:r>
          </w:p>
        </w:tc>
        <w:tc>
          <w:tcPr>
            <w:tcW w:w="11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left"/>
              <w:rPr>
                <w:rFonts w:ascii="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4"/>
          <w:wAfter w:w="90" w:type="dxa"/>
          <w:trHeight w:val="282"/>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5565"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365" w:type="dxa"/>
            <w:gridSpan w:val="2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4"/>
          <w:wAfter w:w="90" w:type="dxa"/>
          <w:trHeight w:val="10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5565"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2021年计划申请33.29万元财政资金，1.保护农村生态环境，实现生态环境提升；2.用于改善提升村内公共服务设施；3.增强群众幸福感。</w:t>
            </w:r>
          </w:p>
        </w:tc>
        <w:tc>
          <w:tcPr>
            <w:tcW w:w="4365" w:type="dxa"/>
            <w:gridSpan w:val="2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申请33.29万元财政资金，1.保护农村生态环境，实现生态环境提升；2.用于改善提升村内公共服务设施；3.增强群众幸福感。</w:t>
            </w:r>
          </w:p>
        </w:tc>
      </w:tr>
      <w:tr w:rsidR="007B4DEA">
        <w:trPr>
          <w:gridAfter w:val="4"/>
          <w:wAfter w:w="90" w:type="dxa"/>
          <w:trHeight w:val="7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35分</w:t>
            </w:r>
            <w:r>
              <w:t>）</w:t>
            </w:r>
          </w:p>
        </w:tc>
        <w:tc>
          <w:tcPr>
            <w:tcW w:w="12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数量指标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支持农村环境整治资金占比</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受益群众人口数</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≧1000人</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7900人</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资金使用率</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农村环境整体提升完成实效</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资金使用期限</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w:t>
            </w:r>
            <w:r>
              <w:rPr>
                <w:rStyle w:val="font71"/>
                <w:rFonts w:hint="default"/>
              </w:rPr>
              <w:t>1年</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3年</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财政性投入资金</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≥33.29万元</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33.29</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45分</w:t>
            </w:r>
            <w:r>
              <w:t>）</w:t>
            </w:r>
          </w:p>
        </w:tc>
        <w:tc>
          <w:tcPr>
            <w:tcW w:w="12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农村环境改善村落</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≥16个村</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16个</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带动改善农村收入</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≥2万元</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2.5万元</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受益群众户数</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≥1000户</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2854户</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是否促进生态环境改善（是或否）</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受益群众年限</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w:t>
            </w:r>
            <w:r>
              <w:rPr>
                <w:rStyle w:val="font71"/>
                <w:rFonts w:hint="default"/>
              </w:rPr>
              <w:t>1年</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3年</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2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受益群众满意度</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color w:val="000000"/>
                <w:kern w:val="0"/>
                <w:sz w:val="20"/>
                <w:szCs w:val="20"/>
              </w:rPr>
              <w:t>97%</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970"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4"/>
          <w:wAfter w:w="90" w:type="dxa"/>
          <w:trHeight w:val="252"/>
        </w:trPr>
        <w:tc>
          <w:tcPr>
            <w:tcW w:w="5520" w:type="dxa"/>
            <w:gridSpan w:val="2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25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42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660"/>
        </w:trPr>
        <w:tc>
          <w:tcPr>
            <w:tcW w:w="10500" w:type="dxa"/>
            <w:gridSpan w:val="46"/>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gridAfter w:val="3"/>
          <w:wAfter w:w="75" w:type="dxa"/>
          <w:trHeight w:val="340"/>
        </w:trPr>
        <w:tc>
          <w:tcPr>
            <w:tcW w:w="10500" w:type="dxa"/>
            <w:gridSpan w:val="46"/>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gridAfter w:val="3"/>
          <w:wAfter w:w="75" w:type="dxa"/>
          <w:trHeight w:val="480"/>
        </w:trPr>
        <w:tc>
          <w:tcPr>
            <w:tcW w:w="265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495"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扶持壮大</w:t>
            </w:r>
            <w:proofErr w:type="gramEnd"/>
            <w:r>
              <w:rPr>
                <w:rFonts w:ascii="宋体" w:hAnsi="宋体" w:cs="宋体" w:hint="eastAsia"/>
                <w:color w:val="000000"/>
                <w:kern w:val="0"/>
                <w:sz w:val="20"/>
                <w:szCs w:val="20"/>
              </w:rPr>
              <w:t>村集体经济</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270"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gridAfter w:val="3"/>
          <w:wAfter w:w="75" w:type="dxa"/>
          <w:trHeight w:val="360"/>
        </w:trPr>
        <w:tc>
          <w:tcPr>
            <w:tcW w:w="265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495"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通江县农业农村局</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270"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3"/>
          <w:wAfter w:w="75" w:type="dxa"/>
          <w:trHeight w:val="480"/>
        </w:trPr>
        <w:tc>
          <w:tcPr>
            <w:tcW w:w="2655"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19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51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16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3"/>
          <w:wAfter w:w="75" w:type="dxa"/>
          <w:trHeight w:val="340"/>
        </w:trPr>
        <w:tc>
          <w:tcPr>
            <w:tcW w:w="2655"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9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51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216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3"/>
          <w:wAfter w:w="75" w:type="dxa"/>
          <w:trHeight w:val="360"/>
        </w:trPr>
        <w:tc>
          <w:tcPr>
            <w:tcW w:w="2655"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9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151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216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3"/>
          <w:wAfter w:w="75" w:type="dxa"/>
          <w:trHeight w:val="320"/>
        </w:trPr>
        <w:tc>
          <w:tcPr>
            <w:tcW w:w="2655"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9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1515"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16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3"/>
          <w:wAfter w:w="75" w:type="dxa"/>
          <w:trHeight w:val="600"/>
        </w:trPr>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年度总体目标</w:t>
            </w:r>
          </w:p>
        </w:tc>
        <w:tc>
          <w:tcPr>
            <w:tcW w:w="5550"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350" w:type="dxa"/>
            <w:gridSpan w:val="2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3"/>
          <w:wAfter w:w="75" w:type="dxa"/>
          <w:trHeight w:val="110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5550" w:type="dxa"/>
            <w:gridSpan w:val="2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1.持续壮大村集体经济，实现村集体经济每年稳定收益目标；2.用于改善提升村内公共服务设施；3.向所有村民分红，提高村民经济收入，增强群众幸福感。</w:t>
            </w:r>
          </w:p>
        </w:tc>
        <w:tc>
          <w:tcPr>
            <w:tcW w:w="4350" w:type="dxa"/>
            <w:gridSpan w:val="2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按时按量完成年初设定目标</w:t>
            </w:r>
          </w:p>
        </w:tc>
      </w:tr>
      <w:tr w:rsidR="007B4DEA">
        <w:trPr>
          <w:gridAfter w:val="3"/>
          <w:wAfter w:w="75" w:type="dxa"/>
          <w:trHeight w:val="480"/>
        </w:trPr>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2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50分</w:t>
            </w:r>
            <w:r>
              <w:t>）</w:t>
            </w:r>
          </w:p>
        </w:tc>
        <w:tc>
          <w:tcPr>
            <w:tcW w:w="1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资产入股群众人口总数</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≥1000人</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1140人</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资金使用率</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62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村集体经济组织项目完成的时效性</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资金使用期限</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财政性投入资金</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≥62万元</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62万元</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1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村集体经济年收入</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≥5万元</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5.3万元</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64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带动增加受益群众人口全年总收入</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≥1万元</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1.5万元</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受益群众人口数</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≥1000人</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3300人</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资产收益入股年限</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≥3年</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3年</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资产入股受益群众满意度</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29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3"/>
          <w:wAfter w:w="75" w:type="dxa"/>
          <w:trHeight w:val="270"/>
        </w:trPr>
        <w:tc>
          <w:tcPr>
            <w:tcW w:w="5385"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7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16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84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405"/>
        </w:trPr>
        <w:tc>
          <w:tcPr>
            <w:tcW w:w="10530" w:type="dxa"/>
            <w:gridSpan w:val="47"/>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gridAfter w:val="2"/>
          <w:wAfter w:w="45" w:type="dxa"/>
          <w:trHeight w:val="270"/>
        </w:trPr>
        <w:tc>
          <w:tcPr>
            <w:tcW w:w="10530" w:type="dxa"/>
            <w:gridSpan w:val="47"/>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gridAfter w:val="2"/>
          <w:wAfter w:w="45" w:type="dxa"/>
          <w:trHeight w:val="480"/>
        </w:trPr>
        <w:tc>
          <w:tcPr>
            <w:tcW w:w="27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0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易迁后续</w:t>
            </w:r>
            <w:proofErr w:type="gramEnd"/>
            <w:r>
              <w:rPr>
                <w:rFonts w:ascii="宋体" w:hAnsi="宋体" w:cs="宋体" w:hint="eastAsia"/>
                <w:color w:val="000000"/>
                <w:kern w:val="0"/>
                <w:sz w:val="20"/>
                <w:szCs w:val="20"/>
              </w:rPr>
              <w:t xml:space="preserve">扶持项目 </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60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gridAfter w:val="2"/>
          <w:wAfter w:w="45" w:type="dxa"/>
          <w:trHeight w:val="300"/>
        </w:trPr>
        <w:tc>
          <w:tcPr>
            <w:tcW w:w="27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0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通江</w:t>
            </w:r>
            <w:proofErr w:type="gramStart"/>
            <w:r>
              <w:rPr>
                <w:rFonts w:ascii="宋体" w:hAnsi="宋体" w:cs="宋体" w:hint="eastAsia"/>
                <w:color w:val="000000"/>
                <w:kern w:val="0"/>
                <w:sz w:val="20"/>
                <w:szCs w:val="20"/>
              </w:rPr>
              <w:t>县发改局</w:t>
            </w:r>
            <w:proofErr w:type="gramEnd"/>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60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2"/>
          <w:wAfter w:w="45" w:type="dxa"/>
          <w:trHeight w:val="580"/>
        </w:trPr>
        <w:tc>
          <w:tcPr>
            <w:tcW w:w="279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资金情况</w:t>
            </w:r>
            <w:r>
              <w:rPr>
                <w:rFonts w:ascii="宋体" w:hAnsi="宋体" w:cs="宋体" w:hint="eastAsia"/>
                <w:color w:val="000000"/>
                <w:kern w:val="0"/>
                <w:sz w:val="20"/>
                <w:szCs w:val="20"/>
              </w:rPr>
              <w:b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2"/>
          <w:wAfter w:w="45" w:type="dxa"/>
          <w:trHeight w:val="420"/>
        </w:trPr>
        <w:tc>
          <w:tcPr>
            <w:tcW w:w="2790"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8.95</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8.95</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2"/>
          <w:wAfter w:w="45" w:type="dxa"/>
          <w:trHeight w:val="480"/>
        </w:trPr>
        <w:tc>
          <w:tcPr>
            <w:tcW w:w="2790"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8.95</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8.95</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2"/>
          <w:wAfter w:w="45" w:type="dxa"/>
          <w:trHeight w:val="360"/>
        </w:trPr>
        <w:tc>
          <w:tcPr>
            <w:tcW w:w="2790"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其他资金</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2"/>
          <w:wAfter w:w="45" w:type="dxa"/>
          <w:trHeight w:val="270"/>
        </w:trPr>
        <w:tc>
          <w:tcPr>
            <w:tcW w:w="8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4980" w:type="dxa"/>
            <w:gridSpan w:val="1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680" w:type="dxa"/>
            <w:gridSpan w:val="2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2"/>
          <w:wAfter w:w="45" w:type="dxa"/>
          <w:trHeight w:val="96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4980" w:type="dxa"/>
            <w:gridSpan w:val="1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1.扶持易迁户发展经济，实现易迁户搬得出、坐得住、能致富目标；2.向易迁户提供发展资金支持，提高易迁户经济收入，增强幸福感、获得感</w:t>
            </w:r>
            <w:r>
              <w:t>。</w:t>
            </w:r>
          </w:p>
        </w:tc>
        <w:tc>
          <w:tcPr>
            <w:tcW w:w="4680" w:type="dxa"/>
            <w:gridSpan w:val="2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按时按量完成年初设定目标</w:t>
            </w:r>
          </w:p>
        </w:tc>
      </w:tr>
      <w:tr w:rsidR="007B4DEA">
        <w:trPr>
          <w:gridAfter w:val="2"/>
          <w:wAfter w:w="45" w:type="dxa"/>
          <w:trHeight w:val="480"/>
        </w:trPr>
        <w:tc>
          <w:tcPr>
            <w:tcW w:w="8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50分</w:t>
            </w:r>
            <w:r>
              <w:t>）</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受益群众户数</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≥20户</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26户</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资金使用率</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52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组织项目完成实效</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资金使用期限</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财政性投入资金</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≥8万元</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8.95万元</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color="46CD7E"/>
              </w:rPr>
              <w:t>农户经济预计年增收</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≥0.4万元</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0.44万元</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受益群众人口数</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85人</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58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群众受益年限</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≥3年</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5年</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受益群众满意度</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98%</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495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405"/>
        </w:trPr>
        <w:tc>
          <w:tcPr>
            <w:tcW w:w="10530" w:type="dxa"/>
            <w:gridSpan w:val="47"/>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gridAfter w:val="2"/>
          <w:wAfter w:w="45" w:type="dxa"/>
          <w:trHeight w:val="270"/>
        </w:trPr>
        <w:tc>
          <w:tcPr>
            <w:tcW w:w="10530" w:type="dxa"/>
            <w:gridSpan w:val="47"/>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gridAfter w:val="2"/>
          <w:wAfter w:w="45" w:type="dxa"/>
          <w:trHeight w:val="480"/>
        </w:trPr>
        <w:tc>
          <w:tcPr>
            <w:tcW w:w="27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0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支持监测帮扶对象稳定增收</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60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gridAfter w:val="2"/>
          <w:wAfter w:w="45" w:type="dxa"/>
          <w:trHeight w:val="300"/>
        </w:trPr>
        <w:tc>
          <w:tcPr>
            <w:tcW w:w="27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0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w:t>
            </w:r>
            <w:proofErr w:type="gramStart"/>
            <w:r>
              <w:rPr>
                <w:rFonts w:ascii="宋体" w:hAnsi="宋体" w:cs="宋体" w:hint="eastAsia"/>
                <w:color w:val="000000"/>
                <w:kern w:val="0"/>
                <w:sz w:val="20"/>
                <w:szCs w:val="20"/>
              </w:rPr>
              <w:t>县发改局</w:t>
            </w:r>
            <w:proofErr w:type="gramEnd"/>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60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2"/>
          <w:wAfter w:w="45" w:type="dxa"/>
          <w:trHeight w:val="580"/>
        </w:trPr>
        <w:tc>
          <w:tcPr>
            <w:tcW w:w="279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2"/>
          <w:wAfter w:w="45" w:type="dxa"/>
          <w:trHeight w:val="420"/>
        </w:trPr>
        <w:tc>
          <w:tcPr>
            <w:tcW w:w="2790"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2"/>
          <w:wAfter w:w="45" w:type="dxa"/>
          <w:trHeight w:val="480"/>
        </w:trPr>
        <w:tc>
          <w:tcPr>
            <w:tcW w:w="2790"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2"/>
          <w:wAfter w:w="45" w:type="dxa"/>
          <w:trHeight w:val="360"/>
        </w:trPr>
        <w:tc>
          <w:tcPr>
            <w:tcW w:w="2790"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其他资金</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2"/>
          <w:wAfter w:w="45" w:type="dxa"/>
          <w:trHeight w:val="270"/>
        </w:trPr>
        <w:tc>
          <w:tcPr>
            <w:tcW w:w="8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4980" w:type="dxa"/>
            <w:gridSpan w:val="1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680" w:type="dxa"/>
            <w:gridSpan w:val="2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2"/>
          <w:wAfter w:w="45" w:type="dxa"/>
          <w:trHeight w:val="96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4980" w:type="dxa"/>
            <w:gridSpan w:val="1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救助低收入群体</w:t>
            </w:r>
          </w:p>
        </w:tc>
        <w:tc>
          <w:tcPr>
            <w:tcW w:w="4680" w:type="dxa"/>
            <w:gridSpan w:val="2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按时按量完成年初设定目标</w:t>
            </w:r>
          </w:p>
        </w:tc>
      </w:tr>
      <w:tr w:rsidR="007B4DEA">
        <w:trPr>
          <w:gridAfter w:val="2"/>
          <w:wAfter w:w="45" w:type="dxa"/>
          <w:trHeight w:val="480"/>
        </w:trPr>
        <w:tc>
          <w:tcPr>
            <w:tcW w:w="8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50分</w:t>
            </w:r>
            <w:r>
              <w:t>）</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受益户数</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≥15户</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21户</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受益人口总数</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68人</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资金使用率</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52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监测户奖补完成</w:t>
            </w:r>
            <w:proofErr w:type="gramEnd"/>
            <w:r>
              <w:rPr>
                <w:rFonts w:ascii="宋体" w:hAnsi="宋体" w:cs="宋体" w:hint="eastAsia"/>
                <w:color w:val="000000"/>
                <w:kern w:val="0"/>
                <w:sz w:val="20"/>
                <w:szCs w:val="20"/>
              </w:rPr>
              <w:t>时效</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资金使用期限</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财政性投入资金</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≥3.0万元</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3.4万元</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w:t>
            </w:r>
            <w:r>
              <w:rPr>
                <w:rFonts w:ascii="宋体" w:hAnsi="宋体" w:cs="宋体" w:hint="eastAsia"/>
                <w:color w:val="000000"/>
                <w:kern w:val="0"/>
                <w:sz w:val="20"/>
                <w:szCs w:val="20"/>
              </w:rPr>
              <w:b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农户经济预计年收入</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≥0.1万元</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0.15万元</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60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带动增加受益群众人口全年收入</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≥0.3万元</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0.5万元</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群众受益年限</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受益群众满意度</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98%</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495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660"/>
        </w:trPr>
        <w:tc>
          <w:tcPr>
            <w:tcW w:w="10530" w:type="dxa"/>
            <w:gridSpan w:val="47"/>
            <w:tcBorders>
              <w:top w:val="nil"/>
              <w:left w:val="nil"/>
              <w:bottom w:val="nil"/>
              <w:right w:val="nil"/>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32"/>
                <w:szCs w:val="32"/>
              </w:rPr>
            </w:pPr>
            <w:r>
              <w:rPr>
                <w:rFonts w:ascii="宋体" w:hAnsi="宋体" w:cs="宋体" w:hint="eastAsia"/>
                <w:b/>
                <w:color w:val="000000"/>
                <w:kern w:val="0"/>
                <w:sz w:val="32"/>
                <w:szCs w:val="32"/>
              </w:rPr>
              <w:t>绩效目标自评表</w:t>
            </w:r>
          </w:p>
        </w:tc>
      </w:tr>
      <w:tr w:rsidR="007B4DEA">
        <w:trPr>
          <w:gridAfter w:val="2"/>
          <w:wAfter w:w="45" w:type="dxa"/>
          <w:trHeight w:val="460"/>
        </w:trPr>
        <w:tc>
          <w:tcPr>
            <w:tcW w:w="10530" w:type="dxa"/>
            <w:gridSpan w:val="47"/>
            <w:tcBorders>
              <w:top w:val="nil"/>
              <w:left w:val="nil"/>
              <w:bottom w:val="single" w:sz="4" w:space="0" w:color="000000"/>
              <w:right w:val="nil"/>
            </w:tcBorders>
            <w:shd w:val="clear" w:color="auto" w:fill="auto"/>
            <w:tcMar>
              <w:top w:w="15" w:type="dxa"/>
              <w:left w:w="15" w:type="dxa"/>
              <w:bottom w:w="0" w:type="dxa"/>
              <w:right w:w="15" w:type="dxa"/>
            </w:tcMar>
          </w:tcPr>
          <w:p w:rsidR="007B4DEA" w:rsidRDefault="00B45477">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（2021年度）</w:t>
            </w:r>
          </w:p>
        </w:tc>
      </w:tr>
      <w:tr w:rsidR="007B4DEA">
        <w:trPr>
          <w:gridAfter w:val="2"/>
          <w:wAfter w:w="45" w:type="dxa"/>
          <w:trHeight w:val="480"/>
        </w:trPr>
        <w:tc>
          <w:tcPr>
            <w:tcW w:w="27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0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支持掉边掉角农户搬迁</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项目负责人及电话</w:t>
            </w:r>
          </w:p>
        </w:tc>
        <w:tc>
          <w:tcPr>
            <w:tcW w:w="360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朱丹 </w:t>
            </w:r>
          </w:p>
        </w:tc>
      </w:tr>
      <w:tr w:rsidR="007B4DEA">
        <w:trPr>
          <w:gridAfter w:val="2"/>
          <w:wAfter w:w="45" w:type="dxa"/>
          <w:trHeight w:val="300"/>
        </w:trPr>
        <w:tc>
          <w:tcPr>
            <w:tcW w:w="279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306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通江县乡村</w:t>
            </w:r>
            <w:proofErr w:type="gramStart"/>
            <w:r>
              <w:rPr>
                <w:rFonts w:ascii="宋体" w:hAnsi="宋体" w:cs="宋体" w:hint="eastAsia"/>
                <w:color w:val="000000"/>
                <w:kern w:val="0"/>
                <w:sz w:val="20"/>
                <w:szCs w:val="20"/>
              </w:rPr>
              <w:t>振兴局</w:t>
            </w:r>
            <w:proofErr w:type="gramEnd"/>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600"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w:t>
            </w:r>
            <w:proofErr w:type="gramStart"/>
            <w:r>
              <w:rPr>
                <w:rFonts w:ascii="宋体" w:hAnsi="宋体" w:cs="宋体" w:hint="eastAsia"/>
                <w:color w:val="000000"/>
                <w:kern w:val="0"/>
                <w:sz w:val="20"/>
                <w:szCs w:val="20"/>
              </w:rPr>
              <w:t>毛浴镇</w:t>
            </w:r>
            <w:proofErr w:type="gramEnd"/>
            <w:r>
              <w:rPr>
                <w:rFonts w:ascii="宋体" w:hAnsi="宋体" w:cs="宋体" w:hint="eastAsia"/>
                <w:color w:val="000000"/>
                <w:kern w:val="0"/>
                <w:sz w:val="20"/>
                <w:szCs w:val="20"/>
              </w:rPr>
              <w:t>人民政府</w:t>
            </w:r>
          </w:p>
        </w:tc>
      </w:tr>
      <w:tr w:rsidR="007B4DEA">
        <w:trPr>
          <w:gridAfter w:val="2"/>
          <w:wAfter w:w="45" w:type="dxa"/>
          <w:trHeight w:val="580"/>
        </w:trPr>
        <w:tc>
          <w:tcPr>
            <w:tcW w:w="279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资金情况</w:t>
            </w:r>
            <w:r>
              <w:rPr>
                <w:rFonts w:ascii="宋体" w:hAnsi="宋体" w:cs="宋体" w:hint="eastAsia"/>
                <w:color w:val="000000"/>
                <w:kern w:val="0"/>
                <w:sz w:val="20"/>
                <w:szCs w:val="20"/>
              </w:rPr>
              <w:b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全年预算数（A）</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r>
              <w:t>）</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7B4DEA">
        <w:trPr>
          <w:gridAfter w:val="2"/>
          <w:wAfter w:w="45" w:type="dxa"/>
          <w:trHeight w:val="420"/>
        </w:trPr>
        <w:tc>
          <w:tcPr>
            <w:tcW w:w="2790"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100.8</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100.8</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B4DEA">
        <w:trPr>
          <w:gridAfter w:val="2"/>
          <w:wAfter w:w="45" w:type="dxa"/>
          <w:trHeight w:val="480"/>
        </w:trPr>
        <w:tc>
          <w:tcPr>
            <w:tcW w:w="2790"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其中：本年财政拨款</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100.8</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100.8</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2"/>
          <w:wAfter w:w="45" w:type="dxa"/>
          <w:trHeight w:val="360"/>
        </w:trPr>
        <w:tc>
          <w:tcPr>
            <w:tcW w:w="2790"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其他资金</w:t>
            </w:r>
          </w:p>
        </w:tc>
        <w:tc>
          <w:tcPr>
            <w:tcW w:w="19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7B4DEA">
        <w:trPr>
          <w:gridAfter w:val="2"/>
          <w:wAfter w:w="45" w:type="dxa"/>
          <w:trHeight w:val="270"/>
        </w:trPr>
        <w:tc>
          <w:tcPr>
            <w:tcW w:w="8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4980" w:type="dxa"/>
            <w:gridSpan w:val="1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年初设定目标</w:t>
            </w:r>
          </w:p>
        </w:tc>
        <w:tc>
          <w:tcPr>
            <w:tcW w:w="4680" w:type="dxa"/>
            <w:gridSpan w:val="2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年度总体目标完成情况综述</w:t>
            </w:r>
          </w:p>
        </w:tc>
      </w:tr>
      <w:tr w:rsidR="007B4DEA">
        <w:trPr>
          <w:gridAfter w:val="2"/>
          <w:wAfter w:w="45" w:type="dxa"/>
          <w:trHeight w:val="96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4980" w:type="dxa"/>
            <w:gridSpan w:val="1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1.扶持掉边掉角农户发展经济，</w:t>
            </w:r>
            <w:r w:rsidR="00806F42">
              <w:rPr>
                <w:rFonts w:ascii="宋体" w:hAnsi="宋体" w:cs="宋体" w:hint="eastAsia"/>
                <w:color w:val="000000"/>
                <w:kern w:val="0"/>
                <w:sz w:val="20"/>
                <w:szCs w:val="20"/>
              </w:rPr>
              <w:t>实现</w:t>
            </w:r>
            <w:r>
              <w:rPr>
                <w:rFonts w:ascii="宋体" w:hAnsi="宋体" w:cs="宋体" w:hint="eastAsia"/>
                <w:color w:val="000000"/>
                <w:kern w:val="0"/>
                <w:sz w:val="20"/>
                <w:szCs w:val="20"/>
              </w:rPr>
              <w:t>掉边掉角农户搬得出、坐得住、能致富</w:t>
            </w:r>
            <w:r w:rsidR="00806F42">
              <w:rPr>
                <w:rFonts w:ascii="宋体" w:hAnsi="宋体" w:cs="宋体" w:hint="eastAsia"/>
                <w:color w:val="000000"/>
                <w:kern w:val="0"/>
                <w:sz w:val="20"/>
                <w:szCs w:val="20"/>
              </w:rPr>
              <w:t>的</w:t>
            </w:r>
            <w:r>
              <w:rPr>
                <w:rFonts w:ascii="宋体" w:hAnsi="宋体" w:cs="宋体" w:hint="eastAsia"/>
                <w:color w:val="000000"/>
                <w:kern w:val="0"/>
                <w:sz w:val="20"/>
                <w:szCs w:val="20"/>
              </w:rPr>
              <w:t>目标；2.向掉边掉角农户提供发展资金支持，提高掉边掉角农户经济收入，增强幸福感、获得感</w:t>
            </w:r>
            <w:r>
              <w:t>。</w:t>
            </w:r>
          </w:p>
        </w:tc>
        <w:tc>
          <w:tcPr>
            <w:tcW w:w="4680" w:type="dxa"/>
            <w:gridSpan w:val="2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按时按量完成年初设定目标</w:t>
            </w:r>
          </w:p>
        </w:tc>
      </w:tr>
      <w:tr w:rsidR="007B4DEA">
        <w:trPr>
          <w:gridAfter w:val="2"/>
          <w:wAfter w:w="45" w:type="dxa"/>
          <w:trHeight w:val="520"/>
        </w:trPr>
        <w:tc>
          <w:tcPr>
            <w:tcW w:w="8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50分</w:t>
            </w:r>
            <w:r>
              <w:t>）</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受益户数</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≥15户</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18户</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受益人口总数</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73人</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资金使用率</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52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sidRPr="00A27F69">
              <w:rPr>
                <w:rFonts w:ascii="宋体" w:hAnsi="宋体" w:cs="宋体" w:hint="eastAsia"/>
                <w:color w:val="000000"/>
                <w:kern w:val="0"/>
                <w:sz w:val="20"/>
                <w:szCs w:val="20"/>
                <w:u w:val="thick" w:color="FFB03A"/>
                <w:shd w:val="clear" w:color="auto" w:fill="FFEFD8"/>
              </w:rPr>
              <w:t>时效</w:t>
            </w:r>
            <w:r>
              <w:rPr>
                <w:rFonts w:ascii="宋体" w:hAnsi="宋体" w:cs="宋体" w:hint="eastAsia"/>
                <w:color w:val="000000"/>
                <w:kern w:val="0"/>
                <w:sz w:val="20"/>
                <w:szCs w:val="20"/>
              </w:rP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农户搬迁完成实效</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资金使用期限</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1年</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财政性投入资金</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≥100万元</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100.8万元</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益</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经济效益</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农户经济预计年收入</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≥5万元</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5.9万元</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58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带动增加受益群众人口全年收入</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≥1万元</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1.4万元</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群众受益年限</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≥5年</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5年</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受益群众满意度</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98%</w:t>
            </w: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8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tcPr>
          <w:p w:rsidR="007B4DEA" w:rsidRDefault="007B4DEA">
            <w:pPr>
              <w:jc w:val="center"/>
              <w:rPr>
                <w:rFonts w:ascii="宋体" w:hAnsi="宋体" w:cs="宋体"/>
                <w:color w:val="000000"/>
                <w:sz w:val="20"/>
                <w:szCs w:val="20"/>
              </w:rPr>
            </w:pPr>
          </w:p>
        </w:tc>
        <w:tc>
          <w:tcPr>
            <w:tcW w:w="8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216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rPr>
                <w:rFonts w:ascii="宋体" w:hAnsi="宋体" w:cs="宋体"/>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r w:rsidR="007B4DEA">
        <w:trPr>
          <w:gridAfter w:val="2"/>
          <w:wAfter w:w="45" w:type="dxa"/>
          <w:trHeight w:val="270"/>
        </w:trPr>
        <w:tc>
          <w:tcPr>
            <w:tcW w:w="495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b/>
                <w:color w:val="000000"/>
                <w:sz w:val="20"/>
                <w:szCs w:val="20"/>
              </w:rPr>
            </w:pPr>
          </w:p>
        </w:tc>
        <w:tc>
          <w:tcPr>
            <w:tcW w:w="10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B4547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97</w:t>
            </w:r>
          </w:p>
        </w:tc>
        <w:tc>
          <w:tcPr>
            <w:tcW w:w="150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B4DEA" w:rsidRDefault="007B4DEA">
            <w:pPr>
              <w:jc w:val="center"/>
              <w:rPr>
                <w:rFonts w:ascii="宋体" w:hAnsi="宋体" w:cs="宋体"/>
                <w:color w:val="000000"/>
                <w:sz w:val="20"/>
                <w:szCs w:val="20"/>
              </w:rPr>
            </w:pPr>
          </w:p>
        </w:tc>
      </w:tr>
    </w:tbl>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7B4DEA">
      <w:pPr>
        <w:pStyle w:val="a3"/>
        <w:spacing w:before="93"/>
        <w:rPr>
          <w:rFonts w:ascii="黑体" w:eastAsia="黑体" w:hAnsi="黑体"/>
          <w:sz w:val="44"/>
          <w:szCs w:val="44"/>
        </w:rPr>
      </w:pPr>
    </w:p>
    <w:p w:rsidR="007B4DEA" w:rsidRDefault="00B45477">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55" w:name="_Toc15396619"/>
      <w:bookmarkEnd w:id="52"/>
      <w:bookmarkEnd w:id="54"/>
    </w:p>
    <w:bookmarkEnd w:id="55"/>
    <w:p w:rsidR="001446C9" w:rsidRDefault="001446C9" w:rsidP="001446C9">
      <w:pPr>
        <w:pStyle w:val="21"/>
        <w:spacing w:before="0" w:after="0" w:line="640" w:lineRule="exact"/>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bCs/>
        </w:rPr>
        <w:t>入支出决算总表</w:t>
      </w:r>
    </w:p>
    <w:p w:rsidR="001446C9" w:rsidRDefault="001446C9" w:rsidP="001446C9">
      <w:pPr>
        <w:pStyle w:val="21"/>
        <w:spacing w:before="0" w:after="0" w:line="640" w:lineRule="exact"/>
        <w:rPr>
          <w:rFonts w:ascii="仿宋" w:eastAsia="仿宋" w:hAnsi="仿宋"/>
        </w:rPr>
      </w:pPr>
      <w:bookmarkStart w:id="56" w:name="_Toc15396620"/>
      <w:bookmarkStart w:id="57" w:name="_Toc15796"/>
      <w:r>
        <w:rPr>
          <w:rFonts w:ascii="仿宋" w:eastAsia="仿宋" w:hAnsi="仿宋" w:hint="eastAsia"/>
          <w:b w:val="0"/>
        </w:rPr>
        <w:t>二、收</w:t>
      </w:r>
      <w:r>
        <w:rPr>
          <w:rStyle w:val="2Char"/>
          <w:rFonts w:ascii="仿宋" w:eastAsia="仿宋" w:hAnsi="仿宋" w:hint="eastAsia"/>
          <w:bCs/>
        </w:rPr>
        <w:t>入决算表</w:t>
      </w:r>
      <w:bookmarkEnd w:id="56"/>
      <w:bookmarkEnd w:id="57"/>
    </w:p>
    <w:p w:rsidR="001446C9" w:rsidRDefault="001446C9" w:rsidP="001446C9">
      <w:pPr>
        <w:pStyle w:val="21"/>
        <w:spacing w:before="0" w:after="0" w:line="640" w:lineRule="exact"/>
        <w:rPr>
          <w:rFonts w:ascii="仿宋" w:eastAsia="仿宋" w:hAnsi="仿宋"/>
        </w:rPr>
      </w:pPr>
      <w:bookmarkStart w:id="58" w:name="_Toc15396621"/>
      <w:bookmarkStart w:id="59" w:name="_Toc12591"/>
      <w:r>
        <w:rPr>
          <w:rStyle w:val="2Char"/>
          <w:rFonts w:ascii="仿宋" w:eastAsia="仿宋" w:hAnsi="仿宋" w:hint="eastAsia"/>
          <w:bCs/>
        </w:rPr>
        <w:t>三、</w:t>
      </w:r>
      <w:r>
        <w:rPr>
          <w:rFonts w:ascii="仿宋" w:eastAsia="仿宋" w:hAnsi="仿宋" w:hint="eastAsia"/>
          <w:b w:val="0"/>
        </w:rPr>
        <w:t>支</w:t>
      </w:r>
      <w:r>
        <w:rPr>
          <w:rStyle w:val="2Char"/>
          <w:rFonts w:ascii="仿宋" w:eastAsia="仿宋" w:hAnsi="仿宋" w:hint="eastAsia"/>
          <w:bCs/>
        </w:rPr>
        <w:t>出决算表</w:t>
      </w:r>
      <w:bookmarkEnd w:id="58"/>
      <w:bookmarkEnd w:id="59"/>
    </w:p>
    <w:p w:rsidR="001446C9" w:rsidRDefault="001446C9" w:rsidP="001446C9">
      <w:pPr>
        <w:pStyle w:val="21"/>
        <w:spacing w:before="0" w:after="0" w:line="640" w:lineRule="exact"/>
        <w:rPr>
          <w:rFonts w:ascii="仿宋" w:eastAsia="仿宋" w:hAnsi="仿宋"/>
          <w:b w:val="0"/>
        </w:rPr>
      </w:pPr>
      <w:bookmarkStart w:id="60" w:name="_Toc15396622"/>
      <w:bookmarkStart w:id="61" w:name="_Toc18394"/>
      <w:r>
        <w:rPr>
          <w:rStyle w:val="2Char"/>
          <w:rFonts w:ascii="仿宋" w:eastAsia="仿宋" w:hAnsi="仿宋" w:hint="eastAsia"/>
          <w:bCs/>
        </w:rPr>
        <w:t>四、</w:t>
      </w:r>
      <w:r>
        <w:rPr>
          <w:rFonts w:ascii="仿宋" w:eastAsia="仿宋" w:hAnsi="仿宋" w:hint="eastAsia"/>
          <w:b w:val="0"/>
        </w:rPr>
        <w:t>财</w:t>
      </w:r>
      <w:r>
        <w:rPr>
          <w:rStyle w:val="2Char"/>
          <w:rFonts w:ascii="仿宋" w:eastAsia="仿宋" w:hAnsi="仿宋" w:hint="eastAsia"/>
          <w:bCs/>
        </w:rPr>
        <w:t>政拨款收入支出决算总表</w:t>
      </w:r>
      <w:bookmarkEnd w:id="60"/>
      <w:bookmarkEnd w:id="61"/>
    </w:p>
    <w:p w:rsidR="001446C9" w:rsidRDefault="001446C9" w:rsidP="001446C9">
      <w:pPr>
        <w:pStyle w:val="21"/>
        <w:spacing w:before="0" w:after="0" w:line="640" w:lineRule="exact"/>
        <w:rPr>
          <w:rStyle w:val="2Char"/>
          <w:rFonts w:ascii="仿宋" w:eastAsia="仿宋" w:hAnsi="仿宋"/>
        </w:rPr>
      </w:pPr>
      <w:bookmarkStart w:id="62" w:name="_Toc15396623"/>
      <w:bookmarkStart w:id="63" w:name="_Toc11698"/>
      <w:r>
        <w:rPr>
          <w:rStyle w:val="2Char"/>
          <w:rFonts w:ascii="仿宋" w:eastAsia="仿宋" w:hAnsi="仿宋" w:hint="eastAsia"/>
          <w:bCs/>
        </w:rPr>
        <w:t>五、</w:t>
      </w:r>
      <w:r>
        <w:rPr>
          <w:rFonts w:ascii="仿宋" w:eastAsia="仿宋" w:hAnsi="仿宋" w:hint="eastAsia"/>
          <w:b w:val="0"/>
        </w:rPr>
        <w:t>财</w:t>
      </w:r>
      <w:r>
        <w:rPr>
          <w:rStyle w:val="2Char"/>
          <w:rFonts w:ascii="仿宋" w:eastAsia="仿宋" w:hAnsi="仿宋" w:hint="eastAsia"/>
          <w:bCs/>
        </w:rPr>
        <w:t>政拨款支出决算明细表</w:t>
      </w:r>
      <w:bookmarkStart w:id="64" w:name="_Toc15396624"/>
      <w:bookmarkEnd w:id="62"/>
      <w:bookmarkEnd w:id="63"/>
    </w:p>
    <w:p w:rsidR="001446C9" w:rsidRDefault="001446C9" w:rsidP="001446C9">
      <w:pPr>
        <w:pStyle w:val="21"/>
        <w:spacing w:before="0" w:after="0" w:line="640" w:lineRule="exact"/>
        <w:rPr>
          <w:rFonts w:ascii="仿宋" w:eastAsia="仿宋" w:hAnsi="仿宋"/>
        </w:rPr>
      </w:pPr>
      <w:bookmarkStart w:id="65" w:name="_Toc18196"/>
      <w:r>
        <w:rPr>
          <w:rStyle w:val="2Char"/>
          <w:rFonts w:ascii="仿宋" w:eastAsia="仿宋" w:hAnsi="仿宋" w:hint="eastAsia"/>
          <w:bCs/>
        </w:rPr>
        <w:t>六、</w:t>
      </w:r>
      <w:r>
        <w:rPr>
          <w:rFonts w:ascii="仿宋" w:eastAsia="仿宋" w:hAnsi="仿宋" w:hint="eastAsia"/>
          <w:b w:val="0"/>
        </w:rPr>
        <w:t>一</w:t>
      </w:r>
      <w:r>
        <w:rPr>
          <w:rStyle w:val="2Char"/>
          <w:rFonts w:ascii="仿宋" w:eastAsia="仿宋" w:hAnsi="仿宋" w:hint="eastAsia"/>
          <w:bCs/>
        </w:rPr>
        <w:t>般公共预算</w:t>
      </w:r>
      <w:r>
        <w:rPr>
          <w:rFonts w:ascii="仿宋" w:eastAsia="仿宋" w:hAnsi="仿宋" w:hint="eastAsia"/>
          <w:b w:val="0"/>
          <w:bCs w:val="0"/>
        </w:rPr>
        <w:t>财政拨款支出决算表</w:t>
      </w:r>
      <w:bookmarkEnd w:id="64"/>
      <w:bookmarkEnd w:id="65"/>
    </w:p>
    <w:p w:rsidR="001446C9" w:rsidRDefault="001446C9" w:rsidP="001446C9">
      <w:pPr>
        <w:pStyle w:val="21"/>
        <w:spacing w:before="0" w:after="0" w:line="640" w:lineRule="exact"/>
        <w:rPr>
          <w:rFonts w:ascii="仿宋" w:eastAsia="仿宋" w:hAnsi="仿宋"/>
        </w:rPr>
      </w:pPr>
      <w:bookmarkStart w:id="66" w:name="_Toc15396625"/>
      <w:bookmarkStart w:id="67" w:name="_Toc224"/>
      <w:r>
        <w:rPr>
          <w:rStyle w:val="2Char"/>
          <w:rFonts w:ascii="仿宋" w:eastAsia="仿宋" w:hAnsi="仿宋" w:hint="eastAsia"/>
          <w:bCs/>
        </w:rPr>
        <w:t>七、</w:t>
      </w:r>
      <w:r>
        <w:rPr>
          <w:rFonts w:ascii="仿宋" w:eastAsia="仿宋" w:hAnsi="仿宋" w:hint="eastAsia"/>
          <w:b w:val="0"/>
        </w:rPr>
        <w:t>一</w:t>
      </w:r>
      <w:r>
        <w:rPr>
          <w:rStyle w:val="2Char"/>
          <w:rFonts w:ascii="仿宋" w:eastAsia="仿宋" w:hAnsi="仿宋" w:hint="eastAsia"/>
          <w:bCs/>
        </w:rPr>
        <w:t>般公共预算</w:t>
      </w:r>
      <w:r>
        <w:rPr>
          <w:rFonts w:ascii="仿宋" w:eastAsia="仿宋" w:hAnsi="仿宋" w:hint="eastAsia"/>
          <w:b w:val="0"/>
          <w:bCs w:val="0"/>
        </w:rPr>
        <w:t>财政拨款支出决算明细表</w:t>
      </w:r>
      <w:bookmarkEnd w:id="66"/>
      <w:bookmarkEnd w:id="67"/>
    </w:p>
    <w:p w:rsidR="001446C9" w:rsidRDefault="001446C9" w:rsidP="001446C9">
      <w:pPr>
        <w:pStyle w:val="21"/>
        <w:spacing w:before="0" w:after="0" w:line="640" w:lineRule="exact"/>
        <w:rPr>
          <w:rFonts w:ascii="仿宋" w:eastAsia="仿宋" w:hAnsi="仿宋"/>
        </w:rPr>
      </w:pPr>
      <w:bookmarkStart w:id="68" w:name="_Toc15396626"/>
      <w:bookmarkStart w:id="69" w:name="_Toc19861"/>
      <w:r>
        <w:rPr>
          <w:rStyle w:val="2Char"/>
          <w:rFonts w:ascii="仿宋" w:eastAsia="仿宋" w:hAnsi="仿宋" w:hint="eastAsia"/>
          <w:bCs/>
        </w:rPr>
        <w:t>八、</w:t>
      </w:r>
      <w:r>
        <w:rPr>
          <w:rFonts w:ascii="仿宋" w:eastAsia="仿宋" w:hAnsi="仿宋" w:hint="eastAsia"/>
          <w:b w:val="0"/>
        </w:rPr>
        <w:t>一</w:t>
      </w:r>
      <w:r>
        <w:rPr>
          <w:rStyle w:val="2Char"/>
          <w:rFonts w:ascii="仿宋" w:eastAsia="仿宋" w:hAnsi="仿宋" w:hint="eastAsia"/>
          <w:bCs/>
        </w:rPr>
        <w:t>般公共预算</w:t>
      </w:r>
      <w:r>
        <w:rPr>
          <w:rFonts w:ascii="仿宋" w:eastAsia="仿宋" w:hAnsi="仿宋" w:hint="eastAsia"/>
          <w:b w:val="0"/>
          <w:bCs w:val="0"/>
        </w:rPr>
        <w:t>财政拨款基本支出决算表</w:t>
      </w:r>
      <w:bookmarkEnd w:id="68"/>
      <w:bookmarkEnd w:id="69"/>
    </w:p>
    <w:p w:rsidR="001446C9" w:rsidRDefault="001446C9" w:rsidP="001446C9">
      <w:pPr>
        <w:pStyle w:val="21"/>
        <w:spacing w:before="0" w:after="0" w:line="640" w:lineRule="exact"/>
        <w:rPr>
          <w:rFonts w:ascii="仿宋" w:eastAsia="仿宋" w:hAnsi="仿宋"/>
        </w:rPr>
      </w:pPr>
      <w:bookmarkStart w:id="70" w:name="_Toc5467"/>
      <w:bookmarkStart w:id="71" w:name="_Toc15396627"/>
      <w:r>
        <w:rPr>
          <w:rStyle w:val="2Char"/>
          <w:rFonts w:ascii="仿宋" w:eastAsia="仿宋" w:hAnsi="仿宋" w:hint="eastAsia"/>
          <w:bCs/>
        </w:rPr>
        <w:t>九、</w:t>
      </w:r>
      <w:r>
        <w:rPr>
          <w:rFonts w:ascii="仿宋" w:eastAsia="仿宋" w:hAnsi="仿宋" w:hint="eastAsia"/>
          <w:b w:val="0"/>
        </w:rPr>
        <w:t>一</w:t>
      </w:r>
      <w:r>
        <w:rPr>
          <w:rStyle w:val="2Char"/>
          <w:rFonts w:ascii="仿宋" w:eastAsia="仿宋" w:hAnsi="仿宋" w:hint="eastAsia"/>
          <w:bCs/>
        </w:rPr>
        <w:t>般公共预算</w:t>
      </w:r>
      <w:r>
        <w:rPr>
          <w:rFonts w:ascii="仿宋" w:eastAsia="仿宋" w:hAnsi="仿宋" w:hint="eastAsia"/>
          <w:b w:val="0"/>
          <w:bCs w:val="0"/>
        </w:rPr>
        <w:t>财政拨款项目支出决算表</w:t>
      </w:r>
      <w:bookmarkEnd w:id="70"/>
      <w:bookmarkEnd w:id="71"/>
    </w:p>
    <w:p w:rsidR="001446C9" w:rsidRDefault="001446C9" w:rsidP="001446C9">
      <w:pPr>
        <w:pStyle w:val="21"/>
        <w:spacing w:before="0" w:after="0" w:line="640" w:lineRule="exact"/>
        <w:rPr>
          <w:rFonts w:ascii="仿宋" w:eastAsia="仿宋" w:hAnsi="仿宋"/>
        </w:rPr>
      </w:pPr>
      <w:bookmarkStart w:id="72" w:name="_Toc15396628"/>
      <w:bookmarkStart w:id="73" w:name="_Toc8140"/>
      <w:r>
        <w:rPr>
          <w:rStyle w:val="2Char"/>
          <w:rFonts w:ascii="仿宋" w:eastAsia="仿宋" w:hAnsi="仿宋" w:hint="eastAsia"/>
          <w:bCs/>
        </w:rPr>
        <w:t>十、</w:t>
      </w:r>
      <w:r>
        <w:rPr>
          <w:rFonts w:ascii="仿宋" w:eastAsia="仿宋" w:hAnsi="仿宋" w:hint="eastAsia"/>
          <w:b w:val="0"/>
        </w:rPr>
        <w:t>一</w:t>
      </w:r>
      <w:r>
        <w:rPr>
          <w:rStyle w:val="2Char"/>
          <w:rFonts w:ascii="仿宋" w:eastAsia="仿宋" w:hAnsi="仿宋" w:hint="eastAsia"/>
          <w:bCs/>
        </w:rPr>
        <w:t>般公共预算</w:t>
      </w:r>
      <w:r>
        <w:rPr>
          <w:rFonts w:ascii="仿宋" w:eastAsia="仿宋" w:hAnsi="仿宋" w:hint="eastAsia"/>
          <w:b w:val="0"/>
          <w:bCs w:val="0"/>
        </w:rPr>
        <w:t>财政拨款“三公</w:t>
      </w:r>
      <w:r>
        <w:rPr>
          <w:rStyle w:val="2Char"/>
          <w:rFonts w:ascii="仿宋" w:eastAsia="仿宋" w:hAnsi="仿宋" w:hint="eastAsia"/>
          <w:bCs/>
        </w:rPr>
        <w:t>”</w:t>
      </w:r>
      <w:r>
        <w:rPr>
          <w:rFonts w:ascii="仿宋" w:eastAsia="仿宋" w:hAnsi="仿宋" w:hint="eastAsia"/>
          <w:b w:val="0"/>
          <w:bCs w:val="0"/>
        </w:rPr>
        <w:t>经费支出决算表</w:t>
      </w:r>
      <w:bookmarkEnd w:id="72"/>
      <w:bookmarkEnd w:id="73"/>
    </w:p>
    <w:p w:rsidR="001446C9" w:rsidRDefault="001446C9" w:rsidP="001446C9">
      <w:pPr>
        <w:pStyle w:val="21"/>
        <w:spacing w:before="0" w:after="0" w:line="640" w:lineRule="exact"/>
        <w:rPr>
          <w:rFonts w:ascii="仿宋" w:eastAsia="仿宋" w:hAnsi="仿宋"/>
        </w:rPr>
      </w:pPr>
      <w:bookmarkStart w:id="74" w:name="_Toc15396629"/>
      <w:bookmarkStart w:id="75" w:name="_Toc22751"/>
      <w:r>
        <w:rPr>
          <w:rStyle w:val="2Char"/>
          <w:rFonts w:ascii="仿宋" w:eastAsia="仿宋" w:hAnsi="仿宋" w:hint="eastAsia"/>
          <w:bCs/>
        </w:rPr>
        <w:t>十一、</w:t>
      </w:r>
      <w:r>
        <w:rPr>
          <w:rFonts w:ascii="仿宋" w:eastAsia="仿宋" w:hAnsi="仿宋" w:hint="eastAsia"/>
          <w:b w:val="0"/>
        </w:rPr>
        <w:t>政</w:t>
      </w:r>
      <w:r>
        <w:rPr>
          <w:rStyle w:val="2Char"/>
          <w:rFonts w:ascii="仿宋" w:eastAsia="仿宋" w:hAnsi="仿宋" w:hint="eastAsia"/>
          <w:bCs/>
        </w:rPr>
        <w:t>府性基金预算</w:t>
      </w:r>
      <w:r>
        <w:rPr>
          <w:rFonts w:ascii="仿宋" w:eastAsia="仿宋" w:hAnsi="仿宋" w:hint="eastAsia"/>
          <w:b w:val="0"/>
          <w:bCs w:val="0"/>
        </w:rPr>
        <w:t>财政拨款收入支出决算表</w:t>
      </w:r>
      <w:bookmarkEnd w:id="74"/>
      <w:bookmarkEnd w:id="75"/>
    </w:p>
    <w:p w:rsidR="001446C9" w:rsidRDefault="001446C9" w:rsidP="001446C9">
      <w:pPr>
        <w:pStyle w:val="21"/>
        <w:spacing w:before="0" w:after="0" w:line="640" w:lineRule="exact"/>
        <w:rPr>
          <w:rFonts w:ascii="仿宋" w:eastAsia="仿宋" w:hAnsi="仿宋"/>
        </w:rPr>
      </w:pPr>
      <w:bookmarkStart w:id="76" w:name="_Toc15396630"/>
      <w:bookmarkStart w:id="77" w:name="_Toc27494"/>
      <w:r>
        <w:rPr>
          <w:rStyle w:val="2Char"/>
          <w:rFonts w:ascii="仿宋" w:eastAsia="仿宋" w:hAnsi="仿宋" w:hint="eastAsia"/>
          <w:bCs/>
        </w:rPr>
        <w:t>十二、</w:t>
      </w:r>
      <w:r>
        <w:rPr>
          <w:rFonts w:ascii="仿宋" w:eastAsia="仿宋" w:hAnsi="仿宋" w:hint="eastAsia"/>
          <w:b w:val="0"/>
        </w:rPr>
        <w:t>政</w:t>
      </w:r>
      <w:r>
        <w:rPr>
          <w:rStyle w:val="2Char"/>
          <w:rFonts w:ascii="仿宋" w:eastAsia="仿宋" w:hAnsi="仿宋" w:hint="eastAsia"/>
          <w:bCs/>
        </w:rPr>
        <w:t>府性基金预算</w:t>
      </w:r>
      <w:r>
        <w:rPr>
          <w:rFonts w:ascii="仿宋" w:eastAsia="仿宋" w:hAnsi="仿宋" w:hint="eastAsia"/>
          <w:b w:val="0"/>
          <w:bCs w:val="0"/>
        </w:rPr>
        <w:t>财政拨款“三公</w:t>
      </w:r>
      <w:r>
        <w:rPr>
          <w:rStyle w:val="2Char"/>
          <w:rFonts w:ascii="仿宋" w:eastAsia="仿宋" w:hAnsi="仿宋" w:hint="eastAsia"/>
          <w:bCs/>
        </w:rPr>
        <w:t>”</w:t>
      </w:r>
      <w:r>
        <w:rPr>
          <w:rFonts w:ascii="仿宋" w:eastAsia="仿宋" w:hAnsi="仿宋" w:hint="eastAsia"/>
          <w:b w:val="0"/>
          <w:bCs w:val="0"/>
        </w:rPr>
        <w:t>经费支出决算表</w:t>
      </w:r>
      <w:bookmarkEnd w:id="76"/>
      <w:bookmarkEnd w:id="77"/>
    </w:p>
    <w:p w:rsidR="001446C9" w:rsidRDefault="001446C9" w:rsidP="001446C9">
      <w:pPr>
        <w:pStyle w:val="21"/>
        <w:spacing w:before="0" w:after="0" w:line="640" w:lineRule="exact"/>
        <w:rPr>
          <w:rStyle w:val="2Char"/>
          <w:rFonts w:ascii="仿宋" w:eastAsia="仿宋" w:hAnsi="仿宋"/>
        </w:rPr>
      </w:pPr>
      <w:bookmarkStart w:id="78" w:name="_Toc15396631"/>
      <w:bookmarkStart w:id="79" w:name="_Toc26047"/>
      <w:r>
        <w:rPr>
          <w:rStyle w:val="2Char"/>
          <w:rFonts w:ascii="仿宋" w:eastAsia="仿宋" w:hAnsi="仿宋" w:hint="eastAsia"/>
          <w:bCs/>
        </w:rPr>
        <w:t>十三、</w:t>
      </w:r>
      <w:r>
        <w:rPr>
          <w:rFonts w:ascii="仿宋" w:eastAsia="仿宋" w:hAnsi="仿宋" w:hint="eastAsia"/>
          <w:b w:val="0"/>
        </w:rPr>
        <w:t>国</w:t>
      </w:r>
      <w:r>
        <w:rPr>
          <w:rStyle w:val="2Char"/>
          <w:rFonts w:ascii="仿宋" w:eastAsia="仿宋" w:hAnsi="仿宋" w:hint="eastAsia"/>
          <w:bCs/>
        </w:rPr>
        <w:t>有</w:t>
      </w:r>
      <w:r>
        <w:rPr>
          <w:rFonts w:ascii="仿宋" w:eastAsia="仿宋" w:hAnsi="仿宋" w:hint="eastAsia"/>
          <w:b w:val="0"/>
          <w:bCs w:val="0"/>
        </w:rPr>
        <w:t>资本经营</w:t>
      </w:r>
      <w:r>
        <w:rPr>
          <w:rStyle w:val="2Char"/>
          <w:rFonts w:ascii="仿宋" w:eastAsia="仿宋" w:hAnsi="仿宋" w:hint="eastAsia"/>
          <w:bCs/>
        </w:rPr>
        <w:t>预算财政拨款收入支出决算表</w:t>
      </w:r>
      <w:bookmarkEnd w:id="78"/>
      <w:bookmarkEnd w:id="79"/>
    </w:p>
    <w:p w:rsidR="001446C9" w:rsidRDefault="001446C9" w:rsidP="001446C9">
      <w:pPr>
        <w:spacing w:line="640" w:lineRule="exact"/>
        <w:rPr>
          <w:rFonts w:eastAsia="仿宋"/>
          <w:sz w:val="32"/>
          <w:szCs w:val="32"/>
        </w:rPr>
      </w:pPr>
      <w:bookmarkStart w:id="80" w:name="_Toc24412"/>
      <w:r>
        <w:rPr>
          <w:rStyle w:val="2Char"/>
          <w:rFonts w:ascii="仿宋" w:eastAsia="仿宋" w:hAnsi="仿宋" w:hint="eastAsia"/>
          <w:b w:val="0"/>
        </w:rPr>
        <w:t>十四、</w:t>
      </w:r>
      <w:r>
        <w:rPr>
          <w:rFonts w:ascii="仿宋" w:eastAsia="仿宋" w:hAnsi="仿宋" w:hint="eastAsia"/>
          <w:sz w:val="32"/>
          <w:szCs w:val="32"/>
        </w:rPr>
        <w:t>国有资本经营预算财政拨款支出决算表</w:t>
      </w:r>
      <w:bookmarkEnd w:id="80"/>
    </w:p>
    <w:p w:rsidR="007B4DEA" w:rsidRDefault="007B4DEA" w:rsidP="001446C9">
      <w:pPr>
        <w:pStyle w:val="21"/>
        <w:rPr>
          <w:rFonts w:eastAsia="仿宋"/>
        </w:rPr>
      </w:pPr>
    </w:p>
    <w:sectPr w:rsidR="007B4DEA" w:rsidSect="001446C9">
      <w:headerReference w:type="default" r:id="rId27"/>
      <w:footerReference w:type="default" r:id="rId2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046" w:rsidRDefault="00FF4046" w:rsidP="007B4DEA">
      <w:r>
        <w:separator/>
      </w:r>
    </w:p>
  </w:endnote>
  <w:endnote w:type="continuationSeparator" w:id="0">
    <w:p w:rsidR="00FF4046" w:rsidRDefault="00FF4046" w:rsidP="007B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81956"/>
    </w:sdtPr>
    <w:sdtContent>
      <w:p w:rsidR="00382AB3" w:rsidRDefault="00382AB3">
        <w:pPr>
          <w:pStyle w:val="1"/>
          <w:jc w:val="center"/>
        </w:pPr>
        <w:r>
          <w:fldChar w:fldCharType="begin"/>
        </w:r>
        <w:r>
          <w:instrText>PAGE   \* MERGEFORMAT</w:instrText>
        </w:r>
        <w:r>
          <w:fldChar w:fldCharType="separate"/>
        </w:r>
        <w:r w:rsidRPr="00117C57">
          <w:rPr>
            <w:noProof/>
            <w:lang w:val="zh-CN"/>
          </w:rPr>
          <w:t>94</w:t>
        </w:r>
        <w:r>
          <w:fldChar w:fldCharType="end"/>
        </w:r>
      </w:p>
    </w:sdtContent>
  </w:sdt>
  <w:p w:rsidR="00382AB3" w:rsidRDefault="00382AB3">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046" w:rsidRDefault="00FF4046" w:rsidP="007B4DEA">
      <w:r>
        <w:separator/>
      </w:r>
    </w:p>
  </w:footnote>
  <w:footnote w:type="continuationSeparator" w:id="0">
    <w:p w:rsidR="00FF4046" w:rsidRDefault="00FF4046" w:rsidP="007B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B3" w:rsidRDefault="00382AB3">
    <w:pPr>
      <w:pStyle w:val="1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FF9"/>
    <w:multiLevelType w:val="singleLevel"/>
    <w:tmpl w:val="962EDC1A"/>
    <w:lvl w:ilvl="0">
      <w:start w:val="9"/>
      <w:numFmt w:val="chineseCounting"/>
      <w:suff w:val="nothing"/>
      <w:lvlText w:val="%1、"/>
      <w:lvlJc w:val="left"/>
      <w:rPr>
        <w:rFonts w:hint="eastAsia"/>
      </w:rPr>
    </w:lvl>
  </w:abstractNum>
  <w:abstractNum w:abstractNumId="1" w15:restartNumberingAfterBreak="0">
    <w:nsid w:val="0E143584"/>
    <w:multiLevelType w:val="multilevel"/>
    <w:tmpl w:val="84BCBB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76F2C0F"/>
    <w:multiLevelType w:val="multilevel"/>
    <w:tmpl w:val="E08842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FE36D41"/>
    <w:multiLevelType w:val="multilevel"/>
    <w:tmpl w:val="2C68EA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23C33148"/>
    <w:multiLevelType w:val="singleLevel"/>
    <w:tmpl w:val="A1A25276"/>
    <w:lvl w:ilvl="0">
      <w:start w:val="1"/>
      <w:numFmt w:val="decimal"/>
      <w:lvlText w:val="%1."/>
      <w:lvlJc w:val="left"/>
      <w:pPr>
        <w:tabs>
          <w:tab w:val="left" w:pos="312"/>
        </w:tabs>
      </w:pPr>
    </w:lvl>
  </w:abstractNum>
  <w:abstractNum w:abstractNumId="5" w15:restartNumberingAfterBreak="0">
    <w:nsid w:val="35152605"/>
    <w:multiLevelType w:val="singleLevel"/>
    <w:tmpl w:val="777E9278"/>
    <w:lvl w:ilvl="0">
      <w:start w:val="7"/>
      <w:numFmt w:val="chineseCounting"/>
      <w:suff w:val="nothing"/>
      <w:lvlText w:val="%1、"/>
      <w:lvlJc w:val="left"/>
      <w:rPr>
        <w:rFonts w:hint="eastAsia"/>
      </w:rPr>
    </w:lvl>
  </w:abstractNum>
  <w:abstractNum w:abstractNumId="6" w15:restartNumberingAfterBreak="0">
    <w:nsid w:val="41C67A10"/>
    <w:multiLevelType w:val="multilevel"/>
    <w:tmpl w:val="F22E6B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42063257"/>
    <w:multiLevelType w:val="multilevel"/>
    <w:tmpl w:val="C49ADE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46F6095F"/>
    <w:multiLevelType w:val="singleLevel"/>
    <w:tmpl w:val="5142A2FC"/>
    <w:lvl w:ilvl="0">
      <w:start w:val="1"/>
      <w:numFmt w:val="chineseCounting"/>
      <w:suff w:val="nothing"/>
      <w:lvlText w:val="%1、"/>
      <w:lvlJc w:val="left"/>
      <w:rPr>
        <w:rFonts w:hint="eastAsia"/>
      </w:rPr>
    </w:lvl>
  </w:abstractNum>
  <w:abstractNum w:abstractNumId="9" w15:restartNumberingAfterBreak="0">
    <w:nsid w:val="55003022"/>
    <w:multiLevelType w:val="singleLevel"/>
    <w:tmpl w:val="78FE379E"/>
    <w:lvl w:ilvl="0">
      <w:start w:val="1"/>
      <w:numFmt w:val="decimal"/>
      <w:lvlText w:val="%1."/>
      <w:lvlJc w:val="left"/>
      <w:pPr>
        <w:tabs>
          <w:tab w:val="left" w:pos="312"/>
        </w:tabs>
      </w:pPr>
    </w:lvl>
  </w:abstractNum>
  <w:abstractNum w:abstractNumId="10" w15:restartNumberingAfterBreak="0">
    <w:nsid w:val="64D03F85"/>
    <w:multiLevelType w:val="multilevel"/>
    <w:tmpl w:val="3732EB6A"/>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66D82D87"/>
    <w:multiLevelType w:val="singleLevel"/>
    <w:tmpl w:val="B5F87D88"/>
    <w:lvl w:ilvl="0">
      <w:start w:val="3"/>
      <w:numFmt w:val="chineseCounting"/>
      <w:suff w:val="space"/>
      <w:lvlText w:val="第%1部分"/>
      <w:lvlJc w:val="left"/>
      <w:rPr>
        <w:rFonts w:ascii="黑体" w:eastAsia="黑体" w:hAnsi="黑体" w:cs="黑体" w:hint="eastAsia"/>
        <w:sz w:val="44"/>
        <w:szCs w:val="44"/>
      </w:rPr>
    </w:lvl>
  </w:abstractNum>
  <w:abstractNum w:abstractNumId="12" w15:restartNumberingAfterBreak="0">
    <w:nsid w:val="708F6154"/>
    <w:multiLevelType w:val="multilevel"/>
    <w:tmpl w:val="3208BB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73EF6739"/>
    <w:multiLevelType w:val="multilevel"/>
    <w:tmpl w:val="A12A3C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7B314E31"/>
    <w:multiLevelType w:val="multilevel"/>
    <w:tmpl w:val="04CC45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7C2F7D2A"/>
    <w:multiLevelType w:val="singleLevel"/>
    <w:tmpl w:val="1DF8FC98"/>
    <w:lvl w:ilvl="0">
      <w:start w:val="18"/>
      <w:numFmt w:val="decimal"/>
      <w:lvlText w:val="%1."/>
      <w:lvlJc w:val="left"/>
      <w:pPr>
        <w:tabs>
          <w:tab w:val="left" w:pos="312"/>
        </w:tabs>
      </w:pPr>
    </w:lvl>
  </w:abstractNum>
  <w:num w:numId="1">
    <w:abstractNumId w:val="2"/>
  </w:num>
  <w:num w:numId="2">
    <w:abstractNumId w:val="1"/>
  </w:num>
  <w:num w:numId="3">
    <w:abstractNumId w:val="7"/>
  </w:num>
  <w:num w:numId="4">
    <w:abstractNumId w:val="3"/>
  </w:num>
  <w:num w:numId="5">
    <w:abstractNumId w:val="11"/>
  </w:num>
  <w:num w:numId="6">
    <w:abstractNumId w:val="5"/>
  </w:num>
  <w:num w:numId="7">
    <w:abstractNumId w:val="8"/>
  </w:num>
  <w:num w:numId="8">
    <w:abstractNumId w:val="4"/>
  </w:num>
  <w:num w:numId="9">
    <w:abstractNumId w:val="10"/>
  </w:num>
  <w:num w:numId="10">
    <w:abstractNumId w:val="12"/>
  </w:num>
  <w:num w:numId="11">
    <w:abstractNumId w:val="15"/>
  </w:num>
  <w:num w:numId="12">
    <w:abstractNumId w:val="0"/>
  </w:num>
  <w:num w:numId="13">
    <w:abstractNumId w:val="6"/>
  </w:num>
  <w:num w:numId="14">
    <w:abstractNumId w:val="1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oNotTrackMoves/>
  <w:documentProtection w:edit="trackedChange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B4DEA"/>
    <w:rsid w:val="00117C57"/>
    <w:rsid w:val="001446C9"/>
    <w:rsid w:val="00382AB3"/>
    <w:rsid w:val="005E0888"/>
    <w:rsid w:val="00624152"/>
    <w:rsid w:val="007B4DEA"/>
    <w:rsid w:val="00806F42"/>
    <w:rsid w:val="008A758C"/>
    <w:rsid w:val="00A27F69"/>
    <w:rsid w:val="00B04623"/>
    <w:rsid w:val="00B45477"/>
    <w:rsid w:val="00BD4A83"/>
    <w:rsid w:val="00FF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EA3B1"/>
  <w15:docId w15:val="{96F7FD6F-79E0-4FB6-8E4B-61A219D9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B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Char"/>
    <w:uiPriority w:val="9"/>
    <w:qFormat/>
    <w:rsid w:val="00A24B4B"/>
    <w:pPr>
      <w:keepNext/>
      <w:keepLines/>
      <w:spacing w:before="340" w:after="330" w:line="578" w:lineRule="auto"/>
      <w:outlineLvl w:val="0"/>
    </w:pPr>
    <w:rPr>
      <w:b/>
      <w:bCs/>
      <w:kern w:val="44"/>
      <w:sz w:val="44"/>
      <w:szCs w:val="44"/>
    </w:rPr>
  </w:style>
  <w:style w:type="paragraph" w:customStyle="1" w:styleId="21">
    <w:name w:val="标题 21"/>
    <w:basedOn w:val="a"/>
    <w:next w:val="a"/>
    <w:link w:val="2Char"/>
    <w:uiPriority w:val="9"/>
    <w:unhideWhenUsed/>
    <w:qFormat/>
    <w:rsid w:val="00A24B4B"/>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31">
    <w:name w:val="标题 31"/>
    <w:basedOn w:val="a"/>
    <w:next w:val="a"/>
    <w:link w:val="3Char"/>
    <w:uiPriority w:val="9"/>
    <w:unhideWhenUsed/>
    <w:qFormat/>
    <w:rsid w:val="00A24B4B"/>
    <w:pPr>
      <w:keepNext/>
      <w:keepLines/>
      <w:spacing w:before="260" w:after="260" w:line="416" w:lineRule="auto"/>
      <w:outlineLvl w:val="2"/>
    </w:pPr>
    <w:rPr>
      <w:b/>
      <w:bCs/>
      <w:sz w:val="32"/>
      <w:szCs w:val="32"/>
    </w:rPr>
  </w:style>
  <w:style w:type="paragraph" w:styleId="a3">
    <w:name w:val="Body Text"/>
    <w:basedOn w:val="a"/>
    <w:uiPriority w:val="99"/>
    <w:qFormat/>
    <w:rsid w:val="00A24B4B"/>
    <w:pPr>
      <w:spacing w:beforeLines="30"/>
    </w:pPr>
    <w:rPr>
      <w:rFonts w:ascii="仿宋_GB2312" w:eastAsia="仿宋_GB2312"/>
      <w:kern w:val="0"/>
      <w:sz w:val="30"/>
    </w:rPr>
  </w:style>
  <w:style w:type="paragraph" w:customStyle="1" w:styleId="TOC31">
    <w:name w:val="TOC 31"/>
    <w:basedOn w:val="a"/>
    <w:next w:val="a"/>
    <w:uiPriority w:val="39"/>
    <w:unhideWhenUsed/>
    <w:qFormat/>
    <w:rsid w:val="00A24B4B"/>
    <w:pPr>
      <w:tabs>
        <w:tab w:val="right" w:leader="dot" w:pos="8296"/>
      </w:tabs>
      <w:ind w:leftChars="400" w:left="840"/>
    </w:pPr>
  </w:style>
  <w:style w:type="paragraph" w:styleId="a4">
    <w:name w:val="Balloon Text"/>
    <w:basedOn w:val="a"/>
    <w:uiPriority w:val="99"/>
    <w:semiHidden/>
    <w:unhideWhenUsed/>
    <w:qFormat/>
    <w:rsid w:val="00A24B4B"/>
    <w:rPr>
      <w:sz w:val="18"/>
      <w:szCs w:val="18"/>
    </w:rPr>
  </w:style>
  <w:style w:type="paragraph" w:customStyle="1" w:styleId="1">
    <w:name w:val="页脚1"/>
    <w:basedOn w:val="a"/>
    <w:uiPriority w:val="99"/>
    <w:qFormat/>
    <w:rsid w:val="00A24B4B"/>
    <w:pPr>
      <w:tabs>
        <w:tab w:val="center" w:pos="4153"/>
        <w:tab w:val="right" w:pos="8306"/>
      </w:tabs>
      <w:snapToGrid w:val="0"/>
      <w:jc w:val="left"/>
    </w:pPr>
    <w:rPr>
      <w:rFonts w:ascii="Calibri" w:hAnsi="Calibri"/>
      <w:kern w:val="0"/>
      <w:sz w:val="18"/>
      <w:szCs w:val="18"/>
    </w:rPr>
  </w:style>
  <w:style w:type="paragraph" w:customStyle="1" w:styleId="10">
    <w:name w:val="页眉1"/>
    <w:basedOn w:val="a"/>
    <w:uiPriority w:val="99"/>
    <w:semiHidden/>
    <w:qFormat/>
    <w:rsid w:val="00A24B4B"/>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TOC11">
    <w:name w:val="TOC 11"/>
    <w:basedOn w:val="a"/>
    <w:next w:val="a"/>
    <w:uiPriority w:val="39"/>
    <w:unhideWhenUsed/>
    <w:qFormat/>
    <w:rsid w:val="00A24B4B"/>
    <w:pPr>
      <w:tabs>
        <w:tab w:val="right" w:leader="dot" w:pos="8296"/>
      </w:tabs>
      <w:spacing w:before="93"/>
      <w:jc w:val="center"/>
    </w:pPr>
    <w:rPr>
      <w:rFonts w:ascii="仿宋" w:eastAsia="仿宋" w:hAnsi="仿宋"/>
      <w:sz w:val="28"/>
      <w:szCs w:val="28"/>
    </w:rPr>
  </w:style>
  <w:style w:type="paragraph" w:customStyle="1" w:styleId="TOC21">
    <w:name w:val="TOC 21"/>
    <w:basedOn w:val="a"/>
    <w:next w:val="a"/>
    <w:uiPriority w:val="39"/>
    <w:unhideWhenUsed/>
    <w:qFormat/>
    <w:rsid w:val="00A24B4B"/>
    <w:pPr>
      <w:tabs>
        <w:tab w:val="right" w:leader="dot" w:pos="8296"/>
      </w:tabs>
      <w:ind w:leftChars="200" w:left="420"/>
    </w:pPr>
  </w:style>
  <w:style w:type="character" w:styleId="a5">
    <w:name w:val="Strong"/>
    <w:basedOn w:val="a0"/>
    <w:uiPriority w:val="99"/>
    <w:qFormat/>
    <w:rsid w:val="00A24B4B"/>
    <w:rPr>
      <w:b/>
    </w:rPr>
  </w:style>
  <w:style w:type="character" w:styleId="a6">
    <w:name w:val="Hyperlink"/>
    <w:basedOn w:val="a0"/>
    <w:uiPriority w:val="99"/>
    <w:unhideWhenUsed/>
    <w:qFormat/>
    <w:rsid w:val="00A24B4B"/>
    <w:rPr>
      <w:color w:val="0000FF" w:themeColor="hyperlink"/>
      <w:u w:val="single"/>
    </w:rPr>
  </w:style>
  <w:style w:type="character" w:customStyle="1" w:styleId="HeaderChar">
    <w:name w:val="Header Char"/>
    <w:basedOn w:val="a0"/>
    <w:uiPriority w:val="99"/>
    <w:semiHidden/>
    <w:qFormat/>
    <w:rsid w:val="00A24B4B"/>
    <w:rPr>
      <w:rFonts w:ascii="Times New Roman" w:hAnsi="Times New Roman"/>
      <w:sz w:val="18"/>
      <w:szCs w:val="18"/>
    </w:rPr>
  </w:style>
  <w:style w:type="character" w:customStyle="1" w:styleId="Char">
    <w:name w:val="页眉 Char"/>
    <w:uiPriority w:val="99"/>
    <w:semiHidden/>
    <w:qFormat/>
    <w:locked/>
    <w:rsid w:val="00A24B4B"/>
    <w:rPr>
      <w:sz w:val="18"/>
    </w:rPr>
  </w:style>
  <w:style w:type="character" w:customStyle="1" w:styleId="FooterChar">
    <w:name w:val="Footer Char"/>
    <w:basedOn w:val="a0"/>
    <w:uiPriority w:val="99"/>
    <w:semiHidden/>
    <w:qFormat/>
    <w:rsid w:val="00A24B4B"/>
    <w:rPr>
      <w:rFonts w:ascii="Times New Roman" w:hAnsi="Times New Roman"/>
      <w:sz w:val="18"/>
      <w:szCs w:val="18"/>
    </w:rPr>
  </w:style>
  <w:style w:type="character" w:customStyle="1" w:styleId="Char0">
    <w:name w:val="页脚 Char"/>
    <w:uiPriority w:val="99"/>
    <w:qFormat/>
    <w:locked/>
    <w:rsid w:val="00A24B4B"/>
    <w:rPr>
      <w:sz w:val="18"/>
    </w:rPr>
  </w:style>
  <w:style w:type="character" w:customStyle="1" w:styleId="BodyTextChar">
    <w:name w:val="Body Text Char"/>
    <w:basedOn w:val="a0"/>
    <w:uiPriority w:val="99"/>
    <w:semiHidden/>
    <w:qFormat/>
    <w:rsid w:val="00A24B4B"/>
    <w:rPr>
      <w:rFonts w:ascii="Times New Roman" w:hAnsi="Times New Roman"/>
      <w:szCs w:val="24"/>
    </w:rPr>
  </w:style>
  <w:style w:type="character" w:customStyle="1" w:styleId="Char1">
    <w:name w:val="正文文本 Char"/>
    <w:uiPriority w:val="99"/>
    <w:qFormat/>
    <w:locked/>
    <w:rsid w:val="00A24B4B"/>
    <w:rPr>
      <w:rFonts w:ascii="仿宋_GB2312" w:eastAsia="仿宋_GB2312" w:hAnsi="Times New Roman"/>
      <w:sz w:val="24"/>
    </w:rPr>
  </w:style>
  <w:style w:type="paragraph" w:customStyle="1" w:styleId="Default">
    <w:name w:val="Default"/>
    <w:uiPriority w:val="99"/>
    <w:qFormat/>
    <w:rsid w:val="00A24B4B"/>
    <w:pPr>
      <w:widowControl w:val="0"/>
      <w:autoSpaceDE w:val="0"/>
      <w:autoSpaceDN w:val="0"/>
      <w:adjustRightInd w:val="0"/>
    </w:pPr>
    <w:rPr>
      <w:rFonts w:ascii="仿宋" w:eastAsia="仿宋" w:hAnsi="Calibri" w:cs="仿宋"/>
      <w:color w:val="000000"/>
      <w:sz w:val="24"/>
      <w:szCs w:val="24"/>
    </w:rPr>
  </w:style>
  <w:style w:type="paragraph" w:styleId="a7">
    <w:name w:val="List Paragraph"/>
    <w:basedOn w:val="a"/>
    <w:uiPriority w:val="34"/>
    <w:qFormat/>
    <w:rsid w:val="00A24B4B"/>
    <w:pPr>
      <w:ind w:firstLineChars="200" w:firstLine="420"/>
    </w:pPr>
  </w:style>
  <w:style w:type="character" w:customStyle="1" w:styleId="1Char">
    <w:name w:val="标题 1 Char"/>
    <w:basedOn w:val="a0"/>
    <w:link w:val="11"/>
    <w:uiPriority w:val="9"/>
    <w:qFormat/>
    <w:rsid w:val="00A24B4B"/>
    <w:rPr>
      <w:rFonts w:ascii="Times New Roman" w:hAnsi="Times New Roman"/>
      <w:b/>
      <w:bCs/>
      <w:kern w:val="44"/>
      <w:sz w:val="44"/>
      <w:szCs w:val="44"/>
    </w:rPr>
  </w:style>
  <w:style w:type="character" w:customStyle="1" w:styleId="2Char">
    <w:name w:val="标题 2 Char"/>
    <w:basedOn w:val="a0"/>
    <w:link w:val="21"/>
    <w:uiPriority w:val="9"/>
    <w:qFormat/>
    <w:rsid w:val="00A24B4B"/>
    <w:rPr>
      <w:rFonts w:asciiTheme="majorHAnsi" w:eastAsiaTheme="majorEastAsia" w:hAnsiTheme="majorHAnsi" w:cstheme="majorBidi"/>
      <w:b/>
      <w:bCs/>
      <w:kern w:val="2"/>
      <w:sz w:val="32"/>
      <w:szCs w:val="32"/>
    </w:rPr>
  </w:style>
  <w:style w:type="paragraph" w:customStyle="1" w:styleId="TOC1">
    <w:name w:val="TOC 标题1"/>
    <w:basedOn w:val="11"/>
    <w:next w:val="a"/>
    <w:uiPriority w:val="39"/>
    <w:unhideWhenUsed/>
    <w:qFormat/>
    <w:rsid w:val="00A24B4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uiPriority w:val="99"/>
    <w:semiHidden/>
    <w:qFormat/>
    <w:rsid w:val="00A24B4B"/>
    <w:rPr>
      <w:rFonts w:ascii="Times New Roman" w:hAnsi="Times New Roman"/>
      <w:kern w:val="2"/>
      <w:sz w:val="18"/>
      <w:szCs w:val="18"/>
    </w:rPr>
  </w:style>
  <w:style w:type="character" w:customStyle="1" w:styleId="3Char">
    <w:name w:val="标题 3 Char"/>
    <w:basedOn w:val="a0"/>
    <w:link w:val="31"/>
    <w:uiPriority w:val="9"/>
    <w:qFormat/>
    <w:rsid w:val="00A24B4B"/>
    <w:rPr>
      <w:rFonts w:ascii="Times New Roman" w:hAnsi="Times New Roman"/>
      <w:b/>
      <w:bCs/>
      <w:kern w:val="2"/>
      <w:sz w:val="32"/>
      <w:szCs w:val="32"/>
    </w:rPr>
  </w:style>
  <w:style w:type="paragraph" w:customStyle="1" w:styleId="TOC2">
    <w:name w:val="TOC 标题2"/>
    <w:basedOn w:val="11"/>
    <w:next w:val="a"/>
    <w:uiPriority w:val="39"/>
    <w:unhideWhenUsed/>
    <w:qFormat/>
    <w:rsid w:val="00A24B4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91">
    <w:name w:val="font91"/>
    <w:basedOn w:val="a0"/>
    <w:qFormat/>
    <w:rsid w:val="00A24B4B"/>
    <w:rPr>
      <w:rFonts w:ascii="宋体" w:eastAsia="宋体" w:hAnsi="宋体" w:cs="宋体" w:hint="eastAsia"/>
      <w:b/>
      <w:color w:val="000000"/>
      <w:sz w:val="32"/>
      <w:szCs w:val="32"/>
      <w:u w:val="none"/>
    </w:rPr>
  </w:style>
  <w:style w:type="character" w:customStyle="1" w:styleId="font01">
    <w:name w:val="font01"/>
    <w:basedOn w:val="a0"/>
    <w:qFormat/>
    <w:rsid w:val="00A24B4B"/>
    <w:rPr>
      <w:rFonts w:ascii="宋体" w:eastAsia="宋体" w:hAnsi="宋体" w:cs="宋体" w:hint="eastAsia"/>
      <w:color w:val="000000"/>
      <w:sz w:val="32"/>
      <w:szCs w:val="32"/>
      <w:u w:val="none"/>
    </w:rPr>
  </w:style>
  <w:style w:type="character" w:customStyle="1" w:styleId="font61">
    <w:name w:val="font61"/>
    <w:basedOn w:val="a0"/>
    <w:qFormat/>
    <w:rsid w:val="00A24B4B"/>
    <w:rPr>
      <w:rFonts w:ascii="宋体" w:eastAsia="宋体" w:hAnsi="宋体" w:cs="宋体" w:hint="eastAsia"/>
      <w:color w:val="000000"/>
      <w:sz w:val="20"/>
      <w:szCs w:val="20"/>
      <w:u w:val="none"/>
    </w:rPr>
  </w:style>
  <w:style w:type="character" w:customStyle="1" w:styleId="font101">
    <w:name w:val="font101"/>
    <w:basedOn w:val="a0"/>
    <w:qFormat/>
    <w:rsid w:val="00A24B4B"/>
    <w:rPr>
      <w:rFonts w:ascii="宋体" w:eastAsia="宋体" w:hAnsi="宋体" w:cs="宋体"/>
      <w:color w:val="000000"/>
      <w:sz w:val="20"/>
      <w:szCs w:val="20"/>
      <w:u w:val="none"/>
    </w:rPr>
  </w:style>
  <w:style w:type="character" w:customStyle="1" w:styleId="font81">
    <w:name w:val="font81"/>
    <w:basedOn w:val="a0"/>
    <w:qFormat/>
    <w:rsid w:val="00A24B4B"/>
    <w:rPr>
      <w:rFonts w:ascii="宋体" w:eastAsia="宋体" w:hAnsi="宋体" w:cs="宋体" w:hint="eastAsia"/>
      <w:b/>
      <w:color w:val="000000"/>
      <w:sz w:val="32"/>
      <w:szCs w:val="32"/>
      <w:u w:val="none"/>
    </w:rPr>
  </w:style>
  <w:style w:type="character" w:customStyle="1" w:styleId="font21">
    <w:name w:val="font21"/>
    <w:basedOn w:val="a0"/>
    <w:qFormat/>
    <w:rsid w:val="00A24B4B"/>
    <w:rPr>
      <w:rFonts w:ascii="宋体" w:eastAsia="宋体" w:hAnsi="宋体" w:cs="宋体" w:hint="eastAsia"/>
      <w:color w:val="000000"/>
      <w:sz w:val="32"/>
      <w:szCs w:val="32"/>
      <w:u w:val="none"/>
    </w:rPr>
  </w:style>
  <w:style w:type="character" w:customStyle="1" w:styleId="font51">
    <w:name w:val="font51"/>
    <w:basedOn w:val="a0"/>
    <w:qFormat/>
    <w:rsid w:val="00A24B4B"/>
    <w:rPr>
      <w:rFonts w:ascii="宋体" w:eastAsia="宋体" w:hAnsi="宋体" w:cs="宋体" w:hint="eastAsia"/>
      <w:color w:val="000000"/>
      <w:sz w:val="32"/>
      <w:szCs w:val="32"/>
      <w:u w:val="none"/>
    </w:rPr>
  </w:style>
  <w:style w:type="character" w:customStyle="1" w:styleId="font11">
    <w:name w:val="font11"/>
    <w:basedOn w:val="a0"/>
    <w:qFormat/>
    <w:rsid w:val="00A24B4B"/>
    <w:rPr>
      <w:rFonts w:ascii="宋体" w:eastAsia="宋体" w:hAnsi="宋体" w:cs="宋体" w:hint="eastAsia"/>
      <w:color w:val="000000"/>
      <w:sz w:val="20"/>
      <w:szCs w:val="20"/>
      <w:u w:val="none"/>
    </w:rPr>
  </w:style>
  <w:style w:type="character" w:customStyle="1" w:styleId="font71">
    <w:name w:val="font71"/>
    <w:basedOn w:val="a0"/>
    <w:qFormat/>
    <w:rsid w:val="00A24B4B"/>
    <w:rPr>
      <w:rFonts w:ascii="宋体" w:eastAsia="宋体" w:hAnsi="宋体" w:cs="宋体" w:hint="eastAsia"/>
      <w:color w:val="000000"/>
      <w:sz w:val="20"/>
      <w:szCs w:val="20"/>
      <w:u w:val="none"/>
    </w:rPr>
  </w:style>
  <w:style w:type="table" w:styleId="a8">
    <w:name w:val="Table Grid"/>
    <w:basedOn w:val="a1"/>
    <w:rsid w:val="00A24B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annotation text"/>
    <w:basedOn w:val="a"/>
    <w:uiPriority w:val="99"/>
    <w:semiHidden/>
    <w:unhideWhenUsed/>
    <w:rsid w:val="00A24B4B"/>
    <w:pPr>
      <w:jc w:val="left"/>
    </w:pPr>
  </w:style>
  <w:style w:type="character" w:customStyle="1" w:styleId="Char3">
    <w:name w:val="批注文字 Char"/>
    <w:basedOn w:val="a0"/>
    <w:uiPriority w:val="99"/>
    <w:semiHidden/>
    <w:rsid w:val="00A24B4B"/>
    <w:rPr>
      <w:kern w:val="2"/>
      <w:sz w:val="21"/>
      <w:szCs w:val="24"/>
    </w:rPr>
  </w:style>
  <w:style w:type="character" w:styleId="aa">
    <w:name w:val="annotation reference"/>
    <w:basedOn w:val="a0"/>
    <w:uiPriority w:val="99"/>
    <w:semiHidden/>
    <w:unhideWhenUsed/>
    <w:rsid w:val="00A24B4B"/>
    <w:rPr>
      <w:sz w:val="21"/>
      <w:szCs w:val="21"/>
    </w:rPr>
  </w:style>
  <w:style w:type="paragraph" w:customStyle="1" w:styleId="Header0">
    <w:name w:val="Header0"/>
    <w:basedOn w:val="a"/>
    <w:uiPriority w:val="99"/>
    <w:semiHidden/>
    <w:qFormat/>
    <w:rsid w:val="00F419F2"/>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F419F2"/>
    <w:rPr>
      <w:kern w:val="2"/>
      <w:sz w:val="18"/>
      <w:szCs w:val="18"/>
    </w:rPr>
  </w:style>
  <w:style w:type="paragraph" w:customStyle="1" w:styleId="Footer0">
    <w:name w:val="Footer0"/>
    <w:basedOn w:val="a"/>
    <w:uiPriority w:val="99"/>
    <w:qFormat/>
    <w:rsid w:val="00F419F2"/>
    <w:pPr>
      <w:tabs>
        <w:tab w:val="center" w:pos="4153"/>
        <w:tab w:val="right" w:pos="8306"/>
      </w:tabs>
      <w:snapToGrid w:val="0"/>
      <w:jc w:val="left"/>
    </w:pPr>
    <w:rPr>
      <w:sz w:val="18"/>
      <w:szCs w:val="18"/>
    </w:rPr>
  </w:style>
  <w:style w:type="character" w:customStyle="1" w:styleId="Char11">
    <w:name w:val="页脚 Char1"/>
    <w:basedOn w:val="a0"/>
    <w:uiPriority w:val="99"/>
    <w:rsid w:val="00F419F2"/>
    <w:rPr>
      <w:kern w:val="2"/>
      <w:sz w:val="18"/>
      <w:szCs w:val="18"/>
    </w:rPr>
  </w:style>
  <w:style w:type="paragraph" w:styleId="ab">
    <w:name w:val="Revision"/>
    <w:hidden/>
    <w:uiPriority w:val="99"/>
    <w:unhideWhenUsed/>
    <w:rsid w:val="002D6F40"/>
    <w:rPr>
      <w:kern w:val="2"/>
      <w:sz w:val="21"/>
      <w:szCs w:val="24"/>
    </w:rPr>
  </w:style>
  <w:style w:type="paragraph" w:styleId="ac">
    <w:name w:val="header"/>
    <w:basedOn w:val="a"/>
    <w:link w:val="ad"/>
    <w:uiPriority w:val="99"/>
    <w:semiHidden/>
    <w:qFormat/>
    <w:rsid w:val="00BD4A83"/>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semiHidden/>
    <w:rsid w:val="00BD4A83"/>
    <w:rPr>
      <w:kern w:val="2"/>
      <w:sz w:val="18"/>
      <w:szCs w:val="18"/>
    </w:rPr>
  </w:style>
  <w:style w:type="paragraph" w:styleId="ae">
    <w:name w:val="footer"/>
    <w:basedOn w:val="a"/>
    <w:link w:val="af"/>
    <w:uiPriority w:val="99"/>
    <w:qFormat/>
    <w:rsid w:val="00BD4A83"/>
    <w:pPr>
      <w:tabs>
        <w:tab w:val="center" w:pos="4153"/>
        <w:tab w:val="right" w:pos="8306"/>
      </w:tabs>
      <w:snapToGrid w:val="0"/>
      <w:jc w:val="left"/>
    </w:pPr>
    <w:rPr>
      <w:sz w:val="18"/>
      <w:szCs w:val="18"/>
    </w:rPr>
  </w:style>
  <w:style w:type="character" w:customStyle="1" w:styleId="af">
    <w:name w:val="页脚 字符"/>
    <w:basedOn w:val="a0"/>
    <w:link w:val="ae"/>
    <w:uiPriority w:val="99"/>
    <w:rsid w:val="00BD4A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hart" Target="charts/chart5.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chart" Target="charts/chart4.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chart" Target="charts/chart3.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844;&#24320;&#38468;&#2227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0915;&#31639;&#20844;&#24320;&#38468;&#2227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0915;&#31639;&#20844;&#24320;&#38468;&#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38468;&#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844;&#24320;&#38468;&#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844;&#24320;&#38468;&#2227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20915;&#31639;&#20844;&#24320;&#3846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1</a:t>
            </a:r>
            <a:r>
              <a:rPr lang="zh-CN" altLang="en-US"/>
              <a:t>：收入、支出决算变动情况图</a:t>
            </a:r>
          </a:p>
        </c:rich>
      </c:tx>
      <c:layout>
        <c:manualLayout>
          <c:xMode val="edge"/>
          <c:yMode val="edge"/>
          <c:x val="0.104583333333333"/>
          <c:y val="2.7777777777777842E-2"/>
        </c:manualLayout>
      </c:layout>
      <c:overlay val="0"/>
    </c:title>
    <c:autoTitleDeleted val="0"/>
    <c:plotArea>
      <c:layout/>
      <c:barChart>
        <c:barDir val="col"/>
        <c:grouping val="clustered"/>
        <c:varyColors val="0"/>
        <c:ser>
          <c:idx val="0"/>
          <c:order val="0"/>
          <c:tx>
            <c:strRef>
              <c:f>[决算公开附图.xlsx]Sheet1!$C$25</c:f>
              <c:strCache>
                <c:ptCount val="1"/>
                <c:pt idx="0">
                  <c:v>金额</c:v>
                </c:pt>
              </c:strCache>
            </c:strRef>
          </c:tx>
          <c:invertIfNegative val="0"/>
          <c:cat>
            <c:strRef>
              <c:f>[决算公开附图.xlsx]Sheet1!$B$26:$B$29</c:f>
              <c:strCache>
                <c:ptCount val="4"/>
                <c:pt idx="0">
                  <c:v>2020年收入支出预算执行数</c:v>
                </c:pt>
                <c:pt idx="1">
                  <c:v>2021年收入支出预算执行数</c:v>
                </c:pt>
                <c:pt idx="2">
                  <c:v>较2020年增加数</c:v>
                </c:pt>
                <c:pt idx="3">
                  <c:v>较2020年增加比例</c:v>
                </c:pt>
              </c:strCache>
            </c:strRef>
          </c:cat>
          <c:val>
            <c:numRef>
              <c:f>[决算公开附图.xlsx]Sheet1!$C$26:$C$29</c:f>
              <c:numCache>
                <c:formatCode>General</c:formatCode>
                <c:ptCount val="4"/>
                <c:pt idx="0">
                  <c:v>1452.08</c:v>
                </c:pt>
                <c:pt idx="1">
                  <c:v>2377.94</c:v>
                </c:pt>
                <c:pt idx="2">
                  <c:v>925.85999999999956</c:v>
                </c:pt>
                <c:pt idx="3" formatCode="0.00%">
                  <c:v>0.63760000000000072</c:v>
                </c:pt>
              </c:numCache>
            </c:numRef>
          </c:val>
          <c:extLst>
            <c:ext xmlns:c16="http://schemas.microsoft.com/office/drawing/2014/chart" uri="{C3380CC4-5D6E-409C-BE32-E72D297353CC}">
              <c16:uniqueId val="{00000000-E3FD-4244-9943-BE6B505D6758}"/>
            </c:ext>
          </c:extLst>
        </c:ser>
        <c:dLbls>
          <c:showLegendKey val="0"/>
          <c:showVal val="0"/>
          <c:showCatName val="0"/>
          <c:showSerName val="0"/>
          <c:showPercent val="0"/>
          <c:showBubbleSize val="0"/>
        </c:dLbls>
        <c:gapWidth val="150"/>
        <c:axId val="327736704"/>
        <c:axId val="439875072"/>
      </c:barChart>
      <c:catAx>
        <c:axId val="32773670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39875072"/>
        <c:crosses val="autoZero"/>
        <c:auto val="1"/>
        <c:lblAlgn val="ctr"/>
        <c:lblOffset val="100"/>
        <c:noMultiLvlLbl val="0"/>
      </c:catAx>
      <c:valAx>
        <c:axId val="43987507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7736704"/>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spPr>
        <a:solidFill>
          <a:schemeClr val="bg1"/>
        </a:solidFill>
        <a:ln>
          <a:noFill/>
        </a:ln>
        <a:effectLst/>
      </c:spPr>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87139107611611"/>
          <c:y val="0.3326522910126446"/>
          <c:w val="0.35781277340332523"/>
          <c:h val="0.56127493867188272"/>
        </c:manualLayout>
      </c:layout>
      <c:pieChart>
        <c:varyColors val="1"/>
        <c:ser>
          <c:idx val="0"/>
          <c:order val="0"/>
          <c:dLbls>
            <c:dLbl>
              <c:idx val="0"/>
              <c:layout>
                <c:manualLayout>
                  <c:x val="-6.8750000000000019E-2"/>
                  <c:y val="0"/>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0E-419E-9B84-F0537DD68729}"/>
                </c:ext>
              </c:extLst>
            </c:dLbl>
            <c:dLbl>
              <c:idx val="1"/>
              <c:layout>
                <c:manualLayout>
                  <c:x val="0.22864260717410401"/>
                  <c:y val="8.169934640522921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0E-419E-9B84-F0537DD68729}"/>
                </c:ext>
              </c:extLst>
            </c:dLbl>
            <c:dLbl>
              <c:idx val="2"/>
              <c:layout>
                <c:manualLayout>
                  <c:x val="-0.23350328083989522"/>
                  <c:y val="0.2939135059098005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0E-419E-9B84-F0537DD68729}"/>
                </c:ext>
              </c:extLst>
            </c:dLbl>
            <c:dLbl>
              <c:idx val="3"/>
              <c:layout>
                <c:manualLayout>
                  <c:x val="0.26526968503937021"/>
                  <c:y val="0.22080318391573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0E-419E-9B84-F0537DD68729}"/>
                </c:ext>
              </c:extLst>
            </c:dLbl>
            <c:dLbl>
              <c:idx val="5"/>
              <c:layout>
                <c:manualLayout>
                  <c:x val="6.6665880804585104E-2"/>
                  <c:y val="0.25141051412609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0E-419E-9B84-F0537DD68729}"/>
                </c:ext>
              </c:extLst>
            </c:dLbl>
            <c:dLbl>
              <c:idx val="6"/>
              <c:layout>
                <c:manualLayout>
                  <c:x val="-1.4584226434829499E-2"/>
                  <c:y val="0.17894711543282329"/>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0180555555555599"/>
                      <c:h val="0.124400871459695"/>
                    </c:manualLayout>
                  </c15:layout>
                </c:ext>
                <c:ext xmlns:c16="http://schemas.microsoft.com/office/drawing/2014/chart" uri="{C3380CC4-5D6E-409C-BE32-E72D297353CC}">
                  <c16:uniqueId val="{00000005-7D0E-419E-9B84-F0537DD68729}"/>
                </c:ext>
              </c:extLst>
            </c:dLbl>
            <c:dLbl>
              <c:idx val="7"/>
              <c:layout>
                <c:manualLayout>
                  <c:x val="-0.14583333333333318"/>
                  <c:y val="5.88235294117647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0E-419E-9B84-F0537DD68729}"/>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[决算公开附图.xlsx]Sheet1!$B$2:$B$13</c:f>
              <c:strCache>
                <c:ptCount val="8"/>
                <c:pt idx="0">
                  <c:v>一般公共预算财政拨款收入</c:v>
                </c:pt>
                <c:pt idx="1">
                  <c:v>政府性基金财政预算拨款</c:v>
                </c:pt>
                <c:pt idx="2">
                  <c:v>国有资本经营预算财政拨款收入</c:v>
                </c:pt>
                <c:pt idx="3">
                  <c:v>上级补助收入</c:v>
                </c:pt>
                <c:pt idx="4">
                  <c:v>事业收入</c:v>
                </c:pt>
                <c:pt idx="5">
                  <c:v>经营收入</c:v>
                </c:pt>
                <c:pt idx="6">
                  <c:v>附属单位上缴收入</c:v>
                </c:pt>
                <c:pt idx="7">
                  <c:v>其他收入</c:v>
                </c:pt>
              </c:strCache>
            </c:strRef>
          </c:cat>
          <c:val>
            <c:numRef>
              <c:f>[决算公开附图.xlsx]Sheet1!$C$2:$C$13</c:f>
              <c:numCache>
                <c:formatCode>General</c:formatCode>
                <c:ptCount val="8"/>
                <c:pt idx="0">
                  <c:v>2377.94</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7-7D0E-419E-9B84-F0537DD68729}"/>
            </c:ext>
          </c:extLst>
        </c:ser>
        <c:ser>
          <c:idx val="1"/>
          <c:order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[决算公开附图.xlsx]Sheet1!$B$2:$B$13</c:f>
              <c:strCache>
                <c:ptCount val="8"/>
                <c:pt idx="0">
                  <c:v>一般公共预算财政拨款收入</c:v>
                </c:pt>
                <c:pt idx="1">
                  <c:v>政府性基金财政预算拨款</c:v>
                </c:pt>
                <c:pt idx="2">
                  <c:v>国有资本经营预算财政拨款收入</c:v>
                </c:pt>
                <c:pt idx="3">
                  <c:v>上级补助收入</c:v>
                </c:pt>
                <c:pt idx="4">
                  <c:v>事业收入</c:v>
                </c:pt>
                <c:pt idx="5">
                  <c:v>经营收入</c:v>
                </c:pt>
                <c:pt idx="6">
                  <c:v>附属单位上缴收入</c:v>
                </c:pt>
                <c:pt idx="7">
                  <c:v>其他收入</c:v>
                </c:pt>
              </c:strCache>
            </c:strRef>
          </c:cat>
          <c:val>
            <c:numRef>
              <c:f>[决算公开附图.xlsx]Sheet1!$D$2:$D$13</c:f>
              <c:numCache>
                <c:formatCode>0.00%</c:formatCode>
                <c:ptCount val="8"/>
                <c:pt idx="0">
                  <c:v>1</c:v>
                </c:pt>
                <c:pt idx="1">
                  <c:v>0</c:v>
                </c:pt>
                <c:pt idx="2">
                  <c:v>0</c:v>
                </c:pt>
              </c:numCache>
            </c:numRef>
          </c:val>
          <c:extLst>
            <c:ext xmlns:c16="http://schemas.microsoft.com/office/drawing/2014/chart" uri="{C3380CC4-5D6E-409C-BE32-E72D297353CC}">
              <c16:uniqueId val="{00000008-7D0E-419E-9B84-F0537DD68729}"/>
            </c:ext>
          </c:extLst>
        </c:ser>
        <c:dLbls>
          <c:showLegendKey val="0"/>
          <c:showVal val="1"/>
          <c:showCatName val="1"/>
          <c:showSerName val="0"/>
          <c:showPercent val="0"/>
          <c:showBubbleSize val="0"/>
          <c:showLeaderLines val="1"/>
        </c:dLbls>
        <c:firstSliceAng val="0"/>
      </c:pieChart>
    </c:plotArea>
    <c:plotVisOnly val="1"/>
    <c:dispBlanksAs val="zero"/>
    <c:showDLblsOverMax val="0"/>
  </c:chart>
  <c:txPr>
    <a:bodyPr/>
    <a:lstStyle/>
    <a:p>
      <a:pPr>
        <a:defRPr lang="zh-CN"/>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87139107611611"/>
          <c:y val="0.3326522910126446"/>
          <c:w val="0.35781277340332523"/>
          <c:h val="0.56127493867188272"/>
        </c:manualLayout>
      </c:layout>
      <c:pieChart>
        <c:varyColors val="1"/>
        <c:ser>
          <c:idx val="0"/>
          <c:order val="0"/>
          <c:dLbls>
            <c:dLbl>
              <c:idx val="0"/>
              <c:layout>
                <c:manualLayout>
                  <c:x val="-6.8750000000000019E-2"/>
                  <c:y val="0"/>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06-4F56-9274-4E578C9E0B68}"/>
                </c:ext>
              </c:extLst>
            </c:dLbl>
            <c:dLbl>
              <c:idx val="1"/>
              <c:layout>
                <c:manualLayout>
                  <c:x val="0.22864260717410401"/>
                  <c:y val="8.169934640522921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06-4F56-9274-4E578C9E0B68}"/>
                </c:ext>
              </c:extLst>
            </c:dLbl>
            <c:dLbl>
              <c:idx val="2"/>
              <c:layout>
                <c:manualLayout>
                  <c:x val="-0.23350328083989522"/>
                  <c:y val="0.2939135059098005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06-4F56-9274-4E578C9E0B68}"/>
                </c:ext>
              </c:extLst>
            </c:dLbl>
            <c:dLbl>
              <c:idx val="3"/>
              <c:layout>
                <c:manualLayout>
                  <c:x val="0.26526968503937021"/>
                  <c:y val="0.22080318391573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06-4F56-9274-4E578C9E0B68}"/>
                </c:ext>
              </c:extLst>
            </c:dLbl>
            <c:dLbl>
              <c:idx val="5"/>
              <c:layout>
                <c:manualLayout>
                  <c:x val="6.6665880804585104E-2"/>
                  <c:y val="0.25141051412609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06-4F56-9274-4E578C9E0B68}"/>
                </c:ext>
              </c:extLst>
            </c:dLbl>
            <c:dLbl>
              <c:idx val="6"/>
              <c:layout>
                <c:manualLayout>
                  <c:x val="-1.4584226434829499E-2"/>
                  <c:y val="0.17894711543282329"/>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0180555555555599"/>
                      <c:h val="0.124400871459695"/>
                    </c:manualLayout>
                  </c15:layout>
                </c:ext>
                <c:ext xmlns:c16="http://schemas.microsoft.com/office/drawing/2014/chart" uri="{C3380CC4-5D6E-409C-BE32-E72D297353CC}">
                  <c16:uniqueId val="{00000005-4506-4F56-9274-4E578C9E0B68}"/>
                </c:ext>
              </c:extLst>
            </c:dLbl>
            <c:dLbl>
              <c:idx val="7"/>
              <c:layout>
                <c:manualLayout>
                  <c:x val="-0.14583333333333318"/>
                  <c:y val="5.88235294117647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06-4F56-9274-4E578C9E0B68}"/>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[决算公开附图.xlsx]Sheet1!$B$2:$B$13</c:f>
              <c:strCache>
                <c:ptCount val="8"/>
                <c:pt idx="0">
                  <c:v>基本支出</c:v>
                </c:pt>
                <c:pt idx="1">
                  <c:v>项目支出</c:v>
                </c:pt>
              </c:strCache>
            </c:strRef>
          </c:cat>
          <c:val>
            <c:numRef>
              <c:f>[决算公开附图.xlsx]Sheet1!$C$2:$C$13</c:f>
              <c:numCache>
                <c:formatCode>General</c:formatCode>
                <c:ptCount val="8"/>
                <c:pt idx="0">
                  <c:v>948.65</c:v>
                </c:pt>
                <c:pt idx="1">
                  <c:v>1429.3</c:v>
                </c:pt>
              </c:numCache>
            </c:numRef>
          </c:val>
          <c:extLst>
            <c:ext xmlns:c16="http://schemas.microsoft.com/office/drawing/2014/chart" uri="{C3380CC4-5D6E-409C-BE32-E72D297353CC}">
              <c16:uniqueId val="{00000007-4506-4F56-9274-4E578C9E0B68}"/>
            </c:ext>
          </c:extLst>
        </c:ser>
        <c:ser>
          <c:idx val="1"/>
          <c:order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[决算公开附图.xlsx]Sheet1!$B$2:$B$13</c:f>
              <c:strCache>
                <c:ptCount val="8"/>
                <c:pt idx="0">
                  <c:v>基本支出</c:v>
                </c:pt>
                <c:pt idx="1">
                  <c:v>项目支出</c:v>
                </c:pt>
              </c:strCache>
            </c:strRef>
          </c:cat>
          <c:val>
            <c:numRef>
              <c:f>[决算公开附图.xlsx]Sheet1!$D$2:$D$13</c:f>
              <c:numCache>
                <c:formatCode>0.00%</c:formatCode>
                <c:ptCount val="8"/>
                <c:pt idx="0">
                  <c:v>0.39893773602361721</c:v>
                </c:pt>
                <c:pt idx="1">
                  <c:v>0.60106646929695429</c:v>
                </c:pt>
              </c:numCache>
            </c:numRef>
          </c:val>
          <c:extLst>
            <c:ext xmlns:c16="http://schemas.microsoft.com/office/drawing/2014/chart" uri="{C3380CC4-5D6E-409C-BE32-E72D297353CC}">
              <c16:uniqueId val="{00000008-4506-4F56-9274-4E578C9E0B68}"/>
            </c:ext>
          </c:extLst>
        </c:ser>
        <c:dLbls>
          <c:showLegendKey val="0"/>
          <c:showVal val="1"/>
          <c:showCatName val="1"/>
          <c:showSerName val="0"/>
          <c:showPercent val="0"/>
          <c:showBubbleSize val="0"/>
          <c:showLeaderLines val="1"/>
        </c:dLbls>
        <c:firstSliceAng val="0"/>
      </c:pieChart>
    </c:plotArea>
    <c:plotVisOnly val="1"/>
    <c:dispBlanksAs val="zero"/>
    <c:showDLblsOverMax val="0"/>
  </c:chart>
  <c:txPr>
    <a:bodyPr/>
    <a:lstStyle/>
    <a:p>
      <a:pPr>
        <a:defRPr lang="zh-CN"/>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4</a:t>
            </a:r>
            <a:r>
              <a:rPr lang="zh-CN" altLang="en-US"/>
              <a:t>：收入、支出决算变动情况图</a:t>
            </a:r>
          </a:p>
        </c:rich>
      </c:tx>
      <c:layout>
        <c:manualLayout>
          <c:xMode val="edge"/>
          <c:yMode val="edge"/>
          <c:x val="0.104583333333333"/>
          <c:y val="2.7777777777777842E-2"/>
        </c:manualLayout>
      </c:layout>
      <c:overlay val="0"/>
    </c:title>
    <c:autoTitleDeleted val="0"/>
    <c:plotArea>
      <c:layout/>
      <c:barChart>
        <c:barDir val="col"/>
        <c:grouping val="clustered"/>
        <c:varyColors val="0"/>
        <c:ser>
          <c:idx val="0"/>
          <c:order val="0"/>
          <c:tx>
            <c:strRef>
              <c:f>[决算公开附图.xlsx]Sheet1!$C$25</c:f>
              <c:strCache>
                <c:ptCount val="1"/>
                <c:pt idx="0">
                  <c:v>金额</c:v>
                </c:pt>
              </c:strCache>
            </c:strRef>
          </c:tx>
          <c:invertIfNegative val="0"/>
          <c:cat>
            <c:strRef>
              <c:f>[决算公开附图.xlsx]Sheet1!$B$26:$B$29</c:f>
              <c:strCache>
                <c:ptCount val="4"/>
                <c:pt idx="0">
                  <c:v>2020年收入支出预算执行数</c:v>
                </c:pt>
                <c:pt idx="1">
                  <c:v>2021年收入支出预算执行数</c:v>
                </c:pt>
                <c:pt idx="2">
                  <c:v>较2020年增加数</c:v>
                </c:pt>
                <c:pt idx="3">
                  <c:v>较2020年增加比例</c:v>
                </c:pt>
              </c:strCache>
            </c:strRef>
          </c:cat>
          <c:val>
            <c:numRef>
              <c:f>[决算公开附图.xlsx]Sheet1!$C$26:$C$29</c:f>
              <c:numCache>
                <c:formatCode>General</c:formatCode>
                <c:ptCount val="4"/>
                <c:pt idx="0">
                  <c:v>1452.08</c:v>
                </c:pt>
                <c:pt idx="1">
                  <c:v>2377.94</c:v>
                </c:pt>
                <c:pt idx="2">
                  <c:v>925.85999999999956</c:v>
                </c:pt>
                <c:pt idx="3" formatCode="0.00%">
                  <c:v>0.63760000000000072</c:v>
                </c:pt>
              </c:numCache>
            </c:numRef>
          </c:val>
          <c:extLst>
            <c:ext xmlns:c16="http://schemas.microsoft.com/office/drawing/2014/chart" uri="{C3380CC4-5D6E-409C-BE32-E72D297353CC}">
              <c16:uniqueId val="{00000000-5F56-482C-9DF4-E79ECBA2265F}"/>
            </c:ext>
          </c:extLst>
        </c:ser>
        <c:dLbls>
          <c:showLegendKey val="0"/>
          <c:showVal val="0"/>
          <c:showCatName val="0"/>
          <c:showSerName val="0"/>
          <c:showPercent val="0"/>
          <c:showBubbleSize val="0"/>
        </c:dLbls>
        <c:gapWidth val="150"/>
        <c:axId val="416425472"/>
        <c:axId val="416427008"/>
      </c:barChart>
      <c:catAx>
        <c:axId val="416425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6427008"/>
        <c:crosses val="autoZero"/>
        <c:auto val="1"/>
        <c:lblAlgn val="ctr"/>
        <c:lblOffset val="100"/>
        <c:noMultiLvlLbl val="0"/>
      </c:catAx>
      <c:valAx>
        <c:axId val="41642700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642547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spPr>
        <a:solidFill>
          <a:schemeClr val="bg1"/>
        </a:solidFill>
        <a:ln>
          <a:noFill/>
        </a:ln>
        <a:effectLst/>
      </c:spPr>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5</a:t>
            </a:r>
            <a:r>
              <a:rPr lang="zh-CN" altLang="en-US"/>
              <a:t>：一般公共预算财政拨款支出决算变动情况图</a:t>
            </a:r>
          </a:p>
        </c:rich>
      </c:tx>
      <c:layout>
        <c:manualLayout>
          <c:xMode val="edge"/>
          <c:yMode val="edge"/>
          <c:x val="0.104583333333333"/>
          <c:y val="2.7777777777777842E-2"/>
        </c:manualLayout>
      </c:layout>
      <c:overlay val="0"/>
    </c:title>
    <c:autoTitleDeleted val="0"/>
    <c:plotArea>
      <c:layout/>
      <c:barChart>
        <c:barDir val="col"/>
        <c:grouping val="clustered"/>
        <c:varyColors val="0"/>
        <c:ser>
          <c:idx val="0"/>
          <c:order val="0"/>
          <c:tx>
            <c:strRef>
              <c:f>[决算公开附图.xlsx]Sheet1!$C$25</c:f>
              <c:strCache>
                <c:ptCount val="1"/>
                <c:pt idx="0">
                  <c:v>金额</c:v>
                </c:pt>
              </c:strCache>
            </c:strRef>
          </c:tx>
          <c:invertIfNegative val="0"/>
          <c:cat>
            <c:strRef>
              <c:f>[决算公开附图.xlsx]Sheet1!$B$26:$B$29</c:f>
              <c:strCache>
                <c:ptCount val="4"/>
                <c:pt idx="0">
                  <c:v>2020年收入支出预算执行数</c:v>
                </c:pt>
                <c:pt idx="1">
                  <c:v>2021年收入支出预算执行数</c:v>
                </c:pt>
                <c:pt idx="2">
                  <c:v>较2020年增加数</c:v>
                </c:pt>
                <c:pt idx="3">
                  <c:v>较2020年增加比例</c:v>
                </c:pt>
              </c:strCache>
            </c:strRef>
          </c:cat>
          <c:val>
            <c:numRef>
              <c:f>[决算公开附图.xlsx]Sheet1!$C$26:$C$29</c:f>
              <c:numCache>
                <c:formatCode>General</c:formatCode>
                <c:ptCount val="4"/>
                <c:pt idx="0">
                  <c:v>1452.08</c:v>
                </c:pt>
                <c:pt idx="1">
                  <c:v>2377.94</c:v>
                </c:pt>
                <c:pt idx="2">
                  <c:v>925.85999999999956</c:v>
                </c:pt>
                <c:pt idx="3" formatCode="0.00%">
                  <c:v>0.63760000000000072</c:v>
                </c:pt>
              </c:numCache>
            </c:numRef>
          </c:val>
          <c:extLst>
            <c:ext xmlns:c16="http://schemas.microsoft.com/office/drawing/2014/chart" uri="{C3380CC4-5D6E-409C-BE32-E72D297353CC}">
              <c16:uniqueId val="{00000000-AFDF-4E61-94B0-FC9ED7FEF082}"/>
            </c:ext>
          </c:extLst>
        </c:ser>
        <c:dLbls>
          <c:showLegendKey val="0"/>
          <c:showVal val="0"/>
          <c:showCatName val="0"/>
          <c:showSerName val="0"/>
          <c:showPercent val="0"/>
          <c:showBubbleSize val="0"/>
        </c:dLbls>
        <c:gapWidth val="150"/>
        <c:axId val="416448896"/>
        <c:axId val="416450432"/>
      </c:barChart>
      <c:catAx>
        <c:axId val="41644889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6450432"/>
        <c:crosses val="autoZero"/>
        <c:auto val="1"/>
        <c:lblAlgn val="ctr"/>
        <c:lblOffset val="100"/>
        <c:noMultiLvlLbl val="0"/>
      </c:catAx>
      <c:valAx>
        <c:axId val="41645043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6448896"/>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spPr>
        <a:solidFill>
          <a:schemeClr val="bg1"/>
        </a:solidFill>
        <a:ln>
          <a:noFill/>
        </a:ln>
        <a:effectLst/>
      </c:spPr>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cap="all" baseline="0">
                <a:solidFill>
                  <a:schemeClr val="tx1">
                    <a:lumMod val="65000"/>
                    <a:lumOff val="35000"/>
                  </a:schemeClr>
                </a:solidFill>
                <a:latin typeface="+mn-lt"/>
                <a:ea typeface="+mn-ea"/>
                <a:cs typeface="+mn-cs"/>
              </a:defRPr>
            </a:pPr>
            <a:r>
              <a:rPr lang="zh-CN" altLang="en-US"/>
              <a:t>图</a:t>
            </a:r>
            <a:r>
              <a:rPr lang="en-US" altLang="zh-CN"/>
              <a:t>6</a:t>
            </a:r>
            <a:r>
              <a:rPr lang="zh-CN" altLang="en-US"/>
              <a:t>：一般公共预算财政拨款决算支出结构图</a:t>
            </a:r>
          </a:p>
        </c:rich>
      </c:tx>
      <c:layout>
        <c:manualLayout>
          <c:xMode val="edge"/>
          <c:yMode val="edge"/>
          <c:x val="0.1372785829307569"/>
          <c:y val="2.2940790911077112E-2"/>
        </c:manualLayout>
      </c:layout>
      <c:overlay val="0"/>
      <c:spPr>
        <a:noFill/>
        <a:ln>
          <a:noFill/>
        </a:ln>
        <a:effectLst/>
      </c:spPr>
    </c:title>
    <c:autoTitleDeleted val="0"/>
    <c:plotArea>
      <c:layout/>
      <c:pieChart>
        <c:varyColors val="1"/>
        <c:ser>
          <c:idx val="0"/>
          <c:order val="0"/>
          <c:spPr>
            <a:scene3d>
              <a:camera prst="orthographicFront"/>
              <a:lightRig rig="threePt" dir="t"/>
            </a:scene3d>
            <a:sp3d contourW="19050"/>
          </c:spPr>
          <c:dPt>
            <c:idx val="0"/>
            <c:bubble3D val="0"/>
            <c:spPr>
              <a:solidFill>
                <a:schemeClr val="accent1">
                  <a:shade val="76667"/>
                  <a:alpha val="90000"/>
                </a:schemeClr>
              </a:solidFill>
              <a:ln w="19050">
                <a:solidFill>
                  <a:schemeClr val="accent1">
                    <a:shade val="76667"/>
                    <a:lumMod val="75000"/>
                  </a:schemeClr>
                </a:solidFill>
              </a:ln>
              <a:effectLst>
                <a:innerShdw blurRad="114300">
                  <a:schemeClr val="accent1">
                    <a:shade val="76667"/>
                    <a:lumMod val="75000"/>
                  </a:schemeClr>
                </a:innerShdw>
              </a:effectLst>
            </c:spPr>
            <c:extLst>
              <c:ext xmlns:c16="http://schemas.microsoft.com/office/drawing/2014/chart" uri="{C3380CC4-5D6E-409C-BE32-E72D297353CC}">
                <c16:uniqueId val="{00000000-79CA-49A1-8B64-F14389EB5EB3}"/>
              </c:ext>
            </c:extLst>
          </c:dPt>
          <c:dPt>
            <c:idx val="1"/>
            <c:bubble3D val="0"/>
            <c:spPr>
              <a:solidFill>
                <a:schemeClr val="accent2">
                  <a:shade val="76667"/>
                  <a:alpha val="90000"/>
                </a:schemeClr>
              </a:solidFill>
              <a:ln w="19050">
                <a:solidFill>
                  <a:schemeClr val="accent2">
                    <a:shade val="76667"/>
                    <a:lumMod val="75000"/>
                  </a:schemeClr>
                </a:solidFill>
              </a:ln>
              <a:effectLst>
                <a:innerShdw blurRad="114300">
                  <a:schemeClr val="accent2">
                    <a:shade val="76667"/>
                    <a:lumMod val="75000"/>
                  </a:schemeClr>
                </a:innerShdw>
              </a:effectLst>
            </c:spPr>
            <c:extLst>
              <c:ext xmlns:c16="http://schemas.microsoft.com/office/drawing/2014/chart" uri="{C3380CC4-5D6E-409C-BE32-E72D297353CC}">
                <c16:uniqueId val="{00000001-79CA-49A1-8B64-F14389EB5EB3}"/>
              </c:ext>
            </c:extLst>
          </c:dPt>
          <c:dPt>
            <c:idx val="2"/>
            <c:bubble3D val="0"/>
            <c:spPr>
              <a:solidFill>
                <a:schemeClr val="accent3">
                  <a:shade val="76667"/>
                  <a:alpha val="90000"/>
                </a:schemeClr>
              </a:solidFill>
              <a:ln w="19050">
                <a:solidFill>
                  <a:schemeClr val="accent3">
                    <a:shade val="76667"/>
                    <a:lumMod val="75000"/>
                  </a:schemeClr>
                </a:solidFill>
              </a:ln>
              <a:effectLst>
                <a:innerShdw blurRad="114300">
                  <a:schemeClr val="accent3">
                    <a:shade val="76667"/>
                    <a:lumMod val="75000"/>
                  </a:schemeClr>
                </a:innerShdw>
              </a:effectLst>
            </c:spPr>
            <c:extLst>
              <c:ext xmlns:c16="http://schemas.microsoft.com/office/drawing/2014/chart" uri="{C3380CC4-5D6E-409C-BE32-E72D297353CC}">
                <c16:uniqueId val="{00000002-79CA-49A1-8B64-F14389EB5EB3}"/>
              </c:ext>
            </c:extLst>
          </c:dPt>
          <c:dPt>
            <c:idx val="3"/>
            <c:bubble3D val="0"/>
            <c:spPr>
              <a:solidFill>
                <a:schemeClr val="accent4">
                  <a:shade val="76667"/>
                  <a:alpha val="90000"/>
                </a:schemeClr>
              </a:solidFill>
              <a:ln w="19050">
                <a:solidFill>
                  <a:schemeClr val="accent4">
                    <a:shade val="76667"/>
                    <a:lumMod val="75000"/>
                  </a:schemeClr>
                </a:solidFill>
              </a:ln>
              <a:effectLst>
                <a:innerShdw blurRad="114300">
                  <a:schemeClr val="accent4">
                    <a:shade val="76667"/>
                    <a:lumMod val="75000"/>
                  </a:schemeClr>
                </a:innerShdw>
              </a:effectLst>
              <a:scene3d>
                <a:camera prst="orthographicFront"/>
                <a:lightRig rig="threePt" dir="t"/>
              </a:scene3d>
              <a:sp3d contourW="19050"/>
            </c:spPr>
            <c:extLst>
              <c:ext xmlns:c16="http://schemas.microsoft.com/office/drawing/2014/chart" uri="{C3380CC4-5D6E-409C-BE32-E72D297353CC}">
                <c16:uniqueId val="{00000003-79CA-49A1-8B64-F14389EB5EB3}"/>
              </c:ext>
            </c:extLst>
          </c:dPt>
          <c:dPt>
            <c:idx val="4"/>
            <c:bubble3D val="0"/>
            <c:spPr>
              <a:solidFill>
                <a:schemeClr val="accent5">
                  <a:shade val="76667"/>
                  <a:alpha val="90000"/>
                </a:schemeClr>
              </a:solidFill>
              <a:ln w="19050">
                <a:solidFill>
                  <a:schemeClr val="accent5">
                    <a:shade val="76667"/>
                    <a:lumMod val="75000"/>
                  </a:schemeClr>
                </a:solidFill>
              </a:ln>
              <a:effectLst>
                <a:innerShdw blurRad="114300">
                  <a:schemeClr val="accent5">
                    <a:shade val="76667"/>
                    <a:lumMod val="75000"/>
                  </a:schemeClr>
                </a:innerShdw>
              </a:effectLst>
              <a:scene3d>
                <a:camera prst="orthographicFront"/>
                <a:lightRig rig="threePt" dir="t"/>
              </a:scene3d>
              <a:sp3d contourW="19050"/>
            </c:spPr>
            <c:extLst>
              <c:ext xmlns:c16="http://schemas.microsoft.com/office/drawing/2014/chart" uri="{C3380CC4-5D6E-409C-BE32-E72D297353CC}">
                <c16:uniqueId val="{00000004-79CA-49A1-8B64-F14389EB5EB3}"/>
              </c:ext>
            </c:extLst>
          </c:dPt>
          <c:dPt>
            <c:idx val="5"/>
            <c:bubble3D val="0"/>
            <c:spPr>
              <a:solidFill>
                <a:schemeClr val="accent6">
                  <a:shade val="76667"/>
                  <a:alpha val="90000"/>
                </a:schemeClr>
              </a:solidFill>
              <a:ln w="19050">
                <a:solidFill>
                  <a:schemeClr val="accent6">
                    <a:shade val="76667"/>
                    <a:lumMod val="75000"/>
                  </a:schemeClr>
                </a:solidFill>
              </a:ln>
              <a:effectLst>
                <a:innerShdw blurRad="114300">
                  <a:schemeClr val="accent6">
                    <a:shade val="76667"/>
                    <a:lumMod val="75000"/>
                  </a:schemeClr>
                </a:innerShdw>
              </a:effectLst>
              <a:scene3d>
                <a:camera prst="orthographicFront"/>
                <a:lightRig rig="threePt" dir="t"/>
              </a:scene3d>
              <a:sp3d contourW="19050"/>
            </c:spPr>
            <c:extLst>
              <c:ext xmlns:c16="http://schemas.microsoft.com/office/drawing/2014/chart" uri="{C3380CC4-5D6E-409C-BE32-E72D297353CC}">
                <c16:uniqueId val="{00000005-79CA-49A1-8B64-F14389EB5EB3}"/>
              </c:ext>
            </c:extLst>
          </c:dPt>
          <c:dPt>
            <c:idx val="6"/>
            <c:bubble3D val="0"/>
            <c:spPr>
              <a:solidFill>
                <a:schemeClr val="accent1">
                  <a:tint val="76667"/>
                  <a:alpha val="90000"/>
                </a:schemeClr>
              </a:solidFill>
              <a:ln w="19050">
                <a:solidFill>
                  <a:schemeClr val="accent1">
                    <a:tint val="76667"/>
                    <a:lumMod val="75000"/>
                  </a:schemeClr>
                </a:solidFill>
              </a:ln>
              <a:effectLst>
                <a:innerShdw blurRad="114300">
                  <a:schemeClr val="accent1">
                    <a:tint val="76667"/>
                    <a:lumMod val="75000"/>
                  </a:schemeClr>
                </a:innerShdw>
              </a:effectLst>
              <a:scene3d>
                <a:camera prst="orthographicFront"/>
                <a:lightRig rig="threePt" dir="t"/>
              </a:scene3d>
              <a:sp3d contourW="19050"/>
            </c:spPr>
            <c:extLst>
              <c:ext xmlns:c16="http://schemas.microsoft.com/office/drawing/2014/chart" uri="{C3380CC4-5D6E-409C-BE32-E72D297353CC}">
                <c16:uniqueId val="{00000006-79CA-49A1-8B64-F14389EB5EB3}"/>
              </c:ext>
            </c:extLst>
          </c:dPt>
          <c:dPt>
            <c:idx val="7"/>
            <c:bubble3D val="0"/>
            <c:spPr>
              <a:solidFill>
                <a:schemeClr val="accent2">
                  <a:tint val="76667"/>
                  <a:alpha val="90000"/>
                </a:schemeClr>
              </a:solidFill>
              <a:ln w="19050">
                <a:solidFill>
                  <a:schemeClr val="accent2">
                    <a:tint val="76667"/>
                    <a:lumMod val="75000"/>
                  </a:schemeClr>
                </a:solidFill>
              </a:ln>
              <a:effectLst>
                <a:innerShdw blurRad="114300">
                  <a:schemeClr val="accent2">
                    <a:tint val="76667"/>
                    <a:lumMod val="75000"/>
                  </a:schemeClr>
                </a:innerShdw>
              </a:effectLst>
              <a:scene3d>
                <a:camera prst="orthographicFront"/>
                <a:lightRig rig="threePt" dir="t"/>
              </a:scene3d>
              <a:sp3d contourW="19050"/>
            </c:spPr>
            <c:extLst>
              <c:ext xmlns:c16="http://schemas.microsoft.com/office/drawing/2014/chart" uri="{C3380CC4-5D6E-409C-BE32-E72D297353CC}">
                <c16:uniqueId val="{00000007-79CA-49A1-8B64-F14389EB5EB3}"/>
              </c:ext>
            </c:extLst>
          </c:dPt>
          <c:dPt>
            <c:idx val="8"/>
            <c:bubble3D val="0"/>
            <c:spPr>
              <a:solidFill>
                <a:schemeClr val="accent3">
                  <a:tint val="76667"/>
                  <a:alpha val="70000"/>
                </a:schemeClr>
              </a:solidFill>
              <a:ln>
                <a:noFill/>
              </a:ln>
              <a:effectLst/>
              <a:scene3d>
                <a:camera prst="orthographicFront"/>
                <a:lightRig rig="threePt" dir="t"/>
              </a:scene3d>
              <a:sp3d contourW="19050"/>
            </c:spPr>
            <c:extLst>
              <c:ext xmlns:c16="http://schemas.microsoft.com/office/drawing/2014/chart" uri="{C3380CC4-5D6E-409C-BE32-E72D297353CC}">
                <c16:uniqueId val="{00000008-79CA-49A1-8B64-F14389EB5EB3}"/>
              </c:ext>
            </c:extLst>
          </c:dPt>
          <c:dLbls>
            <c:dLbl>
              <c:idx val="0"/>
              <c:layout>
                <c:manualLayout>
                  <c:x val="-0.2025509692456349"/>
                  <c:y val="0.10824703340645007"/>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hade val="76667"/>
                        </a:schemeClr>
                      </a:solidFill>
                      <a:effectLst/>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79CA-49A1-8B64-F14389EB5EB3}"/>
                </c:ext>
              </c:extLst>
            </c:dLbl>
            <c:dLbl>
              <c:idx val="1"/>
              <c:layout>
                <c:manualLayout>
                  <c:x val="-9.9134915836751963E-2"/>
                  <c:y val="-7.9035517813331291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hade val="76667"/>
                        </a:schemeClr>
                      </a:solidFill>
                      <a:effectLst/>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79CA-49A1-8B64-F14389EB5EB3}"/>
                </c:ext>
              </c:extLst>
            </c:dLbl>
            <c:dLbl>
              <c:idx val="2"/>
              <c:layout>
                <c:manualLayout>
                  <c:x val="-0.15935698155164021"/>
                  <c:y val="4.0652253493355092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hade val="76667"/>
                        </a:schemeClr>
                      </a:solidFill>
                      <a:effectLst/>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79CA-49A1-8B64-F14389EB5EB3}"/>
                </c:ext>
              </c:extLst>
            </c:dLbl>
            <c:dLbl>
              <c:idx val="3"/>
              <c:layout>
                <c:manualLayout>
                  <c:x val="4.8309178743961415E-2"/>
                  <c:y val="-0.1080149068145990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hade val="76667"/>
                        </a:schemeClr>
                      </a:solidFill>
                      <a:effectLst/>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79CA-49A1-8B64-F14389EB5EB3}"/>
                </c:ext>
              </c:extLst>
            </c:dLbl>
            <c:dLbl>
              <c:idx val="4"/>
              <c:layout>
                <c:manualLayout>
                  <c:x val="-6.5747098011009197E-2"/>
                  <c:y val="9.2034972463299558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5">
                          <a:shade val="76667"/>
                        </a:schemeClr>
                      </a:solidFill>
                      <a:effectLst/>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79CA-49A1-8B64-F14389EB5EB3}"/>
                </c:ext>
              </c:extLst>
            </c:dLbl>
            <c:dLbl>
              <c:idx val="5"/>
              <c:layout>
                <c:manualLayout>
                  <c:x val="-2.8251049123650722E-2"/>
                  <c:y val="-9.0336833358036092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6">
                          <a:shade val="76667"/>
                        </a:schemeClr>
                      </a:solidFill>
                      <a:effectLst/>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79CA-49A1-8B64-F14389EB5EB3}"/>
                </c:ext>
              </c:extLst>
            </c:dLbl>
            <c:dLbl>
              <c:idx val="6"/>
              <c:layout>
                <c:manualLayout>
                  <c:x val="4.7158215861113004E-2"/>
                  <c:y val="-7.34365031248609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tint val="76667"/>
                        </a:schemeClr>
                      </a:solidFill>
                      <a:effectLst/>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79CA-49A1-8B64-F14389EB5EB3}"/>
                </c:ext>
              </c:extLst>
            </c:dLbl>
            <c:dLbl>
              <c:idx val="7"/>
              <c:layout>
                <c:manualLayout>
                  <c:x val="-3.7863979590518328E-2"/>
                  <c:y val="6.8327676332780559E-3"/>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tint val="76667"/>
                        </a:schemeClr>
                      </a:solidFill>
                      <a:effectLst/>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79CA-49A1-8B64-F14389EB5EB3}"/>
                </c:ext>
              </c:extLst>
            </c:dLbl>
            <c:dLbl>
              <c:idx val="8"/>
              <c:layout>
                <c:manualLayout>
                  <c:x val="5.8175893933698236E-2"/>
                  <c:y val="0.13860295841049111"/>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8-79CA-49A1-8B64-F14389EB5EB3}"/>
                </c:ext>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[决算公开附图.xlsx]Sheet1!$B$64:$B$72</c:f>
              <c:strCache>
                <c:ptCount val="9"/>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strCache>
            </c:strRef>
          </c:cat>
          <c:val>
            <c:numRef>
              <c:f>[决算公开附图.xlsx]Sheet1!$C$64:$C$72</c:f>
              <c:numCache>
                <c:formatCode>General</c:formatCode>
                <c:ptCount val="9"/>
                <c:pt idx="0">
                  <c:v>500.4099999999998</c:v>
                </c:pt>
                <c:pt idx="1">
                  <c:v>25.75</c:v>
                </c:pt>
                <c:pt idx="2">
                  <c:v>108.19</c:v>
                </c:pt>
                <c:pt idx="3">
                  <c:v>45.2</c:v>
                </c:pt>
                <c:pt idx="4">
                  <c:v>6.18</c:v>
                </c:pt>
                <c:pt idx="5">
                  <c:v>1129.97</c:v>
                </c:pt>
                <c:pt idx="6">
                  <c:v>16.130000000000013</c:v>
                </c:pt>
                <c:pt idx="7">
                  <c:v>546.1</c:v>
                </c:pt>
              </c:numCache>
            </c:numRef>
          </c:val>
          <c:extLst>
            <c:ext xmlns:c16="http://schemas.microsoft.com/office/drawing/2014/chart" uri="{C3380CC4-5D6E-409C-BE32-E72D297353CC}">
              <c16:uniqueId val="{00000009-79CA-49A1-8B64-F14389EB5EB3}"/>
            </c:ext>
          </c:extLst>
        </c:ser>
        <c:ser>
          <c:idx val="1"/>
          <c:order val="1"/>
          <c:dPt>
            <c:idx val="0"/>
            <c:bubble3D val="0"/>
            <c:spPr>
              <a:solidFill>
                <a:schemeClr val="accent1">
                  <a:shade val="76667"/>
                  <a:alpha val="70000"/>
                </a:schemeClr>
              </a:solidFill>
              <a:ln>
                <a:noFill/>
              </a:ln>
              <a:effectLst/>
            </c:spPr>
            <c:extLst>
              <c:ext xmlns:c16="http://schemas.microsoft.com/office/drawing/2014/chart" uri="{C3380CC4-5D6E-409C-BE32-E72D297353CC}">
                <c16:uniqueId val="{0000000A-79CA-49A1-8B64-F14389EB5EB3}"/>
              </c:ext>
            </c:extLst>
          </c:dPt>
          <c:dPt>
            <c:idx val="1"/>
            <c:bubble3D val="0"/>
            <c:spPr>
              <a:solidFill>
                <a:schemeClr val="accent2">
                  <a:shade val="76667"/>
                  <a:alpha val="70000"/>
                </a:schemeClr>
              </a:solidFill>
              <a:ln>
                <a:noFill/>
              </a:ln>
              <a:effectLst/>
            </c:spPr>
            <c:extLst>
              <c:ext xmlns:c16="http://schemas.microsoft.com/office/drawing/2014/chart" uri="{C3380CC4-5D6E-409C-BE32-E72D297353CC}">
                <c16:uniqueId val="{0000000B-79CA-49A1-8B64-F14389EB5EB3}"/>
              </c:ext>
            </c:extLst>
          </c:dPt>
          <c:dPt>
            <c:idx val="2"/>
            <c:bubble3D val="0"/>
            <c:spPr>
              <a:solidFill>
                <a:schemeClr val="accent3">
                  <a:shade val="76667"/>
                  <a:alpha val="70000"/>
                </a:schemeClr>
              </a:solidFill>
              <a:ln>
                <a:noFill/>
              </a:ln>
              <a:effectLst/>
            </c:spPr>
            <c:extLst>
              <c:ext xmlns:c16="http://schemas.microsoft.com/office/drawing/2014/chart" uri="{C3380CC4-5D6E-409C-BE32-E72D297353CC}">
                <c16:uniqueId val="{0000000C-79CA-49A1-8B64-F14389EB5EB3}"/>
              </c:ext>
            </c:extLst>
          </c:dPt>
          <c:dPt>
            <c:idx val="3"/>
            <c:bubble3D val="0"/>
            <c:spPr>
              <a:solidFill>
                <a:schemeClr val="accent4">
                  <a:shade val="76667"/>
                  <a:alpha val="70000"/>
                </a:schemeClr>
              </a:solidFill>
              <a:ln>
                <a:noFill/>
              </a:ln>
              <a:effectLst/>
            </c:spPr>
            <c:extLst>
              <c:ext xmlns:c16="http://schemas.microsoft.com/office/drawing/2014/chart" uri="{C3380CC4-5D6E-409C-BE32-E72D297353CC}">
                <c16:uniqueId val="{0000000D-79CA-49A1-8B64-F14389EB5EB3}"/>
              </c:ext>
            </c:extLst>
          </c:dPt>
          <c:dPt>
            <c:idx val="4"/>
            <c:bubble3D val="0"/>
            <c:spPr>
              <a:solidFill>
                <a:schemeClr val="accent5">
                  <a:shade val="76667"/>
                  <a:alpha val="70000"/>
                </a:schemeClr>
              </a:solidFill>
              <a:ln>
                <a:noFill/>
              </a:ln>
              <a:effectLst/>
            </c:spPr>
            <c:extLst>
              <c:ext xmlns:c16="http://schemas.microsoft.com/office/drawing/2014/chart" uri="{C3380CC4-5D6E-409C-BE32-E72D297353CC}">
                <c16:uniqueId val="{0000000E-79CA-49A1-8B64-F14389EB5EB3}"/>
              </c:ext>
            </c:extLst>
          </c:dPt>
          <c:dPt>
            <c:idx val="5"/>
            <c:bubble3D val="0"/>
            <c:spPr>
              <a:solidFill>
                <a:schemeClr val="accent6">
                  <a:shade val="76667"/>
                  <a:alpha val="70000"/>
                </a:schemeClr>
              </a:solidFill>
              <a:ln>
                <a:noFill/>
              </a:ln>
              <a:effectLst/>
            </c:spPr>
            <c:extLst>
              <c:ext xmlns:c16="http://schemas.microsoft.com/office/drawing/2014/chart" uri="{C3380CC4-5D6E-409C-BE32-E72D297353CC}">
                <c16:uniqueId val="{0000000F-79CA-49A1-8B64-F14389EB5EB3}"/>
              </c:ext>
            </c:extLst>
          </c:dPt>
          <c:dPt>
            <c:idx val="6"/>
            <c:bubble3D val="0"/>
            <c:spPr>
              <a:solidFill>
                <a:schemeClr val="accent1">
                  <a:tint val="76667"/>
                  <a:alpha val="70000"/>
                </a:schemeClr>
              </a:solidFill>
              <a:ln>
                <a:noFill/>
              </a:ln>
              <a:effectLst/>
            </c:spPr>
            <c:extLst>
              <c:ext xmlns:c16="http://schemas.microsoft.com/office/drawing/2014/chart" uri="{C3380CC4-5D6E-409C-BE32-E72D297353CC}">
                <c16:uniqueId val="{00000010-79CA-49A1-8B64-F14389EB5EB3}"/>
              </c:ext>
            </c:extLst>
          </c:dPt>
          <c:dPt>
            <c:idx val="7"/>
            <c:bubble3D val="0"/>
            <c:spPr>
              <a:solidFill>
                <a:schemeClr val="accent2">
                  <a:tint val="76667"/>
                  <a:alpha val="70000"/>
                </a:schemeClr>
              </a:solidFill>
              <a:ln>
                <a:noFill/>
              </a:ln>
              <a:effectLst/>
            </c:spPr>
            <c:extLst>
              <c:ext xmlns:c16="http://schemas.microsoft.com/office/drawing/2014/chart" uri="{C3380CC4-5D6E-409C-BE32-E72D297353CC}">
                <c16:uniqueId val="{00000011-79CA-49A1-8B64-F14389EB5EB3}"/>
              </c:ext>
            </c:extLst>
          </c:dPt>
          <c:dPt>
            <c:idx val="8"/>
            <c:bubble3D val="0"/>
            <c:spPr>
              <a:solidFill>
                <a:schemeClr val="accent3">
                  <a:tint val="76667"/>
                  <a:alpha val="70000"/>
                </a:schemeClr>
              </a:solidFill>
              <a:ln>
                <a:noFill/>
              </a:ln>
              <a:effectLst/>
            </c:spPr>
            <c:extLst>
              <c:ext xmlns:c16="http://schemas.microsoft.com/office/drawing/2014/chart" uri="{C3380CC4-5D6E-409C-BE32-E72D297353CC}">
                <c16:uniqueId val="{00000012-79CA-49A1-8B64-F14389EB5EB3}"/>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hade val="76667"/>
                        </a:schemeClr>
                      </a:solidFill>
                      <a:effectLst/>
                      <a:latin typeface="+mn-lt"/>
                      <a:ea typeface="+mn-ea"/>
                      <a:cs typeface="+mn-cs"/>
                    </a:defRPr>
                  </a:pPr>
                  <a:endParaRPr lang="zh-CN"/>
                </a:p>
              </c:txPr>
              <c:dLblPos val="bestFit"/>
              <c:showLegendKey val="0"/>
              <c:showVal val="0"/>
              <c:showCatName val="0"/>
              <c:showSerName val="0"/>
              <c:showPercent val="1"/>
              <c:showBubbleSize val="0"/>
              <c:extLst>
                <c:ext xmlns:c16="http://schemas.microsoft.com/office/drawing/2014/chart" uri="{C3380CC4-5D6E-409C-BE32-E72D297353CC}">
                  <c16:uniqueId val="{0000000A-79CA-49A1-8B64-F14389EB5EB3}"/>
                </c:ext>
              </c:extLst>
            </c:dLbl>
            <c:dLbl>
              <c:idx val="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hade val="76667"/>
                        </a:schemeClr>
                      </a:solidFill>
                      <a:effectLst/>
                      <a:latin typeface="+mn-lt"/>
                      <a:ea typeface="+mn-ea"/>
                      <a:cs typeface="+mn-cs"/>
                    </a:defRPr>
                  </a:pPr>
                  <a:endParaRPr lang="zh-CN"/>
                </a:p>
              </c:txPr>
              <c:dLblPos val="bestFit"/>
              <c:showLegendKey val="0"/>
              <c:showVal val="0"/>
              <c:showCatName val="0"/>
              <c:showSerName val="0"/>
              <c:showPercent val="1"/>
              <c:showBubbleSize val="0"/>
              <c:extLst>
                <c:ext xmlns:c16="http://schemas.microsoft.com/office/drawing/2014/chart" uri="{C3380CC4-5D6E-409C-BE32-E72D297353CC}">
                  <c16:uniqueId val="{0000000B-79CA-49A1-8B64-F14389EB5EB3}"/>
                </c:ext>
              </c:extLst>
            </c:dLbl>
            <c:dLbl>
              <c:idx val="2"/>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hade val="76667"/>
                        </a:schemeClr>
                      </a:solidFill>
                      <a:effectLst/>
                      <a:latin typeface="+mn-lt"/>
                      <a:ea typeface="+mn-ea"/>
                      <a:cs typeface="+mn-cs"/>
                    </a:defRPr>
                  </a:pPr>
                  <a:endParaRPr lang="zh-CN"/>
                </a:p>
              </c:txPr>
              <c:dLblPos val="bestFit"/>
              <c:showLegendKey val="0"/>
              <c:showVal val="0"/>
              <c:showCatName val="0"/>
              <c:showSerName val="0"/>
              <c:showPercent val="1"/>
              <c:showBubbleSize val="0"/>
              <c:extLst>
                <c:ext xmlns:c16="http://schemas.microsoft.com/office/drawing/2014/chart" uri="{C3380CC4-5D6E-409C-BE32-E72D297353CC}">
                  <c16:uniqueId val="{0000000C-79CA-49A1-8B64-F14389EB5EB3}"/>
                </c:ext>
              </c:extLst>
            </c:dLbl>
            <c:dLbl>
              <c:idx val="3"/>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hade val="76667"/>
                        </a:schemeClr>
                      </a:solidFill>
                      <a:effectLst/>
                      <a:latin typeface="+mn-lt"/>
                      <a:ea typeface="+mn-ea"/>
                      <a:cs typeface="+mn-cs"/>
                    </a:defRPr>
                  </a:pPr>
                  <a:endParaRPr lang="zh-CN"/>
                </a:p>
              </c:txPr>
              <c:dLblPos val="bestFit"/>
              <c:showLegendKey val="0"/>
              <c:showVal val="0"/>
              <c:showCatName val="0"/>
              <c:showSerName val="0"/>
              <c:showPercent val="1"/>
              <c:showBubbleSize val="0"/>
              <c:extLst>
                <c:ext xmlns:c16="http://schemas.microsoft.com/office/drawing/2014/chart" uri="{C3380CC4-5D6E-409C-BE32-E72D297353CC}">
                  <c16:uniqueId val="{0000000D-79CA-49A1-8B64-F14389EB5EB3}"/>
                </c:ext>
              </c:extLst>
            </c:dLbl>
            <c:dLbl>
              <c:idx val="4"/>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5">
                          <a:shade val="76667"/>
                        </a:schemeClr>
                      </a:solidFill>
                      <a:effectLst/>
                      <a:latin typeface="+mn-lt"/>
                      <a:ea typeface="+mn-ea"/>
                      <a:cs typeface="+mn-cs"/>
                    </a:defRPr>
                  </a:pPr>
                  <a:endParaRPr lang="zh-CN"/>
                </a:p>
              </c:txPr>
              <c:dLblPos val="bestFit"/>
              <c:showLegendKey val="0"/>
              <c:showVal val="0"/>
              <c:showCatName val="0"/>
              <c:showSerName val="0"/>
              <c:showPercent val="1"/>
              <c:showBubbleSize val="0"/>
              <c:extLst>
                <c:ext xmlns:c16="http://schemas.microsoft.com/office/drawing/2014/chart" uri="{C3380CC4-5D6E-409C-BE32-E72D297353CC}">
                  <c16:uniqueId val="{0000000E-79CA-49A1-8B64-F14389EB5EB3}"/>
                </c:ext>
              </c:extLst>
            </c:dLbl>
            <c:dLbl>
              <c:idx val="5"/>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6">
                          <a:shade val="76667"/>
                        </a:schemeClr>
                      </a:solidFill>
                      <a:effectLst/>
                      <a:latin typeface="+mn-lt"/>
                      <a:ea typeface="+mn-ea"/>
                      <a:cs typeface="+mn-cs"/>
                    </a:defRPr>
                  </a:pPr>
                  <a:endParaRPr lang="zh-CN"/>
                </a:p>
              </c:txPr>
              <c:dLblPos val="bestFit"/>
              <c:showLegendKey val="0"/>
              <c:showVal val="0"/>
              <c:showCatName val="0"/>
              <c:showSerName val="0"/>
              <c:showPercent val="1"/>
              <c:showBubbleSize val="0"/>
              <c:extLst>
                <c:ext xmlns:c16="http://schemas.microsoft.com/office/drawing/2014/chart" uri="{C3380CC4-5D6E-409C-BE32-E72D297353CC}">
                  <c16:uniqueId val="{0000000F-79CA-49A1-8B64-F14389EB5EB3}"/>
                </c:ext>
              </c:extLst>
            </c:dLbl>
            <c:dLbl>
              <c:idx val="6"/>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tint val="76667"/>
                        </a:schemeClr>
                      </a:solidFill>
                      <a:effectLst/>
                      <a:latin typeface="+mn-lt"/>
                      <a:ea typeface="+mn-ea"/>
                      <a:cs typeface="+mn-cs"/>
                    </a:defRPr>
                  </a:pPr>
                  <a:endParaRPr lang="zh-CN"/>
                </a:p>
              </c:txPr>
              <c:dLblPos val="bestFit"/>
              <c:showLegendKey val="0"/>
              <c:showVal val="0"/>
              <c:showCatName val="0"/>
              <c:showSerName val="0"/>
              <c:showPercent val="1"/>
              <c:showBubbleSize val="0"/>
              <c:extLst>
                <c:ext xmlns:c16="http://schemas.microsoft.com/office/drawing/2014/chart" uri="{C3380CC4-5D6E-409C-BE32-E72D297353CC}">
                  <c16:uniqueId val="{00000010-79CA-49A1-8B64-F14389EB5EB3}"/>
                </c:ext>
              </c:extLst>
            </c:dLbl>
            <c:dLbl>
              <c:idx val="7"/>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tint val="76667"/>
                        </a:schemeClr>
                      </a:solidFill>
                      <a:effectLst/>
                      <a:latin typeface="+mn-lt"/>
                      <a:ea typeface="+mn-ea"/>
                      <a:cs typeface="+mn-cs"/>
                    </a:defRPr>
                  </a:pPr>
                  <a:endParaRPr lang="zh-CN"/>
                </a:p>
              </c:txPr>
              <c:dLblPos val="bestFit"/>
              <c:showLegendKey val="0"/>
              <c:showVal val="0"/>
              <c:showCatName val="0"/>
              <c:showSerName val="0"/>
              <c:showPercent val="1"/>
              <c:showBubbleSize val="0"/>
              <c:extLst>
                <c:ext xmlns:c16="http://schemas.microsoft.com/office/drawing/2014/chart" uri="{C3380CC4-5D6E-409C-BE32-E72D297353CC}">
                  <c16:uniqueId val="{00000011-79CA-49A1-8B64-F14389EB5EB3}"/>
                </c:ext>
              </c:extLst>
            </c:dLbl>
            <c:dLbl>
              <c:idx val="8"/>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tint val="76667"/>
                        </a:schemeClr>
                      </a:solidFill>
                      <a:effectLst/>
                      <a:latin typeface="+mn-lt"/>
                      <a:ea typeface="+mn-ea"/>
                      <a:cs typeface="+mn-cs"/>
                    </a:defRPr>
                  </a:pPr>
                  <a:endParaRPr lang="zh-CN"/>
                </a:p>
              </c:txPr>
              <c:dLblPos val="bestFit"/>
              <c:showLegendKey val="0"/>
              <c:showVal val="0"/>
              <c:showCatName val="0"/>
              <c:showSerName val="0"/>
              <c:showPercent val="1"/>
              <c:showBubbleSize val="0"/>
              <c:extLst>
                <c:ext xmlns:c16="http://schemas.microsoft.com/office/drawing/2014/chart" uri="{C3380CC4-5D6E-409C-BE32-E72D297353CC}">
                  <c16:uniqueId val="{00000012-79CA-49A1-8B64-F14389EB5EB3}"/>
                </c:ext>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bestFit"/>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[决算公开附图.xlsx]Sheet1!$B$64:$B$72</c:f>
              <c:strCache>
                <c:ptCount val="9"/>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strCache>
            </c:strRef>
          </c:cat>
          <c:val>
            <c:numRef>
              <c:f>[决算公开附图.xlsx]Sheet1!$D$64:$D$72</c:f>
              <c:numCache>
                <c:formatCode>0.00%</c:formatCode>
                <c:ptCount val="9"/>
                <c:pt idx="0">
                  <c:v>0.2104384467227943</c:v>
                </c:pt>
                <c:pt idx="1">
                  <c:v>1.0828700471837005E-2</c:v>
                </c:pt>
                <c:pt idx="2">
                  <c:v>4.5497363264001625E-2</c:v>
                </c:pt>
                <c:pt idx="3">
                  <c:v>1.9008048983574003E-2</c:v>
                </c:pt>
                <c:pt idx="4">
                  <c:v>2.59888811324087E-3</c:v>
                </c:pt>
                <c:pt idx="5">
                  <c:v>0.47518860862763623</c:v>
                </c:pt>
                <c:pt idx="6">
                  <c:v>6.7831820819701178E-3</c:v>
                </c:pt>
                <c:pt idx="7">
                  <c:v>0.2296525564143749</c:v>
                </c:pt>
              </c:numCache>
            </c:numRef>
          </c:val>
          <c:extLst>
            <c:ext xmlns:c16="http://schemas.microsoft.com/office/drawing/2014/chart" uri="{C3380CC4-5D6E-409C-BE32-E72D297353CC}">
              <c16:uniqueId val="{00000013-79CA-49A1-8B64-F14389EB5EB3}"/>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87139107611611"/>
          <c:y val="0.3326522910126446"/>
          <c:w val="0.35781277340332523"/>
          <c:h val="0.56127493867188272"/>
        </c:manualLayout>
      </c:layout>
      <c:pieChart>
        <c:varyColors val="1"/>
        <c:ser>
          <c:idx val="0"/>
          <c:order val="0"/>
          <c:dLbls>
            <c:dLbl>
              <c:idx val="0"/>
              <c:layout>
                <c:manualLayout>
                  <c:x val="-6.8750000000000019E-2"/>
                  <c:y val="0"/>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E3-453E-9945-6C308FDD5511}"/>
                </c:ext>
              </c:extLst>
            </c:dLbl>
            <c:dLbl>
              <c:idx val="1"/>
              <c:layout>
                <c:manualLayout>
                  <c:x val="0.22864260717410401"/>
                  <c:y val="8.169934640522921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E3-453E-9945-6C308FDD5511}"/>
                </c:ext>
              </c:extLst>
            </c:dLbl>
            <c:dLbl>
              <c:idx val="2"/>
              <c:layout>
                <c:manualLayout>
                  <c:x val="-0.23350328083989522"/>
                  <c:y val="0.2939135059098005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E3-453E-9945-6C308FDD5511}"/>
                </c:ext>
              </c:extLst>
            </c:dLbl>
            <c:dLbl>
              <c:idx val="3"/>
              <c:layout>
                <c:manualLayout>
                  <c:x val="0.26526968503937021"/>
                  <c:y val="0.22080318391573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E3-453E-9945-6C308FDD5511}"/>
                </c:ext>
              </c:extLst>
            </c:dLbl>
            <c:dLbl>
              <c:idx val="5"/>
              <c:layout>
                <c:manualLayout>
                  <c:x val="6.6665880804585104E-2"/>
                  <c:y val="0.25141051412609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E3-453E-9945-6C308FDD5511}"/>
                </c:ext>
              </c:extLst>
            </c:dLbl>
            <c:dLbl>
              <c:idx val="6"/>
              <c:layout>
                <c:manualLayout>
                  <c:x val="-1.4584226434829499E-2"/>
                  <c:y val="0.17894711543282329"/>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0180555555555599"/>
                      <c:h val="0.124400871459695"/>
                    </c:manualLayout>
                  </c15:layout>
                </c:ext>
                <c:ext xmlns:c16="http://schemas.microsoft.com/office/drawing/2014/chart" uri="{C3380CC4-5D6E-409C-BE32-E72D297353CC}">
                  <c16:uniqueId val="{00000005-BAE3-453E-9945-6C308FDD5511}"/>
                </c:ext>
              </c:extLst>
            </c:dLbl>
            <c:dLbl>
              <c:idx val="7"/>
              <c:layout>
                <c:manualLayout>
                  <c:x val="-0.14583333333333318"/>
                  <c:y val="5.88235294117647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E3-453E-9945-6C308FDD5511}"/>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[决算公开附图.xlsx]Sheet1!$B$2:$B$13</c:f>
              <c:strCache>
                <c:ptCount val="8"/>
                <c:pt idx="0">
                  <c:v>因公出国</c:v>
                </c:pt>
                <c:pt idx="1">
                  <c:v>公务用车购置及运行维护</c:v>
                </c:pt>
                <c:pt idx="2">
                  <c:v>公务接待</c:v>
                </c:pt>
              </c:strCache>
            </c:strRef>
          </c:cat>
          <c:val>
            <c:numRef>
              <c:f>[决算公开附图.xlsx]Sheet1!$C$2:$C$13</c:f>
              <c:numCache>
                <c:formatCode>General</c:formatCode>
                <c:ptCount val="8"/>
                <c:pt idx="0">
                  <c:v>0</c:v>
                </c:pt>
                <c:pt idx="1">
                  <c:v>0</c:v>
                </c:pt>
                <c:pt idx="2" formatCode="0%">
                  <c:v>1</c:v>
                </c:pt>
              </c:numCache>
            </c:numRef>
          </c:val>
          <c:extLst>
            <c:ext xmlns:c16="http://schemas.microsoft.com/office/drawing/2014/chart" uri="{C3380CC4-5D6E-409C-BE32-E72D297353CC}">
              <c16:uniqueId val="{00000007-BAE3-453E-9945-6C308FDD5511}"/>
            </c:ext>
          </c:extLst>
        </c:ser>
        <c:ser>
          <c:idx val="1"/>
          <c:order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[决算公开附图.xlsx]Sheet1!$B$2:$B$13</c:f>
              <c:strCache>
                <c:ptCount val="8"/>
                <c:pt idx="0">
                  <c:v>因公出国</c:v>
                </c:pt>
                <c:pt idx="1">
                  <c:v>公务用车购置及运行维护</c:v>
                </c:pt>
                <c:pt idx="2">
                  <c:v>公务接待</c:v>
                </c:pt>
              </c:strCache>
            </c:strRef>
          </c:cat>
          <c:val>
            <c:numRef>
              <c:f>[决算公开附图.xlsx]Sheet1!$D$2:$D$13</c:f>
              <c:numCache>
                <c:formatCode>0.00%</c:formatCode>
                <c:ptCount val="8"/>
                <c:pt idx="0">
                  <c:v>0</c:v>
                </c:pt>
                <c:pt idx="1">
                  <c:v>0</c:v>
                </c:pt>
                <c:pt idx="2">
                  <c:v>0</c:v>
                </c:pt>
              </c:numCache>
            </c:numRef>
          </c:val>
          <c:extLst>
            <c:ext xmlns:c16="http://schemas.microsoft.com/office/drawing/2014/chart" uri="{C3380CC4-5D6E-409C-BE32-E72D297353CC}">
              <c16:uniqueId val="{00000008-BAE3-453E-9945-6C308FDD5511}"/>
            </c:ext>
          </c:extLst>
        </c:ser>
        <c:dLbls>
          <c:showLegendKey val="0"/>
          <c:showVal val="1"/>
          <c:showCatName val="1"/>
          <c:showSerName val="0"/>
          <c:showPercent val="0"/>
          <c:showBubbleSize val="0"/>
          <c:showLeaderLines val="1"/>
        </c:dLbls>
        <c:firstSliceAng val="0"/>
      </c:pieChart>
    </c:plotArea>
    <c:plotVisOnly val="1"/>
    <c:dispBlanksAs val="zero"/>
    <c:showDLblsOverMax val="0"/>
  </c:chart>
  <c:txPr>
    <a:bodyPr/>
    <a:lstStyle/>
    <a:p>
      <a:pPr>
        <a:defRPr lang="zh-CN"/>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0.03361</cdr:x>
      <cdr:y>0.10458</cdr:y>
    </cdr:from>
    <cdr:to>
      <cdr:x>0.96042</cdr:x>
      <cdr:y>0.23856</cdr:y>
    </cdr:to>
    <cdr:sp macro="" textlink="">
      <cdr:nvSpPr>
        <cdr:cNvPr id="2" name="矩形 1"/>
        <cdr:cNvSpPr/>
      </cdr:nvSpPr>
      <cdr:spPr>
        <a:xfrm xmlns:a="http://schemas.openxmlformats.org/drawingml/2006/main">
          <a:off x="153670" y="304800"/>
          <a:ext cx="4237355" cy="39052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1800" b="1">
              <a:latin typeface="+mn-ea"/>
              <a:ea typeface="+mn-ea"/>
            </a:rPr>
            <a:t>图</a:t>
          </a:r>
          <a:r>
            <a:rPr lang="en-US" altLang="zh-CN" sz="1800" b="1">
              <a:latin typeface="+mn-ea"/>
              <a:ea typeface="+mn-ea"/>
            </a:rPr>
            <a:t>2</a:t>
          </a:r>
          <a:r>
            <a:rPr lang="zh-CN" altLang="en-US" sz="1800" b="1">
              <a:latin typeface="+mn-ea"/>
              <a:ea typeface="+mn-ea"/>
            </a:rPr>
            <a:t>：收入决算结构图</a:t>
          </a:r>
        </a:p>
      </cdr:txBody>
    </cdr:sp>
  </cdr:relSizeAnchor>
</c:userShapes>
</file>

<file path=word/drawings/drawing2.xml><?xml version="1.0" encoding="utf-8"?>
<c:userShapes xmlns:c="http://schemas.openxmlformats.org/drawingml/2006/chart">
  <cdr:relSizeAnchor xmlns:cdr="http://schemas.openxmlformats.org/drawingml/2006/chartDrawing">
    <cdr:from>
      <cdr:x>0.03361</cdr:x>
      <cdr:y>0.10458</cdr:y>
    </cdr:from>
    <cdr:to>
      <cdr:x>0.96042</cdr:x>
      <cdr:y>0.23856</cdr:y>
    </cdr:to>
    <cdr:sp macro="" textlink="">
      <cdr:nvSpPr>
        <cdr:cNvPr id="2" name="矩形 1"/>
        <cdr:cNvSpPr/>
      </cdr:nvSpPr>
      <cdr:spPr>
        <a:xfrm xmlns:a="http://schemas.openxmlformats.org/drawingml/2006/main">
          <a:off x="153670" y="304800"/>
          <a:ext cx="4237355" cy="39052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1800" b="1">
              <a:latin typeface="+mn-ea"/>
              <a:ea typeface="+mn-ea"/>
            </a:rPr>
            <a:t>图</a:t>
          </a:r>
          <a:r>
            <a:rPr lang="en-US" altLang="zh-CN" sz="1800" b="1">
              <a:latin typeface="+mn-ea"/>
              <a:ea typeface="+mn-ea"/>
            </a:rPr>
            <a:t>3</a:t>
          </a:r>
          <a:r>
            <a:rPr lang="zh-CN" altLang="en-US" sz="1800" b="1">
              <a:latin typeface="+mn-ea"/>
              <a:ea typeface="+mn-ea"/>
            </a:rPr>
            <a:t>：支出决算结构图</a:t>
          </a:r>
        </a:p>
      </cdr:txBody>
    </cdr:sp>
  </cdr:relSizeAnchor>
</c:userShapes>
</file>

<file path=word/drawings/drawing3.xml><?xml version="1.0" encoding="utf-8"?>
<c:userShapes xmlns:c="http://schemas.openxmlformats.org/drawingml/2006/chart">
  <cdr:relSizeAnchor xmlns:cdr="http://schemas.openxmlformats.org/drawingml/2006/chartDrawing">
    <cdr:from>
      <cdr:x>0.03361</cdr:x>
      <cdr:y>0.10458</cdr:y>
    </cdr:from>
    <cdr:to>
      <cdr:x>0.96042</cdr:x>
      <cdr:y>0.23856</cdr:y>
    </cdr:to>
    <cdr:sp macro="" textlink="">
      <cdr:nvSpPr>
        <cdr:cNvPr id="2" name="矩形 1"/>
        <cdr:cNvSpPr/>
      </cdr:nvSpPr>
      <cdr:spPr>
        <a:xfrm xmlns:a="http://schemas.openxmlformats.org/drawingml/2006/main">
          <a:off x="153670" y="304800"/>
          <a:ext cx="4237355" cy="39052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1800" b="1">
              <a:latin typeface="+mn-ea"/>
              <a:ea typeface="+mn-ea"/>
            </a:rPr>
            <a:t>图</a:t>
          </a:r>
          <a:r>
            <a:rPr lang="en-US" altLang="zh-CN" sz="1800" b="1">
              <a:latin typeface="+mn-ea"/>
              <a:ea typeface="+mn-ea"/>
            </a:rPr>
            <a:t>7</a:t>
          </a:r>
          <a:r>
            <a:rPr lang="zh-CN" altLang="en-US" sz="1800" b="1">
              <a:latin typeface="+mn-ea"/>
              <a:ea typeface="+mn-ea"/>
            </a:rPr>
            <a:t>：</a:t>
          </a:r>
          <a:r>
            <a:rPr lang="en-US" altLang="zh-CN" sz="1800" b="1">
              <a:latin typeface="+mn-ea"/>
              <a:ea typeface="+mn-ea"/>
            </a:rPr>
            <a:t>“</a:t>
          </a:r>
          <a:r>
            <a:rPr lang="zh-CN" altLang="en-US" sz="1800" b="1">
              <a:latin typeface="+mn-ea"/>
              <a:ea typeface="+mn-ea"/>
            </a:rPr>
            <a:t>三公</a:t>
          </a:r>
          <a:r>
            <a:rPr lang="en-US" altLang="zh-CN" sz="1800" b="1">
              <a:latin typeface="+mn-ea"/>
              <a:ea typeface="+mn-ea"/>
            </a:rPr>
            <a:t>”</a:t>
          </a:r>
          <a:r>
            <a:rPr lang="zh-CN" altLang="en-US" sz="1800" b="1">
              <a:latin typeface="+mn-ea"/>
              <a:ea typeface="+mn-ea"/>
            </a:rPr>
            <a:t>经费财政拨款支出结构图</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2052-11.1.0.10228</vt:lpstr>
  </property>
</Properties>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

<file path=customXml/item11.xml><?xml version="1.0" encoding="utf-8"?>
<Properties xmlns="http://schemas.openxmlformats.org/officeDocument/2006/extended-properties" xmlns:vt="http://schemas.openxmlformats.org/officeDocument/2006/docPropsVTypes">
  <Template>Normal</Template>
  <TotalTime>35</TotalTime>
  <Pages>95</Pages>
  <Words>7608</Words>
  <Characters>43369</Characters>
  <Application>Microsoft Office Word</Application>
  <DocSecurity>0</DocSecurity>
  <Lines>361</Lines>
  <Paragraphs>101</Paragraphs>
  <ScaleCrop>false</ScaleCrop>
  <Company>四川省财政厅</Company>
  <LinksUpToDate>false</LinksUpToDate>
  <CharactersWithSpaces>50876</CharactersWithSpaces>
  <SharedDoc>false</SharedDoc>
  <HyperlinksChanged>false</HyperlinksChanged>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32</cp:revision>
  <cp:lastPrinted>2022-08-06T02:23:00Z</cp:lastPrinted>
  <dcterms:created xsi:type="dcterms:W3CDTF">2020-08-05T01:49:00Z</dcterms:created>
  <dcterms:modified xsi:type="dcterms:W3CDTF">2022-09-06T02:34:48Z</dcterms:modified>
</cp:coreProperties>
</file>

<file path=customXml/item13.xml><?xml version="1.0" encoding="utf-8"?>
<s:customData xmlns="http://www.wps.cn/officeDocument/2013/wpsCustomData" xmlns:s="http://www.wps.cn/officeDocument/2013/wpsCustomData">
  <customSectProps>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46</cp:revision>
  <cp:lastPrinted>2022-08-06T02:23:00Z</cp:lastPrinted>
  <dcterms:created xsi:type="dcterms:W3CDTF">2020-08-05T01:49:00Z</dcterms:created>
  <dcterms:modified xsi:type="dcterms:W3CDTF">2023-03-01T07:50:00Z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46</cp:revision>
  <cp:lastPrinted>2022-08-06T02:23:00Z</cp:lastPrinted>
  <dcterms:created xsi:type="dcterms:W3CDTF">2020-08-05T01:49:00Z</dcterms:created>
  <dcterms:modified xsi:type="dcterms:W3CDTF">2023-03-01T07:50:00Z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2052-11.1.0.10228</vt:lpstr>
  </property>
</Properties>
</file>

<file path=customXml/item5.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TotalTime>
  <ScaleCrop>false</ScaleCrop>
  <LinksUpToDate>false</LinksUpToDate>
  <CharactersWithSpaces>8692</CharactersWithSpaces>
  <Application>WPS Office_11.1.0.10228_F1E327BC-269C-435d-A152-05C5408002CA</Application>
  <DocSecurity>0</DocSecurity>
</Properties>
</file>

<file path=customXml/item6.xml><?xml version="1.0" encoding="utf-8"?>
<Properties xmlns:vt="http://schemas.openxmlformats.org/officeDocument/2006/docPropsVTypes" xmlns="http://schemas.openxmlformats.org/officeDocument/2006/extended-properties">
  <Template>Normal</Template>
  <TotalTime>35</TotalTime>
  <Pages>95</Pages>
  <Words>7608</Words>
  <Characters>43369</Characters>
  <Application>Microsoft Office Word</Application>
  <DocSecurity>0</DocSecurity>
  <Lines>361</Lines>
  <Paragraphs>101</Paragraphs>
  <Company>四川省财政厅</Company>
  <CharactersWithSpaces>50876</CharactersWithSpaces>
  <AppVersion>12.0000</AppVersion>
</Properties>
</file>

<file path=customXml/item7.xml><?xml version="1.0" encoding="utf-8"?>
<Properties xmlns:vt="http://schemas.openxmlformats.org/officeDocument/2006/docPropsVTypes" xmlns="http://schemas.openxmlformats.org/officeDocument/2006/extended-properties">
  <Template>Normal.dotm</Template>
  <TotalTime>1</TotalTime>
  <Pages>24</Pages>
  <Words>1299</Words>
  <Characters>7410</Characters>
  <Application>WPS Office_11.1.0.10228_F1E327BC-269C-435d-A152-05C5408002CA</Application>
  <DocSecurity>0</DocSecurity>
  <Lines>61</Lines>
  <Paragraphs>17</Paragraphs>
  <Company>四川省财政厅</Company>
  <CharactersWithSpaces>8692</CharactersWithSpaces>
  <AppVersion>14.0000</AppVersion>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2022-09-06T02:34:48Z</dcterms:modified>
  <dc:title>四川省***</dc:title>
  <cp:revision>32</cp:revision>
</cp:coreProperties>
</file>

<file path=customXml/itemProps1.xml><?xml version="1.0" encoding="utf-8"?>
<ds:datastoreItem xmlns:ds="http://schemas.openxmlformats.org/officeDocument/2006/customXml" ds:itemID="{9B810B6D-F80B-44AC-B2E2-E463A4BB97AC}">
  <ds:schemaRefs>
    <ds:schemaRef ds:uri="http://schemas.openxmlformats.org/officeDocument/2006/docPropsVTypes"/>
    <ds:schemaRef ds:uri="http://schemas.openxmlformats.org/officeDocument/2006/custom-properties"/>
  </ds:schemaRefs>
</ds:datastoreItem>
</file>

<file path=customXml/itemProps10.xml><?xml version="1.0" encoding="utf-8"?>
<ds:datastoreItem xmlns:ds="http://schemas.openxmlformats.org/officeDocument/2006/customXml" ds:itemID="{D9D7A739-6293-4D3D-946D-C387A0F650A2}">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C01C4A67-A7E2-46AE-B752-AFA959B66F9E}">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A863F559-F5BA-414A-B6F5-0622F716F2D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9EAC9-3D3C-4851-9050-DC4523C69F8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5156EF4-759F-493C-B327-912EC70A554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76948D2-39E9-4B5A-8B14-9B31C305E025}">
  <ds:schemaRefs>
    <ds:schemaRef ds:uri="http://schemas.openxmlformats.org/officeDocument/2006/docPropsVTypes"/>
    <ds:schemaRef ds:uri="http://schemas.openxmlformats.org/officeDocument/2006/custom-properties"/>
  </ds:schemaRefs>
</ds:datastoreItem>
</file>

<file path=customXml/itemProps5.xml><?xml version="1.0" encoding="utf-8"?>
<ds:datastoreItem xmlns:ds="http://schemas.openxmlformats.org/officeDocument/2006/customXml" ds:itemID="{C87B5DCA-F2FD-49F8-8101-96E88C893BA4}">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3F97B2A5-18AC-410D-962C-B27B86E666F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5D9D86C-2150-40A6-B2C0-7DA89AEE7F0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62A68DC-F87D-48AF-9AE0-EA017E5B7CD0}">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4EB57EF8-0625-4ED1-8C9B-B874C389C38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42</Pages>
  <Words>3761</Words>
  <Characters>21440</Characters>
  <Application>Microsoft Office Word</Application>
  <DocSecurity>0</DocSecurity>
  <Lines>178</Lines>
  <Paragraphs>50</Paragraphs>
  <ScaleCrop>false</ScaleCrop>
  <Company>四川省财政厅</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55</cp:revision>
  <cp:lastPrinted>2022-08-06T02:23:00Z</cp:lastPrinted>
  <dcterms:created xsi:type="dcterms:W3CDTF">2020-08-05T01:49:00Z</dcterms:created>
  <dcterms:modified xsi:type="dcterms:W3CDTF">2023-07-24T10:49:00Z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