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7FA" w:rsidRDefault="007957FA">
      <w:pPr>
        <w:jc w:val="center"/>
        <w:rPr>
          <w:rFonts w:ascii="方正小标宋简体" w:eastAsia="方正小标宋简体" w:hAnsi="宋体"/>
          <w:sz w:val="72"/>
          <w:szCs w:val="72"/>
        </w:rPr>
      </w:pPr>
      <w:bookmarkStart w:id="0" w:name="_Toc15306267"/>
    </w:p>
    <w:p w:rsidR="007957FA" w:rsidRDefault="007957FA">
      <w:pPr>
        <w:jc w:val="center"/>
        <w:rPr>
          <w:rFonts w:ascii="方正小标宋简体" w:eastAsia="方正小标宋简体" w:hAnsi="宋体"/>
          <w:sz w:val="72"/>
          <w:szCs w:val="72"/>
        </w:rPr>
      </w:pPr>
    </w:p>
    <w:p w:rsidR="007957FA" w:rsidRDefault="007957FA">
      <w:pPr>
        <w:jc w:val="center"/>
        <w:rPr>
          <w:rFonts w:ascii="方正小标宋简体" w:eastAsia="方正小标宋简体" w:hAnsi="宋体"/>
          <w:sz w:val="72"/>
          <w:szCs w:val="72"/>
        </w:rPr>
      </w:pPr>
    </w:p>
    <w:p w:rsidR="007957FA" w:rsidRDefault="007957FA">
      <w:pPr>
        <w:jc w:val="center"/>
        <w:rPr>
          <w:rFonts w:ascii="方正小标宋简体" w:eastAsia="方正小标宋简体" w:hAnsi="宋体"/>
          <w:w w:val="70"/>
          <w:sz w:val="72"/>
          <w:szCs w:val="72"/>
        </w:rPr>
      </w:pPr>
    </w:p>
    <w:p w:rsidR="007957FA" w:rsidRDefault="00B67496">
      <w:pPr>
        <w:spacing w:line="960" w:lineRule="auto"/>
        <w:jc w:val="center"/>
        <w:rPr>
          <w:rFonts w:ascii="方正小标宋简体" w:eastAsia="方正小标宋简体" w:hAnsi="方正小标宋简体" w:cs="黑体"/>
          <w:b/>
          <w:bCs/>
          <w:w w:val="90"/>
          <w:sz w:val="72"/>
          <w:szCs w:val="72"/>
        </w:rPr>
      </w:pPr>
      <w:bookmarkStart w:id="1" w:name="_Toc15396475"/>
      <w:bookmarkStart w:id="2" w:name="_Toc15377193"/>
      <w:bookmarkStart w:id="3" w:name="_Toc15396597"/>
      <w:bookmarkStart w:id="4" w:name="_Toc15378441"/>
      <w:bookmarkStart w:id="5" w:name="_Toc15377425"/>
      <w:r>
        <w:rPr>
          <w:rFonts w:ascii="方正小标宋简体" w:eastAsia="方正小标宋简体" w:hAnsi="方正小标宋简体" w:cs="黑体" w:hint="eastAsia"/>
          <w:b/>
          <w:bCs/>
          <w:w w:val="90"/>
          <w:sz w:val="72"/>
          <w:szCs w:val="72"/>
        </w:rPr>
        <w:t>2021</w:t>
      </w:r>
      <w:r>
        <w:rPr>
          <w:rFonts w:ascii="方正小标宋简体" w:eastAsia="方正小标宋简体" w:hAnsi="方正小标宋简体" w:cs="黑体" w:hint="eastAsia"/>
          <w:b/>
          <w:bCs/>
          <w:w w:val="90"/>
          <w:sz w:val="72"/>
          <w:szCs w:val="72"/>
        </w:rPr>
        <w:t>年度</w:t>
      </w:r>
      <w:bookmarkEnd w:id="1"/>
      <w:bookmarkEnd w:id="2"/>
      <w:bookmarkEnd w:id="3"/>
      <w:bookmarkEnd w:id="4"/>
      <w:bookmarkEnd w:id="5"/>
    </w:p>
    <w:p w:rsidR="007957FA" w:rsidRDefault="00B67496">
      <w:pPr>
        <w:spacing w:line="960" w:lineRule="auto"/>
        <w:rPr>
          <w:rFonts w:ascii="方正小标宋简体" w:eastAsia="方正小标宋简体" w:hAnsi="方正小标宋简体" w:cs="方正小标宋简体"/>
          <w:b/>
          <w:bCs/>
          <w:w w:val="70"/>
          <w:sz w:val="72"/>
          <w:szCs w:val="72"/>
        </w:rPr>
      </w:pPr>
      <w:bookmarkStart w:id="6" w:name="_Toc15396476"/>
      <w:bookmarkStart w:id="7" w:name="_Toc15396598"/>
      <w:bookmarkStart w:id="8" w:name="_Toc15306268"/>
      <w:bookmarkStart w:id="9" w:name="_Toc15377426"/>
      <w:bookmarkStart w:id="10" w:name="_Toc15377194"/>
      <w:bookmarkStart w:id="11" w:name="_Toc15378442"/>
      <w:bookmarkEnd w:id="0"/>
      <w:r>
        <w:rPr>
          <w:rFonts w:ascii="方正小标宋简体" w:eastAsia="方正小标宋简体" w:hAnsi="方正小标宋简体" w:cs="方正小标宋简体" w:hint="eastAsia"/>
          <w:b/>
          <w:bCs/>
          <w:w w:val="70"/>
          <w:sz w:val="72"/>
          <w:szCs w:val="72"/>
        </w:rPr>
        <w:t>通江县天然林资源保护工程管理中心</w:t>
      </w:r>
    </w:p>
    <w:p w:rsidR="007957FA" w:rsidRDefault="00B67496">
      <w:pPr>
        <w:spacing w:line="960" w:lineRule="auto"/>
        <w:jc w:val="center"/>
        <w:rPr>
          <w:rFonts w:ascii="方正小标宋简体" w:eastAsia="方正小标宋简体" w:hAnsi="方正小标宋简体" w:cs="黑体"/>
          <w:b/>
          <w:bCs/>
          <w:w w:val="90"/>
          <w:sz w:val="72"/>
          <w:szCs w:val="72"/>
        </w:rPr>
      </w:pPr>
      <w:r>
        <w:rPr>
          <w:rFonts w:ascii="方正小标宋简体" w:eastAsia="方正小标宋简体" w:hAnsi="方正小标宋简体" w:cs="黑体" w:hint="eastAsia"/>
          <w:b/>
          <w:bCs/>
          <w:w w:val="90"/>
          <w:sz w:val="72"/>
          <w:szCs w:val="72"/>
        </w:rPr>
        <w:t>单位</w:t>
      </w:r>
      <w:r>
        <w:rPr>
          <w:rFonts w:ascii="方正小标宋简体" w:eastAsia="方正小标宋简体" w:hAnsi="方正小标宋简体" w:cs="黑体" w:hint="eastAsia"/>
          <w:b/>
          <w:bCs/>
          <w:w w:val="90"/>
          <w:sz w:val="72"/>
          <w:szCs w:val="72"/>
        </w:rPr>
        <w:t>决算</w:t>
      </w:r>
    </w:p>
    <w:bookmarkEnd w:id="6"/>
    <w:bookmarkEnd w:id="7"/>
    <w:bookmarkEnd w:id="8"/>
    <w:bookmarkEnd w:id="9"/>
    <w:bookmarkEnd w:id="10"/>
    <w:bookmarkEnd w:id="11"/>
    <w:p w:rsidR="007957FA" w:rsidRDefault="007957FA">
      <w:pPr>
        <w:spacing w:line="960" w:lineRule="auto"/>
        <w:jc w:val="center"/>
        <w:rPr>
          <w:rFonts w:ascii="方正小标宋简体" w:eastAsia="方正小标宋简体" w:hAnsi="方正小标宋简体" w:cs="方正小标宋简体"/>
          <w:b/>
          <w:bCs/>
          <w:w w:val="70"/>
          <w:sz w:val="52"/>
          <w:szCs w:val="52"/>
        </w:rPr>
      </w:pPr>
    </w:p>
    <w:p w:rsidR="007957FA" w:rsidRDefault="007957FA">
      <w:pPr>
        <w:pStyle w:val="TOC30"/>
        <w:spacing w:before="0" w:line="960" w:lineRule="auto"/>
        <w:jc w:val="center"/>
        <w:rPr>
          <w:rFonts w:ascii="黑体" w:eastAsia="黑体" w:hAnsi="黑体" w:cs="黑体"/>
          <w:b/>
          <w:bCs/>
          <w:color w:val="000000" w:themeColor="text1"/>
          <w:w w:val="70"/>
          <w:lang w:val="zh-CN"/>
        </w:rPr>
        <w:sectPr w:rsidR="007957FA">
          <w:headerReference w:type="default" r:id="rId9"/>
          <w:footerReference w:type="default" r:id="rId10"/>
          <w:footerReference w:type="first" r:id="rId11"/>
          <w:pgSz w:w="11906" w:h="16838"/>
          <w:pgMar w:top="1440" w:right="1800" w:bottom="1440" w:left="1800" w:header="851" w:footer="992" w:gutter="0"/>
          <w:pgNumType w:start="1"/>
          <w:cols w:space="425"/>
          <w:titlePg/>
          <w:docGrid w:type="lines" w:linePitch="312"/>
        </w:sectPr>
      </w:pPr>
    </w:p>
    <w:p w:rsidR="007957FA" w:rsidRDefault="00B67496">
      <w:pPr>
        <w:pStyle w:val="TOC30"/>
        <w:spacing w:before="0"/>
        <w:jc w:val="center"/>
        <w:rPr>
          <w:rFonts w:ascii="黑体" w:eastAsia="黑体" w:hAnsi="黑体" w:cs="黑体"/>
          <w:color w:val="000000" w:themeColor="text1"/>
          <w:sz w:val="48"/>
          <w:szCs w:val="48"/>
          <w:lang w:val="zh-CN"/>
        </w:rPr>
      </w:pPr>
      <w:r>
        <w:rPr>
          <w:rFonts w:ascii="黑体" w:eastAsia="黑体" w:hAnsi="黑体" w:cs="黑体" w:hint="eastAsia"/>
          <w:color w:val="000000" w:themeColor="text1"/>
          <w:sz w:val="48"/>
          <w:szCs w:val="48"/>
          <w:lang w:val="zh-CN"/>
        </w:rPr>
        <w:lastRenderedPageBreak/>
        <w:t>目录</w:t>
      </w:r>
    </w:p>
    <w:p w:rsidR="007957FA" w:rsidRDefault="007957FA">
      <w:pPr>
        <w:rPr>
          <w:rFonts w:ascii="黑体" w:eastAsia="黑体" w:hAnsi="黑体" w:cs="黑体"/>
          <w:color w:val="000000" w:themeColor="text1"/>
          <w:sz w:val="48"/>
          <w:szCs w:val="48"/>
          <w:lang w:val="zh-CN"/>
        </w:rPr>
      </w:pPr>
    </w:p>
    <w:p w:rsidR="007957FA" w:rsidRDefault="00B67496">
      <w:pPr>
        <w:pStyle w:val="TOC1"/>
      </w:pPr>
      <w:r>
        <w:rPr>
          <w:rFonts w:hint="eastAsia"/>
        </w:rPr>
        <w:t>公开时间：</w:t>
      </w:r>
      <w:r>
        <w:rPr>
          <w:rFonts w:hint="eastAsia"/>
        </w:rPr>
        <w:t>20</w:t>
      </w:r>
      <w:r>
        <w:rPr>
          <w:rFonts w:hint="eastAsia"/>
        </w:rPr>
        <w:t>22</w:t>
      </w:r>
      <w:r>
        <w:rPr>
          <w:rFonts w:hint="eastAsia"/>
        </w:rPr>
        <w:t>年</w:t>
      </w:r>
      <w:r>
        <w:rPr>
          <w:rFonts w:hint="eastAsia"/>
        </w:rPr>
        <w:t>9</w:t>
      </w:r>
      <w:r>
        <w:rPr>
          <w:rFonts w:hint="eastAsia"/>
        </w:rPr>
        <w:t>月</w:t>
      </w:r>
      <w:r>
        <w:rPr>
          <w:rFonts w:hint="eastAsia"/>
        </w:rPr>
        <w:t>1</w:t>
      </w:r>
      <w:r>
        <w:rPr>
          <w:rFonts w:hint="eastAsia"/>
        </w:rPr>
        <w:t>日</w:t>
      </w:r>
    </w:p>
    <w:p w:rsidR="007957FA" w:rsidRDefault="007957FA"/>
    <w:p w:rsidR="007957FA" w:rsidRDefault="00B67496">
      <w:pPr>
        <w:pStyle w:val="TOC1"/>
        <w:tabs>
          <w:tab w:val="clear" w:pos="8296"/>
          <w:tab w:val="right" w:leader="dot" w:pos="8306"/>
        </w:tabs>
        <w:spacing w:before="0" w:line="440" w:lineRule="exact"/>
        <w:rPr>
          <w:sz w:val="24"/>
          <w:szCs w:val="24"/>
        </w:rPr>
      </w:pPr>
      <w:r>
        <w:rPr>
          <w:rFonts w:ascii="宋体" w:eastAsia="宋体" w:hAnsi="宋体"/>
          <w:sz w:val="24"/>
          <w:szCs w:val="24"/>
        </w:rPr>
        <w:fldChar w:fldCharType="begin"/>
      </w:r>
      <w:r>
        <w:rPr>
          <w:rFonts w:ascii="宋体" w:eastAsia="宋体" w:hAnsi="宋体"/>
          <w:sz w:val="24"/>
          <w:szCs w:val="24"/>
        </w:rPr>
        <w:instrText xml:space="preserve"> TOC \o "1-3" \h \z \u </w:instrText>
      </w:r>
      <w:r>
        <w:rPr>
          <w:rFonts w:ascii="宋体" w:eastAsia="宋体" w:hAnsi="宋体"/>
          <w:sz w:val="24"/>
          <w:szCs w:val="24"/>
        </w:rPr>
        <w:fldChar w:fldCharType="separate"/>
      </w:r>
      <w:hyperlink w:anchor="_Toc27110" w:history="1">
        <w:r>
          <w:rPr>
            <w:rFonts w:cs="仿宋" w:hint="eastAsia"/>
            <w:sz w:val="24"/>
            <w:szCs w:val="24"/>
          </w:rPr>
          <w:t>第一部分</w:t>
        </w:r>
        <w:r>
          <w:rPr>
            <w:rFonts w:cs="仿宋" w:hint="eastAsia"/>
            <w:sz w:val="24"/>
            <w:szCs w:val="24"/>
          </w:rPr>
          <w:t xml:space="preserve"> </w:t>
        </w:r>
        <w:r>
          <w:rPr>
            <w:rFonts w:cs="仿宋" w:hint="eastAsia"/>
            <w:sz w:val="24"/>
            <w:szCs w:val="24"/>
          </w:rPr>
          <w:t>单位</w:t>
        </w:r>
        <w:r>
          <w:rPr>
            <w:rFonts w:cs="仿宋" w:hint="eastAsia"/>
            <w:sz w:val="24"/>
            <w:szCs w:val="24"/>
          </w:rPr>
          <w:t>概况</w:t>
        </w:r>
        <w:r>
          <w:rPr>
            <w:rFonts w:cs="仿宋" w:hint="eastAsia"/>
            <w:sz w:val="24"/>
            <w:szCs w:val="24"/>
          </w:rPr>
          <w:tab/>
        </w:r>
        <w:r>
          <w:rPr>
            <w:rFonts w:cs="仿宋" w:hint="eastAsia"/>
            <w:sz w:val="24"/>
            <w:szCs w:val="24"/>
          </w:rPr>
          <w:fldChar w:fldCharType="begin"/>
        </w:r>
        <w:r>
          <w:rPr>
            <w:rFonts w:cs="仿宋" w:hint="eastAsia"/>
            <w:sz w:val="24"/>
            <w:szCs w:val="24"/>
          </w:rPr>
          <w:instrText xml:space="preserve"> PAGEREF _Toc27110 \h </w:instrText>
        </w:r>
        <w:r>
          <w:rPr>
            <w:rFonts w:cs="仿宋" w:hint="eastAsia"/>
            <w:sz w:val="24"/>
            <w:szCs w:val="24"/>
          </w:rPr>
        </w:r>
        <w:r>
          <w:rPr>
            <w:rFonts w:cs="仿宋" w:hint="eastAsia"/>
            <w:sz w:val="24"/>
            <w:szCs w:val="24"/>
          </w:rPr>
          <w:fldChar w:fldCharType="separate"/>
        </w:r>
        <w:r>
          <w:rPr>
            <w:rFonts w:cs="仿宋" w:hint="eastAsia"/>
            <w:sz w:val="24"/>
            <w:szCs w:val="24"/>
          </w:rPr>
          <w:t>1</w:t>
        </w:r>
        <w:r>
          <w:rPr>
            <w:rFonts w:cs="仿宋" w:hint="eastAsia"/>
            <w:sz w:val="24"/>
            <w:szCs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5744" w:history="1">
        <w:r>
          <w:rPr>
            <w:rFonts w:ascii="宋体" w:hAnsi="宋体" w:cs="宋体" w:hint="eastAsia"/>
            <w:sz w:val="24"/>
          </w:rPr>
          <w:t>一、职能简介</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_Toc5744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7012" w:history="1">
        <w:r>
          <w:rPr>
            <w:rFonts w:ascii="宋体" w:hAnsi="宋体" w:cs="宋体" w:hint="eastAsia"/>
            <w:sz w:val="24"/>
          </w:rPr>
          <w:t>二、</w:t>
        </w:r>
        <w:r>
          <w:rPr>
            <w:rFonts w:ascii="宋体" w:hAnsi="宋体" w:cs="宋体" w:hint="eastAsia"/>
            <w:sz w:val="24"/>
          </w:rPr>
          <w:t>2021</w:t>
        </w:r>
        <w:r>
          <w:rPr>
            <w:rFonts w:ascii="宋体" w:hAnsi="宋体" w:cs="宋体" w:hint="eastAsia"/>
            <w:sz w:val="24"/>
          </w:rPr>
          <w:t>年重点工作完成情况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_Toc27012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hyperlink>
    </w:p>
    <w:p w:rsidR="007957FA" w:rsidRDefault="00B67496">
      <w:pPr>
        <w:pStyle w:val="TOC1"/>
        <w:tabs>
          <w:tab w:val="clear" w:pos="8296"/>
          <w:tab w:val="right" w:leader="dot" w:pos="8306"/>
        </w:tabs>
        <w:spacing w:before="0" w:line="440" w:lineRule="exact"/>
        <w:rPr>
          <w:sz w:val="24"/>
          <w:szCs w:val="24"/>
        </w:rPr>
      </w:pPr>
      <w:hyperlink w:anchor="_Toc26531" w:history="1">
        <w:r>
          <w:rPr>
            <w:rFonts w:cs="仿宋" w:hint="eastAsia"/>
            <w:sz w:val="24"/>
            <w:szCs w:val="24"/>
          </w:rPr>
          <w:t>第二部分</w:t>
        </w:r>
        <w:r>
          <w:rPr>
            <w:rFonts w:cs="仿宋" w:hint="eastAsia"/>
            <w:sz w:val="24"/>
            <w:szCs w:val="24"/>
          </w:rPr>
          <w:t xml:space="preserve"> 2021</w:t>
        </w:r>
        <w:r>
          <w:rPr>
            <w:rFonts w:cs="仿宋" w:hint="eastAsia"/>
            <w:sz w:val="24"/>
            <w:szCs w:val="24"/>
          </w:rPr>
          <w:t>年度</w:t>
        </w:r>
        <w:r>
          <w:rPr>
            <w:rFonts w:cs="仿宋" w:hint="eastAsia"/>
            <w:bCs/>
            <w:sz w:val="24"/>
            <w:szCs w:val="24"/>
          </w:rPr>
          <w:t>单位决算情况说明</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_Toc26531</w:instrText>
        </w:r>
        <w:r>
          <w:rPr>
            <w:rFonts w:ascii="宋体" w:eastAsia="宋体" w:hAnsi="宋体" w:cs="宋体" w:hint="eastAsia"/>
            <w:sz w:val="24"/>
            <w:szCs w:val="24"/>
          </w:rPr>
          <w:instrText xml:space="preserve">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7123" w:history="1">
        <w:r>
          <w:rPr>
            <w:rFonts w:ascii="宋体" w:hAnsi="宋体" w:cs="宋体" w:hint="eastAsia"/>
            <w:sz w:val="24"/>
          </w:rPr>
          <w:t>一、收入支出决算总体情况说明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_Toc17123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5672" w:history="1">
        <w:r>
          <w:rPr>
            <w:rFonts w:ascii="宋体" w:hAnsi="宋体" w:cs="宋体" w:hint="eastAsia"/>
            <w:sz w:val="24"/>
          </w:rPr>
          <w:t>二、收入决算情况说明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_Toc15672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7197" w:history="1">
        <w:r>
          <w:rPr>
            <w:rFonts w:ascii="宋体" w:hAnsi="宋体" w:cs="宋体" w:hint="eastAsia"/>
            <w:sz w:val="24"/>
          </w:rPr>
          <w:t>三、支</w:t>
        </w:r>
        <w:r>
          <w:rPr>
            <w:rFonts w:ascii="宋体" w:hAnsi="宋体" w:cs="宋体" w:hint="eastAsia"/>
            <w:bCs/>
            <w:sz w:val="24"/>
          </w:rPr>
          <w:t>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_Toc17197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8151" w:history="1">
        <w:r>
          <w:rPr>
            <w:rFonts w:ascii="宋体" w:hAnsi="宋体" w:cs="宋体" w:hint="eastAsia"/>
            <w:sz w:val="24"/>
          </w:rPr>
          <w:t>四、财政拨款收入支出决算总体情况说明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_Toc18151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3965" w:history="1">
        <w:r>
          <w:rPr>
            <w:rFonts w:ascii="宋体" w:hAnsi="宋体" w:cs="宋体" w:hint="eastAsia"/>
            <w:sz w:val="24"/>
          </w:rPr>
          <w:t>五、一般公共预算财政拨款支出决算情况说明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_Toc23965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5</w:t>
        </w:r>
        <w:r>
          <w:rPr>
            <w:rFonts w:ascii="宋体" w:hAnsi="宋体" w:cs="宋体" w:hint="eastAsia"/>
            <w:sz w:val="24"/>
          </w:rPr>
          <w:fldChar w:fldCharType="end"/>
        </w:r>
      </w:hyperlink>
    </w:p>
    <w:p w:rsidR="007957FA" w:rsidRDefault="00B67496">
      <w:pPr>
        <w:pStyle w:val="TOC2"/>
        <w:adjustRightInd w:val="0"/>
        <w:snapToGrid w:val="0"/>
        <w:spacing w:line="440" w:lineRule="exact"/>
        <w:jc w:val="left"/>
        <w:rPr>
          <w:rFonts w:ascii="宋体" w:hAnsi="宋体" w:cs="宋体"/>
          <w:sz w:val="24"/>
        </w:rPr>
      </w:pPr>
      <w:r>
        <w:rPr>
          <w:rFonts w:hint="eastAsia"/>
          <w:sz w:val="24"/>
        </w:rPr>
        <w:t>六、一般公共预算财政拨款基本支出决算情况说明</w:t>
      </w:r>
      <w:r>
        <w:rPr>
          <w:rFonts w:ascii="宋体" w:hAnsi="宋体" w:cs="宋体" w:hint="eastAsia"/>
          <w:sz w:val="24"/>
        </w:rPr>
        <w:tab/>
      </w:r>
      <w:r>
        <w:rPr>
          <w:rFonts w:ascii="宋体" w:hAnsi="宋体" w:cs="宋体" w:hint="eastAsia"/>
          <w:sz w:val="24"/>
        </w:rPr>
        <w:t>8</w:t>
      </w:r>
    </w:p>
    <w:p w:rsidR="007957FA" w:rsidRDefault="00B67496">
      <w:pPr>
        <w:pStyle w:val="TOC2"/>
        <w:tabs>
          <w:tab w:val="clear" w:pos="8296"/>
          <w:tab w:val="right" w:leader="dot" w:pos="8306"/>
        </w:tabs>
        <w:spacing w:line="440" w:lineRule="exact"/>
        <w:rPr>
          <w:rFonts w:ascii="宋体" w:hAnsi="宋体" w:cs="宋体"/>
          <w:sz w:val="24"/>
        </w:rPr>
      </w:pPr>
      <w:hyperlink w:anchor="_Toc21902" w:history="1">
        <w:r>
          <w:rPr>
            <w:rFonts w:ascii="宋体" w:hAnsi="宋体" w:cs="宋体" w:hint="eastAsia"/>
            <w:sz w:val="24"/>
          </w:rPr>
          <w:t>七、“三公”经</w:t>
        </w:r>
        <w:r>
          <w:rPr>
            <w:rFonts w:ascii="宋体" w:hAnsi="宋体" w:cs="宋体" w:hint="eastAsia"/>
            <w:sz w:val="24"/>
          </w:rPr>
          <w:t>费财政拨款支出决算情况说明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_Toc21902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8</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1023" w:history="1">
        <w:r>
          <w:rPr>
            <w:rFonts w:ascii="宋体" w:hAnsi="宋体" w:cs="宋体" w:hint="eastAsia"/>
            <w:sz w:val="24"/>
          </w:rPr>
          <w:t>八、政府性基金预算支出决算情况说明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_Toc11023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7642" w:history="1">
        <w:r>
          <w:rPr>
            <w:rFonts w:ascii="宋体" w:hAnsi="宋体" w:cs="宋体" w:hint="eastAsia"/>
            <w:sz w:val="24"/>
          </w:rPr>
          <w:t>九、国有资本经营预算支出决算情况说明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_Toc7642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sz w:val="24"/>
        </w:rPr>
      </w:pPr>
      <w:hyperlink w:anchor="_Toc6037" w:history="1">
        <w:r>
          <w:rPr>
            <w:rFonts w:ascii="宋体" w:hAnsi="宋体" w:cs="宋体" w:hint="eastAsia"/>
            <w:sz w:val="24"/>
          </w:rPr>
          <w:t>十、其他重要事项的情况说明</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_Toc6037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9</w:t>
        </w:r>
        <w:r>
          <w:rPr>
            <w:rFonts w:ascii="宋体" w:hAnsi="宋体" w:cs="宋体" w:hint="eastAsia"/>
            <w:sz w:val="24"/>
          </w:rPr>
          <w:fldChar w:fldCharType="end"/>
        </w:r>
      </w:hyperlink>
    </w:p>
    <w:p w:rsidR="007957FA" w:rsidRDefault="00B67496">
      <w:pPr>
        <w:pStyle w:val="TOC1"/>
        <w:tabs>
          <w:tab w:val="clear" w:pos="8296"/>
          <w:tab w:val="right" w:leader="dot" w:pos="8306"/>
        </w:tabs>
        <w:spacing w:before="0" w:line="440" w:lineRule="exact"/>
        <w:rPr>
          <w:sz w:val="24"/>
          <w:szCs w:val="24"/>
        </w:rPr>
      </w:pPr>
      <w:hyperlink w:anchor="_Toc23042" w:history="1">
        <w:r>
          <w:rPr>
            <w:rFonts w:cs="仿宋" w:hint="eastAsia"/>
            <w:sz w:val="24"/>
            <w:szCs w:val="24"/>
          </w:rPr>
          <w:t>第三部分</w:t>
        </w:r>
        <w:r>
          <w:rPr>
            <w:rFonts w:cs="仿宋" w:hint="eastAsia"/>
            <w:sz w:val="24"/>
            <w:szCs w:val="24"/>
          </w:rPr>
          <w:t xml:space="preserve"> </w:t>
        </w:r>
        <w:r>
          <w:rPr>
            <w:rFonts w:cs="仿宋" w:hint="eastAsia"/>
            <w:sz w:val="24"/>
            <w:szCs w:val="24"/>
          </w:rPr>
          <w:t>名词解释</w:t>
        </w:r>
        <w:r>
          <w:rPr>
            <w:sz w:val="24"/>
            <w:szCs w:val="24"/>
          </w:rPr>
          <w:tab/>
        </w:r>
        <w:r>
          <w:rPr>
            <w:sz w:val="24"/>
            <w:szCs w:val="24"/>
          </w:rPr>
          <w:fldChar w:fldCharType="begin"/>
        </w:r>
        <w:r>
          <w:rPr>
            <w:sz w:val="24"/>
            <w:szCs w:val="24"/>
          </w:rPr>
          <w:instrText xml:space="preserve"> PAGEREF _Toc23042 \h </w:instrText>
        </w:r>
        <w:r>
          <w:rPr>
            <w:sz w:val="24"/>
            <w:szCs w:val="24"/>
          </w:rPr>
        </w:r>
        <w:r>
          <w:rPr>
            <w:sz w:val="24"/>
            <w:szCs w:val="24"/>
          </w:rPr>
          <w:fldChar w:fldCharType="separate"/>
        </w:r>
        <w:r>
          <w:rPr>
            <w:sz w:val="24"/>
            <w:szCs w:val="24"/>
          </w:rPr>
          <w:t>11</w:t>
        </w:r>
        <w:r>
          <w:rPr>
            <w:sz w:val="24"/>
            <w:szCs w:val="24"/>
          </w:rPr>
          <w:fldChar w:fldCharType="end"/>
        </w:r>
      </w:hyperlink>
    </w:p>
    <w:p w:rsidR="007957FA" w:rsidRDefault="00B67496">
      <w:pPr>
        <w:pStyle w:val="TOC1"/>
        <w:tabs>
          <w:tab w:val="clear" w:pos="8296"/>
          <w:tab w:val="right" w:leader="dot" w:pos="8306"/>
        </w:tabs>
        <w:spacing w:before="0" w:line="440" w:lineRule="exact"/>
        <w:rPr>
          <w:rFonts w:cs="仿宋"/>
          <w:sz w:val="24"/>
          <w:szCs w:val="24"/>
        </w:rPr>
      </w:pPr>
      <w:hyperlink w:anchor="_Toc24113" w:history="1">
        <w:r>
          <w:rPr>
            <w:rFonts w:cs="仿宋" w:hint="eastAsia"/>
            <w:sz w:val="24"/>
            <w:szCs w:val="24"/>
          </w:rPr>
          <w:t>第四部分</w:t>
        </w:r>
        <w:r>
          <w:rPr>
            <w:rFonts w:cs="仿宋" w:hint="eastAsia"/>
            <w:sz w:val="24"/>
            <w:szCs w:val="24"/>
          </w:rPr>
          <w:t xml:space="preserve"> </w:t>
        </w:r>
        <w:r>
          <w:rPr>
            <w:rFonts w:cs="仿宋" w:hint="eastAsia"/>
            <w:sz w:val="24"/>
            <w:szCs w:val="24"/>
          </w:rPr>
          <w:t>附件</w:t>
        </w:r>
        <w:r>
          <w:rPr>
            <w:rFonts w:cs="仿宋" w:hint="eastAsia"/>
            <w:sz w:val="24"/>
            <w:szCs w:val="24"/>
          </w:rPr>
          <w:tab/>
        </w:r>
        <w:r>
          <w:rPr>
            <w:rFonts w:cs="仿宋" w:hint="eastAsia"/>
            <w:sz w:val="24"/>
            <w:szCs w:val="24"/>
          </w:rPr>
          <w:fldChar w:fldCharType="begin"/>
        </w:r>
        <w:r>
          <w:rPr>
            <w:rFonts w:cs="仿宋" w:hint="eastAsia"/>
            <w:sz w:val="24"/>
            <w:szCs w:val="24"/>
          </w:rPr>
          <w:instrText xml:space="preserve"> PAGEREF _Toc24113 \h </w:instrText>
        </w:r>
        <w:r>
          <w:rPr>
            <w:rFonts w:cs="仿宋" w:hint="eastAsia"/>
            <w:sz w:val="24"/>
            <w:szCs w:val="24"/>
          </w:rPr>
        </w:r>
        <w:r>
          <w:rPr>
            <w:rFonts w:cs="仿宋" w:hint="eastAsia"/>
            <w:sz w:val="24"/>
            <w:szCs w:val="24"/>
          </w:rPr>
          <w:fldChar w:fldCharType="separate"/>
        </w:r>
        <w:r>
          <w:rPr>
            <w:rFonts w:cs="仿宋" w:hint="eastAsia"/>
            <w:sz w:val="24"/>
            <w:szCs w:val="24"/>
          </w:rPr>
          <w:t>13</w:t>
        </w:r>
        <w:r>
          <w:rPr>
            <w:rFonts w:cs="仿宋" w:hint="eastAsia"/>
            <w:sz w:val="24"/>
            <w:szCs w:val="24"/>
          </w:rPr>
          <w:fldChar w:fldCharType="end"/>
        </w:r>
      </w:hyperlink>
    </w:p>
    <w:p w:rsidR="007957FA" w:rsidRDefault="00B67496">
      <w:pPr>
        <w:pStyle w:val="TOC1"/>
        <w:tabs>
          <w:tab w:val="clear" w:pos="8296"/>
          <w:tab w:val="right" w:leader="dot" w:pos="8306"/>
        </w:tabs>
        <w:spacing w:before="0" w:line="440" w:lineRule="exact"/>
        <w:rPr>
          <w:sz w:val="24"/>
          <w:szCs w:val="24"/>
        </w:rPr>
      </w:pPr>
      <w:hyperlink w:anchor="_Toc684" w:history="1">
        <w:r>
          <w:rPr>
            <w:rFonts w:cs="仿宋" w:hint="eastAsia"/>
            <w:sz w:val="24"/>
            <w:szCs w:val="24"/>
          </w:rPr>
          <w:t>第五部分</w:t>
        </w:r>
        <w:r>
          <w:rPr>
            <w:rFonts w:cs="仿宋" w:hint="eastAsia"/>
            <w:sz w:val="24"/>
            <w:szCs w:val="24"/>
          </w:rPr>
          <w:t xml:space="preserve"> </w:t>
        </w:r>
        <w:r>
          <w:rPr>
            <w:rFonts w:cs="仿宋" w:hint="eastAsia"/>
            <w:sz w:val="24"/>
            <w:szCs w:val="24"/>
          </w:rPr>
          <w:t>附表</w:t>
        </w:r>
        <w:r>
          <w:rPr>
            <w:rFonts w:cs="仿宋" w:hint="eastAsia"/>
            <w:sz w:val="24"/>
            <w:szCs w:val="24"/>
          </w:rPr>
          <w:tab/>
        </w:r>
      </w:hyperlink>
      <w:r>
        <w:rPr>
          <w:rFonts w:ascii="宋体" w:hAnsi="宋体" w:hint="eastAsia"/>
          <w:sz w:val="24"/>
          <w:szCs w:val="24"/>
        </w:rPr>
        <w:t>15</w:t>
      </w:r>
    </w:p>
    <w:p w:rsidR="007957FA" w:rsidRDefault="00B67496">
      <w:pPr>
        <w:pStyle w:val="TOC2"/>
        <w:tabs>
          <w:tab w:val="clear" w:pos="8296"/>
          <w:tab w:val="right" w:leader="dot" w:pos="8306"/>
        </w:tabs>
        <w:spacing w:line="440" w:lineRule="exact"/>
        <w:rPr>
          <w:rFonts w:ascii="宋体" w:hAnsi="宋体" w:cs="宋体"/>
          <w:sz w:val="24"/>
        </w:rPr>
      </w:pPr>
      <w:hyperlink w:anchor="_Toc24787" w:history="1">
        <w:r>
          <w:rPr>
            <w:rFonts w:ascii="宋体" w:hAnsi="宋体" w:cs="宋体" w:hint="eastAsia"/>
            <w:sz w:val="24"/>
          </w:rPr>
          <w:t>一、收</w:t>
        </w:r>
        <w:r>
          <w:rPr>
            <w:rFonts w:ascii="宋体" w:hAnsi="宋体" w:cs="宋体" w:hint="eastAsia"/>
            <w:sz w:val="24"/>
          </w:rPr>
          <w:t>入支出决算总表</w:t>
        </w:r>
        <w:r>
          <w:rPr>
            <w:rFonts w:ascii="宋体" w:hAnsi="宋体" w:cs="宋体" w:hint="eastAsia"/>
            <w:sz w:val="24"/>
          </w:rPr>
          <w:tab/>
        </w:r>
        <w:r>
          <w:rPr>
            <w:rFonts w:ascii="宋体" w:hAnsi="宋体" w:cs="宋体" w:hint="eastAsia"/>
            <w:sz w:val="24"/>
          </w:rPr>
          <w:t>1</w:t>
        </w:r>
      </w:hyperlink>
      <w:r>
        <w:rPr>
          <w:rFonts w:ascii="宋体" w:hAnsi="宋体" w:cs="宋体" w:hint="eastAsia"/>
          <w:sz w:val="24"/>
        </w:rPr>
        <w:t>5</w:t>
      </w:r>
    </w:p>
    <w:p w:rsidR="007957FA" w:rsidRDefault="00B67496">
      <w:pPr>
        <w:pStyle w:val="TOC2"/>
        <w:tabs>
          <w:tab w:val="clear" w:pos="8296"/>
          <w:tab w:val="right" w:leader="dot" w:pos="8306"/>
        </w:tabs>
        <w:spacing w:line="440" w:lineRule="exact"/>
        <w:rPr>
          <w:rFonts w:ascii="宋体" w:hAnsi="宋体" w:cs="宋体"/>
          <w:sz w:val="24"/>
        </w:rPr>
      </w:pPr>
      <w:hyperlink w:anchor="_Toc1926" w:history="1">
        <w:r>
          <w:rPr>
            <w:rFonts w:ascii="宋体" w:hAnsi="宋体" w:cs="宋体" w:hint="eastAsia"/>
            <w:sz w:val="24"/>
          </w:rPr>
          <w:t>二、收</w:t>
        </w:r>
        <w:r>
          <w:rPr>
            <w:rFonts w:ascii="宋体" w:hAnsi="宋体" w:cs="宋体" w:hint="eastAsia"/>
            <w:sz w:val="24"/>
          </w:rPr>
          <w:t>入决算表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_Toc1926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9254" w:history="1">
        <w:r>
          <w:rPr>
            <w:rFonts w:ascii="宋体" w:hAnsi="宋体" w:cs="宋体" w:hint="eastAsia"/>
            <w:sz w:val="24"/>
          </w:rPr>
          <w:t>三、</w:t>
        </w:r>
        <w:r>
          <w:rPr>
            <w:rFonts w:ascii="宋体" w:hAnsi="宋体" w:cs="宋体" w:hint="eastAsia"/>
            <w:sz w:val="24"/>
          </w:rPr>
          <w:t>支</w:t>
        </w:r>
        <w:r>
          <w:rPr>
            <w:rFonts w:ascii="宋体" w:hAnsi="宋体" w:cs="宋体" w:hint="eastAsia"/>
            <w:sz w:val="24"/>
          </w:rPr>
          <w:t>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_Toc9254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4456" w:history="1">
        <w:r>
          <w:rPr>
            <w:rFonts w:ascii="宋体" w:hAnsi="宋体" w:cs="宋体" w:hint="eastAsia"/>
            <w:sz w:val="24"/>
          </w:rPr>
          <w:t>四、</w:t>
        </w:r>
        <w:r>
          <w:rPr>
            <w:rFonts w:ascii="宋体" w:hAnsi="宋体" w:cs="宋体" w:hint="eastAsia"/>
            <w:sz w:val="24"/>
          </w:rPr>
          <w:t>财</w:t>
        </w:r>
        <w:r>
          <w:rPr>
            <w:rFonts w:ascii="宋体" w:hAnsi="宋体" w:cs="宋体" w:hint="eastAsia"/>
            <w:sz w:val="24"/>
          </w:rPr>
          <w:t>政拨款收入支出决算总表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_Toc24456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8495" w:history="1">
        <w:r>
          <w:rPr>
            <w:rFonts w:ascii="宋体" w:hAnsi="宋体" w:cs="宋体" w:hint="eastAsia"/>
            <w:sz w:val="24"/>
          </w:rPr>
          <w:t>五、</w:t>
        </w:r>
        <w:r>
          <w:rPr>
            <w:rFonts w:ascii="宋体" w:hAnsi="宋体" w:cs="宋体" w:hint="eastAsia"/>
            <w:sz w:val="24"/>
          </w:rPr>
          <w:t>财</w:t>
        </w:r>
        <w:r>
          <w:rPr>
            <w:rFonts w:ascii="宋体" w:hAnsi="宋体" w:cs="宋体" w:hint="eastAsia"/>
            <w:sz w:val="24"/>
          </w:rPr>
          <w:t>政拨款支出决算明细表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_Toc28495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2824" w:history="1">
        <w:r>
          <w:rPr>
            <w:rFonts w:ascii="宋体" w:hAnsi="宋体" w:cs="宋体" w:hint="eastAsia"/>
            <w:sz w:val="24"/>
          </w:rPr>
          <w:t>六、</w:t>
        </w:r>
        <w:r>
          <w:rPr>
            <w:rFonts w:ascii="宋体" w:hAnsi="宋体" w:cs="宋体" w:hint="eastAsia"/>
            <w:sz w:val="24"/>
          </w:rPr>
          <w:t>一</w:t>
        </w:r>
        <w:r>
          <w:rPr>
            <w:rFonts w:ascii="宋体" w:hAnsi="宋体" w:cs="宋体" w:hint="eastAsia"/>
            <w:sz w:val="24"/>
          </w:rPr>
          <w:t>般公共预算财政拨款支出决算表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_Toc22824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9505" w:history="1">
        <w:r>
          <w:rPr>
            <w:rFonts w:ascii="宋体" w:hAnsi="宋体" w:cs="宋体" w:hint="eastAsia"/>
            <w:sz w:val="24"/>
          </w:rPr>
          <w:t>七、</w:t>
        </w:r>
        <w:r>
          <w:rPr>
            <w:rFonts w:ascii="宋体" w:hAnsi="宋体" w:cs="宋体" w:hint="eastAsia"/>
            <w:sz w:val="24"/>
          </w:rPr>
          <w:t>一</w:t>
        </w:r>
        <w:r>
          <w:rPr>
            <w:rFonts w:ascii="宋体" w:hAnsi="宋体" w:cs="宋体" w:hint="eastAsia"/>
            <w:sz w:val="24"/>
          </w:rPr>
          <w:t>般公共预算财政拨款支出决算明细表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_Toc29505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9820" w:history="1">
        <w:r>
          <w:rPr>
            <w:rFonts w:ascii="宋体" w:hAnsi="宋体" w:cs="宋体" w:hint="eastAsia"/>
            <w:sz w:val="24"/>
          </w:rPr>
          <w:t>八、</w:t>
        </w:r>
        <w:r>
          <w:rPr>
            <w:rFonts w:ascii="宋体" w:hAnsi="宋体" w:cs="宋体" w:hint="eastAsia"/>
            <w:sz w:val="24"/>
          </w:rPr>
          <w:t>一</w:t>
        </w:r>
        <w:r>
          <w:rPr>
            <w:rFonts w:ascii="宋体" w:hAnsi="宋体" w:cs="宋体" w:hint="eastAsia"/>
            <w:sz w:val="24"/>
          </w:rPr>
          <w:t>般公共预算财政拨款基本支出决算表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_Toc29820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16101" w:history="1">
        <w:r>
          <w:rPr>
            <w:rFonts w:ascii="宋体" w:hAnsi="宋体" w:cs="宋体" w:hint="eastAsia"/>
            <w:sz w:val="24"/>
          </w:rPr>
          <w:t>九、</w:t>
        </w:r>
        <w:r>
          <w:rPr>
            <w:rFonts w:ascii="宋体" w:hAnsi="宋体" w:cs="宋体" w:hint="eastAsia"/>
            <w:sz w:val="24"/>
          </w:rPr>
          <w:t>一</w:t>
        </w:r>
        <w:r>
          <w:rPr>
            <w:rFonts w:ascii="宋体" w:hAnsi="宋体" w:cs="宋体" w:hint="eastAsia"/>
            <w:sz w:val="24"/>
          </w:rPr>
          <w:t>般公共预算财政拨款项目支出决算表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w:instrText>
        </w:r>
        <w:r>
          <w:rPr>
            <w:rFonts w:ascii="宋体" w:hAnsi="宋体" w:cs="宋体" w:hint="eastAsia"/>
            <w:sz w:val="24"/>
          </w:rPr>
          <w:instrText xml:space="preserve">c16101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32589" w:history="1">
        <w:r>
          <w:rPr>
            <w:rFonts w:ascii="宋体" w:hAnsi="宋体" w:cs="宋体" w:hint="eastAsia"/>
            <w:sz w:val="24"/>
          </w:rPr>
          <w:t>十、</w:t>
        </w:r>
        <w:r>
          <w:rPr>
            <w:rFonts w:ascii="宋体" w:hAnsi="宋体" w:cs="宋体" w:hint="eastAsia"/>
            <w:sz w:val="24"/>
          </w:rPr>
          <w:t>一</w:t>
        </w:r>
        <w:r>
          <w:rPr>
            <w:rFonts w:ascii="宋体" w:hAnsi="宋体" w:cs="宋体" w:hint="eastAsia"/>
            <w:sz w:val="24"/>
          </w:rPr>
          <w:t>般公共预算财政拨款“三公”经费支出决算表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_Toc32589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350" w:history="1">
        <w:r>
          <w:rPr>
            <w:rFonts w:ascii="宋体" w:hAnsi="宋体" w:cs="宋体" w:hint="eastAsia"/>
            <w:sz w:val="24"/>
          </w:rPr>
          <w:t>十一、</w:t>
        </w:r>
        <w:r>
          <w:rPr>
            <w:rFonts w:ascii="宋体" w:hAnsi="宋体" w:cs="宋体" w:hint="eastAsia"/>
            <w:sz w:val="24"/>
          </w:rPr>
          <w:t>政</w:t>
        </w:r>
        <w:r>
          <w:rPr>
            <w:rFonts w:ascii="宋体" w:hAnsi="宋体" w:cs="宋体" w:hint="eastAsia"/>
            <w:sz w:val="24"/>
          </w:rPr>
          <w:t>府性基金预算财政拨款收入支出决算表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_Toc350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756" w:history="1">
        <w:r>
          <w:rPr>
            <w:rFonts w:ascii="宋体" w:hAnsi="宋体" w:cs="宋体" w:hint="eastAsia"/>
            <w:sz w:val="24"/>
          </w:rPr>
          <w:t>十二、</w:t>
        </w:r>
        <w:r>
          <w:rPr>
            <w:rFonts w:ascii="宋体" w:hAnsi="宋体" w:cs="宋体" w:hint="eastAsia"/>
            <w:sz w:val="24"/>
          </w:rPr>
          <w:t>政</w:t>
        </w:r>
        <w:r>
          <w:rPr>
            <w:rFonts w:ascii="宋体" w:hAnsi="宋体" w:cs="宋体" w:hint="eastAsia"/>
            <w:sz w:val="24"/>
          </w:rPr>
          <w:t>府性基金预算财政拨款“三公”经费支出决算表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w:instrText>
        </w:r>
        <w:r>
          <w:rPr>
            <w:rFonts w:ascii="宋体" w:hAnsi="宋体" w:cs="宋体" w:hint="eastAsia"/>
            <w:sz w:val="24"/>
          </w:rPr>
          <w:instrText xml:space="preserve">oc2756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cs="宋体"/>
          <w:sz w:val="24"/>
        </w:rPr>
      </w:pPr>
      <w:hyperlink w:anchor="_Toc29557" w:history="1">
        <w:r>
          <w:rPr>
            <w:rFonts w:ascii="宋体" w:hAnsi="宋体" w:cs="宋体" w:hint="eastAsia"/>
            <w:sz w:val="24"/>
          </w:rPr>
          <w:t>十三、</w:t>
        </w:r>
        <w:r>
          <w:rPr>
            <w:rFonts w:ascii="宋体" w:hAnsi="宋体" w:cs="宋体" w:hint="eastAsia"/>
            <w:sz w:val="24"/>
          </w:rPr>
          <w:t>国</w:t>
        </w:r>
        <w:r>
          <w:rPr>
            <w:rFonts w:ascii="宋体" w:hAnsi="宋体" w:cs="宋体" w:hint="eastAsia"/>
            <w:sz w:val="24"/>
          </w:rPr>
          <w:t>有资本经营预算财政拨款收入支出决算表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_Toc29557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pStyle w:val="TOC2"/>
        <w:tabs>
          <w:tab w:val="clear" w:pos="8296"/>
          <w:tab w:val="right" w:leader="dot" w:pos="8306"/>
        </w:tabs>
        <w:spacing w:line="440" w:lineRule="exact"/>
        <w:rPr>
          <w:rFonts w:ascii="宋体" w:hAnsi="宋体"/>
          <w:sz w:val="24"/>
          <w:lang w:val="zh-CN"/>
        </w:rPr>
        <w:sectPr w:rsidR="007957FA">
          <w:footerReference w:type="default" r:id="rId12"/>
          <w:footerReference w:type="first" r:id="rId13"/>
          <w:pgSz w:w="11906" w:h="16838"/>
          <w:pgMar w:top="1440" w:right="1800" w:bottom="1440" w:left="1800" w:header="851" w:footer="992" w:gutter="0"/>
          <w:pgNumType w:start="1"/>
          <w:cols w:space="425"/>
          <w:titlePg/>
          <w:docGrid w:type="lines" w:linePitch="312"/>
        </w:sectPr>
      </w:pPr>
      <w:hyperlink w:anchor="_Toc20389" w:history="1">
        <w:r>
          <w:rPr>
            <w:rFonts w:ascii="宋体" w:hAnsi="宋体" w:cs="宋体" w:hint="eastAsia"/>
            <w:sz w:val="24"/>
          </w:rPr>
          <w:t>十四、国有资本经营预算财政拨款支出决算表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_Toc20389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14</w:t>
        </w:r>
        <w:r>
          <w:rPr>
            <w:rFonts w:ascii="宋体" w:hAnsi="宋体" w:cs="宋体" w:hint="eastAsia"/>
            <w:sz w:val="24"/>
          </w:rPr>
          <w:fldChar w:fldCharType="end"/>
        </w:r>
      </w:hyperlink>
    </w:p>
    <w:p w:rsidR="007957FA" w:rsidRDefault="00B67496">
      <w:pPr>
        <w:widowControl/>
        <w:jc w:val="left"/>
        <w:rPr>
          <w:rStyle w:val="10"/>
          <w:rFonts w:ascii="黑体" w:eastAsia="黑体" w:hAnsi="黑体"/>
          <w:bCs w:val="0"/>
        </w:rPr>
      </w:pPr>
      <w:r>
        <w:rPr>
          <w:rFonts w:ascii="宋体" w:hAnsi="宋体"/>
          <w:sz w:val="24"/>
          <w:lang w:val="zh-CN"/>
        </w:rPr>
        <w:lastRenderedPageBreak/>
        <w:fldChar w:fldCharType="end"/>
      </w:r>
      <w:bookmarkStart w:id="12" w:name="_Toc15396599"/>
      <w:bookmarkStart w:id="13" w:name="_Toc27110"/>
      <w:bookmarkStart w:id="14" w:name="_Toc15377196"/>
      <w:r>
        <w:rPr>
          <w:rFonts w:ascii="宋体" w:hAnsi="宋体" w:hint="eastAsia"/>
          <w:sz w:val="24"/>
        </w:rPr>
        <w:t xml:space="preserve">               </w:t>
      </w:r>
      <w:r>
        <w:rPr>
          <w:rFonts w:ascii="黑体" w:eastAsia="黑体" w:hAnsi="黑体" w:hint="eastAsia"/>
          <w:sz w:val="44"/>
          <w:szCs w:val="44"/>
        </w:rPr>
        <w:t>第一部分</w:t>
      </w:r>
      <w:r>
        <w:rPr>
          <w:rFonts w:ascii="黑体" w:eastAsia="黑体" w:hAnsi="黑体" w:hint="eastAsia"/>
          <w:sz w:val="44"/>
          <w:szCs w:val="44"/>
        </w:rPr>
        <w:t xml:space="preserve"> </w:t>
      </w:r>
      <w:r>
        <w:rPr>
          <w:rFonts w:ascii="黑体" w:eastAsia="黑体" w:hAnsi="黑体" w:hint="eastAsia"/>
          <w:sz w:val="44"/>
          <w:szCs w:val="44"/>
        </w:rPr>
        <w:t>单位</w:t>
      </w:r>
      <w:r>
        <w:rPr>
          <w:rStyle w:val="10"/>
          <w:rFonts w:ascii="黑体" w:eastAsia="黑体" w:hAnsi="黑体" w:hint="eastAsia"/>
          <w:b w:val="0"/>
          <w:bCs w:val="0"/>
        </w:rPr>
        <w:t>概况</w:t>
      </w:r>
      <w:bookmarkEnd w:id="12"/>
      <w:bookmarkEnd w:id="13"/>
      <w:bookmarkEnd w:id="14"/>
    </w:p>
    <w:p w:rsidR="007957FA" w:rsidRDefault="007957FA">
      <w:pPr>
        <w:pStyle w:val="2"/>
        <w:spacing w:before="0" w:after="0" w:line="560" w:lineRule="exact"/>
        <w:ind w:firstLineChars="200" w:firstLine="640"/>
        <w:rPr>
          <w:rStyle w:val="20"/>
          <w:rFonts w:ascii="黑体" w:eastAsia="黑体" w:hAnsi="黑体" w:cs="黑体"/>
        </w:rPr>
      </w:pPr>
      <w:bookmarkStart w:id="15" w:name="_Toc5744"/>
      <w:bookmarkStart w:id="16" w:name="_Toc15396600"/>
      <w:bookmarkStart w:id="17" w:name="_Toc15377197"/>
    </w:p>
    <w:p w:rsidR="007957FA" w:rsidRDefault="00B67496">
      <w:pPr>
        <w:pStyle w:val="2"/>
        <w:spacing w:before="0" w:after="0" w:line="560" w:lineRule="exact"/>
        <w:ind w:firstLineChars="200" w:firstLine="640"/>
        <w:rPr>
          <w:rStyle w:val="20"/>
          <w:rFonts w:ascii="黑体" w:eastAsia="黑体" w:hAnsi="黑体" w:cs="黑体"/>
        </w:rPr>
      </w:pPr>
      <w:r>
        <w:rPr>
          <w:rStyle w:val="20"/>
          <w:rFonts w:ascii="黑体" w:eastAsia="黑体" w:hAnsi="黑体" w:cs="黑体" w:hint="eastAsia"/>
        </w:rPr>
        <w:t>一、职能简介</w:t>
      </w:r>
      <w:bookmarkEnd w:id="15"/>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Cs/>
          <w:sz w:val="32"/>
          <w:szCs w:val="32"/>
          <w:lang w:bidi="ar"/>
        </w:rPr>
        <w:t>贯彻执行国家、省、市、县有关天然林保护、退耕还林工程的方针政策、法规；牵头组织制定全县天然林保护、退耕还林工程的规程、管理办法并监督执行；负责编制全县天然林保护、退耕还林工程的长远规划和年度计划以及年度实施方案编制工作并组织实施；指导、监督天然林保护、退耕还林工程资金的计划、安排和使用工作，承担县天然林保护和退耕还林工程领导小组的日常事务。</w:t>
      </w:r>
    </w:p>
    <w:p w:rsidR="007957FA" w:rsidRDefault="00B67496">
      <w:pPr>
        <w:pStyle w:val="2"/>
        <w:spacing w:before="0" w:after="0" w:line="560" w:lineRule="exact"/>
        <w:ind w:firstLineChars="200" w:firstLine="640"/>
        <w:rPr>
          <w:rStyle w:val="20"/>
          <w:rFonts w:ascii="黑体" w:eastAsia="黑体" w:hAnsi="黑体" w:cs="黑体"/>
        </w:rPr>
      </w:pPr>
      <w:bookmarkStart w:id="18" w:name="_Toc27012"/>
      <w:r>
        <w:rPr>
          <w:rStyle w:val="20"/>
          <w:rFonts w:ascii="黑体" w:eastAsia="黑体" w:hAnsi="黑体" w:cs="黑体" w:hint="eastAsia"/>
        </w:rPr>
        <w:t>二、</w:t>
      </w:r>
      <w:r>
        <w:rPr>
          <w:rStyle w:val="20"/>
          <w:rFonts w:ascii="黑体" w:eastAsia="黑体" w:hAnsi="黑体" w:cs="黑体" w:hint="eastAsia"/>
        </w:rPr>
        <w:t>2021</w:t>
      </w:r>
      <w:r>
        <w:rPr>
          <w:rStyle w:val="20"/>
          <w:rFonts w:ascii="黑体" w:eastAsia="黑体" w:hAnsi="黑体" w:cs="黑体" w:hint="eastAsia"/>
        </w:rPr>
        <w:t>年重点工作</w:t>
      </w:r>
      <w:bookmarkEnd w:id="16"/>
      <w:bookmarkEnd w:id="17"/>
      <w:r>
        <w:rPr>
          <w:rStyle w:val="20"/>
          <w:rFonts w:ascii="黑体" w:eastAsia="黑体" w:hAnsi="黑体" w:cs="黑体" w:hint="eastAsia"/>
        </w:rPr>
        <w:t>完成情况</w:t>
      </w:r>
      <w:bookmarkEnd w:id="18"/>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大力实施天然林保护工程。按照天然林资源保护工程二期规划，督导各国有林场完成公益林建设封山育林任务</w:t>
      </w:r>
      <w:r>
        <w:rPr>
          <w:rFonts w:ascii="仿宋" w:eastAsia="仿宋" w:hAnsi="仿宋" w:cs="仿宋" w:hint="eastAsia"/>
          <w:sz w:val="32"/>
          <w:szCs w:val="32"/>
        </w:rPr>
        <w:t>2</w:t>
      </w:r>
      <w:r>
        <w:rPr>
          <w:rFonts w:ascii="仿宋" w:eastAsia="仿宋" w:hAnsi="仿宋" w:cs="仿宋" w:hint="eastAsia"/>
          <w:sz w:val="32"/>
          <w:szCs w:val="32"/>
        </w:rPr>
        <w:t>万亩，及时开展县级验收工作。对全县</w:t>
      </w:r>
      <w:r>
        <w:rPr>
          <w:rFonts w:ascii="仿宋" w:eastAsia="仿宋" w:hAnsi="仿宋" w:cs="仿宋" w:hint="eastAsia"/>
          <w:sz w:val="32"/>
          <w:szCs w:val="32"/>
        </w:rPr>
        <w:t>228.5</w:t>
      </w:r>
      <w:r>
        <w:rPr>
          <w:rFonts w:ascii="仿宋" w:eastAsia="仿宋" w:hAnsi="仿宋" w:cs="仿宋" w:hint="eastAsia"/>
          <w:sz w:val="32"/>
          <w:szCs w:val="32"/>
        </w:rPr>
        <w:t>万亩国有林、</w:t>
      </w:r>
      <w:r w:rsidR="0038315B">
        <w:rPr>
          <w:rFonts w:ascii="仿宋" w:eastAsia="仿宋" w:hAnsi="仿宋" w:cs="仿宋" w:hint="eastAsia"/>
          <w:sz w:val="32"/>
          <w:szCs w:val="32"/>
          <w:u w:val="thick" w:color="46CD7E"/>
          <w:shd w:val="clear" w:color="auto" w:fill="DAF5E5"/>
        </w:rPr>
        <w:t>集体林</w:t>
      </w:r>
      <w:r>
        <w:rPr>
          <w:rFonts w:ascii="仿宋" w:eastAsia="仿宋" w:hAnsi="仿宋" w:cs="仿宋" w:hint="eastAsia"/>
          <w:sz w:val="32"/>
          <w:szCs w:val="32"/>
        </w:rPr>
        <w:t>和个人公益林及天然商品林实现“三重”管护全覆盖</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确保了全县森林资源安全。</w:t>
      </w: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稳步推进退耕还林工程。</w:t>
      </w:r>
      <w:r w:rsidRPr="0038315B">
        <w:rPr>
          <w:rFonts w:ascii="仿宋" w:eastAsia="仿宋" w:hAnsi="仿宋" w:cs="仿宋" w:hint="eastAsia"/>
          <w:sz w:val="32"/>
          <w:szCs w:val="32"/>
          <w:u w:val="thick" w:color="909090"/>
          <w:shd w:val="clear" w:color="auto" w:fill="DDDDDD"/>
        </w:rPr>
        <w:t>督促项目乡镇抢抓春季造林季节，精心统筹安排，做到疫情防控和退耕还林造林“两不误”，完成</w:t>
      </w:r>
      <w:r w:rsidRPr="0038315B">
        <w:rPr>
          <w:rFonts w:ascii="仿宋" w:eastAsia="仿宋" w:hAnsi="仿宋" w:cs="仿宋" w:hint="eastAsia"/>
          <w:sz w:val="32"/>
          <w:szCs w:val="32"/>
          <w:u w:val="thick" w:color="909090"/>
          <w:shd w:val="clear" w:color="auto" w:fill="DDDDDD"/>
        </w:rPr>
        <w:t>2000</w:t>
      </w:r>
      <w:r w:rsidRPr="0038315B">
        <w:rPr>
          <w:rFonts w:ascii="仿宋" w:eastAsia="仿宋" w:hAnsi="仿宋" w:cs="仿宋" w:hint="eastAsia"/>
          <w:sz w:val="32"/>
          <w:szCs w:val="32"/>
          <w:u w:val="thick" w:color="909090"/>
          <w:shd w:val="clear" w:color="auto" w:fill="DDDDDD"/>
        </w:rPr>
        <w:t>亩新植任务，持续巩固前一轮和新一轮退耕还林成果</w:t>
      </w:r>
      <w:r w:rsidRPr="0038315B">
        <w:rPr>
          <w:rFonts w:ascii="仿宋" w:eastAsia="仿宋" w:hAnsi="仿宋" w:cs="仿宋" w:hint="eastAsia"/>
          <w:sz w:val="32"/>
          <w:szCs w:val="32"/>
          <w:u w:val="thick" w:color="909090"/>
          <w:shd w:val="clear" w:color="auto" w:fill="DDDDDD"/>
        </w:rPr>
        <w:t>27.54</w:t>
      </w:r>
      <w:r w:rsidRPr="0038315B">
        <w:rPr>
          <w:rFonts w:ascii="仿宋" w:eastAsia="仿宋" w:hAnsi="仿宋" w:cs="仿宋" w:hint="eastAsia"/>
          <w:sz w:val="32"/>
          <w:szCs w:val="32"/>
          <w:u w:val="thick" w:color="909090"/>
          <w:shd w:val="clear" w:color="auto" w:fill="DDDDDD"/>
        </w:rPr>
        <w:t>万亩，牵头组织技术人员对</w:t>
      </w:r>
      <w:r w:rsidRPr="0038315B">
        <w:rPr>
          <w:rFonts w:ascii="仿宋" w:eastAsia="仿宋" w:hAnsi="仿宋" w:cs="仿宋" w:hint="eastAsia"/>
          <w:sz w:val="32"/>
          <w:szCs w:val="32"/>
          <w:u w:val="thick" w:color="909090"/>
          <w:shd w:val="clear" w:color="auto" w:fill="DDDDDD"/>
        </w:rPr>
        <w:t>2017-2020</w:t>
      </w:r>
      <w:r w:rsidRPr="0038315B">
        <w:rPr>
          <w:rFonts w:ascii="仿宋" w:eastAsia="仿宋" w:hAnsi="仿宋" w:cs="仿宋" w:hint="eastAsia"/>
          <w:sz w:val="32"/>
          <w:szCs w:val="32"/>
          <w:u w:val="thick" w:color="909090"/>
          <w:shd w:val="clear" w:color="auto" w:fill="DDDDDD"/>
        </w:rPr>
        <w:t>年</w:t>
      </w:r>
      <w:r w:rsidRPr="0038315B">
        <w:rPr>
          <w:rFonts w:ascii="仿宋" w:eastAsia="仿宋" w:hAnsi="仿宋" w:cs="仿宋" w:hint="eastAsia"/>
          <w:sz w:val="32"/>
          <w:szCs w:val="32"/>
          <w:u w:val="thick" w:color="909090"/>
          <w:shd w:val="clear" w:color="auto" w:fill="DDDDDD"/>
        </w:rPr>
        <w:t>3.2</w:t>
      </w:r>
      <w:r w:rsidRPr="0038315B">
        <w:rPr>
          <w:rFonts w:ascii="仿宋" w:eastAsia="仿宋" w:hAnsi="仿宋" w:cs="仿宋" w:hint="eastAsia"/>
          <w:sz w:val="32"/>
          <w:szCs w:val="32"/>
          <w:u w:val="thick" w:color="909090"/>
          <w:shd w:val="clear" w:color="auto" w:fill="DDDDDD"/>
        </w:rPr>
        <w:t>万亩新一轮退耕还林开展县级检查验收，</w:t>
      </w:r>
      <w:r>
        <w:rPr>
          <w:rFonts w:ascii="仿宋" w:eastAsia="仿宋" w:hAnsi="仿宋" w:cs="仿宋" w:hint="eastAsia"/>
          <w:sz w:val="32"/>
          <w:szCs w:val="32"/>
        </w:rPr>
        <w:t>为政策兑现和省级复查验收提供基础数据。</w:t>
      </w: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有序开展民生工程资金兑现。根据国家和省级相关政策新要求，严格林业民生工程项目资金省级阳光审批和</w:t>
      </w:r>
      <w:r w:rsidR="0038315B">
        <w:rPr>
          <w:rFonts w:ascii="仿宋" w:eastAsia="仿宋" w:hAnsi="仿宋" w:cs="仿宋" w:hint="eastAsia"/>
          <w:sz w:val="32"/>
          <w:szCs w:val="32"/>
          <w:u w:val="thick" w:color="46CD7E"/>
          <w:shd w:val="clear" w:color="auto" w:fill="DAF5E5"/>
        </w:rPr>
        <w:t>市级</w:t>
      </w:r>
      <w:r w:rsidR="0038315B">
        <w:rPr>
          <w:rFonts w:ascii="仿宋" w:eastAsia="仿宋" w:hAnsi="仿宋" w:cs="仿宋" w:hint="eastAsia"/>
          <w:sz w:val="32"/>
          <w:szCs w:val="32"/>
          <w:u w:val="thick" w:color="46CD7E"/>
          <w:shd w:val="clear" w:color="auto" w:fill="DAF5E5"/>
        </w:rPr>
        <w:lastRenderedPageBreak/>
        <w:t>审批</w:t>
      </w:r>
    </w:p>
    <w:p w:rsidR="007957FA" w:rsidRDefault="00B67496">
      <w:pPr>
        <w:snapToGrid w:val="0"/>
        <w:spacing w:line="560" w:lineRule="exact"/>
        <w:rPr>
          <w:rFonts w:ascii="仿宋" w:eastAsia="仿宋" w:hAnsi="仿宋" w:cs="仿宋"/>
          <w:sz w:val="32"/>
          <w:szCs w:val="32"/>
        </w:rPr>
      </w:pPr>
      <w:r>
        <w:rPr>
          <w:rFonts w:ascii="仿宋" w:eastAsia="仿宋" w:hAnsi="仿宋" w:cs="仿宋" w:hint="eastAsia"/>
          <w:sz w:val="32"/>
          <w:szCs w:val="32"/>
        </w:rPr>
        <w:t>“一卡</w:t>
      </w:r>
      <w:r>
        <w:rPr>
          <w:rFonts w:ascii="仿宋" w:eastAsia="仿宋" w:hAnsi="仿宋" w:cs="仿宋" w:hint="eastAsia"/>
          <w:sz w:val="32"/>
          <w:szCs w:val="32"/>
        </w:rPr>
        <w:t>通”发放系统业务培训和审批发放监管，严格按照“先验收、再公示、后兑现”的兑现程序，有序推动</w:t>
      </w:r>
      <w:r>
        <w:rPr>
          <w:rFonts w:ascii="仿宋" w:eastAsia="仿宋" w:hAnsi="仿宋" w:cs="仿宋" w:hint="eastAsia"/>
          <w:sz w:val="32"/>
          <w:szCs w:val="32"/>
        </w:rPr>
        <w:t>2021</w:t>
      </w:r>
      <w:r>
        <w:rPr>
          <w:rFonts w:ascii="仿宋" w:eastAsia="仿宋" w:hAnsi="仿宋" w:cs="仿宋" w:hint="eastAsia"/>
          <w:sz w:val="32"/>
          <w:szCs w:val="32"/>
        </w:rPr>
        <w:t>年退耕还林补助、森林生态效益补偿、天然商品林停伐管护补助资金兑现</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惠及全县</w:t>
      </w:r>
      <w:r>
        <w:rPr>
          <w:rFonts w:ascii="仿宋" w:eastAsia="仿宋" w:hAnsi="仿宋" w:cs="仿宋" w:hint="eastAsia"/>
          <w:sz w:val="32"/>
          <w:szCs w:val="32"/>
        </w:rPr>
        <w:t>32</w:t>
      </w:r>
      <w:r>
        <w:rPr>
          <w:rFonts w:ascii="仿宋" w:eastAsia="仿宋" w:hAnsi="仿宋" w:cs="仿宋" w:hint="eastAsia"/>
          <w:sz w:val="32"/>
          <w:szCs w:val="32"/>
        </w:rPr>
        <w:t>个乡镇（含高明新区）和壁州街道办事处</w:t>
      </w:r>
      <w:r>
        <w:rPr>
          <w:rFonts w:ascii="仿宋" w:eastAsia="仿宋" w:hAnsi="仿宋" w:cs="仿宋" w:hint="eastAsia"/>
          <w:sz w:val="32"/>
          <w:szCs w:val="32"/>
        </w:rPr>
        <w:t>11.7</w:t>
      </w:r>
      <w:r>
        <w:rPr>
          <w:rFonts w:ascii="仿宋" w:eastAsia="仿宋" w:hAnsi="仿宋" w:cs="仿宋" w:hint="eastAsia"/>
          <w:sz w:val="32"/>
          <w:szCs w:val="32"/>
        </w:rPr>
        <w:t>万户</w:t>
      </w:r>
      <w:r>
        <w:rPr>
          <w:rFonts w:ascii="仿宋" w:eastAsia="仿宋" w:hAnsi="仿宋" w:cs="仿宋" w:hint="eastAsia"/>
          <w:sz w:val="32"/>
          <w:szCs w:val="32"/>
        </w:rPr>
        <w:t>42.12</w:t>
      </w:r>
      <w:r>
        <w:rPr>
          <w:rFonts w:ascii="仿宋" w:eastAsia="仿宋" w:hAnsi="仿宋" w:cs="仿宋" w:hint="eastAsia"/>
          <w:sz w:val="32"/>
          <w:szCs w:val="32"/>
        </w:rPr>
        <w:t>万人</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确保林业惠民政策落地落实。</w:t>
      </w: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全面加强党的建设。夯实党建引领新作为，深入开展党史学习教育，持续开展党风廉政建设，扎实开展“我为群众办实事”活动，严格执行党的组织生活制度，提高“三会一课”质量，积极开展结对社区综合治理和结对帮扶工作。彻底整治机关病，教育引导全体党员干部“</w:t>
      </w:r>
      <w:r>
        <w:rPr>
          <w:rFonts w:ascii="仿宋" w:eastAsia="仿宋" w:hAnsi="仿宋" w:cs="仿宋" w:hint="eastAsia"/>
          <w:sz w:val="32"/>
          <w:szCs w:val="32"/>
        </w:rPr>
        <w:t>讲真话、做实事、去繁冗、有情怀、扬激情、反颓废”，高质量推进中心各项业务工作。</w:t>
      </w:r>
    </w:p>
    <w:p w:rsidR="007957FA" w:rsidRDefault="007957FA">
      <w:pPr>
        <w:pStyle w:val="ToCaption"/>
        <w:spacing w:line="560" w:lineRule="exact"/>
        <w:ind w:left="840" w:hanging="420"/>
      </w:pPr>
    </w:p>
    <w:p w:rsidR="007957FA" w:rsidRDefault="00B67496">
      <w:pPr>
        <w:pStyle w:val="1"/>
        <w:spacing w:before="0" w:after="0" w:line="240" w:lineRule="auto"/>
        <w:jc w:val="center"/>
        <w:rPr>
          <w:rFonts w:ascii="黑体" w:eastAsia="黑体" w:hAnsi="黑体" w:cs="黑体"/>
          <w:b w:val="0"/>
        </w:rPr>
      </w:pPr>
      <w:bookmarkStart w:id="19" w:name="_Toc15396602"/>
      <w:bookmarkStart w:id="20" w:name="_Toc15377204"/>
      <w:r>
        <w:rPr>
          <w:rFonts w:ascii="黑体" w:eastAsia="黑体" w:hAnsi="黑体" w:cs="黑体" w:hint="eastAsia"/>
          <w:b w:val="0"/>
        </w:rPr>
        <w:t xml:space="preserve">  </w:t>
      </w:r>
      <w:bookmarkStart w:id="21" w:name="_Toc26531"/>
    </w:p>
    <w:p w:rsidR="007957FA" w:rsidRDefault="007957FA">
      <w:pPr>
        <w:rPr>
          <w:rFonts w:ascii="黑体" w:eastAsia="黑体" w:hAnsi="黑体" w:cs="黑体"/>
        </w:rPr>
      </w:pPr>
    </w:p>
    <w:p w:rsidR="007957FA" w:rsidRDefault="007957FA">
      <w:pPr>
        <w:pStyle w:val="a0"/>
        <w:spacing w:before="93"/>
        <w:rPr>
          <w:rFonts w:ascii="黑体" w:eastAsia="黑体" w:hAnsi="黑体" w:cs="黑体"/>
        </w:rPr>
      </w:pPr>
    </w:p>
    <w:p w:rsidR="007957FA" w:rsidRDefault="007957FA">
      <w:pPr>
        <w:pStyle w:val="a0"/>
        <w:spacing w:before="93"/>
        <w:rPr>
          <w:rFonts w:ascii="黑体" w:eastAsia="黑体" w:hAnsi="黑体" w:cs="黑体"/>
        </w:rPr>
      </w:pPr>
    </w:p>
    <w:p w:rsidR="007957FA" w:rsidRDefault="007957FA">
      <w:pPr>
        <w:pStyle w:val="a0"/>
        <w:spacing w:before="93"/>
        <w:rPr>
          <w:rFonts w:ascii="黑体" w:eastAsia="黑体" w:hAnsi="黑体" w:cs="黑体"/>
        </w:rPr>
      </w:pPr>
    </w:p>
    <w:p w:rsidR="007957FA" w:rsidRDefault="007957FA">
      <w:pPr>
        <w:pStyle w:val="a0"/>
        <w:spacing w:before="93"/>
        <w:rPr>
          <w:rFonts w:ascii="黑体" w:eastAsia="黑体" w:hAnsi="黑体" w:cs="黑体"/>
        </w:rPr>
      </w:pPr>
    </w:p>
    <w:p w:rsidR="007957FA" w:rsidRDefault="007957FA">
      <w:pPr>
        <w:pStyle w:val="a0"/>
        <w:spacing w:before="93"/>
        <w:rPr>
          <w:rFonts w:ascii="黑体" w:eastAsia="黑体" w:hAnsi="黑体" w:cs="黑体"/>
        </w:rPr>
      </w:pPr>
    </w:p>
    <w:p w:rsidR="007957FA" w:rsidRDefault="00B67496">
      <w:pPr>
        <w:pStyle w:val="1"/>
        <w:numPr>
          <w:ilvl w:val="0"/>
          <w:numId w:val="1"/>
        </w:numPr>
        <w:spacing w:before="0" w:after="0" w:line="240" w:lineRule="auto"/>
        <w:jc w:val="center"/>
        <w:rPr>
          <w:rStyle w:val="10"/>
          <w:rFonts w:ascii="黑体" w:eastAsia="黑体" w:hAnsi="黑体" w:cs="黑体"/>
          <w:bCs/>
        </w:rPr>
      </w:pPr>
      <w:r>
        <w:rPr>
          <w:rFonts w:ascii="黑体" w:eastAsia="黑体" w:hAnsi="黑体" w:cs="黑体" w:hint="eastAsia"/>
          <w:b w:val="0"/>
        </w:rPr>
        <w:lastRenderedPageBreak/>
        <w:t>2021</w:t>
      </w:r>
      <w:r>
        <w:rPr>
          <w:rFonts w:ascii="黑体" w:eastAsia="黑体" w:hAnsi="黑体" w:cs="黑体" w:hint="eastAsia"/>
          <w:b w:val="0"/>
        </w:rPr>
        <w:t>年度</w:t>
      </w:r>
      <w:r>
        <w:rPr>
          <w:rStyle w:val="10"/>
          <w:rFonts w:ascii="黑体" w:eastAsia="黑体" w:hAnsi="黑体" w:cs="黑体" w:hint="eastAsia"/>
          <w:bCs/>
        </w:rPr>
        <w:t>单位决算情况说明</w:t>
      </w:r>
      <w:bookmarkEnd w:id="19"/>
      <w:bookmarkEnd w:id="20"/>
      <w:bookmarkEnd w:id="21"/>
    </w:p>
    <w:p w:rsidR="007957FA" w:rsidRDefault="007957FA">
      <w:pPr>
        <w:pStyle w:val="2"/>
        <w:spacing w:before="0" w:after="0" w:line="240" w:lineRule="auto"/>
        <w:ind w:firstLineChars="200" w:firstLine="640"/>
        <w:rPr>
          <w:rStyle w:val="20"/>
          <w:rFonts w:ascii="黑体" w:eastAsia="黑体" w:hAnsi="黑体" w:cs="黑体"/>
        </w:rPr>
      </w:pPr>
      <w:bookmarkStart w:id="22" w:name="_Toc15396603"/>
      <w:bookmarkStart w:id="23" w:name="_Toc15377205"/>
      <w:bookmarkStart w:id="24" w:name="_Toc17123"/>
    </w:p>
    <w:p w:rsidR="007957FA" w:rsidRDefault="00B67496">
      <w:pPr>
        <w:pStyle w:val="2"/>
        <w:spacing w:before="0" w:after="0" w:line="560" w:lineRule="exact"/>
        <w:ind w:firstLineChars="200" w:firstLine="640"/>
        <w:rPr>
          <w:rStyle w:val="20"/>
          <w:rFonts w:ascii="黑体" w:eastAsia="黑体" w:hAnsi="黑体" w:cs="黑体"/>
        </w:rPr>
      </w:pPr>
      <w:r>
        <w:rPr>
          <w:rStyle w:val="20"/>
          <w:rFonts w:ascii="黑体" w:eastAsia="黑体" w:hAnsi="黑体" w:cs="黑体" w:hint="eastAsia"/>
        </w:rPr>
        <w:t>一、收入支出决算总体情况说明</w:t>
      </w:r>
      <w:bookmarkEnd w:id="22"/>
      <w:bookmarkEnd w:id="23"/>
      <w:bookmarkEnd w:id="24"/>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年度收、支总计</w:t>
      </w:r>
      <w:r>
        <w:rPr>
          <w:rFonts w:ascii="仿宋" w:eastAsia="仿宋" w:hAnsi="仿宋" w:cs="仿宋" w:hint="eastAsia"/>
          <w:sz w:val="32"/>
          <w:szCs w:val="32"/>
        </w:rPr>
        <w:t>111.87</w:t>
      </w:r>
      <w:r>
        <w:rPr>
          <w:rFonts w:ascii="仿宋" w:eastAsia="仿宋" w:hAnsi="仿宋" w:cs="仿宋" w:hint="eastAsia"/>
          <w:sz w:val="32"/>
          <w:szCs w:val="32"/>
        </w:rPr>
        <w:t>万元。与</w:t>
      </w:r>
      <w:r>
        <w:rPr>
          <w:rFonts w:ascii="仿宋" w:eastAsia="仿宋" w:hAnsi="仿宋" w:cs="仿宋" w:hint="eastAsia"/>
          <w:sz w:val="32"/>
          <w:szCs w:val="32"/>
        </w:rPr>
        <w:t>2020</w:t>
      </w:r>
      <w:r>
        <w:rPr>
          <w:rFonts w:ascii="仿宋" w:eastAsia="仿宋" w:hAnsi="仿宋" w:cs="仿宋" w:hint="eastAsia"/>
          <w:sz w:val="32"/>
          <w:szCs w:val="32"/>
        </w:rPr>
        <w:t>年相比，收、支总计各增加</w:t>
      </w:r>
      <w:r>
        <w:rPr>
          <w:rFonts w:ascii="仿宋" w:eastAsia="仿宋" w:hAnsi="仿宋" w:cs="仿宋" w:hint="eastAsia"/>
          <w:sz w:val="32"/>
          <w:szCs w:val="32"/>
        </w:rPr>
        <w:t>3.66</w:t>
      </w:r>
      <w:r>
        <w:rPr>
          <w:rFonts w:ascii="仿宋" w:eastAsia="仿宋" w:hAnsi="仿宋" w:cs="仿宋" w:hint="eastAsia"/>
          <w:sz w:val="32"/>
          <w:szCs w:val="32"/>
        </w:rPr>
        <w:t>万元，增长</w:t>
      </w:r>
      <w:r>
        <w:rPr>
          <w:rFonts w:ascii="仿宋" w:eastAsia="仿宋" w:hAnsi="仿宋" w:cs="仿宋" w:hint="eastAsia"/>
          <w:sz w:val="32"/>
          <w:szCs w:val="32"/>
        </w:rPr>
        <w:t>3.38%</w:t>
      </w:r>
      <w:r>
        <w:rPr>
          <w:rFonts w:ascii="仿宋" w:eastAsia="仿宋" w:hAnsi="仿宋" w:cs="仿宋" w:hint="eastAsia"/>
          <w:sz w:val="32"/>
          <w:szCs w:val="32"/>
        </w:rPr>
        <w:t>。主要变动原因是补发</w:t>
      </w:r>
      <w:r>
        <w:rPr>
          <w:rFonts w:ascii="仿宋" w:eastAsia="仿宋" w:hAnsi="仿宋" w:cs="仿宋" w:hint="eastAsia"/>
          <w:sz w:val="32"/>
          <w:szCs w:val="32"/>
        </w:rPr>
        <w:t>2020</w:t>
      </w:r>
      <w:r>
        <w:rPr>
          <w:rFonts w:ascii="仿宋" w:eastAsia="仿宋" w:hAnsi="仿宋" w:cs="仿宋" w:hint="eastAsia"/>
          <w:sz w:val="32"/>
          <w:szCs w:val="32"/>
        </w:rPr>
        <w:t>年年度目标考核奖等。</w:t>
      </w: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889500" cy="3726180"/>
            <wp:effectExtent l="4445" t="4445" r="20955" b="222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7FA" w:rsidRDefault="00B67496">
      <w:pPr>
        <w:spacing w:line="600" w:lineRule="exact"/>
        <w:ind w:firstLineChars="400" w:firstLine="128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1</w:t>
      </w:r>
      <w:r>
        <w:rPr>
          <w:rFonts w:ascii="仿宋" w:eastAsia="仿宋" w:hAnsi="仿宋" w:cs="仿宋" w:hint="eastAsia"/>
          <w:sz w:val="32"/>
          <w:szCs w:val="32"/>
        </w:rPr>
        <w:t>：收、支决算总计变动情况图）</w:t>
      </w:r>
      <w:bookmarkStart w:id="25" w:name="_Toc15396604"/>
      <w:bookmarkStart w:id="26" w:name="_Toc15377206"/>
    </w:p>
    <w:p w:rsidR="007957FA" w:rsidRDefault="00B67496">
      <w:pPr>
        <w:pStyle w:val="2"/>
        <w:ind w:firstLineChars="200" w:firstLine="640"/>
        <w:rPr>
          <w:rStyle w:val="20"/>
          <w:rFonts w:ascii="黑体" w:eastAsia="黑体" w:hAnsi="黑体" w:cs="黑体"/>
          <w:b/>
          <w:bCs/>
        </w:rPr>
      </w:pPr>
      <w:bookmarkStart w:id="27" w:name="_Toc15672"/>
      <w:r>
        <w:rPr>
          <w:rStyle w:val="20"/>
          <w:rFonts w:ascii="黑体" w:eastAsia="黑体" w:hAnsi="黑体" w:cs="黑体" w:hint="eastAsia"/>
        </w:rPr>
        <w:t>二、收入决算情况说明</w:t>
      </w:r>
      <w:bookmarkEnd w:id="25"/>
      <w:bookmarkEnd w:id="26"/>
      <w:bookmarkEnd w:id="27"/>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年本年收入合计</w:t>
      </w:r>
      <w:r>
        <w:rPr>
          <w:rFonts w:ascii="仿宋" w:eastAsia="仿宋" w:hAnsi="仿宋" w:cs="仿宋" w:hint="eastAsia"/>
          <w:sz w:val="32"/>
          <w:szCs w:val="32"/>
        </w:rPr>
        <w:t>111.87</w:t>
      </w:r>
      <w:r>
        <w:rPr>
          <w:rFonts w:ascii="仿宋" w:eastAsia="仿宋" w:hAnsi="仿宋" w:cs="仿宋" w:hint="eastAsia"/>
          <w:sz w:val="32"/>
          <w:szCs w:val="32"/>
        </w:rPr>
        <w:t>万元，其中：一般公共预算财政拨款收入</w:t>
      </w:r>
      <w:r>
        <w:rPr>
          <w:rFonts w:ascii="仿宋" w:eastAsia="仿宋" w:hAnsi="仿宋" w:cs="仿宋" w:hint="eastAsia"/>
          <w:sz w:val="32"/>
          <w:szCs w:val="32"/>
        </w:rPr>
        <w:t>111.87</w:t>
      </w:r>
      <w:r>
        <w:rPr>
          <w:rFonts w:ascii="仿宋" w:eastAsia="仿宋" w:hAnsi="仿宋" w:cs="仿宋" w:hint="eastAsia"/>
          <w:sz w:val="32"/>
          <w:szCs w:val="32"/>
        </w:rPr>
        <w:t>万元，占</w:t>
      </w:r>
      <w:r>
        <w:rPr>
          <w:rFonts w:ascii="仿宋" w:eastAsia="仿宋" w:hAnsi="仿宋" w:cs="仿宋" w:hint="eastAsia"/>
          <w:sz w:val="32"/>
          <w:szCs w:val="32"/>
        </w:rPr>
        <w:t>100%</w:t>
      </w:r>
      <w:r>
        <w:rPr>
          <w:rFonts w:ascii="仿宋" w:eastAsia="仿宋" w:hAnsi="仿宋" w:cs="仿宋" w:hint="eastAsia"/>
          <w:sz w:val="32"/>
          <w:szCs w:val="32"/>
        </w:rPr>
        <w:t>。</w:t>
      </w:r>
    </w:p>
    <w:p w:rsidR="007957FA" w:rsidRDefault="007957FA">
      <w:pPr>
        <w:pStyle w:val="a0"/>
        <w:spacing w:before="93"/>
      </w:pP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extent cx="4850130" cy="2927350"/>
            <wp:effectExtent l="4445" t="4445" r="22225" b="2095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7FA" w:rsidRDefault="00B67496">
      <w:pPr>
        <w:spacing w:line="600" w:lineRule="exact"/>
        <w:ind w:firstLineChars="600" w:firstLine="192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2</w:t>
      </w:r>
      <w:r>
        <w:rPr>
          <w:rFonts w:ascii="仿宋" w:eastAsia="仿宋" w:hAnsi="仿宋" w:cs="仿宋" w:hint="eastAsia"/>
          <w:sz w:val="32"/>
          <w:szCs w:val="32"/>
        </w:rPr>
        <w:t>：收入决算结构图）</w:t>
      </w:r>
      <w:bookmarkStart w:id="28" w:name="_Toc15377207"/>
      <w:bookmarkStart w:id="29" w:name="_Toc15396605"/>
    </w:p>
    <w:p w:rsidR="007957FA" w:rsidRDefault="00B67496">
      <w:pPr>
        <w:pStyle w:val="2"/>
        <w:ind w:firstLineChars="200" w:firstLine="643"/>
        <w:rPr>
          <w:rStyle w:val="20"/>
          <w:rFonts w:ascii="黑体" w:eastAsia="黑体" w:hAnsi="黑体" w:cs="黑体"/>
          <w:b/>
        </w:rPr>
      </w:pPr>
      <w:bookmarkStart w:id="30" w:name="_Toc17197"/>
      <w:r>
        <w:rPr>
          <w:rFonts w:ascii="黑体" w:eastAsia="黑体" w:hAnsi="黑体" w:cs="黑体" w:hint="eastAsia"/>
        </w:rPr>
        <w:t>三、支</w:t>
      </w:r>
      <w:r>
        <w:rPr>
          <w:rStyle w:val="20"/>
          <w:rFonts w:ascii="黑体" w:eastAsia="黑体" w:hAnsi="黑体" w:cs="黑体" w:hint="eastAsia"/>
          <w:bCs/>
        </w:rPr>
        <w:t>出决算情况说明</w:t>
      </w:r>
      <w:bookmarkEnd w:id="28"/>
      <w:bookmarkEnd w:id="29"/>
      <w:bookmarkEnd w:id="30"/>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年本年支出合计</w:t>
      </w:r>
      <w:r>
        <w:rPr>
          <w:rFonts w:ascii="仿宋" w:eastAsia="仿宋" w:hAnsi="仿宋" w:cs="仿宋" w:hint="eastAsia"/>
          <w:sz w:val="32"/>
          <w:szCs w:val="32"/>
        </w:rPr>
        <w:t>111.87</w:t>
      </w:r>
      <w:r>
        <w:rPr>
          <w:rFonts w:ascii="仿宋" w:eastAsia="仿宋" w:hAnsi="仿宋" w:cs="仿宋" w:hint="eastAsia"/>
          <w:sz w:val="32"/>
          <w:szCs w:val="32"/>
        </w:rPr>
        <w:t>万元，其中：基本支出</w:t>
      </w:r>
      <w:r>
        <w:rPr>
          <w:rFonts w:ascii="仿宋" w:eastAsia="仿宋" w:hAnsi="仿宋" w:cs="仿宋" w:hint="eastAsia"/>
          <w:sz w:val="32"/>
          <w:szCs w:val="32"/>
        </w:rPr>
        <w:t>111.87</w:t>
      </w:r>
      <w:r>
        <w:rPr>
          <w:rFonts w:ascii="仿宋" w:eastAsia="仿宋" w:hAnsi="仿宋" w:cs="仿宋" w:hint="eastAsia"/>
          <w:sz w:val="32"/>
          <w:szCs w:val="32"/>
        </w:rPr>
        <w:t>万元，占</w:t>
      </w:r>
      <w:r>
        <w:rPr>
          <w:rFonts w:ascii="仿宋" w:eastAsia="仿宋" w:hAnsi="仿宋" w:cs="仿宋" w:hint="eastAsia"/>
          <w:sz w:val="32"/>
          <w:szCs w:val="32"/>
        </w:rPr>
        <w:t>100%</w:t>
      </w:r>
      <w:r>
        <w:rPr>
          <w:rFonts w:ascii="仿宋" w:eastAsia="仿宋" w:hAnsi="仿宋" w:cs="仿宋" w:hint="eastAsia"/>
          <w:sz w:val="32"/>
          <w:szCs w:val="32"/>
        </w:rPr>
        <w:t>。</w:t>
      </w: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837430" cy="2779395"/>
            <wp:effectExtent l="4445" t="4445" r="15875" b="16510"/>
            <wp:docPr id="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57FA" w:rsidRDefault="00B67496">
      <w:pPr>
        <w:ind w:firstLineChars="500" w:firstLine="160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3</w:t>
      </w:r>
      <w:r>
        <w:rPr>
          <w:rFonts w:ascii="仿宋" w:eastAsia="仿宋" w:hAnsi="仿宋" w:cs="仿宋" w:hint="eastAsia"/>
          <w:sz w:val="32"/>
          <w:szCs w:val="32"/>
        </w:rPr>
        <w:t>：支出决算结构图）</w:t>
      </w:r>
    </w:p>
    <w:p w:rsidR="007957FA" w:rsidRDefault="00B67496">
      <w:pPr>
        <w:ind w:firstLineChars="200" w:firstLine="640"/>
        <w:outlineLvl w:val="1"/>
        <w:rPr>
          <w:rStyle w:val="20"/>
          <w:rFonts w:ascii="黑体" w:eastAsia="黑体" w:hAnsi="黑体" w:cs="黑体"/>
          <w:b w:val="0"/>
        </w:rPr>
      </w:pPr>
      <w:bookmarkStart w:id="31" w:name="_Toc15377208"/>
      <w:bookmarkStart w:id="32" w:name="_Toc18151"/>
      <w:bookmarkStart w:id="33" w:name="_Toc15396606"/>
      <w:r>
        <w:rPr>
          <w:rFonts w:ascii="黑体" w:eastAsia="黑体" w:hAnsi="黑体" w:cs="黑体" w:hint="eastAsia"/>
          <w:sz w:val="32"/>
          <w:szCs w:val="32"/>
        </w:rPr>
        <w:t>四、财</w:t>
      </w:r>
      <w:r>
        <w:rPr>
          <w:rStyle w:val="20"/>
          <w:rFonts w:ascii="黑体" w:eastAsia="黑体" w:hAnsi="黑体" w:cs="黑体" w:hint="eastAsia"/>
          <w:b w:val="0"/>
        </w:rPr>
        <w:t>政拨款收入支出决算总体情况说明</w:t>
      </w:r>
      <w:bookmarkEnd w:id="31"/>
      <w:bookmarkEnd w:id="32"/>
      <w:bookmarkEnd w:id="33"/>
    </w:p>
    <w:p w:rsidR="007957FA" w:rsidRDefault="007957FA">
      <w:pPr>
        <w:snapToGrid w:val="0"/>
        <w:ind w:firstLineChars="200" w:firstLine="640"/>
        <w:rPr>
          <w:rFonts w:ascii="仿宋" w:eastAsia="仿宋" w:hAnsi="仿宋" w:cs="仿宋"/>
          <w:sz w:val="32"/>
          <w:szCs w:val="32"/>
        </w:rPr>
      </w:pP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2021</w:t>
      </w:r>
      <w:r>
        <w:rPr>
          <w:rFonts w:ascii="仿宋" w:eastAsia="仿宋" w:hAnsi="仿宋" w:cs="仿宋" w:hint="eastAsia"/>
          <w:sz w:val="32"/>
          <w:szCs w:val="32"/>
        </w:rPr>
        <w:t>年财政拨款收、支总计</w:t>
      </w:r>
      <w:r>
        <w:rPr>
          <w:rFonts w:ascii="仿宋" w:eastAsia="仿宋" w:hAnsi="仿宋" w:cs="仿宋" w:hint="eastAsia"/>
          <w:sz w:val="32"/>
          <w:szCs w:val="32"/>
        </w:rPr>
        <w:t>111.87</w:t>
      </w:r>
      <w:r>
        <w:rPr>
          <w:rFonts w:ascii="仿宋" w:eastAsia="仿宋" w:hAnsi="仿宋" w:cs="仿宋" w:hint="eastAsia"/>
          <w:sz w:val="32"/>
          <w:szCs w:val="32"/>
        </w:rPr>
        <w:t>万元。与</w:t>
      </w:r>
      <w:r>
        <w:rPr>
          <w:rFonts w:ascii="仿宋" w:eastAsia="仿宋" w:hAnsi="仿宋" w:cs="仿宋" w:hint="eastAsia"/>
          <w:sz w:val="32"/>
          <w:szCs w:val="32"/>
        </w:rPr>
        <w:t>2020</w:t>
      </w:r>
      <w:r>
        <w:rPr>
          <w:rFonts w:ascii="仿宋" w:eastAsia="仿宋" w:hAnsi="仿宋" w:cs="仿宋" w:hint="eastAsia"/>
          <w:sz w:val="32"/>
          <w:szCs w:val="32"/>
        </w:rPr>
        <w:t>年相比，财政拨款收、支总计各增加</w:t>
      </w:r>
      <w:r>
        <w:rPr>
          <w:rFonts w:ascii="仿宋" w:eastAsia="仿宋" w:hAnsi="仿宋" w:cs="仿宋" w:hint="eastAsia"/>
          <w:sz w:val="32"/>
          <w:szCs w:val="32"/>
        </w:rPr>
        <w:t>3.66</w:t>
      </w:r>
      <w:r>
        <w:rPr>
          <w:rFonts w:ascii="仿宋" w:eastAsia="仿宋" w:hAnsi="仿宋" w:cs="仿宋" w:hint="eastAsia"/>
          <w:sz w:val="32"/>
          <w:szCs w:val="32"/>
        </w:rPr>
        <w:t>万元，增长</w:t>
      </w:r>
      <w:r>
        <w:rPr>
          <w:rFonts w:ascii="仿宋" w:eastAsia="仿宋" w:hAnsi="仿宋" w:cs="仿宋" w:hint="eastAsia"/>
          <w:sz w:val="32"/>
          <w:szCs w:val="32"/>
        </w:rPr>
        <w:t>3.38%</w:t>
      </w:r>
      <w:r>
        <w:rPr>
          <w:rFonts w:ascii="仿宋" w:eastAsia="仿宋" w:hAnsi="仿宋" w:cs="仿宋" w:hint="eastAsia"/>
          <w:sz w:val="32"/>
          <w:szCs w:val="32"/>
        </w:rPr>
        <w:t>。主要变动原因是补发</w:t>
      </w:r>
      <w:r>
        <w:rPr>
          <w:rFonts w:ascii="仿宋" w:eastAsia="仿宋" w:hAnsi="仿宋" w:cs="仿宋" w:hint="eastAsia"/>
          <w:sz w:val="32"/>
          <w:szCs w:val="32"/>
        </w:rPr>
        <w:t>2020</w:t>
      </w:r>
      <w:r>
        <w:rPr>
          <w:rFonts w:ascii="仿宋" w:eastAsia="仿宋" w:hAnsi="仿宋" w:cs="仿宋" w:hint="eastAsia"/>
          <w:sz w:val="32"/>
          <w:szCs w:val="32"/>
        </w:rPr>
        <w:t>年年度目标考核奖等。</w:t>
      </w: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875530" cy="3622675"/>
            <wp:effectExtent l="4445" t="4445" r="15875" b="11430"/>
            <wp:docPr id="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57FA" w:rsidRDefault="00B67496">
      <w:pPr>
        <w:ind w:firstLineChars="200" w:firstLine="64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4</w:t>
      </w:r>
      <w:r>
        <w:rPr>
          <w:rFonts w:ascii="仿宋" w:eastAsia="仿宋" w:hAnsi="仿宋" w:cs="仿宋" w:hint="eastAsia"/>
          <w:sz w:val="32"/>
          <w:szCs w:val="32"/>
        </w:rPr>
        <w:t>：财政拨款收、支决算总计变动情况）</w:t>
      </w:r>
    </w:p>
    <w:p w:rsidR="007957FA" w:rsidRDefault="00B67496">
      <w:pPr>
        <w:ind w:firstLineChars="200" w:firstLine="640"/>
        <w:outlineLvl w:val="1"/>
        <w:rPr>
          <w:rFonts w:ascii="黑体" w:eastAsia="黑体" w:hAnsi="黑体" w:cs="黑体"/>
          <w:sz w:val="32"/>
          <w:szCs w:val="32"/>
        </w:rPr>
      </w:pPr>
      <w:bookmarkStart w:id="34" w:name="_Toc15396607"/>
      <w:bookmarkStart w:id="35" w:name="_Toc15377209"/>
      <w:bookmarkStart w:id="36" w:name="_Toc23965"/>
      <w:r>
        <w:rPr>
          <w:rFonts w:ascii="黑体" w:eastAsia="黑体" w:hAnsi="黑体" w:cs="黑体" w:hint="eastAsia"/>
          <w:sz w:val="32"/>
          <w:szCs w:val="32"/>
        </w:rPr>
        <w:t>五、一般公共预算财政拨款支出决算情况说明</w:t>
      </w:r>
      <w:bookmarkEnd w:id="34"/>
      <w:bookmarkEnd w:id="35"/>
      <w:bookmarkEnd w:id="36"/>
    </w:p>
    <w:p w:rsidR="007957FA" w:rsidRDefault="00B67496">
      <w:pPr>
        <w:snapToGrid w:val="0"/>
        <w:spacing w:line="560" w:lineRule="exact"/>
        <w:ind w:firstLineChars="200" w:firstLine="640"/>
        <w:rPr>
          <w:rFonts w:ascii="仿宋" w:eastAsia="仿宋" w:hAnsi="仿宋" w:cs="仿宋"/>
          <w:sz w:val="32"/>
          <w:szCs w:val="32"/>
        </w:rPr>
      </w:pPr>
      <w:bookmarkStart w:id="37" w:name="_Toc19387"/>
      <w:bookmarkStart w:id="38" w:name="_Toc15377210"/>
      <w:r>
        <w:rPr>
          <w:rFonts w:ascii="仿宋" w:eastAsia="仿宋" w:hAnsi="仿宋" w:cs="仿宋" w:hint="eastAsia"/>
          <w:sz w:val="32"/>
          <w:szCs w:val="32"/>
        </w:rPr>
        <w:t>（一）一般公共预算财政拨款支出决算总体情况</w:t>
      </w:r>
      <w:bookmarkEnd w:id="37"/>
      <w:bookmarkEnd w:id="38"/>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年一般公共预算财政拨款支出</w:t>
      </w:r>
      <w:r>
        <w:rPr>
          <w:rFonts w:ascii="仿宋" w:eastAsia="仿宋" w:hAnsi="仿宋" w:cs="仿宋" w:hint="eastAsia"/>
          <w:sz w:val="32"/>
          <w:szCs w:val="32"/>
        </w:rPr>
        <w:t>111.87</w:t>
      </w:r>
      <w:r>
        <w:rPr>
          <w:rFonts w:ascii="仿宋" w:eastAsia="仿宋" w:hAnsi="仿宋" w:cs="仿宋" w:hint="eastAsia"/>
          <w:sz w:val="32"/>
          <w:szCs w:val="32"/>
        </w:rPr>
        <w:t>万元，占本年支出合计的</w:t>
      </w:r>
      <w:r>
        <w:rPr>
          <w:rFonts w:ascii="仿宋" w:eastAsia="仿宋" w:hAnsi="仿宋" w:cs="仿宋" w:hint="eastAsia"/>
          <w:sz w:val="32"/>
          <w:szCs w:val="32"/>
        </w:rPr>
        <w:t>100%</w:t>
      </w:r>
      <w:r>
        <w:rPr>
          <w:rFonts w:ascii="仿宋" w:eastAsia="仿宋" w:hAnsi="仿宋" w:cs="仿宋" w:hint="eastAsia"/>
          <w:sz w:val="32"/>
          <w:szCs w:val="32"/>
        </w:rPr>
        <w:t>。与</w:t>
      </w:r>
      <w:r>
        <w:rPr>
          <w:rFonts w:ascii="仿宋" w:eastAsia="仿宋" w:hAnsi="仿宋" w:cs="仿宋" w:hint="eastAsia"/>
          <w:sz w:val="32"/>
          <w:szCs w:val="32"/>
        </w:rPr>
        <w:t>2020</w:t>
      </w:r>
      <w:r>
        <w:rPr>
          <w:rFonts w:ascii="仿宋" w:eastAsia="仿宋" w:hAnsi="仿宋" w:cs="仿宋" w:hint="eastAsia"/>
          <w:sz w:val="32"/>
          <w:szCs w:val="32"/>
        </w:rPr>
        <w:t>年相比，一般公共预算财政拨款支出增加</w:t>
      </w:r>
      <w:r>
        <w:rPr>
          <w:rFonts w:ascii="仿宋" w:eastAsia="仿宋" w:hAnsi="仿宋" w:cs="仿宋" w:hint="eastAsia"/>
          <w:sz w:val="32"/>
          <w:szCs w:val="32"/>
        </w:rPr>
        <w:t>3.66</w:t>
      </w:r>
      <w:r>
        <w:rPr>
          <w:rFonts w:ascii="仿宋" w:eastAsia="仿宋" w:hAnsi="仿宋" w:cs="仿宋" w:hint="eastAsia"/>
          <w:sz w:val="32"/>
          <w:szCs w:val="32"/>
        </w:rPr>
        <w:t>万元，增长</w:t>
      </w:r>
      <w:r>
        <w:rPr>
          <w:rFonts w:ascii="仿宋" w:eastAsia="仿宋" w:hAnsi="仿宋" w:cs="仿宋" w:hint="eastAsia"/>
          <w:sz w:val="32"/>
          <w:szCs w:val="32"/>
        </w:rPr>
        <w:t>3.38%</w:t>
      </w:r>
      <w:r>
        <w:rPr>
          <w:rFonts w:ascii="仿宋" w:eastAsia="仿宋" w:hAnsi="仿宋" w:cs="仿宋" w:hint="eastAsia"/>
          <w:sz w:val="32"/>
          <w:szCs w:val="32"/>
        </w:rPr>
        <w:t>。主要变动原因是补发</w:t>
      </w:r>
    </w:p>
    <w:p w:rsidR="007957FA" w:rsidRDefault="00B67496">
      <w:pPr>
        <w:snapToGrid w:val="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年年度目标考核奖等。</w:t>
      </w:r>
    </w:p>
    <w:p w:rsidR="007957FA" w:rsidRDefault="007957FA">
      <w:pPr>
        <w:pStyle w:val="a0"/>
        <w:spacing w:before="93"/>
      </w:pP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extent cx="4835525" cy="2540000"/>
            <wp:effectExtent l="4445" t="4445" r="17780" b="825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57FA" w:rsidRDefault="00B6749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5</w:t>
      </w:r>
      <w:r>
        <w:rPr>
          <w:rFonts w:ascii="仿宋" w:eastAsia="仿宋" w:hAnsi="仿宋" w:cs="仿宋" w:hint="eastAsia"/>
          <w:sz w:val="32"/>
          <w:szCs w:val="32"/>
        </w:rPr>
        <w:t>：一般公共预算财政拨款支出决算变动情况）</w:t>
      </w:r>
    </w:p>
    <w:p w:rsidR="007957FA" w:rsidRDefault="00B67496">
      <w:pPr>
        <w:numPr>
          <w:ilvl w:val="0"/>
          <w:numId w:val="2"/>
        </w:numPr>
        <w:ind w:firstLineChars="200" w:firstLine="643"/>
        <w:outlineLvl w:val="2"/>
        <w:rPr>
          <w:rFonts w:ascii="仿宋" w:eastAsia="仿宋" w:hAnsi="仿宋" w:cs="仿宋"/>
          <w:b/>
          <w:sz w:val="32"/>
          <w:szCs w:val="32"/>
        </w:rPr>
      </w:pPr>
      <w:bookmarkStart w:id="39" w:name="_Toc25296"/>
      <w:bookmarkStart w:id="40" w:name="_Toc15377211"/>
      <w:r>
        <w:rPr>
          <w:rFonts w:ascii="仿宋" w:eastAsia="仿宋" w:hAnsi="仿宋" w:cs="仿宋" w:hint="eastAsia"/>
          <w:b/>
          <w:sz w:val="32"/>
          <w:szCs w:val="32"/>
        </w:rPr>
        <w:t>一般公共预算财政拨款支出决算结构情况</w:t>
      </w:r>
      <w:bookmarkEnd w:id="39"/>
      <w:bookmarkEnd w:id="40"/>
    </w:p>
    <w:p w:rsidR="007957FA" w:rsidRDefault="007957FA">
      <w:pPr>
        <w:pStyle w:val="ToCaption"/>
        <w:ind w:leftChars="0" w:left="0" w:firstLineChars="0" w:firstLine="0"/>
      </w:pP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年一般公共预算财政拨款支出</w:t>
      </w:r>
      <w:r>
        <w:rPr>
          <w:rFonts w:ascii="仿宋" w:eastAsia="仿宋" w:hAnsi="仿宋" w:cs="仿宋" w:hint="eastAsia"/>
          <w:sz w:val="32"/>
          <w:szCs w:val="32"/>
        </w:rPr>
        <w:t>111.87</w:t>
      </w:r>
      <w:r>
        <w:rPr>
          <w:rFonts w:ascii="仿宋" w:eastAsia="仿宋" w:hAnsi="仿宋" w:cs="仿宋" w:hint="eastAsia"/>
          <w:sz w:val="32"/>
          <w:szCs w:val="32"/>
        </w:rPr>
        <w:t>万元，主要用于以下方面</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农林水</w:t>
      </w:r>
      <w:bookmarkStart w:id="41" w:name="_GoBack"/>
      <w:bookmarkEnd w:id="41"/>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类</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支出</w:t>
      </w:r>
      <w:r>
        <w:rPr>
          <w:rFonts w:ascii="仿宋" w:eastAsia="仿宋" w:hAnsi="仿宋" w:cs="仿宋" w:hint="eastAsia"/>
          <w:sz w:val="32"/>
          <w:szCs w:val="32"/>
        </w:rPr>
        <w:t>83.63</w:t>
      </w:r>
      <w:r>
        <w:rPr>
          <w:rFonts w:ascii="仿宋" w:eastAsia="仿宋" w:hAnsi="仿宋" w:cs="仿宋" w:hint="eastAsia"/>
          <w:sz w:val="32"/>
          <w:szCs w:val="32"/>
        </w:rPr>
        <w:t>万元，占</w:t>
      </w:r>
      <w:r>
        <w:rPr>
          <w:rFonts w:ascii="仿宋" w:eastAsia="仿宋" w:hAnsi="仿宋" w:cs="仿宋" w:hint="eastAsia"/>
          <w:sz w:val="32"/>
          <w:szCs w:val="32"/>
        </w:rPr>
        <w:t>74.75%</w:t>
      </w:r>
      <w:r>
        <w:rPr>
          <w:rFonts w:ascii="仿宋" w:eastAsia="仿宋" w:hAnsi="仿宋" w:cs="仿宋" w:hint="eastAsia"/>
          <w:sz w:val="32"/>
          <w:szCs w:val="32"/>
        </w:rPr>
        <w:t>；社会保障和就业（</w:t>
      </w:r>
      <w:r>
        <w:rPr>
          <w:rFonts w:ascii="仿宋" w:eastAsia="仿宋" w:hAnsi="仿宋" w:cs="仿宋" w:hint="eastAsia"/>
          <w:sz w:val="32"/>
          <w:szCs w:val="32"/>
        </w:rPr>
        <w:t>类</w:t>
      </w:r>
      <w:r>
        <w:rPr>
          <w:rFonts w:ascii="仿宋" w:eastAsia="仿宋" w:hAnsi="仿宋" w:cs="仿宋" w:hint="eastAsia"/>
          <w:sz w:val="32"/>
          <w:szCs w:val="32"/>
        </w:rPr>
        <w:t>）支出</w:t>
      </w:r>
      <w:r>
        <w:rPr>
          <w:rFonts w:ascii="仿宋" w:eastAsia="仿宋" w:hAnsi="仿宋" w:cs="仿宋" w:hint="eastAsia"/>
          <w:sz w:val="32"/>
          <w:szCs w:val="32"/>
        </w:rPr>
        <w:t>16.02</w:t>
      </w:r>
      <w:r>
        <w:rPr>
          <w:rFonts w:ascii="仿宋" w:eastAsia="仿宋" w:hAnsi="仿宋" w:cs="仿宋" w:hint="eastAsia"/>
          <w:sz w:val="32"/>
          <w:szCs w:val="32"/>
        </w:rPr>
        <w:t>万元，占</w:t>
      </w:r>
      <w:r>
        <w:rPr>
          <w:rFonts w:ascii="仿宋" w:eastAsia="仿宋" w:hAnsi="仿宋" w:cs="仿宋" w:hint="eastAsia"/>
          <w:sz w:val="32"/>
          <w:szCs w:val="32"/>
        </w:rPr>
        <w:t>14.32%</w:t>
      </w:r>
      <w:r>
        <w:rPr>
          <w:rFonts w:ascii="仿宋" w:eastAsia="仿宋" w:hAnsi="仿宋" w:cs="仿宋" w:hint="eastAsia"/>
          <w:sz w:val="32"/>
          <w:szCs w:val="32"/>
        </w:rPr>
        <w:t>；卫生健康</w:t>
      </w:r>
      <w:r>
        <w:rPr>
          <w:rFonts w:ascii="仿宋" w:eastAsia="仿宋" w:hAnsi="仿宋" w:cs="仿宋" w:hint="eastAsia"/>
          <w:sz w:val="32"/>
          <w:szCs w:val="32"/>
        </w:rPr>
        <w:t>（类</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支出</w:t>
      </w:r>
      <w:r>
        <w:rPr>
          <w:rFonts w:ascii="仿宋" w:eastAsia="仿宋" w:hAnsi="仿宋" w:cs="仿宋" w:hint="eastAsia"/>
          <w:sz w:val="32"/>
          <w:szCs w:val="32"/>
        </w:rPr>
        <w:t>5.31</w:t>
      </w:r>
      <w:r>
        <w:rPr>
          <w:rFonts w:ascii="仿宋" w:eastAsia="仿宋" w:hAnsi="仿宋" w:cs="仿宋" w:hint="eastAsia"/>
          <w:sz w:val="32"/>
          <w:szCs w:val="32"/>
        </w:rPr>
        <w:t>万元，占</w:t>
      </w:r>
      <w:r>
        <w:rPr>
          <w:rFonts w:ascii="仿宋" w:eastAsia="仿宋" w:hAnsi="仿宋" w:cs="仿宋" w:hint="eastAsia"/>
          <w:sz w:val="32"/>
          <w:szCs w:val="32"/>
        </w:rPr>
        <w:t>4.74%</w:t>
      </w:r>
      <w:r>
        <w:rPr>
          <w:rFonts w:ascii="仿宋" w:eastAsia="仿宋" w:hAnsi="仿宋" w:cs="仿宋" w:hint="eastAsia"/>
          <w:sz w:val="32"/>
          <w:szCs w:val="32"/>
        </w:rPr>
        <w:t>；住房保障</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类</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支出</w:t>
      </w:r>
      <w:r>
        <w:rPr>
          <w:rFonts w:ascii="仿宋" w:eastAsia="仿宋" w:hAnsi="仿宋" w:cs="仿宋" w:hint="eastAsia"/>
          <w:sz w:val="32"/>
          <w:szCs w:val="32"/>
        </w:rPr>
        <w:t>6.92</w:t>
      </w:r>
      <w:r>
        <w:rPr>
          <w:rFonts w:ascii="仿宋" w:eastAsia="仿宋" w:hAnsi="仿宋" w:cs="仿宋" w:hint="eastAsia"/>
          <w:sz w:val="32"/>
          <w:szCs w:val="32"/>
        </w:rPr>
        <w:t>万元，占</w:t>
      </w:r>
      <w:r>
        <w:rPr>
          <w:rFonts w:ascii="仿宋" w:eastAsia="仿宋" w:hAnsi="仿宋" w:cs="仿宋" w:hint="eastAsia"/>
          <w:sz w:val="32"/>
          <w:szCs w:val="32"/>
        </w:rPr>
        <w:t>6.19%</w:t>
      </w:r>
      <w:r>
        <w:rPr>
          <w:rFonts w:ascii="仿宋" w:eastAsia="仿宋" w:hAnsi="仿宋" w:cs="仿宋" w:hint="eastAsia"/>
          <w:sz w:val="32"/>
          <w:szCs w:val="32"/>
        </w:rPr>
        <w:t>。</w:t>
      </w: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874895" cy="2604135"/>
            <wp:effectExtent l="4445" t="4445" r="16510" b="2032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57FA" w:rsidRDefault="00B67496">
      <w:pPr>
        <w:ind w:firstLineChars="200" w:firstLine="64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6</w:t>
      </w:r>
      <w:r>
        <w:rPr>
          <w:rFonts w:ascii="仿宋" w:eastAsia="仿宋" w:hAnsi="仿宋" w:cs="仿宋" w:hint="eastAsia"/>
          <w:sz w:val="32"/>
          <w:szCs w:val="32"/>
        </w:rPr>
        <w:t>：一般公共预算财政拨款支出决算结构）</w:t>
      </w:r>
    </w:p>
    <w:p w:rsidR="007957FA" w:rsidRDefault="00B67496">
      <w:pPr>
        <w:numPr>
          <w:ilvl w:val="0"/>
          <w:numId w:val="2"/>
        </w:numPr>
        <w:ind w:firstLineChars="200" w:firstLine="643"/>
        <w:outlineLvl w:val="2"/>
        <w:rPr>
          <w:rFonts w:ascii="仿宋" w:eastAsia="仿宋" w:hAnsi="仿宋" w:cs="仿宋"/>
          <w:b/>
          <w:sz w:val="32"/>
          <w:szCs w:val="32"/>
        </w:rPr>
      </w:pPr>
      <w:bookmarkStart w:id="42" w:name="_Toc20659"/>
      <w:bookmarkStart w:id="43" w:name="_Toc15377212"/>
      <w:r>
        <w:rPr>
          <w:rFonts w:ascii="仿宋" w:eastAsia="仿宋" w:hAnsi="仿宋" w:cs="仿宋" w:hint="eastAsia"/>
          <w:b/>
          <w:sz w:val="32"/>
          <w:szCs w:val="32"/>
        </w:rPr>
        <w:t>一般公共预算财政拨款支出决算具体情况</w:t>
      </w:r>
      <w:bookmarkEnd w:id="42"/>
      <w:bookmarkEnd w:id="43"/>
    </w:p>
    <w:p w:rsidR="007957FA" w:rsidRDefault="007957FA">
      <w:pPr>
        <w:pStyle w:val="ToCaption"/>
        <w:spacing w:line="480" w:lineRule="exact"/>
        <w:ind w:left="420" w:firstLineChars="0" w:firstLine="0"/>
      </w:pPr>
    </w:p>
    <w:p w:rsidR="007957FA" w:rsidRDefault="00B67496">
      <w:pPr>
        <w:snapToGrid w:val="0"/>
        <w:spacing w:line="560" w:lineRule="exact"/>
        <w:ind w:firstLineChars="200" w:firstLine="640"/>
        <w:rPr>
          <w:rFonts w:ascii="仿宋" w:eastAsia="仿宋" w:hAnsi="仿宋" w:cs="仿宋"/>
          <w:sz w:val="32"/>
          <w:szCs w:val="32"/>
        </w:rPr>
      </w:pPr>
      <w:bookmarkStart w:id="44" w:name="_Toc15378460"/>
      <w:bookmarkStart w:id="45" w:name="_Toc15377213"/>
      <w:bookmarkStart w:id="46" w:name="_Toc15377444"/>
      <w:r>
        <w:rPr>
          <w:rFonts w:ascii="仿宋" w:eastAsia="仿宋" w:hAnsi="仿宋" w:cs="仿宋" w:hint="eastAsia"/>
          <w:sz w:val="32"/>
          <w:szCs w:val="32"/>
        </w:rPr>
        <w:t>2021</w:t>
      </w:r>
      <w:r>
        <w:rPr>
          <w:rFonts w:ascii="仿宋" w:eastAsia="仿宋" w:hAnsi="仿宋" w:cs="仿宋" w:hint="eastAsia"/>
          <w:sz w:val="32"/>
          <w:szCs w:val="32"/>
        </w:rPr>
        <w:t>年一般公共预算支出决算数为</w:t>
      </w:r>
      <w:r>
        <w:rPr>
          <w:rFonts w:ascii="仿宋" w:eastAsia="仿宋" w:hAnsi="仿宋" w:cs="仿宋" w:hint="eastAsia"/>
          <w:sz w:val="32"/>
          <w:szCs w:val="32"/>
        </w:rPr>
        <w:t>111.87</w:t>
      </w:r>
      <w:r>
        <w:rPr>
          <w:rFonts w:ascii="仿宋" w:eastAsia="仿宋" w:hAnsi="仿宋" w:cs="仿宋" w:hint="eastAsia"/>
          <w:sz w:val="32"/>
          <w:szCs w:val="32"/>
        </w:rPr>
        <w:t>，完成预算</w:t>
      </w:r>
      <w:r>
        <w:rPr>
          <w:rFonts w:ascii="仿宋" w:eastAsia="仿宋" w:hAnsi="仿宋" w:cs="仿宋" w:hint="eastAsia"/>
          <w:sz w:val="32"/>
          <w:szCs w:val="32"/>
        </w:rPr>
        <w:t>100%</w:t>
      </w:r>
      <w:r>
        <w:rPr>
          <w:rFonts w:ascii="仿宋" w:eastAsia="仿宋" w:hAnsi="仿宋" w:cs="仿宋" w:hint="eastAsia"/>
          <w:sz w:val="32"/>
          <w:szCs w:val="32"/>
        </w:rPr>
        <w:t>。其中：</w:t>
      </w:r>
      <w:bookmarkEnd w:id="44"/>
      <w:bookmarkEnd w:id="45"/>
      <w:bookmarkEnd w:id="46"/>
    </w:p>
    <w:p w:rsidR="007957FA" w:rsidRDefault="00B67496">
      <w:pPr>
        <w:snapToGrid w:val="0"/>
        <w:spacing w:line="560" w:lineRule="exact"/>
        <w:ind w:firstLineChars="200" w:firstLine="643"/>
        <w:rPr>
          <w:rFonts w:ascii="仿宋" w:eastAsia="仿宋" w:hAnsi="仿宋" w:cs="仿宋"/>
          <w:sz w:val="32"/>
          <w:szCs w:val="32"/>
        </w:rPr>
      </w:pPr>
      <w:bookmarkStart w:id="47" w:name="_Toc10066"/>
      <w:bookmarkStart w:id="48" w:name="_Toc15377214"/>
      <w:bookmarkStart w:id="49" w:name="_Toc15396608"/>
      <w:r>
        <w:rPr>
          <w:rFonts w:ascii="仿宋" w:eastAsia="仿宋" w:hAnsi="仿宋" w:cs="仿宋" w:hint="eastAsia"/>
          <w:b/>
          <w:bCs/>
          <w:sz w:val="32"/>
          <w:szCs w:val="32"/>
        </w:rPr>
        <w:t>1.</w:t>
      </w:r>
      <w:r>
        <w:rPr>
          <w:rFonts w:ascii="仿宋" w:eastAsia="仿宋" w:hAnsi="仿宋" w:cs="仿宋" w:hint="eastAsia"/>
          <w:b/>
          <w:bCs/>
          <w:sz w:val="32"/>
          <w:szCs w:val="32"/>
        </w:rPr>
        <w:t>社会保障和就业（</w:t>
      </w:r>
      <w:r>
        <w:rPr>
          <w:rFonts w:ascii="仿宋" w:eastAsia="仿宋" w:hAnsi="仿宋" w:cs="仿宋" w:hint="eastAsia"/>
          <w:b/>
          <w:bCs/>
          <w:sz w:val="32"/>
          <w:szCs w:val="32"/>
        </w:rPr>
        <w:t>类</w:t>
      </w:r>
      <w:r>
        <w:rPr>
          <w:rFonts w:ascii="仿宋" w:eastAsia="仿宋" w:hAnsi="仿宋" w:cs="仿宋" w:hint="eastAsia"/>
          <w:b/>
          <w:bCs/>
          <w:sz w:val="32"/>
          <w:szCs w:val="32"/>
        </w:rPr>
        <w:t>）</w:t>
      </w:r>
      <w:r>
        <w:rPr>
          <w:rFonts w:ascii="仿宋" w:eastAsia="仿宋" w:hAnsi="仿宋" w:cs="仿宋" w:hint="eastAsia"/>
          <w:b/>
          <w:bCs/>
          <w:sz w:val="32"/>
          <w:szCs w:val="32"/>
        </w:rPr>
        <w:t>行政事业单位养老</w:t>
      </w:r>
      <w:r>
        <w:rPr>
          <w:rFonts w:ascii="仿宋" w:eastAsia="仿宋" w:hAnsi="仿宋" w:cs="仿宋" w:hint="eastAsia"/>
          <w:b/>
          <w:bCs/>
          <w:sz w:val="32"/>
          <w:szCs w:val="32"/>
        </w:rPr>
        <w:t>（款）</w:t>
      </w:r>
      <w:r>
        <w:rPr>
          <w:rFonts w:ascii="仿宋" w:eastAsia="仿宋" w:hAnsi="仿宋" w:cs="仿宋" w:hint="eastAsia"/>
          <w:b/>
          <w:bCs/>
          <w:sz w:val="32"/>
          <w:szCs w:val="32"/>
        </w:rPr>
        <w:t>机关事业单位基本养老保险缴费</w:t>
      </w:r>
      <w:r>
        <w:rPr>
          <w:rFonts w:ascii="仿宋" w:eastAsia="仿宋" w:hAnsi="仿宋" w:cs="仿宋" w:hint="eastAsia"/>
          <w:b/>
          <w:bCs/>
          <w:sz w:val="32"/>
          <w:szCs w:val="32"/>
        </w:rPr>
        <w:t>（项）</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9.22</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决算数等于预算数。</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社会保障和就业（</w:t>
      </w:r>
      <w:r>
        <w:rPr>
          <w:rFonts w:ascii="仿宋" w:eastAsia="仿宋" w:hAnsi="仿宋" w:cs="仿宋" w:hint="eastAsia"/>
          <w:b/>
          <w:bCs/>
          <w:sz w:val="32"/>
          <w:szCs w:val="32"/>
        </w:rPr>
        <w:t>类</w:t>
      </w:r>
      <w:r>
        <w:rPr>
          <w:rFonts w:ascii="仿宋" w:eastAsia="仿宋" w:hAnsi="仿宋" w:cs="仿宋" w:hint="eastAsia"/>
          <w:b/>
          <w:bCs/>
          <w:sz w:val="32"/>
          <w:szCs w:val="32"/>
        </w:rPr>
        <w:t>）</w:t>
      </w:r>
      <w:r>
        <w:rPr>
          <w:rFonts w:ascii="仿宋" w:eastAsia="仿宋" w:hAnsi="仿宋" w:cs="仿宋" w:hint="eastAsia"/>
          <w:b/>
          <w:bCs/>
          <w:sz w:val="32"/>
          <w:szCs w:val="32"/>
        </w:rPr>
        <w:t>行政事业单位养老</w:t>
      </w:r>
      <w:r>
        <w:rPr>
          <w:rFonts w:ascii="仿宋" w:eastAsia="仿宋" w:hAnsi="仿宋" w:cs="仿宋" w:hint="eastAsia"/>
          <w:b/>
          <w:bCs/>
          <w:sz w:val="32"/>
          <w:szCs w:val="32"/>
        </w:rPr>
        <w:t>（款）</w:t>
      </w:r>
      <w:r>
        <w:rPr>
          <w:rFonts w:ascii="仿宋" w:eastAsia="仿宋" w:hAnsi="仿宋" w:cs="仿宋" w:hint="eastAsia"/>
          <w:b/>
          <w:bCs/>
          <w:sz w:val="32"/>
          <w:szCs w:val="32"/>
        </w:rPr>
        <w:t>机关事业单位职业年金缴费</w:t>
      </w:r>
      <w:r>
        <w:rPr>
          <w:rFonts w:ascii="仿宋" w:eastAsia="仿宋" w:hAnsi="仿宋" w:cs="仿宋" w:hint="eastAsia"/>
          <w:b/>
          <w:bCs/>
          <w:sz w:val="32"/>
          <w:szCs w:val="32"/>
        </w:rPr>
        <w:t>（项）</w:t>
      </w:r>
      <w:r>
        <w:rPr>
          <w:rFonts w:ascii="仿宋" w:eastAsia="仿宋" w:hAnsi="仿宋" w:cs="仿宋" w:hint="eastAsia"/>
          <w:sz w:val="32"/>
          <w:szCs w:val="32"/>
        </w:rPr>
        <w:t xml:space="preserve">: </w:t>
      </w:r>
      <w:r>
        <w:rPr>
          <w:rFonts w:ascii="仿宋" w:eastAsia="仿宋" w:hAnsi="仿宋" w:cs="仿宋" w:hint="eastAsia"/>
          <w:sz w:val="32"/>
          <w:szCs w:val="32"/>
        </w:rPr>
        <w:t>支出决算为</w:t>
      </w:r>
      <w:r>
        <w:rPr>
          <w:rFonts w:ascii="仿宋" w:eastAsia="仿宋" w:hAnsi="仿宋" w:cs="仿宋" w:hint="eastAsia"/>
          <w:sz w:val="32"/>
          <w:szCs w:val="32"/>
        </w:rPr>
        <w:t>6.8</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决算数等于预算数。</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卫生健康（</w:t>
      </w:r>
      <w:r>
        <w:rPr>
          <w:rFonts w:ascii="仿宋" w:eastAsia="仿宋" w:hAnsi="仿宋" w:cs="仿宋" w:hint="eastAsia"/>
          <w:b/>
          <w:bCs/>
          <w:sz w:val="32"/>
          <w:szCs w:val="32"/>
        </w:rPr>
        <w:t>类</w:t>
      </w:r>
      <w:r>
        <w:rPr>
          <w:rFonts w:ascii="仿宋" w:eastAsia="仿宋" w:hAnsi="仿宋" w:cs="仿宋" w:hint="eastAsia"/>
          <w:b/>
          <w:bCs/>
          <w:sz w:val="32"/>
          <w:szCs w:val="32"/>
        </w:rPr>
        <w:t>）</w:t>
      </w:r>
      <w:r>
        <w:rPr>
          <w:rFonts w:ascii="仿宋" w:eastAsia="仿宋" w:hAnsi="仿宋" w:cs="仿宋" w:hint="eastAsia"/>
          <w:b/>
          <w:bCs/>
          <w:sz w:val="32"/>
          <w:szCs w:val="32"/>
        </w:rPr>
        <w:t>行政事业单位医疗</w:t>
      </w:r>
      <w:r>
        <w:rPr>
          <w:rFonts w:ascii="仿宋" w:eastAsia="仿宋" w:hAnsi="仿宋" w:cs="仿宋" w:hint="eastAsia"/>
          <w:b/>
          <w:bCs/>
          <w:sz w:val="32"/>
          <w:szCs w:val="32"/>
        </w:rPr>
        <w:t>（款）</w:t>
      </w:r>
      <w:r>
        <w:rPr>
          <w:rFonts w:ascii="仿宋" w:eastAsia="仿宋" w:hAnsi="仿宋" w:cs="仿宋" w:hint="eastAsia"/>
          <w:b/>
          <w:bCs/>
          <w:sz w:val="32"/>
          <w:szCs w:val="32"/>
        </w:rPr>
        <w:t>事业单位医疗</w:t>
      </w:r>
      <w:r>
        <w:rPr>
          <w:rFonts w:ascii="仿宋" w:eastAsia="仿宋" w:hAnsi="仿宋" w:cs="仿宋" w:hint="eastAsia"/>
          <w:b/>
          <w:bCs/>
          <w:sz w:val="32"/>
          <w:szCs w:val="32"/>
        </w:rPr>
        <w:t>（项）</w:t>
      </w:r>
      <w:r>
        <w:rPr>
          <w:rFonts w:ascii="仿宋" w:eastAsia="仿宋" w:hAnsi="仿宋" w:cs="仿宋" w:hint="eastAsia"/>
          <w:sz w:val="32"/>
          <w:szCs w:val="32"/>
        </w:rPr>
        <w:t>:</w:t>
      </w:r>
      <w:r>
        <w:rPr>
          <w:rFonts w:ascii="仿宋" w:eastAsia="仿宋" w:hAnsi="仿宋" w:cs="仿宋" w:hint="eastAsia"/>
          <w:sz w:val="32"/>
          <w:szCs w:val="32"/>
        </w:rPr>
        <w:t>支出决算为</w:t>
      </w:r>
      <w:r>
        <w:rPr>
          <w:rFonts w:ascii="仿宋" w:eastAsia="仿宋" w:hAnsi="仿宋" w:cs="仿宋" w:hint="eastAsia"/>
          <w:sz w:val="32"/>
          <w:szCs w:val="32"/>
        </w:rPr>
        <w:t>5.31</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决算数等于预算数。</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农林水（</w:t>
      </w:r>
      <w:r>
        <w:rPr>
          <w:rFonts w:ascii="仿宋" w:eastAsia="仿宋" w:hAnsi="仿宋" w:cs="仿宋" w:hint="eastAsia"/>
          <w:b/>
          <w:bCs/>
          <w:sz w:val="32"/>
          <w:szCs w:val="32"/>
        </w:rPr>
        <w:t>类</w:t>
      </w:r>
      <w:r>
        <w:rPr>
          <w:rFonts w:ascii="仿宋" w:eastAsia="仿宋" w:hAnsi="仿宋" w:cs="仿宋" w:hint="eastAsia"/>
          <w:b/>
          <w:bCs/>
          <w:sz w:val="32"/>
          <w:szCs w:val="32"/>
        </w:rPr>
        <w:t>）</w:t>
      </w:r>
      <w:r>
        <w:rPr>
          <w:rFonts w:ascii="仿宋" w:eastAsia="仿宋" w:hAnsi="仿宋" w:cs="仿宋" w:hint="eastAsia"/>
          <w:b/>
          <w:bCs/>
          <w:sz w:val="32"/>
          <w:szCs w:val="32"/>
        </w:rPr>
        <w:t>林业和草原</w:t>
      </w:r>
      <w:r>
        <w:rPr>
          <w:rFonts w:ascii="仿宋" w:eastAsia="仿宋" w:hAnsi="仿宋" w:cs="仿宋" w:hint="eastAsia"/>
          <w:b/>
          <w:bCs/>
          <w:sz w:val="32"/>
          <w:szCs w:val="32"/>
        </w:rPr>
        <w:t>（款）</w:t>
      </w:r>
      <w:r>
        <w:rPr>
          <w:rFonts w:ascii="仿宋" w:eastAsia="仿宋" w:hAnsi="仿宋" w:cs="仿宋" w:hint="eastAsia"/>
          <w:b/>
          <w:bCs/>
          <w:sz w:val="32"/>
          <w:szCs w:val="32"/>
        </w:rPr>
        <w:t>事业机构</w:t>
      </w:r>
      <w:r>
        <w:rPr>
          <w:rFonts w:ascii="仿宋" w:eastAsia="仿宋" w:hAnsi="仿宋" w:cs="仿宋" w:hint="eastAsia"/>
          <w:b/>
          <w:bCs/>
          <w:sz w:val="32"/>
          <w:szCs w:val="32"/>
        </w:rPr>
        <w:t>（项）</w:t>
      </w:r>
      <w:r>
        <w:rPr>
          <w:rFonts w:ascii="仿宋" w:eastAsia="仿宋" w:hAnsi="仿宋" w:cs="仿宋" w:hint="eastAsia"/>
          <w:sz w:val="32"/>
          <w:szCs w:val="32"/>
        </w:rPr>
        <w:t>：支出决算为</w:t>
      </w:r>
      <w:r>
        <w:rPr>
          <w:rFonts w:ascii="仿宋" w:eastAsia="仿宋" w:hAnsi="仿宋" w:cs="仿宋" w:hint="eastAsia"/>
          <w:sz w:val="32"/>
          <w:szCs w:val="32"/>
        </w:rPr>
        <w:t>83.63</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决算数等于预算数。</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住房保障</w:t>
      </w:r>
      <w:r>
        <w:rPr>
          <w:rFonts w:ascii="仿宋" w:eastAsia="仿宋" w:hAnsi="仿宋" w:cs="仿宋" w:hint="eastAsia"/>
          <w:b/>
          <w:bCs/>
          <w:sz w:val="32"/>
          <w:szCs w:val="32"/>
        </w:rPr>
        <w:t>（</w:t>
      </w:r>
      <w:r>
        <w:rPr>
          <w:rFonts w:ascii="仿宋" w:eastAsia="仿宋" w:hAnsi="仿宋" w:cs="仿宋" w:hint="eastAsia"/>
          <w:b/>
          <w:bCs/>
          <w:sz w:val="32"/>
          <w:szCs w:val="32"/>
        </w:rPr>
        <w:t>类</w:t>
      </w:r>
      <w:r>
        <w:rPr>
          <w:rFonts w:ascii="仿宋" w:eastAsia="仿宋" w:hAnsi="仿宋" w:cs="仿宋" w:hint="eastAsia"/>
          <w:b/>
          <w:bCs/>
          <w:sz w:val="32"/>
          <w:szCs w:val="32"/>
        </w:rPr>
        <w:t>）</w:t>
      </w:r>
      <w:r>
        <w:rPr>
          <w:rFonts w:ascii="仿宋" w:eastAsia="仿宋" w:hAnsi="仿宋" w:cs="仿宋" w:hint="eastAsia"/>
          <w:b/>
          <w:bCs/>
          <w:sz w:val="32"/>
          <w:szCs w:val="32"/>
        </w:rPr>
        <w:t>住房改革（</w:t>
      </w:r>
      <w:r>
        <w:rPr>
          <w:rFonts w:ascii="仿宋" w:eastAsia="仿宋" w:hAnsi="仿宋" w:cs="仿宋" w:hint="eastAsia"/>
          <w:b/>
          <w:bCs/>
          <w:sz w:val="32"/>
          <w:szCs w:val="32"/>
        </w:rPr>
        <w:t>款）</w:t>
      </w:r>
      <w:r>
        <w:rPr>
          <w:rFonts w:ascii="仿宋" w:eastAsia="仿宋" w:hAnsi="仿宋" w:cs="仿宋" w:hint="eastAsia"/>
          <w:b/>
          <w:bCs/>
          <w:sz w:val="32"/>
          <w:szCs w:val="32"/>
        </w:rPr>
        <w:t>住房公积金</w:t>
      </w:r>
      <w:r>
        <w:rPr>
          <w:rFonts w:ascii="仿宋" w:eastAsia="仿宋" w:hAnsi="仿宋" w:cs="仿宋" w:hint="eastAsia"/>
          <w:b/>
          <w:bCs/>
          <w:sz w:val="32"/>
          <w:szCs w:val="32"/>
        </w:rPr>
        <w:t>（项）：</w:t>
      </w:r>
      <w:r>
        <w:rPr>
          <w:rFonts w:ascii="仿宋" w:eastAsia="仿宋" w:hAnsi="仿宋" w:cs="仿宋" w:hint="eastAsia"/>
          <w:sz w:val="32"/>
          <w:szCs w:val="32"/>
        </w:rPr>
        <w:t>支出决算为</w:t>
      </w:r>
      <w:r>
        <w:rPr>
          <w:rFonts w:ascii="仿宋" w:eastAsia="仿宋" w:hAnsi="仿宋" w:cs="仿宋" w:hint="eastAsia"/>
          <w:sz w:val="32"/>
          <w:szCs w:val="32"/>
        </w:rPr>
        <w:t>6.92</w:t>
      </w:r>
      <w:r>
        <w:rPr>
          <w:rFonts w:ascii="仿宋" w:eastAsia="仿宋" w:hAnsi="仿宋" w:cs="仿宋" w:hint="eastAsia"/>
          <w:sz w:val="32"/>
          <w:szCs w:val="32"/>
        </w:rPr>
        <w:t>万元，完成预算</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决算数等于预算数。</w:t>
      </w:r>
    </w:p>
    <w:p w:rsidR="007957FA" w:rsidRDefault="00B67496">
      <w:pPr>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bookmarkEnd w:id="47"/>
      <w:bookmarkEnd w:id="48"/>
      <w:bookmarkEnd w:id="49"/>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年一般公共预算财政拨款基本支出</w:t>
      </w:r>
      <w:r>
        <w:rPr>
          <w:rFonts w:ascii="仿宋" w:eastAsia="仿宋" w:hAnsi="仿宋" w:cs="仿宋" w:hint="eastAsia"/>
          <w:sz w:val="32"/>
          <w:szCs w:val="32"/>
        </w:rPr>
        <w:t>111.87</w:t>
      </w:r>
      <w:r>
        <w:rPr>
          <w:rFonts w:ascii="仿宋" w:eastAsia="仿宋" w:hAnsi="仿宋" w:cs="仿宋" w:hint="eastAsia"/>
          <w:sz w:val="32"/>
          <w:szCs w:val="32"/>
        </w:rPr>
        <w:t>万元，其中：</w:t>
      </w: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人员经费</w:t>
      </w:r>
      <w:r>
        <w:rPr>
          <w:rFonts w:ascii="仿宋" w:eastAsia="仿宋" w:hAnsi="仿宋" w:cs="仿宋" w:hint="eastAsia"/>
          <w:sz w:val="32"/>
          <w:szCs w:val="32"/>
        </w:rPr>
        <w:t>101.49</w:t>
      </w:r>
      <w:r>
        <w:rPr>
          <w:rFonts w:ascii="仿宋" w:eastAsia="仿宋" w:hAnsi="仿宋" w:cs="仿宋" w:hint="eastAsia"/>
          <w:sz w:val="32"/>
          <w:szCs w:val="32"/>
        </w:rPr>
        <w:t>万元，主要包括：基本工资、津贴补贴、绩效工资、机关事业单位基本养老保险缴费、职业年金缴费、其他社会保障缴费、住房公积金支出等。</w:t>
      </w:r>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公用经费</w:t>
      </w:r>
      <w:r>
        <w:rPr>
          <w:rFonts w:ascii="仿宋" w:eastAsia="仿宋" w:hAnsi="仿宋" w:cs="仿宋" w:hint="eastAsia"/>
          <w:sz w:val="32"/>
          <w:szCs w:val="32"/>
        </w:rPr>
        <w:t>10.38</w:t>
      </w:r>
      <w:r>
        <w:rPr>
          <w:rFonts w:ascii="仿宋" w:eastAsia="仿宋" w:hAnsi="仿宋" w:cs="仿宋" w:hint="eastAsia"/>
          <w:sz w:val="32"/>
          <w:szCs w:val="32"/>
        </w:rPr>
        <w:t>万元，主要包括：办公费、印刷费、邮电费、差旅费、培训费、公务接待费、委托业务费、工会经</w:t>
      </w:r>
      <w:r>
        <w:rPr>
          <w:rFonts w:ascii="仿宋" w:eastAsia="仿宋" w:hAnsi="仿宋" w:cs="仿宋" w:hint="eastAsia"/>
          <w:sz w:val="32"/>
          <w:szCs w:val="32"/>
        </w:rPr>
        <w:lastRenderedPageBreak/>
        <w:t>费、福利费、公务用车运行维护费、其他交通费、其他商品和服务支出、办公设备购置费等。</w:t>
      </w:r>
    </w:p>
    <w:p w:rsidR="007957FA" w:rsidRDefault="00B67496">
      <w:pPr>
        <w:numPr>
          <w:ilvl w:val="0"/>
          <w:numId w:val="3"/>
        </w:numPr>
        <w:ind w:firstLine="640"/>
        <w:outlineLvl w:val="1"/>
        <w:rPr>
          <w:rFonts w:ascii="黑体" w:eastAsia="黑体" w:hAnsi="黑体" w:cs="黑体"/>
          <w:sz w:val="32"/>
          <w:szCs w:val="32"/>
        </w:rPr>
      </w:pPr>
      <w:bookmarkStart w:id="50" w:name="_Toc15396609"/>
      <w:bookmarkStart w:id="51" w:name="_Toc21902"/>
      <w:bookmarkStart w:id="52" w:name="_Toc15377215"/>
      <w:r>
        <w:rPr>
          <w:rFonts w:ascii="黑体" w:eastAsia="黑体" w:hAnsi="黑体" w:cs="黑体" w:hint="eastAsia"/>
          <w:sz w:val="32"/>
          <w:szCs w:val="32"/>
        </w:rPr>
        <w:t>“三公”经费财政拨款支出决算情况说明</w:t>
      </w:r>
      <w:bookmarkEnd w:id="50"/>
      <w:bookmarkEnd w:id="51"/>
      <w:bookmarkEnd w:id="52"/>
    </w:p>
    <w:p w:rsidR="007957FA" w:rsidRDefault="00B67496">
      <w:pPr>
        <w:spacing w:line="560" w:lineRule="exact"/>
        <w:ind w:firstLine="640"/>
        <w:outlineLvl w:val="2"/>
        <w:rPr>
          <w:rFonts w:ascii="仿宋" w:eastAsia="仿宋" w:hAnsi="仿宋" w:cs="仿宋"/>
          <w:b/>
          <w:sz w:val="32"/>
          <w:szCs w:val="32"/>
        </w:rPr>
      </w:pPr>
      <w:bookmarkStart w:id="53" w:name="_Toc15298"/>
      <w:bookmarkStart w:id="54" w:name="_Toc15377216"/>
      <w:r>
        <w:rPr>
          <w:rFonts w:ascii="仿宋" w:eastAsia="仿宋" w:hAnsi="仿宋" w:cs="仿宋" w:hint="eastAsia"/>
          <w:b/>
          <w:sz w:val="32"/>
          <w:szCs w:val="32"/>
        </w:rPr>
        <w:t>（一）“三公”经费财政拨款支出决算总体情况说明</w:t>
      </w:r>
      <w:bookmarkEnd w:id="53"/>
      <w:bookmarkEnd w:id="54"/>
    </w:p>
    <w:p w:rsidR="007957FA" w:rsidRDefault="00B67496">
      <w:pPr>
        <w:spacing w:line="600" w:lineRule="exact"/>
        <w:ind w:firstLine="640"/>
        <w:rPr>
          <w:rFonts w:ascii="仿宋" w:eastAsia="仿宋" w:hAnsi="仿宋"/>
          <w:color w:val="000000"/>
          <w:sz w:val="32"/>
          <w:szCs w:val="32"/>
        </w:rPr>
      </w:pPr>
      <w:r>
        <w:rPr>
          <w:rFonts w:ascii="仿宋" w:eastAsia="仿宋" w:hAnsi="仿宋" w:cs="仿宋" w:hint="eastAsia"/>
          <w:sz w:val="32"/>
          <w:szCs w:val="32"/>
        </w:rPr>
        <w:t>2021</w:t>
      </w:r>
      <w:r>
        <w:rPr>
          <w:rFonts w:ascii="仿宋" w:eastAsia="仿宋" w:hAnsi="仿宋" w:cs="仿宋" w:hint="eastAsia"/>
          <w:sz w:val="32"/>
          <w:szCs w:val="32"/>
        </w:rPr>
        <w:t>年“三公”经费财政拨款支出决算为</w:t>
      </w:r>
      <w:r>
        <w:rPr>
          <w:rFonts w:ascii="仿宋" w:eastAsia="仿宋" w:hAnsi="仿宋" w:cs="仿宋" w:hint="eastAsia"/>
          <w:sz w:val="32"/>
          <w:szCs w:val="32"/>
        </w:rPr>
        <w:t>1.13</w:t>
      </w:r>
      <w:r>
        <w:rPr>
          <w:rFonts w:ascii="仿宋" w:eastAsia="仿宋" w:hAnsi="仿宋" w:cs="仿宋" w:hint="eastAsia"/>
          <w:sz w:val="32"/>
          <w:szCs w:val="32"/>
        </w:rPr>
        <w:t>万元，完成预算</w:t>
      </w:r>
      <w:r>
        <w:rPr>
          <w:rFonts w:ascii="仿宋" w:eastAsia="仿宋" w:hAnsi="仿宋" w:cs="仿宋" w:hint="eastAsia"/>
          <w:sz w:val="32"/>
          <w:szCs w:val="32"/>
        </w:rPr>
        <w:t>84.3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hint="eastAsia"/>
          <w:color w:val="000000"/>
          <w:sz w:val="32"/>
          <w:szCs w:val="32"/>
        </w:rPr>
        <w:t>决算数小于预算数主要原因是</w:t>
      </w:r>
      <w:r>
        <w:rPr>
          <w:rFonts w:ascii="仿宋" w:eastAsia="仿宋" w:hAnsi="仿宋" w:hint="eastAsia"/>
          <w:color w:val="000000"/>
          <w:sz w:val="32"/>
          <w:szCs w:val="32"/>
        </w:rPr>
        <w:t>单位厉行节约，本年</w:t>
      </w:r>
      <w:r>
        <w:rPr>
          <w:rFonts w:ascii="仿宋" w:eastAsia="仿宋" w:hAnsi="仿宋" w:hint="eastAsia"/>
          <w:color w:val="000000"/>
          <w:sz w:val="32"/>
          <w:szCs w:val="32"/>
        </w:rPr>
        <w:t>“三公”经费</w:t>
      </w:r>
      <w:r>
        <w:rPr>
          <w:rFonts w:ascii="仿宋" w:eastAsia="仿宋" w:hAnsi="仿宋" w:hint="eastAsia"/>
          <w:color w:val="000000"/>
          <w:sz w:val="32"/>
          <w:szCs w:val="32"/>
        </w:rPr>
        <w:t>支出较上年</w:t>
      </w:r>
      <w:r>
        <w:rPr>
          <w:rFonts w:ascii="仿宋" w:eastAsia="仿宋" w:hAnsi="仿宋" w:hint="eastAsia"/>
          <w:color w:val="000000"/>
          <w:sz w:val="32"/>
          <w:szCs w:val="32"/>
        </w:rPr>
        <w:t>减少。</w:t>
      </w:r>
    </w:p>
    <w:p w:rsidR="007957FA" w:rsidRDefault="00B67496">
      <w:pPr>
        <w:spacing w:line="560" w:lineRule="exact"/>
        <w:ind w:firstLine="640"/>
        <w:outlineLvl w:val="2"/>
        <w:rPr>
          <w:rFonts w:ascii="仿宋" w:eastAsia="仿宋" w:hAnsi="仿宋" w:cs="仿宋"/>
          <w:b/>
          <w:sz w:val="32"/>
          <w:szCs w:val="32"/>
        </w:rPr>
      </w:pPr>
      <w:bookmarkStart w:id="55" w:name="_Toc15377217"/>
      <w:bookmarkStart w:id="56" w:name="_Toc24799"/>
      <w:r>
        <w:rPr>
          <w:rFonts w:ascii="仿宋" w:eastAsia="仿宋" w:hAnsi="仿宋" w:cs="仿宋" w:hint="eastAsia"/>
          <w:b/>
          <w:sz w:val="32"/>
          <w:szCs w:val="32"/>
        </w:rPr>
        <w:t>（二）“三公”经费财政拨款支出决算具体情况说明</w:t>
      </w:r>
      <w:bookmarkEnd w:id="55"/>
      <w:bookmarkEnd w:id="56"/>
    </w:p>
    <w:p w:rsidR="007957FA" w:rsidRDefault="00B67496">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年“三公”经费财政拨款支出决算中，</w:t>
      </w:r>
      <w:r>
        <w:rPr>
          <w:rFonts w:ascii="仿宋" w:eastAsia="仿宋" w:hAnsi="仿宋" w:hint="eastAsia"/>
          <w:sz w:val="32"/>
          <w:szCs w:val="32"/>
        </w:rPr>
        <w:t>因公出国（境）费支出决算</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cs="仿宋" w:hint="eastAsia"/>
          <w:sz w:val="32"/>
          <w:szCs w:val="32"/>
        </w:rPr>
        <w:t>公务用车购置及运行维护费支出决算</w:t>
      </w:r>
      <w:r>
        <w:rPr>
          <w:rFonts w:ascii="仿宋" w:eastAsia="仿宋" w:hAnsi="仿宋" w:cs="仿宋" w:hint="eastAsia"/>
          <w:sz w:val="32"/>
          <w:szCs w:val="32"/>
        </w:rPr>
        <w:t>0.98</w:t>
      </w:r>
      <w:r>
        <w:rPr>
          <w:rFonts w:ascii="仿宋" w:eastAsia="仿宋" w:hAnsi="仿宋" w:cs="仿宋" w:hint="eastAsia"/>
          <w:sz w:val="32"/>
          <w:szCs w:val="32"/>
        </w:rPr>
        <w:t>万元，占</w:t>
      </w:r>
      <w:r>
        <w:rPr>
          <w:rFonts w:ascii="仿宋" w:eastAsia="仿宋" w:hAnsi="仿宋" w:cs="仿宋" w:hint="eastAsia"/>
          <w:sz w:val="32"/>
          <w:szCs w:val="32"/>
        </w:rPr>
        <w:t>86.73%</w:t>
      </w:r>
      <w:r>
        <w:rPr>
          <w:rFonts w:ascii="仿宋" w:eastAsia="仿宋" w:hAnsi="仿宋" w:cs="仿宋" w:hint="eastAsia"/>
          <w:sz w:val="32"/>
          <w:szCs w:val="32"/>
        </w:rPr>
        <w:t>；公务接待费支出决算</w:t>
      </w:r>
      <w:r>
        <w:rPr>
          <w:rFonts w:ascii="仿宋" w:eastAsia="仿宋" w:hAnsi="仿宋" w:cs="仿宋" w:hint="eastAsia"/>
          <w:sz w:val="32"/>
          <w:szCs w:val="32"/>
        </w:rPr>
        <w:t>0.15</w:t>
      </w:r>
      <w:r>
        <w:rPr>
          <w:rFonts w:ascii="仿宋" w:eastAsia="仿宋" w:hAnsi="仿宋" w:cs="仿宋" w:hint="eastAsia"/>
          <w:sz w:val="32"/>
          <w:szCs w:val="32"/>
        </w:rPr>
        <w:t>万元，占</w:t>
      </w:r>
      <w:r>
        <w:rPr>
          <w:rFonts w:ascii="仿宋" w:eastAsia="仿宋" w:hAnsi="仿宋" w:cs="仿宋" w:hint="eastAsia"/>
          <w:sz w:val="32"/>
          <w:szCs w:val="32"/>
        </w:rPr>
        <w:t>13.27%</w:t>
      </w:r>
      <w:r>
        <w:rPr>
          <w:rFonts w:ascii="仿宋" w:eastAsia="仿宋" w:hAnsi="仿宋" w:cs="仿宋" w:hint="eastAsia"/>
          <w:sz w:val="32"/>
          <w:szCs w:val="32"/>
        </w:rPr>
        <w:t>。具体情况如下：</w:t>
      </w:r>
    </w:p>
    <w:p w:rsidR="007957FA" w:rsidRDefault="00B67496">
      <w:pPr>
        <w:pStyle w:val="ToCaption"/>
        <w:ind w:left="1060" w:hanging="640"/>
        <w:rPr>
          <w:rFonts w:ascii="仿宋" w:eastAsia="仿宋" w:hAnsi="仿宋" w:cs="仿宋"/>
          <w:sz w:val="32"/>
          <w:szCs w:val="32"/>
        </w:rPr>
      </w:pPr>
      <w:r>
        <w:rPr>
          <w:rFonts w:ascii="仿宋" w:eastAsia="仿宋" w:hAnsi="仿宋" w:cs="仿宋" w:hint="eastAsia"/>
          <w:noProof/>
          <w:sz w:val="32"/>
          <w:szCs w:val="32"/>
        </w:rPr>
        <w:drawing>
          <wp:inline distT="0" distB="0" distL="114300" distR="114300">
            <wp:extent cx="4743450" cy="2446655"/>
            <wp:effectExtent l="4445" t="4445" r="14605" b="635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57FA" w:rsidRDefault="00B67496">
      <w:pPr>
        <w:ind w:firstLine="640"/>
        <w:rPr>
          <w:rFonts w:ascii="仿宋" w:eastAsia="仿宋" w:hAnsi="仿宋" w:cs="仿宋"/>
          <w:sz w:val="32"/>
          <w:szCs w:val="32"/>
        </w:rPr>
      </w:pPr>
      <w:r>
        <w:rPr>
          <w:rFonts w:ascii="仿宋" w:eastAsia="仿宋" w:hAnsi="仿宋" w:cs="仿宋" w:hint="eastAsia"/>
          <w:sz w:val="32"/>
          <w:szCs w:val="32"/>
        </w:rPr>
        <w:t>（图</w:t>
      </w:r>
      <w:r>
        <w:rPr>
          <w:rFonts w:ascii="仿宋" w:eastAsia="仿宋" w:hAnsi="仿宋" w:cs="仿宋" w:hint="eastAsia"/>
          <w:sz w:val="32"/>
          <w:szCs w:val="32"/>
        </w:rPr>
        <w:t>7</w:t>
      </w:r>
      <w:r>
        <w:rPr>
          <w:rFonts w:ascii="仿宋" w:eastAsia="仿宋" w:hAnsi="仿宋" w:cs="仿宋" w:hint="eastAsia"/>
          <w:sz w:val="32"/>
          <w:szCs w:val="32"/>
        </w:rPr>
        <w:t>：“三公”经费财政拨款支出结构）</w:t>
      </w:r>
    </w:p>
    <w:p w:rsidR="007957FA" w:rsidRDefault="00B67496">
      <w:pPr>
        <w:spacing w:line="560" w:lineRule="exact"/>
        <w:ind w:firstLine="640"/>
        <w:rPr>
          <w:rFonts w:ascii="仿宋" w:eastAsia="仿宋" w:hAnsi="仿宋" w:cs="仿宋"/>
          <w:sz w:val="32"/>
          <w:szCs w:val="32"/>
        </w:rPr>
      </w:pPr>
      <w:r>
        <w:rPr>
          <w:rFonts w:ascii="仿宋_GB2312" w:eastAsia="仿宋_GB2312"/>
          <w:b/>
          <w:sz w:val="32"/>
          <w:szCs w:val="32"/>
        </w:rPr>
        <w:t>1.</w:t>
      </w:r>
      <w:r>
        <w:rPr>
          <w:rFonts w:ascii="仿宋" w:eastAsia="仿宋" w:hAnsi="仿宋" w:hint="eastAsia"/>
          <w:b/>
          <w:kern w:val="0"/>
          <w:sz w:val="32"/>
          <w:szCs w:val="32"/>
        </w:rPr>
        <w:t>因公出国（境）支出</w:t>
      </w:r>
      <w:r>
        <w:rPr>
          <w:rFonts w:ascii="仿宋" w:eastAsia="仿宋" w:hAnsi="仿宋" w:cs="仿宋" w:hint="eastAsia"/>
          <w:sz w:val="32"/>
          <w:szCs w:val="32"/>
        </w:rPr>
        <w:t>0</w:t>
      </w:r>
      <w:r>
        <w:rPr>
          <w:rFonts w:ascii="仿宋" w:eastAsia="仿宋" w:hAnsi="仿宋" w:cs="仿宋" w:hint="eastAsia"/>
          <w:sz w:val="32"/>
          <w:szCs w:val="32"/>
        </w:rPr>
        <w:t>万元。</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公务用车购置及运行维护费支出</w:t>
      </w:r>
      <w:r>
        <w:rPr>
          <w:rFonts w:ascii="仿宋" w:eastAsia="仿宋" w:hAnsi="仿宋" w:cs="仿宋" w:hint="eastAsia"/>
          <w:sz w:val="32"/>
          <w:szCs w:val="32"/>
        </w:rPr>
        <w:t>0.98</w:t>
      </w:r>
      <w:r>
        <w:rPr>
          <w:rFonts w:ascii="仿宋" w:eastAsia="仿宋" w:hAnsi="仿宋" w:cs="仿宋" w:hint="eastAsia"/>
          <w:sz w:val="32"/>
          <w:szCs w:val="32"/>
        </w:rPr>
        <w:t>万元</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完成预算</w:t>
      </w:r>
      <w:r>
        <w:rPr>
          <w:rFonts w:ascii="仿宋" w:eastAsia="仿宋" w:hAnsi="仿宋" w:cs="仿宋" w:hint="eastAsia"/>
          <w:sz w:val="32"/>
          <w:szCs w:val="32"/>
        </w:rPr>
        <w:t>100%</w:t>
      </w:r>
      <w:r>
        <w:rPr>
          <w:rFonts w:ascii="仿宋" w:eastAsia="仿宋" w:hAnsi="仿宋" w:cs="仿宋" w:hint="eastAsia"/>
          <w:sz w:val="32"/>
          <w:szCs w:val="32"/>
        </w:rPr>
        <w:t>。公务用车购置及运行维护费支出决算与</w:t>
      </w:r>
      <w:r>
        <w:rPr>
          <w:rFonts w:ascii="仿宋" w:eastAsia="仿宋" w:hAnsi="仿宋" w:cs="仿宋" w:hint="eastAsia"/>
          <w:sz w:val="32"/>
          <w:szCs w:val="32"/>
        </w:rPr>
        <w:t>2020</w:t>
      </w:r>
      <w:r>
        <w:rPr>
          <w:rFonts w:ascii="仿宋" w:eastAsia="仿宋" w:hAnsi="仿宋" w:cs="仿宋" w:hint="eastAsia"/>
          <w:sz w:val="32"/>
          <w:szCs w:val="32"/>
        </w:rPr>
        <w:t>年决算数持平。</w:t>
      </w:r>
    </w:p>
    <w:p w:rsidR="007957FA" w:rsidRDefault="00B67496">
      <w:pPr>
        <w:snapToGrid w:val="0"/>
        <w:spacing w:line="560" w:lineRule="exact"/>
        <w:ind w:firstLineChars="200" w:firstLine="640"/>
        <w:rPr>
          <w:rFonts w:ascii="仿宋" w:eastAsia="仿宋" w:hAnsi="仿宋" w:cs="仿宋"/>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w:t>
      </w:r>
      <w:r>
        <w:rPr>
          <w:rFonts w:ascii="仿宋" w:eastAsia="仿宋" w:hAnsi="仿宋" w:cs="仿宋" w:hint="eastAsia"/>
          <w:sz w:val="32"/>
          <w:szCs w:val="32"/>
        </w:rPr>
        <w:t>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月底，单位共有公务用车</w:t>
      </w:r>
      <w:r>
        <w:rPr>
          <w:rFonts w:ascii="仿宋" w:eastAsia="仿宋" w:hAnsi="仿宋" w:cs="仿宋" w:hint="eastAsia"/>
          <w:sz w:val="32"/>
          <w:szCs w:val="32"/>
        </w:rPr>
        <w:t>1</w:t>
      </w:r>
      <w:r>
        <w:rPr>
          <w:rFonts w:ascii="仿宋" w:eastAsia="仿宋" w:hAnsi="仿宋" w:cs="仿宋" w:hint="eastAsia"/>
          <w:sz w:val="32"/>
          <w:szCs w:val="32"/>
        </w:rPr>
        <w:t>辆，其中：越野车</w:t>
      </w:r>
      <w:r>
        <w:rPr>
          <w:rFonts w:ascii="仿宋" w:eastAsia="仿宋" w:hAnsi="仿宋" w:cs="仿宋" w:hint="eastAsia"/>
          <w:sz w:val="32"/>
          <w:szCs w:val="32"/>
        </w:rPr>
        <w:t>1</w:t>
      </w:r>
      <w:r>
        <w:rPr>
          <w:rFonts w:ascii="仿宋" w:eastAsia="仿宋" w:hAnsi="仿宋" w:cs="仿宋" w:hint="eastAsia"/>
          <w:sz w:val="32"/>
          <w:szCs w:val="32"/>
        </w:rPr>
        <w:t>辆。</w:t>
      </w:r>
    </w:p>
    <w:p w:rsidR="007957FA" w:rsidRDefault="00B67496">
      <w:pPr>
        <w:snapToGrid w:val="0"/>
        <w:spacing w:line="560" w:lineRule="exact"/>
        <w:ind w:firstLineChars="200" w:firstLine="640"/>
        <w:rPr>
          <w:rFonts w:ascii="仿宋" w:eastAsia="仿宋" w:hAnsi="仿宋" w:cs="仿宋"/>
          <w:sz w:val="32"/>
          <w:szCs w:val="32"/>
        </w:rPr>
      </w:pPr>
      <w:r>
        <w:rPr>
          <w:rFonts w:ascii="仿宋_GB2312" w:eastAsia="仿宋_GB2312" w:hint="eastAsia"/>
          <w:b/>
          <w:sz w:val="32"/>
          <w:szCs w:val="32"/>
        </w:rPr>
        <w:t>公务用车运行维护费支出</w:t>
      </w:r>
      <w:r>
        <w:rPr>
          <w:rFonts w:ascii="仿宋" w:eastAsia="仿宋" w:hAnsi="仿宋" w:cs="仿宋" w:hint="eastAsia"/>
          <w:sz w:val="32"/>
          <w:szCs w:val="32"/>
        </w:rPr>
        <w:t>0.98</w:t>
      </w:r>
      <w:r>
        <w:rPr>
          <w:rFonts w:ascii="仿宋" w:eastAsia="仿宋" w:hAnsi="仿宋" w:cs="仿宋" w:hint="eastAsia"/>
          <w:sz w:val="32"/>
          <w:szCs w:val="32"/>
        </w:rPr>
        <w:t>万元。主要用于天保和退耕还林检查验收、“一卡通”业务指导等所需的公务用车燃料费、维修费、过路过桥费、保险费等支出。</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公务接待费支</w:t>
      </w:r>
      <w:r>
        <w:rPr>
          <w:rFonts w:ascii="仿宋" w:eastAsia="仿宋" w:hAnsi="仿宋" w:cs="仿宋" w:hint="eastAsia"/>
          <w:sz w:val="32"/>
          <w:szCs w:val="32"/>
        </w:rPr>
        <w:t>出</w:t>
      </w:r>
      <w:r>
        <w:rPr>
          <w:rFonts w:ascii="仿宋" w:eastAsia="仿宋" w:hAnsi="仿宋" w:cs="仿宋" w:hint="eastAsia"/>
          <w:sz w:val="32"/>
          <w:szCs w:val="32"/>
        </w:rPr>
        <w:t>0.15</w:t>
      </w:r>
      <w:r>
        <w:rPr>
          <w:rFonts w:ascii="仿宋" w:eastAsia="仿宋" w:hAnsi="仿宋" w:cs="仿宋" w:hint="eastAsia"/>
          <w:sz w:val="32"/>
          <w:szCs w:val="32"/>
        </w:rPr>
        <w:t>万元，完成预算</w:t>
      </w:r>
      <w:r>
        <w:rPr>
          <w:rFonts w:ascii="仿宋" w:eastAsia="仿宋" w:hAnsi="仿宋" w:cs="仿宋" w:hint="eastAsia"/>
          <w:sz w:val="32"/>
          <w:szCs w:val="32"/>
        </w:rPr>
        <w:t>41.67</w:t>
      </w:r>
      <w:r>
        <w:rPr>
          <w:rFonts w:ascii="仿宋" w:eastAsia="仿宋" w:hAnsi="仿宋" w:cs="仿宋" w:hint="eastAsia"/>
          <w:sz w:val="32"/>
          <w:szCs w:val="32"/>
        </w:rPr>
        <w:t>%</w:t>
      </w:r>
      <w:r>
        <w:rPr>
          <w:rFonts w:ascii="仿宋" w:eastAsia="仿宋" w:hAnsi="仿宋" w:cs="仿宋" w:hint="eastAsia"/>
          <w:sz w:val="32"/>
          <w:szCs w:val="32"/>
        </w:rPr>
        <w:t>。公务接待费支出决算比</w:t>
      </w:r>
      <w:r>
        <w:rPr>
          <w:rFonts w:ascii="仿宋" w:eastAsia="仿宋" w:hAnsi="仿宋" w:cs="仿宋" w:hint="eastAsia"/>
          <w:sz w:val="32"/>
          <w:szCs w:val="32"/>
        </w:rPr>
        <w:t>2020</w:t>
      </w:r>
      <w:r>
        <w:rPr>
          <w:rFonts w:ascii="仿宋" w:eastAsia="仿宋" w:hAnsi="仿宋" w:cs="仿宋" w:hint="eastAsia"/>
          <w:sz w:val="32"/>
          <w:szCs w:val="32"/>
        </w:rPr>
        <w:t>年增加</w:t>
      </w:r>
      <w:r>
        <w:rPr>
          <w:rFonts w:ascii="仿宋" w:eastAsia="仿宋" w:hAnsi="仿宋" w:cs="仿宋" w:hint="eastAsia"/>
          <w:sz w:val="32"/>
          <w:szCs w:val="32"/>
        </w:rPr>
        <w:t>0.023</w:t>
      </w:r>
      <w:r>
        <w:rPr>
          <w:rFonts w:ascii="仿宋" w:eastAsia="仿宋" w:hAnsi="仿宋" w:cs="仿宋" w:hint="eastAsia"/>
          <w:sz w:val="32"/>
          <w:szCs w:val="32"/>
        </w:rPr>
        <w:t>万元，增长</w:t>
      </w:r>
      <w:r>
        <w:rPr>
          <w:rFonts w:ascii="仿宋" w:eastAsia="仿宋" w:hAnsi="仿宋" w:cs="仿宋" w:hint="eastAsia"/>
          <w:sz w:val="32"/>
          <w:szCs w:val="32"/>
        </w:rPr>
        <w:t>2%</w:t>
      </w:r>
      <w:r>
        <w:rPr>
          <w:rFonts w:ascii="仿宋" w:eastAsia="仿宋" w:hAnsi="仿宋" w:cs="仿宋" w:hint="eastAsia"/>
          <w:sz w:val="32"/>
          <w:szCs w:val="32"/>
        </w:rPr>
        <w:t>。主要原因是国内公务接待</w:t>
      </w:r>
      <w:r>
        <w:rPr>
          <w:rFonts w:ascii="仿宋" w:eastAsia="仿宋" w:hAnsi="仿宋" w:cs="仿宋" w:hint="eastAsia"/>
          <w:sz w:val="32"/>
          <w:szCs w:val="32"/>
        </w:rPr>
        <w:t>人次较上年</w:t>
      </w:r>
      <w:r>
        <w:rPr>
          <w:rFonts w:ascii="仿宋" w:eastAsia="仿宋" w:hAnsi="仿宋" w:cs="仿宋" w:hint="eastAsia"/>
          <w:sz w:val="32"/>
          <w:szCs w:val="32"/>
        </w:rPr>
        <w:t>增加。其中：</w:t>
      </w:r>
    </w:p>
    <w:p w:rsidR="007957FA" w:rsidRDefault="00B67496">
      <w:pPr>
        <w:snapToGrid w:val="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国内公务接待支出</w:t>
      </w:r>
      <w:r>
        <w:rPr>
          <w:rFonts w:ascii="仿宋" w:eastAsia="仿宋" w:hAnsi="仿宋" w:cs="仿宋" w:hint="eastAsia"/>
          <w:sz w:val="32"/>
          <w:szCs w:val="32"/>
        </w:rPr>
        <w:t>0.</w:t>
      </w:r>
      <w:r>
        <w:rPr>
          <w:rFonts w:ascii="仿宋" w:eastAsia="仿宋" w:hAnsi="仿宋" w:cs="仿宋" w:hint="eastAsia"/>
          <w:sz w:val="32"/>
          <w:szCs w:val="32"/>
        </w:rPr>
        <w:t>15</w:t>
      </w:r>
      <w:r>
        <w:rPr>
          <w:rFonts w:ascii="仿宋" w:eastAsia="仿宋" w:hAnsi="仿宋" w:cs="仿宋" w:hint="eastAsia"/>
          <w:sz w:val="32"/>
          <w:szCs w:val="32"/>
        </w:rPr>
        <w:t>万元，主要用于开展</w:t>
      </w:r>
      <w:r w:rsidRPr="0038315B">
        <w:rPr>
          <w:rFonts w:ascii="仿宋" w:eastAsia="仿宋" w:hAnsi="仿宋" w:cs="仿宋" w:hint="eastAsia"/>
          <w:sz w:val="32"/>
          <w:szCs w:val="32"/>
          <w:u w:val="thick" w:color="FFB03A"/>
          <w:shd w:val="clear" w:color="auto" w:fill="FFEFD8"/>
        </w:rPr>
        <w:t>业务</w:t>
      </w:r>
      <w:r>
        <w:rPr>
          <w:rFonts w:ascii="仿宋" w:eastAsia="仿宋" w:hAnsi="仿宋" w:cs="仿宋" w:hint="eastAsia"/>
          <w:sz w:val="32"/>
          <w:szCs w:val="32"/>
        </w:rPr>
        <w:t>活动开支的用餐费。国内公务接待</w:t>
      </w:r>
      <w:r>
        <w:rPr>
          <w:rFonts w:ascii="仿宋" w:eastAsia="仿宋" w:hAnsi="仿宋" w:cs="仿宋" w:hint="eastAsia"/>
          <w:sz w:val="32"/>
          <w:szCs w:val="32"/>
        </w:rPr>
        <w:t>3</w:t>
      </w:r>
      <w:r>
        <w:rPr>
          <w:rFonts w:ascii="仿宋" w:eastAsia="仿宋" w:hAnsi="仿宋" w:cs="仿宋" w:hint="eastAsia"/>
          <w:sz w:val="32"/>
          <w:szCs w:val="32"/>
        </w:rPr>
        <w:t>批次，</w:t>
      </w:r>
      <w:r>
        <w:rPr>
          <w:rFonts w:ascii="仿宋" w:eastAsia="仿宋" w:hAnsi="仿宋" w:cs="仿宋" w:hint="eastAsia"/>
          <w:sz w:val="32"/>
          <w:szCs w:val="32"/>
        </w:rPr>
        <w:t>1</w:t>
      </w:r>
      <w:r>
        <w:rPr>
          <w:rFonts w:ascii="仿宋" w:eastAsia="仿宋" w:hAnsi="仿宋" w:cs="仿宋" w:hint="eastAsia"/>
          <w:sz w:val="32"/>
          <w:szCs w:val="32"/>
        </w:rPr>
        <w:t>7</w:t>
      </w:r>
      <w:r>
        <w:rPr>
          <w:rFonts w:ascii="仿宋" w:eastAsia="仿宋" w:hAnsi="仿宋" w:cs="仿宋" w:hint="eastAsia"/>
          <w:sz w:val="32"/>
          <w:szCs w:val="32"/>
        </w:rPr>
        <w:t>人次（不包括陪同人员），共计支出</w:t>
      </w:r>
      <w:r>
        <w:rPr>
          <w:rFonts w:ascii="仿宋" w:eastAsia="仿宋" w:hAnsi="仿宋" w:cs="仿宋" w:hint="eastAsia"/>
          <w:sz w:val="32"/>
          <w:szCs w:val="32"/>
        </w:rPr>
        <w:t>0.15</w:t>
      </w:r>
      <w:r>
        <w:rPr>
          <w:rFonts w:ascii="仿宋" w:eastAsia="仿宋" w:hAnsi="仿宋" w:cs="仿宋" w:hint="eastAsia"/>
          <w:sz w:val="32"/>
          <w:szCs w:val="32"/>
        </w:rPr>
        <w:t>万元，具体内容包括：天保工程调研</w:t>
      </w:r>
      <w:r>
        <w:rPr>
          <w:rFonts w:ascii="仿宋" w:eastAsia="仿宋" w:hAnsi="仿宋" w:cs="仿宋" w:hint="eastAsia"/>
          <w:sz w:val="32"/>
          <w:szCs w:val="32"/>
        </w:rPr>
        <w:t>、</w:t>
      </w:r>
      <w:r>
        <w:rPr>
          <w:rFonts w:ascii="仿宋" w:eastAsia="仿宋" w:hAnsi="仿宋" w:cs="仿宋" w:hint="eastAsia"/>
          <w:sz w:val="32"/>
          <w:szCs w:val="32"/>
        </w:rPr>
        <w:t>退耕还林</w:t>
      </w:r>
      <w:r w:rsidR="0038315B">
        <w:rPr>
          <w:rFonts w:ascii="仿宋" w:eastAsia="仿宋" w:hAnsi="仿宋" w:cs="仿宋" w:hint="eastAsia"/>
          <w:sz w:val="32"/>
          <w:szCs w:val="32"/>
          <w:u w:val="thick" w:color="46CD7E"/>
          <w:shd w:val="clear" w:color="auto" w:fill="DAF5E5"/>
        </w:rPr>
        <w:t>督察</w:t>
      </w:r>
      <w:r>
        <w:rPr>
          <w:rFonts w:ascii="仿宋" w:eastAsia="仿宋" w:hAnsi="仿宋" w:cs="仿宋" w:hint="eastAsia"/>
          <w:sz w:val="32"/>
          <w:szCs w:val="32"/>
        </w:rPr>
        <w:t>等接待</w:t>
      </w:r>
      <w:r>
        <w:rPr>
          <w:rFonts w:ascii="仿宋" w:eastAsia="仿宋" w:hAnsi="仿宋" w:cs="仿宋" w:hint="eastAsia"/>
          <w:sz w:val="32"/>
          <w:szCs w:val="32"/>
        </w:rPr>
        <w:t>。</w:t>
      </w:r>
    </w:p>
    <w:p w:rsidR="007957FA" w:rsidRDefault="00B67496">
      <w:pPr>
        <w:spacing w:line="560" w:lineRule="exact"/>
        <w:ind w:firstLine="640"/>
        <w:rPr>
          <w:rFonts w:ascii="仿宋_GB2312" w:eastAsia="仿宋_GB2312"/>
          <w:color w:val="000000"/>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color w:val="000000"/>
          <w:sz w:val="32"/>
          <w:szCs w:val="32"/>
        </w:rPr>
        <w:t>202</w:t>
      </w:r>
      <w:r>
        <w:rPr>
          <w:rFonts w:ascii="仿宋_GB2312" w:eastAsia="仿宋_GB2312" w:hint="eastAsia"/>
          <w:color w:val="000000"/>
          <w:sz w:val="32"/>
          <w:szCs w:val="32"/>
        </w:rPr>
        <w:t>1</w:t>
      </w:r>
      <w:r>
        <w:rPr>
          <w:rFonts w:ascii="仿宋_GB2312" w:eastAsia="仿宋_GB2312" w:hint="eastAsia"/>
          <w:color w:val="000000"/>
          <w:sz w:val="32"/>
          <w:szCs w:val="32"/>
        </w:rPr>
        <w:t>年</w:t>
      </w:r>
      <w:r>
        <w:rPr>
          <w:rFonts w:ascii="仿宋_GB2312" w:eastAsia="仿宋_GB2312" w:hint="eastAsia"/>
          <w:color w:val="000000"/>
          <w:sz w:val="32"/>
          <w:szCs w:val="32"/>
        </w:rPr>
        <w:t>无</w:t>
      </w:r>
      <w:r>
        <w:rPr>
          <w:rFonts w:ascii="仿宋_GB2312" w:eastAsia="仿宋_GB2312" w:hint="eastAsia"/>
          <w:color w:val="000000"/>
          <w:sz w:val="32"/>
          <w:szCs w:val="32"/>
        </w:rPr>
        <w:t>外事接待支出。</w:t>
      </w:r>
    </w:p>
    <w:p w:rsidR="007957FA" w:rsidRDefault="00B67496">
      <w:pPr>
        <w:pStyle w:val="2"/>
        <w:spacing w:before="0" w:after="0" w:line="560" w:lineRule="exact"/>
        <w:ind w:firstLineChars="200" w:firstLine="640"/>
        <w:rPr>
          <w:rFonts w:ascii="黑体" w:eastAsia="黑体" w:hAnsi="黑体" w:cs="黑体"/>
          <w:b w:val="0"/>
          <w:bCs w:val="0"/>
        </w:rPr>
      </w:pPr>
      <w:bookmarkStart w:id="57" w:name="_Toc15396610"/>
      <w:bookmarkStart w:id="58" w:name="_Toc15377218"/>
      <w:bookmarkStart w:id="59" w:name="_Toc11023"/>
      <w:r w:rsidRPr="0038315B">
        <w:rPr>
          <w:rFonts w:ascii="黑体" w:eastAsia="黑体" w:hAnsi="黑体" w:cs="黑体" w:hint="eastAsia"/>
          <w:b w:val="0"/>
          <w:bCs w:val="0"/>
          <w:u w:val="thick" w:color="FFB03A"/>
          <w:shd w:val="clear" w:color="auto" w:fill="FFEFD8"/>
        </w:rPr>
        <w:t>八、</w:t>
      </w:r>
      <w:r>
        <w:rPr>
          <w:rFonts w:ascii="黑体" w:eastAsia="黑体" w:hAnsi="黑体" w:cs="黑体" w:hint="eastAsia"/>
          <w:b w:val="0"/>
          <w:bCs w:val="0"/>
        </w:rPr>
        <w:t>政府性基金预算支出决算情况说明</w:t>
      </w:r>
      <w:bookmarkEnd w:id="57"/>
      <w:bookmarkEnd w:id="58"/>
      <w:bookmarkEnd w:id="59"/>
    </w:p>
    <w:p w:rsidR="007957FA" w:rsidRDefault="00B67496">
      <w:pPr>
        <w:spacing w:line="560" w:lineRule="exact"/>
        <w:ind w:firstLine="640"/>
        <w:rPr>
          <w:rFonts w:ascii="仿宋_GB2312" w:eastAsia="仿宋_GB2312"/>
          <w:color w:val="000000"/>
          <w:sz w:val="32"/>
          <w:szCs w:val="32"/>
        </w:rPr>
      </w:pPr>
      <w:bookmarkStart w:id="60" w:name="_Toc15377219"/>
      <w:bookmarkStart w:id="61" w:name="_Toc7642"/>
      <w:bookmarkStart w:id="62" w:name="_Toc15396611"/>
      <w:r>
        <w:rPr>
          <w:rFonts w:ascii="仿宋_GB2312" w:eastAsia="仿宋_GB2312"/>
          <w:color w:val="000000"/>
          <w:sz w:val="32"/>
          <w:szCs w:val="32"/>
        </w:rPr>
        <w:t>202</w:t>
      </w:r>
      <w:r>
        <w:rPr>
          <w:rFonts w:ascii="仿宋_GB2312" w:eastAsia="仿宋_GB2312" w:hint="eastAsia"/>
          <w:color w:val="000000"/>
          <w:sz w:val="32"/>
          <w:szCs w:val="32"/>
        </w:rPr>
        <w:t>1</w:t>
      </w:r>
      <w:r>
        <w:rPr>
          <w:rFonts w:ascii="仿宋_GB2312" w:eastAsia="仿宋_GB2312" w:hint="eastAsia"/>
          <w:color w:val="000000"/>
          <w:sz w:val="32"/>
          <w:szCs w:val="32"/>
        </w:rPr>
        <w:t>年</w:t>
      </w:r>
      <w:r>
        <w:rPr>
          <w:rFonts w:ascii="仿宋_GB2312" w:eastAsia="仿宋_GB2312" w:hint="eastAsia"/>
          <w:color w:val="000000"/>
          <w:sz w:val="32"/>
          <w:szCs w:val="32"/>
        </w:rPr>
        <w:t>无</w:t>
      </w:r>
      <w:r>
        <w:rPr>
          <w:rFonts w:ascii="仿宋_GB2312" w:eastAsia="仿宋_GB2312" w:hint="eastAsia"/>
          <w:color w:val="000000"/>
          <w:sz w:val="32"/>
          <w:szCs w:val="32"/>
        </w:rPr>
        <w:t>政府性基金预算拨款支出。</w:t>
      </w:r>
    </w:p>
    <w:p w:rsidR="007957FA" w:rsidRDefault="00B67496">
      <w:pPr>
        <w:pStyle w:val="2"/>
        <w:spacing w:before="0" w:after="0" w:line="560" w:lineRule="exact"/>
        <w:ind w:left="630"/>
        <w:rPr>
          <w:rFonts w:ascii="黑体" w:eastAsia="黑体" w:hAnsi="黑体" w:cs="黑体"/>
          <w:b w:val="0"/>
          <w:bCs w:val="0"/>
        </w:rPr>
      </w:pPr>
      <w:r>
        <w:rPr>
          <w:rFonts w:ascii="黑体" w:eastAsia="黑体" w:hAnsi="黑体" w:cs="黑体" w:hint="eastAsia"/>
          <w:b w:val="0"/>
          <w:bCs w:val="0"/>
        </w:rPr>
        <w:t>九、</w:t>
      </w:r>
      <w:r>
        <w:rPr>
          <w:rFonts w:ascii="黑体" w:eastAsia="黑体" w:hAnsi="黑体" w:cs="黑体" w:hint="eastAsia"/>
          <w:b w:val="0"/>
          <w:bCs w:val="0"/>
        </w:rPr>
        <w:t>国有资本经营预算支出决算情况说明</w:t>
      </w:r>
      <w:bookmarkEnd w:id="60"/>
      <w:bookmarkEnd w:id="61"/>
      <w:bookmarkEnd w:id="62"/>
    </w:p>
    <w:p w:rsidR="007957FA" w:rsidRDefault="00B67496">
      <w:pPr>
        <w:spacing w:line="560" w:lineRule="exact"/>
        <w:ind w:firstLine="640"/>
        <w:rPr>
          <w:rFonts w:ascii="仿宋_GB2312" w:eastAsia="仿宋_GB2312"/>
          <w:color w:val="000000"/>
          <w:sz w:val="32"/>
          <w:szCs w:val="32"/>
        </w:rPr>
      </w:pPr>
      <w:bookmarkStart w:id="63" w:name="_Toc15396612"/>
      <w:bookmarkStart w:id="64" w:name="_Toc6037"/>
      <w:bookmarkStart w:id="65" w:name="_Toc15377221"/>
      <w:r>
        <w:rPr>
          <w:rFonts w:ascii="仿宋_GB2312" w:eastAsia="仿宋_GB2312"/>
          <w:color w:val="000000"/>
          <w:sz w:val="32"/>
          <w:szCs w:val="32"/>
        </w:rPr>
        <w:t>202</w:t>
      </w:r>
      <w:r>
        <w:rPr>
          <w:rFonts w:ascii="仿宋_GB2312" w:eastAsia="仿宋_GB2312" w:hint="eastAsia"/>
          <w:color w:val="000000"/>
          <w:sz w:val="32"/>
          <w:szCs w:val="32"/>
        </w:rPr>
        <w:t>1</w:t>
      </w:r>
      <w:r>
        <w:rPr>
          <w:rFonts w:ascii="仿宋_GB2312" w:eastAsia="仿宋_GB2312" w:hint="eastAsia"/>
          <w:color w:val="000000"/>
          <w:sz w:val="32"/>
          <w:szCs w:val="32"/>
        </w:rPr>
        <w:t>年</w:t>
      </w:r>
      <w:r>
        <w:rPr>
          <w:rFonts w:ascii="仿宋_GB2312" w:eastAsia="仿宋_GB2312" w:hint="eastAsia"/>
          <w:color w:val="000000"/>
          <w:sz w:val="32"/>
          <w:szCs w:val="32"/>
        </w:rPr>
        <w:t>无</w:t>
      </w:r>
      <w:r>
        <w:rPr>
          <w:rFonts w:ascii="仿宋_GB2312" w:eastAsia="仿宋_GB2312" w:hint="eastAsia"/>
          <w:color w:val="000000"/>
          <w:sz w:val="32"/>
          <w:szCs w:val="32"/>
        </w:rPr>
        <w:t>国有资本经营预算拨款支出。</w:t>
      </w:r>
    </w:p>
    <w:p w:rsidR="007957FA" w:rsidRDefault="00B67496">
      <w:pPr>
        <w:numPr>
          <w:ilvl w:val="0"/>
          <w:numId w:val="4"/>
        </w:numPr>
        <w:spacing w:line="560" w:lineRule="exact"/>
        <w:ind w:firstLineChars="200" w:firstLine="640"/>
        <w:outlineLvl w:val="1"/>
        <w:rPr>
          <w:rStyle w:val="20"/>
          <w:rFonts w:ascii="黑体" w:eastAsia="黑体" w:hAnsi="黑体" w:cs="黑体"/>
          <w:b w:val="0"/>
        </w:rPr>
      </w:pPr>
      <w:r>
        <w:rPr>
          <w:rStyle w:val="20"/>
          <w:rFonts w:ascii="黑体" w:eastAsia="黑体" w:hAnsi="黑体" w:cs="黑体" w:hint="eastAsia"/>
          <w:b w:val="0"/>
        </w:rPr>
        <w:t>其他重要事项的情况说明</w:t>
      </w:r>
      <w:bookmarkEnd w:id="63"/>
      <w:bookmarkEnd w:id="64"/>
      <w:bookmarkEnd w:id="65"/>
    </w:p>
    <w:p w:rsidR="007957FA" w:rsidRDefault="00B67496">
      <w:pPr>
        <w:spacing w:line="560" w:lineRule="exact"/>
        <w:ind w:firstLineChars="200" w:firstLine="643"/>
        <w:outlineLvl w:val="2"/>
        <w:rPr>
          <w:rFonts w:ascii="仿宋" w:eastAsia="仿宋" w:hAnsi="仿宋"/>
          <w:sz w:val="32"/>
          <w:szCs w:val="32"/>
        </w:rPr>
      </w:pPr>
      <w:bookmarkStart w:id="66" w:name="_Toc15377223"/>
      <w:r>
        <w:rPr>
          <w:rFonts w:ascii="仿宋" w:eastAsia="仿宋" w:hAnsi="仿宋" w:hint="eastAsia"/>
          <w:b/>
          <w:sz w:val="32"/>
          <w:szCs w:val="32"/>
        </w:rPr>
        <w:t>（一）机关运行经费支出情况</w:t>
      </w:r>
    </w:p>
    <w:p w:rsidR="007957FA" w:rsidRDefault="00B67496">
      <w:pPr>
        <w:spacing w:line="56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年，机关运行经费支出</w:t>
      </w:r>
      <w:r>
        <w:rPr>
          <w:rFonts w:ascii="仿宋_GB2312" w:eastAsia="仿宋_GB2312" w:hint="eastAsia"/>
          <w:sz w:val="32"/>
          <w:szCs w:val="32"/>
        </w:rPr>
        <w:t>0</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sz w:val="32"/>
          <w:szCs w:val="32"/>
        </w:rPr>
        <w:t>/</w:t>
      </w:r>
      <w:r>
        <w:rPr>
          <w:rFonts w:ascii="仿宋_GB2312" w:eastAsia="仿宋_GB2312" w:hint="eastAsia"/>
          <w:sz w:val="32"/>
          <w:szCs w:val="32"/>
        </w:rPr>
        <w:t>减少</w:t>
      </w:r>
      <w:r>
        <w:rPr>
          <w:rFonts w:ascii="仿宋_GB2312" w:eastAsia="仿宋_GB2312" w:hint="eastAsia"/>
          <w:sz w:val="32"/>
          <w:szCs w:val="32"/>
        </w:rPr>
        <w:t>0</w:t>
      </w:r>
      <w:r>
        <w:rPr>
          <w:rFonts w:ascii="仿宋_GB2312" w:eastAsia="仿宋_GB2312" w:hint="eastAsia"/>
          <w:sz w:val="32"/>
          <w:szCs w:val="32"/>
        </w:rPr>
        <w:t>万元</w:t>
      </w:r>
      <w:r w:rsidR="0038315B">
        <w:rPr>
          <w:rFonts w:ascii="仿宋_GB2312" w:eastAsia="仿宋_GB2312" w:hint="eastAsia"/>
          <w:sz w:val="32"/>
          <w:szCs w:val="32"/>
          <w:u w:val="thick" w:color="46CD7E"/>
          <w:shd w:val="clear" w:color="auto" w:fill="DAF5E5"/>
        </w:rPr>
        <w:t>。</w:t>
      </w:r>
    </w:p>
    <w:p w:rsidR="007957FA" w:rsidRDefault="00B67496">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（二）政府采购支出情况</w:t>
      </w:r>
      <w:bookmarkEnd w:id="66"/>
    </w:p>
    <w:p w:rsidR="007957FA" w:rsidRDefault="00B67496">
      <w:pPr>
        <w:spacing w:line="560" w:lineRule="exact"/>
        <w:ind w:firstLine="641"/>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年，政府采购支出总额</w:t>
      </w:r>
      <w:r>
        <w:rPr>
          <w:rFonts w:ascii="仿宋" w:eastAsia="仿宋" w:hAnsi="仿宋" w:cs="仿宋" w:hint="eastAsia"/>
          <w:sz w:val="32"/>
          <w:szCs w:val="32"/>
        </w:rPr>
        <w:t>0.47</w:t>
      </w:r>
      <w:r>
        <w:rPr>
          <w:rFonts w:ascii="仿宋" w:eastAsia="仿宋" w:hAnsi="仿宋" w:cs="仿宋" w:hint="eastAsia"/>
          <w:sz w:val="32"/>
          <w:szCs w:val="32"/>
        </w:rPr>
        <w:t>万元，其中：政府采购货物支出</w:t>
      </w:r>
      <w:r>
        <w:rPr>
          <w:rFonts w:ascii="仿宋" w:eastAsia="仿宋" w:hAnsi="仿宋" w:cs="仿宋" w:hint="eastAsia"/>
          <w:sz w:val="32"/>
          <w:szCs w:val="32"/>
        </w:rPr>
        <w:t>0.47</w:t>
      </w:r>
      <w:r>
        <w:rPr>
          <w:rFonts w:ascii="仿宋" w:eastAsia="仿宋" w:hAnsi="仿宋" w:cs="仿宋" w:hint="eastAsia"/>
          <w:sz w:val="32"/>
          <w:szCs w:val="32"/>
        </w:rPr>
        <w:t>万元</w:t>
      </w:r>
      <w:r w:rsidR="0038315B">
        <w:rPr>
          <w:rFonts w:ascii="仿宋" w:eastAsia="仿宋" w:hAnsi="仿宋" w:cs="仿宋" w:hint="eastAsia"/>
          <w:sz w:val="32"/>
          <w:szCs w:val="32"/>
          <w:u w:val="thick" w:color="46CD7E"/>
          <w:shd w:val="clear" w:color="auto" w:fill="DAF5E5"/>
        </w:rPr>
        <w:t>，</w:t>
      </w:r>
      <w:r>
        <w:rPr>
          <w:rFonts w:ascii="仿宋" w:eastAsia="仿宋" w:hAnsi="仿宋" w:cs="仿宋" w:hint="eastAsia"/>
          <w:sz w:val="32"/>
          <w:szCs w:val="32"/>
        </w:rPr>
        <w:t>主要采购台式电脑一台用于日常办</w:t>
      </w:r>
      <w:r>
        <w:rPr>
          <w:rFonts w:ascii="仿宋" w:eastAsia="仿宋" w:hAnsi="仿宋" w:cs="仿宋" w:hint="eastAsia"/>
          <w:sz w:val="32"/>
          <w:szCs w:val="32"/>
        </w:rPr>
        <w:lastRenderedPageBreak/>
        <w:t>公。</w:t>
      </w:r>
    </w:p>
    <w:p w:rsidR="007957FA" w:rsidRDefault="00B67496">
      <w:pPr>
        <w:autoSpaceDE w:val="0"/>
        <w:autoSpaceDN w:val="0"/>
        <w:adjustRightInd w:val="0"/>
        <w:spacing w:line="560" w:lineRule="exact"/>
        <w:ind w:firstLineChars="200" w:firstLine="643"/>
        <w:jc w:val="left"/>
        <w:outlineLvl w:val="2"/>
        <w:rPr>
          <w:rFonts w:ascii="仿宋" w:eastAsia="仿宋" w:hAnsi="仿宋" w:cs="仿宋"/>
          <w:b/>
          <w:sz w:val="32"/>
          <w:szCs w:val="32"/>
        </w:rPr>
      </w:pPr>
      <w:bookmarkStart w:id="67" w:name="_Toc15377224"/>
      <w:bookmarkStart w:id="68" w:name="_Toc8575"/>
      <w:r>
        <w:rPr>
          <w:rFonts w:ascii="仿宋" w:eastAsia="仿宋" w:hAnsi="仿宋" w:cs="仿宋" w:hint="eastAsia"/>
          <w:b/>
          <w:sz w:val="32"/>
          <w:szCs w:val="32"/>
        </w:rPr>
        <w:t>（</w:t>
      </w:r>
      <w:r>
        <w:rPr>
          <w:rFonts w:ascii="仿宋" w:eastAsia="仿宋" w:hAnsi="仿宋" w:cs="仿宋" w:hint="eastAsia"/>
          <w:b/>
          <w:sz w:val="32"/>
          <w:szCs w:val="32"/>
        </w:rPr>
        <w:t>三</w:t>
      </w:r>
      <w:r>
        <w:rPr>
          <w:rFonts w:ascii="仿宋" w:eastAsia="仿宋" w:hAnsi="仿宋" w:cs="仿宋" w:hint="eastAsia"/>
          <w:b/>
          <w:sz w:val="32"/>
          <w:szCs w:val="32"/>
        </w:rPr>
        <w:t>）国有资产占有使用情况</w:t>
      </w:r>
      <w:bookmarkEnd w:id="67"/>
      <w:bookmarkEnd w:id="68"/>
    </w:p>
    <w:p w:rsidR="007957FA" w:rsidRDefault="00B67496">
      <w:pPr>
        <w:autoSpaceDE w:val="0"/>
        <w:autoSpaceDN w:val="0"/>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截至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日，本单位共有车辆</w:t>
      </w:r>
      <w:r>
        <w:rPr>
          <w:rFonts w:ascii="仿宋" w:eastAsia="仿宋" w:hAnsi="仿宋" w:cs="仿宋" w:hint="eastAsia"/>
          <w:sz w:val="32"/>
          <w:szCs w:val="32"/>
        </w:rPr>
        <w:t>1</w:t>
      </w:r>
      <w:r>
        <w:rPr>
          <w:rFonts w:ascii="仿宋" w:eastAsia="仿宋" w:hAnsi="仿宋" w:cs="仿宋" w:hint="eastAsia"/>
          <w:sz w:val="32"/>
          <w:szCs w:val="32"/>
        </w:rPr>
        <w:t>辆，其中：其他用车</w:t>
      </w:r>
      <w:r>
        <w:rPr>
          <w:rFonts w:ascii="仿宋" w:eastAsia="仿宋" w:hAnsi="仿宋" w:cs="仿宋" w:hint="eastAsia"/>
          <w:sz w:val="32"/>
          <w:szCs w:val="32"/>
        </w:rPr>
        <w:t>1</w:t>
      </w:r>
      <w:r>
        <w:rPr>
          <w:rFonts w:ascii="仿宋" w:eastAsia="仿宋" w:hAnsi="仿宋" w:cs="仿宋" w:hint="eastAsia"/>
          <w:sz w:val="32"/>
          <w:szCs w:val="32"/>
        </w:rPr>
        <w:t>辆，主要用于天保和退耕还林检查验收、“一卡通”业务指导等所需的公务用车燃料费、维修费、过路过桥费、保险费等支出。</w:t>
      </w:r>
      <w:r>
        <w:rPr>
          <w:rFonts w:ascii="仿宋" w:eastAsia="仿宋" w:hAnsi="仿宋" w:cs="仿宋" w:hint="eastAsia"/>
          <w:sz w:val="32"/>
          <w:szCs w:val="32"/>
        </w:rPr>
        <w:t>本单位无单价</w:t>
      </w:r>
      <w:r>
        <w:rPr>
          <w:rFonts w:ascii="仿宋" w:eastAsia="仿宋" w:hAnsi="仿宋" w:cs="仿宋" w:hint="eastAsia"/>
          <w:sz w:val="32"/>
          <w:szCs w:val="32"/>
        </w:rPr>
        <w:t>50</w:t>
      </w:r>
      <w:r>
        <w:rPr>
          <w:rFonts w:ascii="仿宋" w:eastAsia="仿宋" w:hAnsi="仿宋" w:cs="仿宋" w:hint="eastAsia"/>
          <w:sz w:val="32"/>
          <w:szCs w:val="32"/>
        </w:rPr>
        <w:t>万元以上通用设备及单价</w:t>
      </w:r>
      <w:r>
        <w:rPr>
          <w:rFonts w:ascii="仿宋" w:eastAsia="仿宋" w:hAnsi="仿宋" w:cs="仿宋" w:hint="eastAsia"/>
          <w:sz w:val="32"/>
          <w:szCs w:val="32"/>
        </w:rPr>
        <w:t>100</w:t>
      </w:r>
      <w:r>
        <w:rPr>
          <w:rFonts w:ascii="仿宋" w:eastAsia="仿宋" w:hAnsi="仿宋" w:cs="仿宋" w:hint="eastAsia"/>
          <w:sz w:val="32"/>
          <w:szCs w:val="32"/>
        </w:rPr>
        <w:t>万元以上专用设备。</w:t>
      </w:r>
    </w:p>
    <w:p w:rsidR="007957FA" w:rsidRDefault="00B67496">
      <w:pPr>
        <w:autoSpaceDE w:val="0"/>
        <w:autoSpaceDN w:val="0"/>
        <w:adjustRightInd w:val="0"/>
        <w:spacing w:line="560" w:lineRule="exact"/>
        <w:ind w:firstLineChars="200" w:firstLine="643"/>
        <w:jc w:val="left"/>
        <w:outlineLvl w:val="2"/>
        <w:rPr>
          <w:rFonts w:ascii="仿宋" w:eastAsia="仿宋" w:hAnsi="仿宋" w:cs="仿宋"/>
          <w:b/>
          <w:sz w:val="32"/>
          <w:szCs w:val="32"/>
        </w:rPr>
      </w:pPr>
      <w:bookmarkStart w:id="69" w:name="_Toc5667"/>
      <w:r>
        <w:rPr>
          <w:rFonts w:ascii="仿宋" w:eastAsia="仿宋" w:hAnsi="仿宋" w:cs="仿宋" w:hint="eastAsia"/>
          <w:b/>
          <w:sz w:val="32"/>
          <w:szCs w:val="32"/>
        </w:rPr>
        <w:t>（</w:t>
      </w:r>
      <w:r>
        <w:rPr>
          <w:rFonts w:ascii="仿宋" w:eastAsia="仿宋" w:hAnsi="仿宋" w:cs="仿宋" w:hint="eastAsia"/>
          <w:b/>
          <w:sz w:val="32"/>
          <w:szCs w:val="32"/>
        </w:rPr>
        <w:t>四</w:t>
      </w:r>
      <w:r>
        <w:rPr>
          <w:rFonts w:ascii="仿宋" w:eastAsia="仿宋" w:hAnsi="仿宋" w:cs="仿宋" w:hint="eastAsia"/>
          <w:b/>
          <w:sz w:val="32"/>
          <w:szCs w:val="32"/>
        </w:rPr>
        <w:t>）预算绩效管理情况</w:t>
      </w:r>
      <w:bookmarkEnd w:id="69"/>
    </w:p>
    <w:p w:rsidR="007957FA" w:rsidRDefault="00B67496">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根据预算绩效管理要求，本单位在</w:t>
      </w:r>
      <w:r>
        <w:rPr>
          <w:rFonts w:ascii="仿宋" w:eastAsia="仿宋" w:hAnsi="仿宋" w:cs="仿宋" w:hint="eastAsia"/>
          <w:sz w:val="32"/>
          <w:szCs w:val="32"/>
        </w:rPr>
        <w:t>2021</w:t>
      </w:r>
      <w:r>
        <w:rPr>
          <w:rFonts w:ascii="仿宋" w:eastAsia="仿宋" w:hAnsi="仿宋" w:cs="仿宋" w:hint="eastAsia"/>
          <w:sz w:val="32"/>
          <w:szCs w:val="32"/>
        </w:rPr>
        <w:t>年度预算编制阶段，对整体支出编制了绩效目标，在预算执行过程中，对整体绩效运行开展绩效监控</w:t>
      </w:r>
      <w:r>
        <w:rPr>
          <w:rFonts w:ascii="仿宋" w:eastAsia="仿宋" w:hAnsi="仿宋" w:cs="仿宋" w:hint="eastAsia"/>
          <w:sz w:val="32"/>
          <w:szCs w:val="32"/>
        </w:rPr>
        <w:t>。</w:t>
      </w:r>
      <w:r>
        <w:rPr>
          <w:rFonts w:ascii="仿宋" w:eastAsia="仿宋" w:hAnsi="仿宋" w:cs="仿宋" w:hint="eastAsia"/>
          <w:sz w:val="32"/>
          <w:szCs w:val="32"/>
        </w:rPr>
        <w:t>年终执行完毕后，对整体支出开展了绩效自评</w:t>
      </w:r>
      <w:r>
        <w:rPr>
          <w:rFonts w:ascii="仿宋" w:eastAsia="仿宋" w:hAnsi="仿宋" w:cs="仿宋" w:hint="eastAsia"/>
          <w:sz w:val="32"/>
          <w:szCs w:val="32"/>
        </w:rPr>
        <w:t>，</w:t>
      </w:r>
      <w:r>
        <w:rPr>
          <w:rFonts w:ascii="仿宋" w:eastAsia="仿宋" w:hAnsi="仿宋" w:cs="仿宋" w:hint="eastAsia"/>
          <w:sz w:val="32"/>
          <w:szCs w:val="32"/>
        </w:rPr>
        <w:t>全面完成年度绩效目标任务。</w:t>
      </w:r>
    </w:p>
    <w:p w:rsidR="007957FA" w:rsidRDefault="007957FA">
      <w:pPr>
        <w:spacing w:line="560" w:lineRule="exact"/>
      </w:pPr>
    </w:p>
    <w:p w:rsidR="007957FA" w:rsidRDefault="007957FA">
      <w:pPr>
        <w:pStyle w:val="a0"/>
        <w:spacing w:before="93" w:line="560" w:lineRule="exact"/>
      </w:pPr>
    </w:p>
    <w:p w:rsidR="007957FA" w:rsidRDefault="007957FA">
      <w:pPr>
        <w:pStyle w:val="a0"/>
        <w:spacing w:before="93" w:line="560" w:lineRule="exact"/>
      </w:pPr>
    </w:p>
    <w:p w:rsidR="007957FA" w:rsidRDefault="007957FA">
      <w:pPr>
        <w:pStyle w:val="a0"/>
        <w:spacing w:before="93" w:line="560" w:lineRule="exact"/>
      </w:pPr>
    </w:p>
    <w:p w:rsidR="007957FA" w:rsidRDefault="007957FA">
      <w:pPr>
        <w:pStyle w:val="a0"/>
        <w:spacing w:before="93" w:line="560" w:lineRule="exact"/>
      </w:pPr>
    </w:p>
    <w:p w:rsidR="007957FA" w:rsidRDefault="007957FA">
      <w:pPr>
        <w:pStyle w:val="a0"/>
        <w:spacing w:before="93" w:line="560" w:lineRule="exact"/>
      </w:pPr>
    </w:p>
    <w:p w:rsidR="007957FA" w:rsidRDefault="007957FA">
      <w:pPr>
        <w:pStyle w:val="a0"/>
        <w:spacing w:before="93" w:line="560" w:lineRule="exact"/>
      </w:pPr>
    </w:p>
    <w:p w:rsidR="007957FA" w:rsidRDefault="007957FA">
      <w:pPr>
        <w:pStyle w:val="TOC5"/>
      </w:pPr>
    </w:p>
    <w:p w:rsidR="007957FA" w:rsidRDefault="007957FA"/>
    <w:p w:rsidR="007957FA" w:rsidRDefault="007957FA">
      <w:pPr>
        <w:pStyle w:val="a0"/>
        <w:spacing w:before="93"/>
      </w:pPr>
    </w:p>
    <w:p w:rsidR="007957FA" w:rsidRDefault="007957FA">
      <w:pPr>
        <w:pStyle w:val="TOC5"/>
      </w:pPr>
    </w:p>
    <w:p w:rsidR="007957FA" w:rsidRDefault="007957FA"/>
    <w:p w:rsidR="007957FA" w:rsidRDefault="007957FA">
      <w:pPr>
        <w:pStyle w:val="a0"/>
        <w:spacing w:before="93"/>
      </w:pPr>
    </w:p>
    <w:p w:rsidR="007957FA" w:rsidRDefault="007957FA"/>
    <w:p w:rsidR="007957FA" w:rsidRDefault="00B67496">
      <w:pPr>
        <w:numPr>
          <w:ilvl w:val="0"/>
          <w:numId w:val="5"/>
        </w:numPr>
        <w:spacing w:line="600" w:lineRule="exact"/>
        <w:ind w:firstLineChars="150" w:firstLine="660"/>
        <w:jc w:val="center"/>
        <w:outlineLvl w:val="0"/>
        <w:rPr>
          <w:rStyle w:val="10"/>
          <w:rFonts w:ascii="黑体" w:eastAsia="黑体" w:hAnsi="黑体" w:cs="黑体"/>
          <w:b w:val="0"/>
        </w:rPr>
      </w:pPr>
      <w:bookmarkStart w:id="70" w:name="_Toc15396613"/>
      <w:bookmarkStart w:id="71" w:name="_Toc15377225"/>
      <w:bookmarkStart w:id="72" w:name="_Toc23042"/>
      <w:r>
        <w:rPr>
          <w:rFonts w:ascii="黑体" w:eastAsia="黑体" w:hAnsi="黑体" w:cs="黑体" w:hint="eastAsia"/>
          <w:sz w:val="44"/>
          <w:szCs w:val="44"/>
        </w:rPr>
        <w:t>名</w:t>
      </w:r>
      <w:r>
        <w:rPr>
          <w:rStyle w:val="10"/>
          <w:rFonts w:ascii="黑体" w:eastAsia="黑体" w:hAnsi="黑体" w:cs="黑体" w:hint="eastAsia"/>
          <w:b w:val="0"/>
        </w:rPr>
        <w:t>词解释</w:t>
      </w:r>
      <w:bookmarkEnd w:id="70"/>
      <w:bookmarkEnd w:id="71"/>
      <w:bookmarkEnd w:id="72"/>
    </w:p>
    <w:p w:rsidR="007957FA" w:rsidRDefault="007957FA">
      <w:pPr>
        <w:jc w:val="left"/>
        <w:rPr>
          <w:rFonts w:ascii="仿宋" w:eastAsia="仿宋" w:hAnsi="仿宋" w:cs="仿宋"/>
          <w:b/>
          <w:sz w:val="32"/>
          <w:szCs w:val="32"/>
        </w:rPr>
      </w:pP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财政拨款收入：指单位从同级财政部门取得的财政预算资金。</w:t>
      </w: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社会保障和就业（</w:t>
      </w:r>
      <w:r>
        <w:rPr>
          <w:rFonts w:ascii="仿宋" w:eastAsia="仿宋" w:hAnsi="仿宋" w:cs="仿宋" w:hint="eastAsia"/>
          <w:sz w:val="32"/>
          <w:szCs w:val="32"/>
        </w:rPr>
        <w:t>类</w:t>
      </w:r>
      <w:r>
        <w:rPr>
          <w:rFonts w:ascii="仿宋" w:eastAsia="仿宋" w:hAnsi="仿宋" w:cs="仿宋" w:hint="eastAsia"/>
          <w:sz w:val="32"/>
          <w:szCs w:val="32"/>
        </w:rPr>
        <w:t>）</w:t>
      </w:r>
      <w:r>
        <w:rPr>
          <w:rFonts w:ascii="仿宋" w:eastAsia="仿宋" w:hAnsi="仿宋" w:cs="仿宋" w:hint="eastAsia"/>
          <w:sz w:val="32"/>
          <w:szCs w:val="32"/>
        </w:rPr>
        <w:t>行政事业单位养老</w:t>
      </w:r>
      <w:r>
        <w:rPr>
          <w:rFonts w:ascii="仿宋" w:eastAsia="仿宋" w:hAnsi="仿宋" w:cs="仿宋" w:hint="eastAsia"/>
          <w:sz w:val="32"/>
          <w:szCs w:val="32"/>
        </w:rPr>
        <w:t>（款）</w:t>
      </w:r>
      <w:r>
        <w:rPr>
          <w:rFonts w:ascii="仿宋" w:eastAsia="仿宋" w:hAnsi="仿宋" w:cs="仿宋" w:hint="eastAsia"/>
          <w:sz w:val="32"/>
          <w:szCs w:val="32"/>
        </w:rPr>
        <w:t>机关事业单位基本养老保险缴费</w:t>
      </w:r>
      <w:r>
        <w:rPr>
          <w:rFonts w:ascii="仿宋" w:eastAsia="仿宋" w:hAnsi="仿宋" w:cs="仿宋" w:hint="eastAsia"/>
          <w:sz w:val="32"/>
          <w:szCs w:val="32"/>
        </w:rPr>
        <w:t>（项）：</w:t>
      </w:r>
      <w:r>
        <w:rPr>
          <w:rFonts w:ascii="仿宋_GB2312" w:eastAsia="仿宋_GB2312" w:cs="仿宋_GB2312" w:hint="eastAsia"/>
          <w:color w:val="000000"/>
          <w:sz w:val="32"/>
          <w:szCs w:val="32"/>
        </w:rPr>
        <w:t>指机关事业单位实施养老保险制度由单位缴纳的基本养老保险费支出</w:t>
      </w:r>
      <w:r>
        <w:rPr>
          <w:rFonts w:ascii="仿宋" w:eastAsia="仿宋" w:hAnsi="仿宋" w:cs="仿宋" w:hint="eastAsia"/>
          <w:sz w:val="32"/>
          <w:szCs w:val="32"/>
        </w:rPr>
        <w:t>；</w:t>
      </w: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社会保障和就业（</w:t>
      </w:r>
      <w:r>
        <w:rPr>
          <w:rFonts w:ascii="仿宋" w:eastAsia="仿宋" w:hAnsi="仿宋" w:cs="仿宋" w:hint="eastAsia"/>
          <w:sz w:val="32"/>
          <w:szCs w:val="32"/>
        </w:rPr>
        <w:t>类</w:t>
      </w:r>
      <w:r>
        <w:rPr>
          <w:rFonts w:ascii="仿宋" w:eastAsia="仿宋" w:hAnsi="仿宋" w:cs="仿宋" w:hint="eastAsia"/>
          <w:sz w:val="32"/>
          <w:szCs w:val="32"/>
        </w:rPr>
        <w:t>）</w:t>
      </w:r>
      <w:r>
        <w:rPr>
          <w:rFonts w:ascii="仿宋" w:eastAsia="仿宋" w:hAnsi="仿宋" w:cs="仿宋" w:hint="eastAsia"/>
          <w:sz w:val="32"/>
          <w:szCs w:val="32"/>
        </w:rPr>
        <w:t>行政事业单位养老</w:t>
      </w:r>
      <w:r>
        <w:rPr>
          <w:rFonts w:ascii="仿宋" w:eastAsia="仿宋" w:hAnsi="仿宋" w:cs="仿宋" w:hint="eastAsia"/>
          <w:sz w:val="32"/>
          <w:szCs w:val="32"/>
        </w:rPr>
        <w:t>（款）</w:t>
      </w:r>
      <w:r>
        <w:rPr>
          <w:rFonts w:ascii="仿宋" w:eastAsia="仿宋" w:hAnsi="仿宋" w:cs="仿宋" w:hint="eastAsia"/>
          <w:sz w:val="32"/>
          <w:szCs w:val="32"/>
        </w:rPr>
        <w:t>机关事业单位职业年金缴费</w:t>
      </w:r>
      <w:r>
        <w:rPr>
          <w:rFonts w:ascii="仿宋" w:eastAsia="仿宋" w:hAnsi="仿宋" w:cs="仿宋" w:hint="eastAsia"/>
          <w:sz w:val="32"/>
          <w:szCs w:val="32"/>
        </w:rPr>
        <w:t>（项）</w:t>
      </w:r>
      <w:r>
        <w:rPr>
          <w:rFonts w:ascii="仿宋" w:eastAsia="仿宋" w:hAnsi="仿宋" w:cs="仿宋" w:hint="eastAsia"/>
          <w:sz w:val="32"/>
          <w:szCs w:val="32"/>
        </w:rPr>
        <w:t>：</w:t>
      </w:r>
      <w:r>
        <w:rPr>
          <w:rFonts w:ascii="仿宋" w:eastAsia="仿宋" w:hAnsi="仿宋" w:cs="仿宋" w:hint="eastAsia"/>
          <w:sz w:val="32"/>
          <w:szCs w:val="32"/>
        </w:rPr>
        <w:t>指机关事业单位</w:t>
      </w:r>
      <w:r>
        <w:rPr>
          <w:rFonts w:ascii="仿宋_GB2312" w:eastAsia="仿宋_GB2312" w:cs="仿宋_GB2312" w:hint="eastAsia"/>
          <w:color w:val="000000"/>
          <w:sz w:val="32"/>
          <w:szCs w:val="32"/>
        </w:rPr>
        <w:t>实施养老保险制度由单位</w:t>
      </w:r>
      <w:r>
        <w:rPr>
          <w:rFonts w:ascii="仿宋" w:eastAsia="仿宋" w:hAnsi="仿宋" w:cs="仿宋" w:hint="eastAsia"/>
          <w:sz w:val="32"/>
          <w:szCs w:val="32"/>
        </w:rPr>
        <w:t>实际</w:t>
      </w:r>
      <w:r>
        <w:rPr>
          <w:rFonts w:ascii="仿宋" w:eastAsia="仿宋" w:hAnsi="仿宋" w:cs="仿宋" w:hint="eastAsia"/>
          <w:sz w:val="32"/>
          <w:szCs w:val="32"/>
        </w:rPr>
        <w:t>缴纳的</w:t>
      </w:r>
      <w:r>
        <w:rPr>
          <w:rFonts w:ascii="仿宋" w:eastAsia="仿宋" w:hAnsi="仿宋" w:cs="仿宋" w:hint="eastAsia"/>
          <w:sz w:val="32"/>
          <w:szCs w:val="32"/>
        </w:rPr>
        <w:t>职业年金</w:t>
      </w:r>
      <w:r>
        <w:rPr>
          <w:rFonts w:ascii="仿宋" w:eastAsia="仿宋" w:hAnsi="仿宋" w:cs="仿宋" w:hint="eastAsia"/>
          <w:sz w:val="32"/>
          <w:szCs w:val="32"/>
        </w:rPr>
        <w:t>支出</w:t>
      </w:r>
      <w:r>
        <w:rPr>
          <w:rFonts w:ascii="仿宋" w:eastAsia="仿宋" w:hAnsi="仿宋" w:cs="仿宋" w:hint="eastAsia"/>
          <w:sz w:val="32"/>
          <w:szCs w:val="32"/>
        </w:rPr>
        <w:t>。</w:t>
      </w:r>
    </w:p>
    <w:p w:rsidR="007957FA" w:rsidRDefault="00B67496">
      <w:pPr>
        <w:ind w:firstLine="641"/>
        <w:rPr>
          <w:rFonts w:ascii="仿宋" w:eastAsia="仿宋_GB2312"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医疗卫生与</w:t>
      </w:r>
      <w:r w:rsidR="0038315B">
        <w:rPr>
          <w:rFonts w:ascii="仿宋" w:eastAsia="仿宋" w:hAnsi="仿宋" w:cs="仿宋" w:hint="eastAsia"/>
          <w:sz w:val="32"/>
          <w:szCs w:val="32"/>
          <w:u w:val="thick" w:color="46CD7E"/>
          <w:shd w:val="clear" w:color="auto" w:fill="DAF5E5"/>
        </w:rPr>
        <w:t>计划生育</w:t>
      </w:r>
      <w:r>
        <w:rPr>
          <w:rFonts w:ascii="仿宋" w:eastAsia="仿宋" w:hAnsi="仿宋" w:cs="仿宋" w:hint="eastAsia"/>
          <w:sz w:val="32"/>
          <w:szCs w:val="32"/>
        </w:rPr>
        <w:t>（</w:t>
      </w:r>
      <w:r>
        <w:rPr>
          <w:rFonts w:ascii="仿宋" w:eastAsia="仿宋" w:hAnsi="仿宋" w:cs="仿宋" w:hint="eastAsia"/>
          <w:sz w:val="32"/>
          <w:szCs w:val="32"/>
        </w:rPr>
        <w:t>类</w:t>
      </w:r>
      <w:r>
        <w:rPr>
          <w:rFonts w:ascii="仿宋" w:eastAsia="仿宋" w:hAnsi="仿宋" w:cs="仿宋" w:hint="eastAsia"/>
          <w:sz w:val="32"/>
          <w:szCs w:val="32"/>
        </w:rPr>
        <w:t>）</w:t>
      </w:r>
      <w:r>
        <w:rPr>
          <w:rFonts w:ascii="仿宋" w:eastAsia="仿宋" w:hAnsi="仿宋" w:cs="仿宋" w:hint="eastAsia"/>
          <w:sz w:val="32"/>
          <w:szCs w:val="32"/>
        </w:rPr>
        <w:t>行政事业单位医疗</w:t>
      </w:r>
      <w:r>
        <w:rPr>
          <w:rFonts w:ascii="仿宋" w:eastAsia="仿宋" w:hAnsi="仿宋" w:cs="仿宋" w:hint="eastAsia"/>
          <w:sz w:val="32"/>
          <w:szCs w:val="32"/>
        </w:rPr>
        <w:t>（款）</w:t>
      </w:r>
      <w:r>
        <w:rPr>
          <w:rFonts w:ascii="仿宋" w:eastAsia="仿宋" w:hAnsi="仿宋" w:cs="仿宋" w:hint="eastAsia"/>
          <w:sz w:val="32"/>
          <w:szCs w:val="32"/>
        </w:rPr>
        <w:t>事业单位医疗</w:t>
      </w:r>
      <w:r>
        <w:rPr>
          <w:rFonts w:ascii="仿宋" w:eastAsia="仿宋" w:hAnsi="仿宋" w:cs="仿宋" w:hint="eastAsia"/>
          <w:sz w:val="32"/>
          <w:szCs w:val="32"/>
        </w:rPr>
        <w:t>（项）</w:t>
      </w:r>
      <w:r>
        <w:rPr>
          <w:rFonts w:ascii="仿宋" w:eastAsia="仿宋" w:hAnsi="仿宋" w:cs="仿宋" w:hint="eastAsia"/>
          <w:sz w:val="32"/>
          <w:szCs w:val="32"/>
        </w:rPr>
        <w:t>：</w:t>
      </w:r>
      <w:r>
        <w:rPr>
          <w:rFonts w:ascii="仿宋_GB2312" w:eastAsia="仿宋_GB2312" w:cs="仿宋_GB2312" w:hint="eastAsia"/>
          <w:color w:val="000000"/>
          <w:sz w:val="32"/>
          <w:szCs w:val="32"/>
        </w:rPr>
        <w:t>指财政部门安排的</w:t>
      </w:r>
      <w:r>
        <w:rPr>
          <w:rFonts w:ascii="仿宋" w:eastAsia="仿宋" w:hAnsi="仿宋" w:cs="仿宋" w:hint="eastAsia"/>
          <w:sz w:val="32"/>
          <w:szCs w:val="32"/>
        </w:rPr>
        <w:t>事业</w:t>
      </w:r>
      <w:r>
        <w:rPr>
          <w:rFonts w:ascii="仿宋_GB2312" w:eastAsia="仿宋_GB2312" w:cs="仿宋_GB2312" w:hint="eastAsia"/>
          <w:color w:val="000000"/>
          <w:sz w:val="32"/>
          <w:szCs w:val="32"/>
        </w:rPr>
        <w:t>单位基本医疗保险缴费经费</w:t>
      </w:r>
      <w:r>
        <w:rPr>
          <w:rFonts w:ascii="仿宋_GB2312" w:eastAsia="仿宋_GB2312" w:cs="仿宋_GB2312" w:hint="eastAsia"/>
          <w:color w:val="000000"/>
          <w:sz w:val="32"/>
          <w:szCs w:val="32"/>
        </w:rPr>
        <w:t>。</w:t>
      </w: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农林水（</w:t>
      </w:r>
      <w:r>
        <w:rPr>
          <w:rFonts w:ascii="仿宋" w:eastAsia="仿宋" w:hAnsi="仿宋" w:cs="仿宋" w:hint="eastAsia"/>
          <w:sz w:val="32"/>
          <w:szCs w:val="32"/>
        </w:rPr>
        <w:t>类</w:t>
      </w:r>
      <w:r>
        <w:rPr>
          <w:rFonts w:ascii="仿宋" w:eastAsia="仿宋" w:hAnsi="仿宋" w:cs="仿宋" w:hint="eastAsia"/>
          <w:sz w:val="32"/>
          <w:szCs w:val="32"/>
        </w:rPr>
        <w:t>）</w:t>
      </w:r>
      <w:r>
        <w:rPr>
          <w:rFonts w:ascii="仿宋" w:eastAsia="仿宋" w:hAnsi="仿宋" w:cs="仿宋" w:hint="eastAsia"/>
          <w:sz w:val="32"/>
          <w:szCs w:val="32"/>
        </w:rPr>
        <w:t>林业和草原</w:t>
      </w:r>
      <w:r>
        <w:rPr>
          <w:rFonts w:ascii="仿宋" w:eastAsia="仿宋" w:hAnsi="仿宋" w:cs="仿宋" w:hint="eastAsia"/>
          <w:sz w:val="32"/>
          <w:szCs w:val="32"/>
        </w:rPr>
        <w:t>（款）</w:t>
      </w:r>
      <w:r>
        <w:rPr>
          <w:rFonts w:ascii="仿宋" w:eastAsia="仿宋" w:hAnsi="仿宋" w:cs="仿宋" w:hint="eastAsia"/>
          <w:sz w:val="32"/>
          <w:szCs w:val="32"/>
        </w:rPr>
        <w:t>事业机构</w:t>
      </w:r>
      <w:r>
        <w:rPr>
          <w:rFonts w:ascii="仿宋" w:eastAsia="仿宋" w:hAnsi="仿宋" w:cs="仿宋" w:hint="eastAsia"/>
          <w:sz w:val="32"/>
          <w:szCs w:val="32"/>
        </w:rPr>
        <w:t>（项）：指事业单位的基本支出。</w:t>
      </w:r>
    </w:p>
    <w:p w:rsidR="007957FA" w:rsidRDefault="00B67496">
      <w:pPr>
        <w:ind w:firstLineChars="200" w:firstLine="640"/>
        <w:rPr>
          <w:rFonts w:ascii="仿宋_GB2312" w:eastAsia="仿宋_GB2312"/>
          <w:color w:val="000000"/>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住房保障（</w:t>
      </w:r>
      <w:r>
        <w:rPr>
          <w:rFonts w:ascii="仿宋" w:eastAsia="仿宋" w:hAnsi="仿宋" w:cs="仿宋" w:hint="eastAsia"/>
          <w:sz w:val="32"/>
          <w:szCs w:val="32"/>
        </w:rPr>
        <w:t>类</w:t>
      </w:r>
      <w:r>
        <w:rPr>
          <w:rFonts w:ascii="仿宋" w:eastAsia="仿宋" w:hAnsi="仿宋" w:cs="仿宋" w:hint="eastAsia"/>
          <w:sz w:val="32"/>
          <w:szCs w:val="32"/>
        </w:rPr>
        <w:t>）</w:t>
      </w:r>
      <w:r>
        <w:rPr>
          <w:rFonts w:ascii="仿宋" w:eastAsia="仿宋" w:hAnsi="仿宋" w:cs="仿宋" w:hint="eastAsia"/>
          <w:sz w:val="32"/>
          <w:szCs w:val="32"/>
        </w:rPr>
        <w:t>住房改革（</w:t>
      </w:r>
      <w:r>
        <w:rPr>
          <w:rFonts w:ascii="仿宋" w:eastAsia="仿宋" w:hAnsi="仿宋" w:cs="仿宋" w:hint="eastAsia"/>
          <w:sz w:val="32"/>
          <w:szCs w:val="32"/>
        </w:rPr>
        <w:t>款）</w:t>
      </w:r>
      <w:r>
        <w:rPr>
          <w:rFonts w:ascii="仿宋" w:eastAsia="仿宋" w:hAnsi="仿宋" w:cs="仿宋" w:hint="eastAsia"/>
          <w:sz w:val="32"/>
          <w:szCs w:val="32"/>
        </w:rPr>
        <w:t>住房公积金</w:t>
      </w:r>
      <w:r>
        <w:rPr>
          <w:rFonts w:ascii="仿宋" w:eastAsia="仿宋" w:hAnsi="仿宋" w:cs="仿宋" w:hint="eastAsia"/>
          <w:sz w:val="32"/>
          <w:szCs w:val="32"/>
        </w:rPr>
        <w:t>（项）：</w:t>
      </w:r>
      <w:r>
        <w:rPr>
          <w:rFonts w:ascii="仿宋_GB2312" w:eastAsia="仿宋_GB2312" w:cs="仿宋_GB2312" w:hint="eastAsia"/>
          <w:color w:val="000000"/>
          <w:sz w:val="32"/>
          <w:szCs w:val="32"/>
        </w:rPr>
        <w:t>指行政事业单位</w:t>
      </w:r>
      <w:r>
        <w:rPr>
          <w:rFonts w:ascii="仿宋_GB2312" w:eastAsia="仿宋_GB2312" w:cs="仿宋_GB2312"/>
          <w:color w:val="000000"/>
          <w:sz w:val="32"/>
          <w:szCs w:val="32"/>
        </w:rPr>
        <w:t>按</w:t>
      </w:r>
      <w:r>
        <w:rPr>
          <w:rFonts w:ascii="仿宋_GB2312" w:eastAsia="仿宋_GB2312" w:cs="仿宋_GB2312" w:hint="eastAsia"/>
          <w:color w:val="000000"/>
          <w:sz w:val="32"/>
          <w:szCs w:val="32"/>
        </w:rPr>
        <w:t>人力资源和社会保障部、财政部规定的基本工资和津贴补贴以及规定比例为职工缴纳的住房公积金。</w:t>
      </w: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基本支出：指为保障机构正常运转、完成日常工作任务而发生的人员支出和公用支出。</w:t>
      </w: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“三公”经费：指单位用财政拨款安排的因公出国（境）</w:t>
      </w:r>
    </w:p>
    <w:p w:rsidR="007957FA" w:rsidRDefault="007957FA">
      <w:pPr>
        <w:ind w:firstLine="641"/>
        <w:rPr>
          <w:rFonts w:ascii="仿宋" w:eastAsia="仿宋" w:hAnsi="仿宋" w:cs="仿宋"/>
          <w:sz w:val="32"/>
          <w:szCs w:val="32"/>
        </w:rPr>
      </w:pPr>
    </w:p>
    <w:p w:rsidR="007957FA" w:rsidRDefault="00B67496">
      <w:pPr>
        <w:rPr>
          <w:rFonts w:ascii="仿宋" w:eastAsia="仿宋" w:hAnsi="仿宋" w:cs="仿宋"/>
          <w:sz w:val="32"/>
          <w:szCs w:val="32"/>
        </w:rPr>
      </w:pPr>
      <w:r>
        <w:rPr>
          <w:rFonts w:ascii="仿宋" w:eastAsia="仿宋" w:hAnsi="仿宋" w:cs="仿宋" w:hint="eastAsia"/>
          <w:sz w:val="32"/>
          <w:szCs w:val="32"/>
        </w:rPr>
        <w:lastRenderedPageBreak/>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957FA" w:rsidRDefault="007957FA">
      <w:pPr>
        <w:ind w:firstLine="641"/>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7957FA">
      <w:pPr>
        <w:pStyle w:val="a0"/>
        <w:spacing w:before="93"/>
        <w:rPr>
          <w:rFonts w:ascii="仿宋" w:eastAsia="仿宋" w:hAnsi="仿宋" w:cs="仿宋"/>
          <w:sz w:val="32"/>
          <w:szCs w:val="32"/>
        </w:rPr>
      </w:pPr>
    </w:p>
    <w:p w:rsidR="007957FA" w:rsidRDefault="00B67496">
      <w:pPr>
        <w:numPr>
          <w:ilvl w:val="0"/>
          <w:numId w:val="5"/>
        </w:numPr>
        <w:spacing w:line="600" w:lineRule="exact"/>
        <w:ind w:firstLineChars="150" w:firstLine="660"/>
        <w:jc w:val="center"/>
        <w:outlineLvl w:val="0"/>
        <w:rPr>
          <w:rStyle w:val="10"/>
          <w:rFonts w:ascii="黑体" w:eastAsia="黑体" w:hAnsi="黑体" w:cs="黑体"/>
          <w:b w:val="0"/>
        </w:rPr>
      </w:pPr>
      <w:bookmarkStart w:id="73" w:name="_Toc15396614"/>
      <w:bookmarkStart w:id="74" w:name="_Toc24113"/>
      <w:bookmarkStart w:id="75" w:name="_Toc15377226"/>
      <w:r>
        <w:rPr>
          <w:rStyle w:val="10"/>
          <w:rFonts w:ascii="黑体" w:eastAsia="黑体" w:hAnsi="黑体" w:cs="黑体" w:hint="eastAsia"/>
          <w:b w:val="0"/>
        </w:rPr>
        <w:lastRenderedPageBreak/>
        <w:t>附件</w:t>
      </w:r>
      <w:bookmarkEnd w:id="73"/>
      <w:bookmarkEnd w:id="74"/>
    </w:p>
    <w:p w:rsidR="007957FA" w:rsidRDefault="00B67496">
      <w:pPr>
        <w:spacing w:line="572" w:lineRule="exact"/>
        <w:jc w:val="left"/>
        <w:outlineLvl w:val="0"/>
        <w:rPr>
          <w:rFonts w:ascii="仿宋_GB2312" w:eastAsia="仿宋_GB2312" w:hAnsi="仿宋_GB2312" w:cs="仿宋_GB2312"/>
          <w:sz w:val="32"/>
          <w:szCs w:val="32"/>
        </w:rPr>
      </w:pPr>
      <w:bookmarkStart w:id="76" w:name="_Toc15396618"/>
      <w:r>
        <w:rPr>
          <w:rFonts w:ascii="黑体" w:eastAsia="黑体" w:hAnsi="黑体" w:cs="黑体" w:hint="eastAsia"/>
          <w:sz w:val="32"/>
          <w:szCs w:val="32"/>
        </w:rPr>
        <w:t>附件</w:t>
      </w:r>
    </w:p>
    <w:p w:rsidR="007957FA" w:rsidRDefault="00B67496">
      <w:pPr>
        <w:pStyle w:val="a0"/>
        <w:spacing w:before="93"/>
        <w:ind w:firstLineChars="200" w:firstLine="640"/>
      </w:pPr>
      <w:bookmarkStart w:id="77" w:name="_Toc24787"/>
      <w:r>
        <w:rPr>
          <w:rFonts w:hAnsi="宋体" w:cs="宋体" w:hint="eastAsia"/>
          <w:color w:val="000000"/>
          <w:sz w:val="32"/>
          <w:szCs w:val="32"/>
          <w:shd w:val="clear" w:color="auto" w:fill="FFFFFF"/>
        </w:rPr>
        <w:t>2021</w:t>
      </w:r>
      <w:r>
        <w:rPr>
          <w:rFonts w:hAnsi="宋体" w:cs="宋体" w:hint="eastAsia"/>
          <w:color w:val="000000"/>
          <w:sz w:val="32"/>
          <w:szCs w:val="32"/>
          <w:shd w:val="clear" w:color="auto" w:fill="FFFFFF"/>
        </w:rPr>
        <w:t>年本单位无</w:t>
      </w:r>
      <w:r>
        <w:rPr>
          <w:rFonts w:hAnsi="宋体" w:cs="宋体" w:hint="eastAsia"/>
          <w:color w:val="000000"/>
          <w:sz w:val="32"/>
          <w:szCs w:val="32"/>
          <w:shd w:val="clear" w:color="auto" w:fill="FFFFFF"/>
        </w:rPr>
        <w:t>特定目标类部门预算项目</w:t>
      </w:r>
      <w:r>
        <w:rPr>
          <w:rFonts w:hAnsi="宋体" w:cs="宋体" w:hint="eastAsia"/>
          <w:color w:val="000000"/>
          <w:sz w:val="32"/>
          <w:szCs w:val="32"/>
          <w:shd w:val="clear" w:color="auto" w:fill="FFFFFF"/>
        </w:rPr>
        <w:t>。</w:t>
      </w:r>
    </w:p>
    <w:p w:rsidR="007957FA" w:rsidRDefault="007957FA">
      <w:pPr>
        <w:spacing w:line="600" w:lineRule="exact"/>
        <w:jc w:val="center"/>
        <w:outlineLvl w:val="0"/>
        <w:rPr>
          <w:rFonts w:ascii="黑体" w:eastAsia="黑体" w:hAnsi="黑体"/>
          <w:sz w:val="44"/>
          <w:szCs w:val="44"/>
        </w:rPr>
      </w:pPr>
    </w:p>
    <w:p w:rsidR="007957FA" w:rsidRDefault="007957FA">
      <w:pPr>
        <w:spacing w:line="600" w:lineRule="exact"/>
        <w:jc w:val="center"/>
        <w:outlineLvl w:val="0"/>
        <w:rPr>
          <w:rFonts w:ascii="黑体" w:eastAsia="黑体" w:hAnsi="黑体"/>
          <w:sz w:val="44"/>
          <w:szCs w:val="44"/>
        </w:rPr>
      </w:pPr>
    </w:p>
    <w:p w:rsidR="007957FA" w:rsidRDefault="007957FA">
      <w:pPr>
        <w:spacing w:line="600" w:lineRule="exact"/>
        <w:jc w:val="center"/>
        <w:outlineLvl w:val="0"/>
        <w:rPr>
          <w:rFonts w:ascii="黑体" w:eastAsia="黑体" w:hAnsi="黑体"/>
          <w:sz w:val="44"/>
          <w:szCs w:val="44"/>
        </w:rPr>
      </w:pPr>
    </w:p>
    <w:p w:rsidR="007957FA" w:rsidRDefault="007957FA">
      <w:pPr>
        <w:pStyle w:val="a0"/>
        <w:spacing w:before="93"/>
        <w:rPr>
          <w:rFonts w:ascii="黑体" w:eastAsia="黑体" w:hAnsi="黑体"/>
          <w:sz w:val="44"/>
          <w:szCs w:val="44"/>
        </w:rPr>
      </w:pPr>
    </w:p>
    <w:p w:rsidR="007957FA" w:rsidRDefault="007957FA">
      <w:pPr>
        <w:pStyle w:val="TOC5"/>
        <w:rPr>
          <w:rFonts w:ascii="黑体" w:eastAsia="黑体" w:hAnsi="黑体"/>
          <w:sz w:val="44"/>
          <w:szCs w:val="44"/>
        </w:rPr>
      </w:pPr>
    </w:p>
    <w:p w:rsidR="007957FA" w:rsidRDefault="007957FA">
      <w:pPr>
        <w:rPr>
          <w:rFonts w:ascii="黑体" w:eastAsia="黑体" w:hAnsi="黑体"/>
          <w:sz w:val="44"/>
          <w:szCs w:val="44"/>
        </w:rPr>
      </w:pPr>
    </w:p>
    <w:p w:rsidR="007957FA" w:rsidRDefault="007957FA">
      <w:pPr>
        <w:pStyle w:val="a0"/>
        <w:spacing w:before="93"/>
        <w:rPr>
          <w:rFonts w:ascii="黑体" w:eastAsia="黑体" w:hAnsi="黑体"/>
          <w:sz w:val="44"/>
          <w:szCs w:val="44"/>
        </w:rPr>
      </w:pPr>
    </w:p>
    <w:p w:rsidR="007957FA" w:rsidRDefault="007957FA">
      <w:pPr>
        <w:pStyle w:val="TOC5"/>
        <w:rPr>
          <w:rFonts w:ascii="黑体" w:eastAsia="黑体" w:hAnsi="黑体"/>
          <w:sz w:val="44"/>
          <w:szCs w:val="44"/>
        </w:rPr>
      </w:pPr>
    </w:p>
    <w:p w:rsidR="007957FA" w:rsidRDefault="007957FA">
      <w:pPr>
        <w:rPr>
          <w:rFonts w:ascii="黑体" w:eastAsia="黑体" w:hAnsi="黑体"/>
          <w:sz w:val="44"/>
          <w:szCs w:val="44"/>
        </w:rPr>
      </w:pPr>
    </w:p>
    <w:p w:rsidR="007957FA" w:rsidRDefault="007957FA">
      <w:pPr>
        <w:pStyle w:val="a0"/>
        <w:spacing w:before="93"/>
        <w:rPr>
          <w:rFonts w:ascii="黑体" w:eastAsia="黑体" w:hAnsi="黑体"/>
          <w:sz w:val="44"/>
          <w:szCs w:val="44"/>
        </w:rPr>
      </w:pPr>
    </w:p>
    <w:p w:rsidR="007957FA" w:rsidRDefault="007957FA">
      <w:pPr>
        <w:pStyle w:val="TOC5"/>
        <w:rPr>
          <w:rFonts w:ascii="黑体" w:eastAsia="黑体" w:hAnsi="黑体"/>
          <w:sz w:val="44"/>
          <w:szCs w:val="44"/>
        </w:rPr>
      </w:pPr>
    </w:p>
    <w:p w:rsidR="007957FA" w:rsidRDefault="007957FA">
      <w:pPr>
        <w:rPr>
          <w:rFonts w:ascii="黑体" w:eastAsia="黑体" w:hAnsi="黑体"/>
          <w:sz w:val="44"/>
          <w:szCs w:val="44"/>
        </w:rPr>
      </w:pPr>
    </w:p>
    <w:p w:rsidR="007957FA" w:rsidRDefault="007957FA">
      <w:pPr>
        <w:pStyle w:val="a0"/>
        <w:spacing w:before="93"/>
        <w:rPr>
          <w:rFonts w:ascii="黑体" w:eastAsia="黑体" w:hAnsi="黑体"/>
          <w:sz w:val="44"/>
          <w:szCs w:val="44"/>
        </w:rPr>
      </w:pPr>
    </w:p>
    <w:p w:rsidR="007957FA" w:rsidRDefault="007957FA">
      <w:pPr>
        <w:pStyle w:val="TOC5"/>
        <w:rPr>
          <w:rFonts w:ascii="黑体" w:eastAsia="黑体" w:hAnsi="黑体"/>
          <w:sz w:val="44"/>
          <w:szCs w:val="44"/>
        </w:rPr>
      </w:pPr>
    </w:p>
    <w:p w:rsidR="007957FA" w:rsidRDefault="007957FA">
      <w:pPr>
        <w:rPr>
          <w:rFonts w:ascii="黑体" w:eastAsia="黑体" w:hAnsi="黑体"/>
          <w:sz w:val="44"/>
          <w:szCs w:val="44"/>
        </w:rPr>
      </w:pPr>
    </w:p>
    <w:p w:rsidR="007957FA" w:rsidRDefault="007957FA">
      <w:pPr>
        <w:pStyle w:val="a0"/>
        <w:spacing w:before="93"/>
        <w:rPr>
          <w:rFonts w:ascii="黑体" w:eastAsia="黑体" w:hAnsi="黑体"/>
          <w:sz w:val="44"/>
          <w:szCs w:val="44"/>
        </w:rPr>
      </w:pPr>
    </w:p>
    <w:p w:rsidR="007957FA" w:rsidRDefault="007957FA">
      <w:pPr>
        <w:pStyle w:val="TOC5"/>
        <w:rPr>
          <w:rFonts w:ascii="黑体" w:eastAsia="黑体" w:hAnsi="黑体"/>
          <w:sz w:val="44"/>
          <w:szCs w:val="44"/>
        </w:rPr>
      </w:pPr>
    </w:p>
    <w:p w:rsidR="007957FA" w:rsidRDefault="007957FA">
      <w:pPr>
        <w:rPr>
          <w:rFonts w:ascii="黑体" w:eastAsia="黑体" w:hAnsi="黑体"/>
          <w:sz w:val="44"/>
          <w:szCs w:val="44"/>
        </w:rPr>
      </w:pPr>
    </w:p>
    <w:p w:rsidR="007957FA" w:rsidRDefault="007957FA">
      <w:pPr>
        <w:pStyle w:val="a0"/>
        <w:spacing w:before="93"/>
      </w:pPr>
    </w:p>
    <w:p w:rsidR="007957FA" w:rsidRDefault="00B67496">
      <w:pPr>
        <w:numPr>
          <w:ilvl w:val="0"/>
          <w:numId w:val="5"/>
        </w:numPr>
        <w:spacing w:line="600" w:lineRule="exact"/>
        <w:ind w:firstLineChars="150" w:firstLine="660"/>
        <w:jc w:val="center"/>
        <w:outlineLvl w:val="0"/>
        <w:rPr>
          <w:rStyle w:val="11"/>
          <w:rFonts w:ascii="黑体" w:eastAsia="黑体" w:hAnsi="黑体"/>
          <w:b w:val="0"/>
        </w:rPr>
      </w:pPr>
      <w:r>
        <w:rPr>
          <w:rStyle w:val="11"/>
          <w:rFonts w:ascii="黑体" w:eastAsia="黑体" w:hAnsi="黑体" w:hint="eastAsia"/>
          <w:b w:val="0"/>
        </w:rPr>
        <w:t>附表</w:t>
      </w:r>
    </w:p>
    <w:p w:rsidR="007957FA" w:rsidRDefault="007957FA">
      <w:pPr>
        <w:pStyle w:val="a0"/>
        <w:spacing w:before="93"/>
        <w:ind w:leftChars="150" w:left="315"/>
      </w:pPr>
    </w:p>
    <w:p w:rsidR="007957FA" w:rsidRDefault="00B67496">
      <w:pPr>
        <w:ind w:firstLine="641"/>
        <w:rPr>
          <w:rFonts w:ascii="仿宋" w:eastAsia="仿宋" w:hAnsi="仿宋" w:cs="仿宋"/>
          <w:sz w:val="32"/>
          <w:szCs w:val="32"/>
        </w:rPr>
      </w:pPr>
      <w:r>
        <w:rPr>
          <w:rFonts w:ascii="仿宋" w:eastAsia="仿宋" w:hAnsi="仿宋" w:cs="仿宋" w:hint="eastAsia"/>
          <w:sz w:val="32"/>
          <w:szCs w:val="32"/>
        </w:rPr>
        <w:t>一、收入支出决算总表</w:t>
      </w:r>
      <w:bookmarkEnd w:id="77"/>
    </w:p>
    <w:p w:rsidR="007957FA" w:rsidRDefault="00B67496">
      <w:pPr>
        <w:ind w:firstLine="641"/>
        <w:rPr>
          <w:rFonts w:ascii="仿宋" w:eastAsia="仿宋" w:hAnsi="仿宋" w:cs="仿宋"/>
          <w:sz w:val="32"/>
          <w:szCs w:val="32"/>
        </w:rPr>
      </w:pPr>
      <w:bookmarkStart w:id="78" w:name="_Toc1926"/>
      <w:r>
        <w:rPr>
          <w:rFonts w:ascii="仿宋" w:eastAsia="仿宋" w:hAnsi="仿宋" w:cs="仿宋" w:hint="eastAsia"/>
          <w:sz w:val="32"/>
          <w:szCs w:val="32"/>
        </w:rPr>
        <w:t>二、收入决算表</w:t>
      </w:r>
      <w:bookmarkEnd w:id="78"/>
    </w:p>
    <w:p w:rsidR="007957FA" w:rsidRDefault="00B67496">
      <w:pPr>
        <w:ind w:firstLine="641"/>
        <w:rPr>
          <w:rFonts w:ascii="仿宋" w:eastAsia="仿宋" w:hAnsi="仿宋" w:cs="仿宋"/>
          <w:sz w:val="32"/>
          <w:szCs w:val="32"/>
        </w:rPr>
      </w:pPr>
      <w:bookmarkStart w:id="79" w:name="_Toc9254"/>
      <w:r>
        <w:rPr>
          <w:rFonts w:ascii="仿宋" w:eastAsia="仿宋" w:hAnsi="仿宋" w:cs="仿宋" w:hint="eastAsia"/>
          <w:sz w:val="32"/>
          <w:szCs w:val="32"/>
        </w:rPr>
        <w:t>三、支出决算表</w:t>
      </w:r>
      <w:bookmarkEnd w:id="79"/>
    </w:p>
    <w:p w:rsidR="007957FA" w:rsidRDefault="00B67496">
      <w:pPr>
        <w:ind w:firstLine="641"/>
        <w:rPr>
          <w:rFonts w:ascii="仿宋" w:eastAsia="仿宋" w:hAnsi="仿宋" w:cs="仿宋"/>
          <w:sz w:val="32"/>
          <w:szCs w:val="32"/>
        </w:rPr>
      </w:pPr>
      <w:bookmarkStart w:id="80" w:name="_Toc24456"/>
      <w:r>
        <w:rPr>
          <w:rFonts w:ascii="仿宋" w:eastAsia="仿宋" w:hAnsi="仿宋" w:cs="仿宋" w:hint="eastAsia"/>
          <w:sz w:val="32"/>
          <w:szCs w:val="32"/>
        </w:rPr>
        <w:t>四、财政拨款收入支出决算总表</w:t>
      </w:r>
      <w:bookmarkEnd w:id="80"/>
    </w:p>
    <w:p w:rsidR="007957FA" w:rsidRDefault="00B67496">
      <w:pPr>
        <w:ind w:firstLine="641"/>
        <w:rPr>
          <w:rFonts w:ascii="仿宋" w:eastAsia="仿宋" w:hAnsi="仿宋" w:cs="仿宋"/>
          <w:sz w:val="32"/>
          <w:szCs w:val="32"/>
        </w:rPr>
      </w:pPr>
      <w:bookmarkStart w:id="81" w:name="_Toc28495"/>
      <w:r>
        <w:rPr>
          <w:rFonts w:ascii="仿宋" w:eastAsia="仿宋" w:hAnsi="仿宋" w:cs="仿宋" w:hint="eastAsia"/>
          <w:sz w:val="32"/>
          <w:szCs w:val="32"/>
        </w:rPr>
        <w:t>五、财政拨款支出决算明细表</w:t>
      </w:r>
      <w:bookmarkEnd w:id="81"/>
    </w:p>
    <w:p w:rsidR="007957FA" w:rsidRDefault="00B67496">
      <w:pPr>
        <w:ind w:firstLine="641"/>
        <w:rPr>
          <w:rFonts w:ascii="仿宋" w:eastAsia="仿宋" w:hAnsi="仿宋" w:cs="仿宋"/>
          <w:sz w:val="32"/>
          <w:szCs w:val="32"/>
        </w:rPr>
      </w:pPr>
      <w:bookmarkStart w:id="82" w:name="_Toc22824"/>
      <w:r>
        <w:rPr>
          <w:rFonts w:ascii="仿宋" w:eastAsia="仿宋" w:hAnsi="仿宋" w:cs="仿宋" w:hint="eastAsia"/>
          <w:sz w:val="32"/>
          <w:szCs w:val="32"/>
        </w:rPr>
        <w:t>六、一般公共预算财政拨款支出决算表</w:t>
      </w:r>
      <w:bookmarkEnd w:id="82"/>
    </w:p>
    <w:p w:rsidR="007957FA" w:rsidRDefault="00B67496">
      <w:pPr>
        <w:ind w:firstLine="641"/>
        <w:rPr>
          <w:rFonts w:ascii="仿宋" w:eastAsia="仿宋" w:hAnsi="仿宋" w:cs="仿宋"/>
          <w:sz w:val="32"/>
          <w:szCs w:val="32"/>
        </w:rPr>
      </w:pPr>
      <w:bookmarkStart w:id="83" w:name="_Toc29505"/>
      <w:r>
        <w:rPr>
          <w:rFonts w:ascii="仿宋" w:eastAsia="仿宋" w:hAnsi="仿宋" w:cs="仿宋" w:hint="eastAsia"/>
          <w:sz w:val="32"/>
          <w:szCs w:val="32"/>
        </w:rPr>
        <w:t>七、一般公共预算财政拨款支出决算明细表</w:t>
      </w:r>
      <w:bookmarkEnd w:id="83"/>
    </w:p>
    <w:p w:rsidR="007957FA" w:rsidRDefault="00B67496">
      <w:pPr>
        <w:ind w:firstLine="641"/>
        <w:rPr>
          <w:rFonts w:ascii="仿宋" w:eastAsia="仿宋" w:hAnsi="仿宋" w:cs="仿宋"/>
          <w:sz w:val="32"/>
          <w:szCs w:val="32"/>
        </w:rPr>
      </w:pPr>
      <w:bookmarkStart w:id="84" w:name="_Toc29820"/>
      <w:r>
        <w:rPr>
          <w:rFonts w:ascii="仿宋" w:eastAsia="仿宋" w:hAnsi="仿宋" w:cs="仿宋" w:hint="eastAsia"/>
          <w:sz w:val="32"/>
          <w:szCs w:val="32"/>
        </w:rPr>
        <w:t>八、一般公共预算财政拨款基本支出决算表</w:t>
      </w:r>
      <w:bookmarkEnd w:id="84"/>
    </w:p>
    <w:p w:rsidR="007957FA" w:rsidRDefault="00B67496">
      <w:pPr>
        <w:ind w:firstLine="641"/>
        <w:rPr>
          <w:rFonts w:ascii="仿宋" w:eastAsia="仿宋" w:hAnsi="仿宋" w:cs="仿宋"/>
          <w:sz w:val="32"/>
          <w:szCs w:val="32"/>
        </w:rPr>
      </w:pPr>
      <w:bookmarkStart w:id="85" w:name="_Toc16101"/>
      <w:r>
        <w:rPr>
          <w:rFonts w:ascii="仿宋" w:eastAsia="仿宋" w:hAnsi="仿宋" w:cs="仿宋" w:hint="eastAsia"/>
          <w:sz w:val="32"/>
          <w:szCs w:val="32"/>
        </w:rPr>
        <w:t>九、一般公共预算财政拨款项目支出决算表</w:t>
      </w:r>
      <w:bookmarkEnd w:id="85"/>
    </w:p>
    <w:p w:rsidR="007957FA" w:rsidRDefault="00B67496">
      <w:pPr>
        <w:ind w:firstLine="641"/>
        <w:rPr>
          <w:rFonts w:ascii="仿宋" w:eastAsia="仿宋" w:hAnsi="仿宋" w:cs="仿宋"/>
          <w:sz w:val="32"/>
          <w:szCs w:val="32"/>
        </w:rPr>
      </w:pPr>
      <w:bookmarkStart w:id="86" w:name="_Toc32589"/>
      <w:r>
        <w:rPr>
          <w:rFonts w:ascii="仿宋" w:eastAsia="仿宋" w:hAnsi="仿宋" w:cs="仿宋" w:hint="eastAsia"/>
          <w:sz w:val="32"/>
          <w:szCs w:val="32"/>
        </w:rPr>
        <w:t>十、一般公共预算财政拨款“三公”经费支出决算表</w:t>
      </w:r>
      <w:bookmarkEnd w:id="86"/>
    </w:p>
    <w:p w:rsidR="007957FA" w:rsidRDefault="00B67496">
      <w:pPr>
        <w:ind w:firstLine="641"/>
        <w:rPr>
          <w:rFonts w:ascii="仿宋" w:eastAsia="仿宋" w:hAnsi="仿宋" w:cs="仿宋"/>
          <w:sz w:val="32"/>
          <w:szCs w:val="32"/>
        </w:rPr>
      </w:pPr>
      <w:bookmarkStart w:id="87" w:name="_Toc350"/>
      <w:r>
        <w:rPr>
          <w:rFonts w:ascii="仿宋" w:eastAsia="仿宋" w:hAnsi="仿宋" w:cs="仿宋" w:hint="eastAsia"/>
          <w:sz w:val="32"/>
          <w:szCs w:val="32"/>
        </w:rPr>
        <w:t>十一、政府性基金预算财政拨款收入支出决算表</w:t>
      </w:r>
      <w:bookmarkEnd w:id="87"/>
    </w:p>
    <w:p w:rsidR="007957FA" w:rsidRDefault="00B67496">
      <w:pPr>
        <w:ind w:firstLine="641"/>
        <w:rPr>
          <w:rFonts w:ascii="仿宋" w:eastAsia="仿宋" w:hAnsi="仿宋" w:cs="仿宋"/>
          <w:sz w:val="32"/>
          <w:szCs w:val="32"/>
        </w:rPr>
      </w:pPr>
      <w:bookmarkStart w:id="88" w:name="_Toc2756"/>
      <w:r>
        <w:rPr>
          <w:rFonts w:ascii="仿宋" w:eastAsia="仿宋" w:hAnsi="仿宋" w:cs="仿宋" w:hint="eastAsia"/>
          <w:sz w:val="32"/>
          <w:szCs w:val="32"/>
        </w:rPr>
        <w:t>十二、政府性基金预算财政拨款“三公”经费支出决算表</w:t>
      </w:r>
      <w:bookmarkEnd w:id="88"/>
    </w:p>
    <w:p w:rsidR="007957FA" w:rsidRDefault="00B67496">
      <w:pPr>
        <w:ind w:firstLine="641"/>
        <w:rPr>
          <w:rFonts w:ascii="仿宋" w:eastAsia="仿宋" w:hAnsi="仿宋" w:cs="仿宋"/>
          <w:sz w:val="32"/>
          <w:szCs w:val="32"/>
        </w:rPr>
      </w:pPr>
      <w:bookmarkStart w:id="89" w:name="_Toc29557"/>
      <w:r>
        <w:rPr>
          <w:rFonts w:ascii="仿宋" w:eastAsia="仿宋" w:hAnsi="仿宋" w:cs="仿宋" w:hint="eastAsia"/>
          <w:sz w:val="32"/>
          <w:szCs w:val="32"/>
        </w:rPr>
        <w:t>十三、国有资本经营预算财政拨款收入支出决算表</w:t>
      </w:r>
      <w:bookmarkEnd w:id="89"/>
    </w:p>
    <w:p w:rsidR="007957FA" w:rsidRDefault="00B67496">
      <w:pPr>
        <w:ind w:firstLine="641"/>
        <w:rPr>
          <w:rFonts w:ascii="仿宋" w:eastAsia="仿宋" w:hAnsi="仿宋" w:cs="仿宋"/>
          <w:sz w:val="32"/>
          <w:szCs w:val="32"/>
        </w:rPr>
      </w:pPr>
      <w:bookmarkStart w:id="90" w:name="_Toc20389"/>
      <w:r>
        <w:rPr>
          <w:rFonts w:ascii="仿宋" w:eastAsia="仿宋" w:hAnsi="仿宋" w:cs="仿宋" w:hint="eastAsia"/>
          <w:sz w:val="32"/>
          <w:szCs w:val="32"/>
        </w:rPr>
        <w:t>十四、国有资本经营预算财政拨款支出决算表</w:t>
      </w:r>
      <w:bookmarkEnd w:id="75"/>
      <w:bookmarkEnd w:id="76"/>
      <w:bookmarkEnd w:id="90"/>
    </w:p>
    <w:sectPr w:rsidR="007957FA">
      <w:footerReference w:type="default" r:id="rId21"/>
      <w:footerReference w:type="first" r:id="rId2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496" w:rsidRDefault="00B67496">
      <w:r>
        <w:separator/>
      </w:r>
    </w:p>
  </w:endnote>
  <w:endnote w:type="continuationSeparator" w:id="0">
    <w:p w:rsidR="00B67496" w:rsidRDefault="00B6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7957FA">
    <w:pPr>
      <w:pStyle w:val="a7"/>
    </w:pPr>
  </w:p>
  <w:p w:rsidR="007957FA" w:rsidRDefault="007957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7957FA">
    <w:pPr>
      <w:pStyle w:val="a7"/>
    </w:pPr>
  </w:p>
  <w:p w:rsidR="007957FA" w:rsidRDefault="007957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7957FA">
    <w:pPr>
      <w:pStyle w:val="a7"/>
    </w:pPr>
  </w:p>
  <w:p w:rsidR="007957FA" w:rsidRDefault="007957F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7957FA">
    <w:pPr>
      <w:pStyle w:val="a7"/>
    </w:pPr>
  </w:p>
  <w:p w:rsidR="007957FA" w:rsidRDefault="007957F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B6749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57FA" w:rsidRDefault="00B67496">
                          <w:pPr>
                            <w:pStyle w:val="a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rsidR="007957FA" w:rsidRDefault="007957FA">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B67496">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57FA" w:rsidRDefault="00B67496">
                          <w:pPr>
                            <w:pStyle w:val="a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rsidR="007957FA" w:rsidRDefault="007957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496" w:rsidRDefault="00B67496">
      <w:r>
        <w:separator/>
      </w:r>
    </w:p>
  </w:footnote>
  <w:footnote w:type="continuationSeparator" w:id="0">
    <w:p w:rsidR="00B67496" w:rsidRDefault="00B6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7FA" w:rsidRDefault="007957F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BFA6B"/>
    <w:multiLevelType w:val="singleLevel"/>
    <w:tmpl w:val="9F5BFA6B"/>
    <w:lvl w:ilvl="0">
      <w:start w:val="2"/>
      <w:numFmt w:val="chineseCounting"/>
      <w:suff w:val="space"/>
      <w:lvlText w:val="第%1部分"/>
      <w:lvlJc w:val="left"/>
      <w:rPr>
        <w:rFonts w:hint="eastAsia"/>
      </w:rPr>
    </w:lvl>
  </w:abstractNum>
  <w:abstractNum w:abstractNumId="1" w15:restartNumberingAfterBreak="0">
    <w:nsid w:val="DCBF51AC"/>
    <w:multiLevelType w:val="singleLevel"/>
    <w:tmpl w:val="DCBF51AC"/>
    <w:lvl w:ilvl="0">
      <w:start w:val="7"/>
      <w:numFmt w:val="chineseCounting"/>
      <w:suff w:val="nothing"/>
      <w:lvlText w:val="%1、"/>
      <w:lvlJc w:val="left"/>
      <w:pPr>
        <w:ind w:left="-10"/>
      </w:pPr>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15:restartNumberingAfterBreak="0">
    <w:nsid w:val="5A797296"/>
    <w:multiLevelType w:val="singleLevel"/>
    <w:tmpl w:val="5A797296"/>
    <w:lvl w:ilvl="0">
      <w:start w:val="10"/>
      <w:numFmt w:val="chineseCounting"/>
      <w:suff w:val="nothing"/>
      <w:lvlText w:val="%1、"/>
      <w:lvlJc w:val="left"/>
      <w:rPr>
        <w:rFonts w:hint="eastAsia"/>
      </w:rPr>
    </w:lvl>
  </w:abstractNum>
  <w:abstractNum w:abstractNumId="4" w15:restartNumberingAfterBreak="0">
    <w:nsid w:val="7706F2D3"/>
    <w:multiLevelType w:val="singleLevel"/>
    <w:tmpl w:val="7706F2D3"/>
    <w:lvl w:ilvl="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OGNhNTQ0NTlmMmFmYmY5YWM1Njg0N2FhMGRmMzUifQ=="/>
  </w:docVars>
  <w:rsids>
    <w:rsidRoot w:val="00F1361C"/>
    <w:rsid w:val="9E3A10E2"/>
    <w:rsid w:val="F2E1F9D4"/>
    <w:rsid w:val="F7880819"/>
    <w:rsid w:val="000222C6"/>
    <w:rsid w:val="0002549F"/>
    <w:rsid w:val="000468DB"/>
    <w:rsid w:val="0006487A"/>
    <w:rsid w:val="00065F8F"/>
    <w:rsid w:val="00070A43"/>
    <w:rsid w:val="000768F2"/>
    <w:rsid w:val="00091151"/>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49C1"/>
    <w:rsid w:val="001413E4"/>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842"/>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4CDC"/>
    <w:rsid w:val="0036561B"/>
    <w:rsid w:val="0037013F"/>
    <w:rsid w:val="00380C92"/>
    <w:rsid w:val="0038315B"/>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280B"/>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85D"/>
    <w:rsid w:val="0066343B"/>
    <w:rsid w:val="00664777"/>
    <w:rsid w:val="006748A4"/>
    <w:rsid w:val="00681A31"/>
    <w:rsid w:val="00683E73"/>
    <w:rsid w:val="00694742"/>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57F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0F10"/>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3FC2"/>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7496"/>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52C2"/>
    <w:rsid w:val="00E331A1"/>
    <w:rsid w:val="00E33202"/>
    <w:rsid w:val="00E336A9"/>
    <w:rsid w:val="00E45505"/>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72207"/>
    <w:rsid w:val="04C86C4A"/>
    <w:rsid w:val="05EF2AF6"/>
    <w:rsid w:val="0A2032A3"/>
    <w:rsid w:val="0B8A37D8"/>
    <w:rsid w:val="0DA862A8"/>
    <w:rsid w:val="0F831665"/>
    <w:rsid w:val="10C055FF"/>
    <w:rsid w:val="10EA2DC3"/>
    <w:rsid w:val="118107EC"/>
    <w:rsid w:val="11DD6519"/>
    <w:rsid w:val="166F2C1F"/>
    <w:rsid w:val="16BB723D"/>
    <w:rsid w:val="18015F3F"/>
    <w:rsid w:val="1AB0351A"/>
    <w:rsid w:val="1BE8440E"/>
    <w:rsid w:val="1D155CEE"/>
    <w:rsid w:val="1F087DEE"/>
    <w:rsid w:val="20F57F95"/>
    <w:rsid w:val="21957829"/>
    <w:rsid w:val="225F215E"/>
    <w:rsid w:val="23EB4A8F"/>
    <w:rsid w:val="240371BF"/>
    <w:rsid w:val="25C741E6"/>
    <w:rsid w:val="27842671"/>
    <w:rsid w:val="29FD04D3"/>
    <w:rsid w:val="2ABE7A3E"/>
    <w:rsid w:val="2BF26F4C"/>
    <w:rsid w:val="2C424F5B"/>
    <w:rsid w:val="2CF175D6"/>
    <w:rsid w:val="2EFA178C"/>
    <w:rsid w:val="2FB3722A"/>
    <w:rsid w:val="30237C87"/>
    <w:rsid w:val="30B46D73"/>
    <w:rsid w:val="318B52E7"/>
    <w:rsid w:val="319F7F4E"/>
    <w:rsid w:val="322E62AE"/>
    <w:rsid w:val="334B3214"/>
    <w:rsid w:val="35F15C1E"/>
    <w:rsid w:val="35F94E28"/>
    <w:rsid w:val="39AE70AB"/>
    <w:rsid w:val="3A1509BF"/>
    <w:rsid w:val="3C0C0783"/>
    <w:rsid w:val="3D977CBB"/>
    <w:rsid w:val="3F9F3A96"/>
    <w:rsid w:val="430A04F5"/>
    <w:rsid w:val="43EF050A"/>
    <w:rsid w:val="44910928"/>
    <w:rsid w:val="488016BE"/>
    <w:rsid w:val="493C27E9"/>
    <w:rsid w:val="496F39ED"/>
    <w:rsid w:val="49FF41D3"/>
    <w:rsid w:val="4B27576F"/>
    <w:rsid w:val="4BE068DB"/>
    <w:rsid w:val="4BF6002B"/>
    <w:rsid w:val="4ECE2238"/>
    <w:rsid w:val="51DB4B86"/>
    <w:rsid w:val="53CA7B56"/>
    <w:rsid w:val="541A29FF"/>
    <w:rsid w:val="55333C3E"/>
    <w:rsid w:val="562442F9"/>
    <w:rsid w:val="5A2C574F"/>
    <w:rsid w:val="5B703251"/>
    <w:rsid w:val="5CED210B"/>
    <w:rsid w:val="61361CC7"/>
    <w:rsid w:val="64CA39A1"/>
    <w:rsid w:val="69A91B4B"/>
    <w:rsid w:val="6C12796A"/>
    <w:rsid w:val="6C4A05C8"/>
    <w:rsid w:val="7002489C"/>
    <w:rsid w:val="72734D90"/>
    <w:rsid w:val="72D910A5"/>
    <w:rsid w:val="73576ED5"/>
    <w:rsid w:val="799E2410"/>
    <w:rsid w:val="79E7B28D"/>
    <w:rsid w:val="7EDD49A8"/>
    <w:rsid w:val="7F986B80"/>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55276F-DC7B-4C6C-A0CA-61D5218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link w:val="a4"/>
    <w:uiPriority w:val="99"/>
    <w:qFormat/>
    <w:pPr>
      <w:spacing w:beforeLines="30"/>
    </w:pPr>
    <w:rPr>
      <w:rFonts w:ascii="仿宋_GB2312" w:eastAsia="仿宋_GB2312"/>
      <w:kern w:val="0"/>
      <w:sz w:val="30"/>
    </w:rPr>
  </w:style>
  <w:style w:type="paragraph" w:styleId="TOC5">
    <w:name w:val="toc 5"/>
    <w:basedOn w:val="a"/>
    <w:next w:val="a"/>
    <w:uiPriority w:val="39"/>
    <w:unhideWhenUsed/>
    <w:qFormat/>
    <w:pPr>
      <w:ind w:left="840"/>
      <w:jc w:val="left"/>
    </w:pPr>
    <w:rPr>
      <w:rFonts w:ascii="等线" w:eastAsia="等线"/>
      <w:sz w:val="18"/>
      <w:szCs w:val="18"/>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b">
    <w:name w:val="Strong"/>
    <w:basedOn w:val="a1"/>
    <w:uiPriority w:val="99"/>
    <w:qFormat/>
    <w:rPr>
      <w:b/>
    </w:rPr>
  </w:style>
  <w:style w:type="character" w:styleId="ac">
    <w:name w:val="Hyperlink"/>
    <w:basedOn w:val="a1"/>
    <w:uiPriority w:val="99"/>
    <w:unhideWhenUsed/>
    <w:qFormat/>
    <w:rPr>
      <w:color w:val="0000FF" w:themeColor="hyperlink"/>
      <w:u w:val="single"/>
    </w:rPr>
  </w:style>
  <w:style w:type="paragraph" w:customStyle="1" w:styleId="ToCaption">
    <w:name w:val="ToCaption"/>
    <w:basedOn w:val="a"/>
    <w:next w:val="a"/>
    <w:qFormat/>
    <w:pPr>
      <w:ind w:leftChars="200" w:left="200" w:hangingChars="200" w:hanging="200"/>
      <w:textAlignment w:val="baseline"/>
    </w:pPr>
    <w:rPr>
      <w:rFonts w:ascii="Calibri" w:hAnsi="Calibri"/>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30">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1">
    <w:name w:val="标题 1 字符1"/>
    <w:basedOn w:val="a1"/>
    <w:link w:val="1"/>
    <w:uiPriority w:val="9"/>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p>
          <a:p>
            <a:pPr defTabSz="914400">
              <a:defRPr/>
            </a:pPr>
            <a:r>
              <a:rPr lang="zh-CN" altLang="en-US"/>
              <a:t>
</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2020年</c:v>
                </c:pt>
                <c:pt idx="1">
                  <c:v>2021年</c:v>
                </c:pt>
                <c:pt idx="2">
                  <c:v>增减幅度</c:v>
                </c:pt>
              </c:strCache>
            </c:strRef>
          </c:cat>
          <c:val>
            <c:numRef>
              <c:f>[工作簿1]Sheet1!$B$3:$D$3</c:f>
              <c:numCache>
                <c:formatCode>General</c:formatCode>
                <c:ptCount val="3"/>
                <c:pt idx="0">
                  <c:v>108.21</c:v>
                </c:pt>
                <c:pt idx="1">
                  <c:v>111.87</c:v>
                </c:pt>
                <c:pt idx="2" formatCode="0.00%">
                  <c:v>3.3799999999999997E-2</c:v>
                </c:pt>
              </c:numCache>
            </c:numRef>
          </c:val>
          <c:extLst>
            <c:ext xmlns:c16="http://schemas.microsoft.com/office/drawing/2014/chart" uri="{C3380CC4-5D6E-409C-BE32-E72D297353CC}">
              <c16:uniqueId val="{00000000-989B-4D98-8027-718033B72E46}"/>
            </c:ext>
          </c:extLst>
        </c:ser>
        <c:ser>
          <c:idx val="1"/>
          <c:order val="1"/>
          <c:tx>
            <c:strRef>
              <c:f>[工作簿1]Sheet1!$A$4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2020年</c:v>
                </c:pt>
                <c:pt idx="1">
                  <c:v>2021年</c:v>
                </c:pt>
                <c:pt idx="2">
                  <c:v>增减幅度</c:v>
                </c:pt>
              </c:strCache>
            </c:strRef>
          </c:cat>
          <c:val>
            <c:numRef>
              <c:f>[工作簿1]Sheet1!$B$4:$D$4</c:f>
              <c:numCache>
                <c:formatCode>General</c:formatCode>
                <c:ptCount val="3"/>
                <c:pt idx="0">
                  <c:v>108.21</c:v>
                </c:pt>
                <c:pt idx="1">
                  <c:v>111.87</c:v>
                </c:pt>
                <c:pt idx="2" formatCode="0.00%">
                  <c:v>3.3799999999999997E-2</c:v>
                </c:pt>
              </c:numCache>
            </c:numRef>
          </c:val>
          <c:extLst>
            <c:ext xmlns:c16="http://schemas.microsoft.com/office/drawing/2014/chart" uri="{C3380CC4-5D6E-409C-BE32-E72D297353CC}">
              <c16:uniqueId val="{00000001-989B-4D98-8027-718033B72E46}"/>
            </c:ext>
          </c:extLst>
        </c:ser>
        <c:dLbls>
          <c:showLegendKey val="0"/>
          <c:showVal val="1"/>
          <c:showCatName val="0"/>
          <c:showSerName val="0"/>
          <c:showPercent val="0"/>
          <c:showBubbleSize val="0"/>
        </c:dLbls>
        <c:gapWidth val="219"/>
        <c:overlap val="-27"/>
        <c:axId val="136624721"/>
        <c:axId val="715457851"/>
      </c:barChart>
      <c:catAx>
        <c:axId val="1366247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15457851"/>
        <c:crosses val="autoZero"/>
        <c:auto val="1"/>
        <c:lblAlgn val="ctr"/>
        <c:lblOffset val="100"/>
        <c:noMultiLvlLbl val="0"/>
      </c:catAx>
      <c:valAx>
        <c:axId val="7154578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624721"/>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 收入决算结构图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[工作簿1]Sheet1!$A$23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F0-4614-B537-3934810E0DA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[工作簿1]Sheet1!$B$22</c:f>
              <c:strCache>
                <c:ptCount val="1"/>
                <c:pt idx="0">
                  <c:v>一般公共预算财政拨款收入</c:v>
                </c:pt>
              </c:strCache>
            </c:strRef>
          </c:cat>
          <c:val>
            <c:numRef>
              <c:f>[工作簿1]Sheet1!$B$23</c:f>
              <c:numCache>
                <c:formatCode>General</c:formatCode>
                <c:ptCount val="1"/>
                <c:pt idx="0">
                  <c:v>111.87</c:v>
                </c:pt>
              </c:numCache>
            </c:numRef>
          </c:val>
          <c:extLst>
            <c:ext xmlns:c16="http://schemas.microsoft.com/office/drawing/2014/chart" uri="{C3380CC4-5D6E-409C-BE32-E72D297353CC}">
              <c16:uniqueId val="{00000002-56F0-4614-B537-3934810E0DA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 支出决算结构图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[工作簿1]Sheet1!$A$23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3E-467E-BA5F-33547B465E65}"/>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[工作簿1]Sheet1!$B$22</c:f>
              <c:strCache>
                <c:ptCount val="1"/>
                <c:pt idx="0">
                  <c:v>基本支出</c:v>
                </c:pt>
              </c:strCache>
            </c:strRef>
          </c:cat>
          <c:val>
            <c:numRef>
              <c:f>[工作簿1]Sheet1!$B$23</c:f>
              <c:numCache>
                <c:formatCode>General</c:formatCode>
                <c:ptCount val="1"/>
                <c:pt idx="0">
                  <c:v>111.87</c:v>
                </c:pt>
              </c:numCache>
            </c:numRef>
          </c:val>
          <c:extLst>
            <c:ext xmlns:c16="http://schemas.microsoft.com/office/drawing/2014/chart" uri="{C3380CC4-5D6E-409C-BE32-E72D297353CC}">
              <c16:uniqueId val="{00000002-913E-467E-BA5F-33547B465E6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[工作簿1]Sheet1!$A$3</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2020年</c:v>
                </c:pt>
                <c:pt idx="1">
                  <c:v>2021年</c:v>
                </c:pt>
                <c:pt idx="2">
                  <c:v>增减幅度</c:v>
                </c:pt>
              </c:strCache>
            </c:strRef>
          </c:cat>
          <c:val>
            <c:numRef>
              <c:f>[工作簿1]Sheet1!$B$3:$D$3</c:f>
              <c:numCache>
                <c:formatCode>General</c:formatCode>
                <c:ptCount val="3"/>
                <c:pt idx="0">
                  <c:v>108.21</c:v>
                </c:pt>
                <c:pt idx="1">
                  <c:v>111.87</c:v>
                </c:pt>
                <c:pt idx="2" formatCode="0.00%">
                  <c:v>3.3799999999999997E-2</c:v>
                </c:pt>
              </c:numCache>
            </c:numRef>
          </c:val>
          <c:extLst>
            <c:ext xmlns:c16="http://schemas.microsoft.com/office/drawing/2014/chart" uri="{C3380CC4-5D6E-409C-BE32-E72D297353CC}">
              <c16:uniqueId val="{00000000-72C1-45FC-BD37-5F1AECFC7978}"/>
            </c:ext>
          </c:extLst>
        </c:ser>
        <c:ser>
          <c:idx val="1"/>
          <c:order val="1"/>
          <c:tx>
            <c:strRef>
              <c:f>[工作簿1]Sheet1!$A$4</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[工作簿1]Sheet1!$B$2:$D$2</c:f>
              <c:strCache>
                <c:ptCount val="3"/>
                <c:pt idx="0">
                  <c:v>2020年</c:v>
                </c:pt>
                <c:pt idx="1">
                  <c:v>2021年</c:v>
                </c:pt>
                <c:pt idx="2">
                  <c:v>增减幅度</c:v>
                </c:pt>
              </c:strCache>
            </c:strRef>
          </c:cat>
          <c:val>
            <c:numRef>
              <c:f>[工作簿1]Sheet1!$B$4:$D$4</c:f>
              <c:numCache>
                <c:formatCode>General</c:formatCode>
                <c:ptCount val="3"/>
                <c:pt idx="0">
                  <c:v>108.21</c:v>
                </c:pt>
                <c:pt idx="1">
                  <c:v>111.87</c:v>
                </c:pt>
                <c:pt idx="2" formatCode="0.00%">
                  <c:v>3.3799999999999997E-2</c:v>
                </c:pt>
              </c:numCache>
            </c:numRef>
          </c:val>
          <c:extLst>
            <c:ext xmlns:c16="http://schemas.microsoft.com/office/drawing/2014/chart" uri="{C3380CC4-5D6E-409C-BE32-E72D297353CC}">
              <c16:uniqueId val="{00000001-72C1-45FC-BD37-5F1AECFC7978}"/>
            </c:ext>
          </c:extLst>
        </c:ser>
        <c:dLbls>
          <c:showLegendKey val="0"/>
          <c:showVal val="1"/>
          <c:showCatName val="0"/>
          <c:showSerName val="0"/>
          <c:showPercent val="0"/>
          <c:showBubbleSize val="0"/>
        </c:dLbls>
        <c:gapWidth val="219"/>
        <c:overlap val="-27"/>
        <c:axId val="136624721"/>
        <c:axId val="715457851"/>
      </c:barChart>
      <c:catAx>
        <c:axId val="1366247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15457851"/>
        <c:crosses val="autoZero"/>
        <c:auto val="1"/>
        <c:lblAlgn val="ctr"/>
        <c:lblOffset val="100"/>
        <c:noMultiLvlLbl val="0"/>
      </c:catAx>
      <c:valAx>
        <c:axId val="7154578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624721"/>
        <c:crosses val="autoZero"/>
        <c:crossBetween val="between"/>
      </c:valAx>
      <c:spPr>
        <a:noFill/>
        <a:ln>
          <a:noFill/>
        </a:ln>
        <a:effectLst/>
      </c:spPr>
    </c:plotArea>
    <c:legend>
      <c:legendPos val="b"/>
      <c:layout>
        <c:manualLayout>
          <c:xMode val="edge"/>
          <c:yMode val="edge"/>
          <c:x val="0.32495441521229501"/>
          <c:y val="0.90644361833952902"/>
          <c:w val="0.35022141182599598"/>
          <c:h val="8.7360594795538996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7.2722222222222202E-2"/>
          <c:y val="0.17638888888888901"/>
          <c:w val="0.89463888888888898"/>
          <c:h val="0.711666666666667"/>
        </c:manualLayout>
      </c:layout>
      <c:barChart>
        <c:barDir val="col"/>
        <c:grouping val="clustered"/>
        <c:varyColors val="0"/>
        <c:ser>
          <c:idx val="0"/>
          <c:order val="0"/>
          <c:tx>
            <c:strRef>
              <c:f>[工作簿1]Sheet1!$C$33</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[工作簿1]Sheet1!$B$34:$D$34</c:f>
              <c:strCache>
                <c:ptCount val="3"/>
                <c:pt idx="0">
                  <c:v>2020年</c:v>
                </c:pt>
                <c:pt idx="1">
                  <c:v>2021年</c:v>
                </c:pt>
                <c:pt idx="2">
                  <c:v>增减幅度</c:v>
                </c:pt>
              </c:strCache>
            </c:strRef>
          </c:cat>
          <c:val>
            <c:numRef>
              <c:f>[工作簿1]Sheet1!$B$35:$D$35</c:f>
              <c:numCache>
                <c:formatCode>General</c:formatCode>
                <c:ptCount val="3"/>
                <c:pt idx="0">
                  <c:v>108.21</c:v>
                </c:pt>
                <c:pt idx="1">
                  <c:v>111.87</c:v>
                </c:pt>
                <c:pt idx="2" formatCode="0.00%">
                  <c:v>3.3799999999999997E-2</c:v>
                </c:pt>
              </c:numCache>
            </c:numRef>
          </c:val>
          <c:extLst>
            <c:ext xmlns:c16="http://schemas.microsoft.com/office/drawing/2014/chart" uri="{C3380CC4-5D6E-409C-BE32-E72D297353CC}">
              <c16:uniqueId val="{00000000-39FE-4A28-8F2C-927B6E244505}"/>
            </c:ext>
          </c:extLst>
        </c:ser>
        <c:dLbls>
          <c:showLegendKey val="0"/>
          <c:showVal val="1"/>
          <c:showCatName val="0"/>
          <c:showSerName val="0"/>
          <c:showPercent val="0"/>
          <c:showBubbleSize val="0"/>
        </c:dLbls>
        <c:gapWidth val="219"/>
        <c:overlap val="-27"/>
        <c:axId val="559958089"/>
        <c:axId val="418858396"/>
      </c:barChart>
      <c:catAx>
        <c:axId val="55995808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8858396"/>
        <c:crosses val="autoZero"/>
        <c:auto val="1"/>
        <c:lblAlgn val="ctr"/>
        <c:lblOffset val="100"/>
        <c:noMultiLvlLbl val="0"/>
      </c:catAx>
      <c:valAx>
        <c:axId val="4188583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599580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B4-4207-B3B7-78CE0ABBF5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B4-4207-B3B7-78CE0ABBF5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B4-4207-B3B7-78CE0ABBF5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B4-4207-B3B7-78CE0ABBF510}"/>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[工作簿1]Sheet1!$A$48:$A$51</c:f>
              <c:strCache>
                <c:ptCount val="4"/>
                <c:pt idx="0">
                  <c:v>农林水（213）支出</c:v>
                </c:pt>
                <c:pt idx="1">
                  <c:v>社会保障和就（208）支出</c:v>
                </c:pt>
                <c:pt idx="2">
                  <c:v>卫生健康(210)支出</c:v>
                </c:pt>
                <c:pt idx="3">
                  <c:v>住房保障(221)支出</c:v>
                </c:pt>
              </c:strCache>
            </c:strRef>
          </c:cat>
          <c:val>
            <c:numRef>
              <c:f>[工作簿1]Sheet1!$B$48:$B$51</c:f>
              <c:numCache>
                <c:formatCode>General</c:formatCode>
                <c:ptCount val="4"/>
                <c:pt idx="0">
                  <c:v>83.63</c:v>
                </c:pt>
                <c:pt idx="1">
                  <c:v>16.02</c:v>
                </c:pt>
                <c:pt idx="2">
                  <c:v>5.31</c:v>
                </c:pt>
                <c:pt idx="3">
                  <c:v>6.92</c:v>
                </c:pt>
              </c:numCache>
            </c:numRef>
          </c:val>
          <c:extLst>
            <c:ext xmlns:c16="http://schemas.microsoft.com/office/drawing/2014/chart" uri="{C3380CC4-5D6E-409C-BE32-E72D297353CC}">
              <c16:uniqueId val="{00000008-F8B4-4207-B3B7-78CE0ABBF51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98-4CE7-BFF0-D061EF3064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98-4CE7-BFF0-D061EF3064AC}"/>
              </c:ext>
            </c:extLst>
          </c:dPt>
          <c:dLbls>
            <c:dLbl>
              <c:idx val="1"/>
              <c:layout>
                <c:manualLayout>
                  <c:x val="4.83264805259353E-2"/>
                  <c:y val="0.125056369838395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98-4CE7-BFF0-D061EF3064AC}"/>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[工作簿1]Sheet2!$A$3:$A$4</c:f>
              <c:strCache>
                <c:ptCount val="2"/>
                <c:pt idx="0">
                  <c:v>公务用车运行维护费</c:v>
                </c:pt>
                <c:pt idx="1">
                  <c:v>公务接待费支出</c:v>
                </c:pt>
              </c:strCache>
            </c:strRef>
          </c:cat>
          <c:val>
            <c:numRef>
              <c:f>[工作簿1]Sheet2!$B$3:$B$4</c:f>
              <c:numCache>
                <c:formatCode>General</c:formatCode>
                <c:ptCount val="2"/>
                <c:pt idx="0">
                  <c:v>0.98</c:v>
                </c:pt>
                <c:pt idx="1">
                  <c:v>0.15</c:v>
                </c:pt>
              </c:numCache>
            </c:numRef>
          </c:val>
          <c:extLst>
            <c:ext xmlns:c16="http://schemas.microsoft.com/office/drawing/2014/chart" uri="{C3380CC4-5D6E-409C-BE32-E72D297353CC}">
              <c16:uniqueId val="{00000004-C098-4CE7-BFF0-D061EF3064AC}"/>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7188755020080302"/>
          <c:y val="0.88336766220391305"/>
          <c:w val="0.45635876840696099"/>
          <c:h val="0.10890834191555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3055C-86A0-48F5-9B38-4B10D60C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955</Words>
  <Characters>5449</Characters>
  <Application>Microsoft Office Word</Application>
  <DocSecurity>0</DocSecurity>
  <Lines>45</Lines>
  <Paragraphs>12</Paragraphs>
  <ScaleCrop>false</ScaleCrop>
  <Company>四川省财政厅</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xiaofei li</dc:creator>
  <cp:lastModifiedBy>Windows 用户</cp:lastModifiedBy>
  <cp:revision>4</cp:revision>
  <cp:lastPrinted>2022-09-06T01:48:00Z</cp:lastPrinted>
  <dcterms:created xsi:type="dcterms:W3CDTF">2022-08-22T04:17:00Z</dcterms:created>
  <dcterms:modified xsi:type="dcterms:W3CDTF">2023-07-24T13:56:00Z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332BBA11E3D44B0F893314F3CC5F3126</vt:lpwstr>
  </property>
</Properties>
</file>