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sz w:val="72"/>
          <w:szCs w:val="72"/>
        </w:rPr>
      </w:pPr>
      <w:bookmarkStart w:id="0" w:name="_Toc15306267"/>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52"/>
          <w:szCs w:val="52"/>
        </w:rPr>
      </w:pPr>
      <w:bookmarkStart w:id="1" w:name="_Toc15377425"/>
      <w:bookmarkStart w:id="2" w:name="_Toc15396475"/>
      <w:bookmarkStart w:id="3" w:name="_Toc15396597"/>
      <w:bookmarkStart w:id="4" w:name="_Toc15377193"/>
      <w:bookmarkStart w:id="5" w:name="_Toc15378441"/>
      <w:bookmarkStart w:id="6" w:name="_Toc23688"/>
      <w:r>
        <w:rPr>
          <w:rFonts w:hint="eastAsia" w:ascii="方正小标宋简体" w:hAnsi="方正小标宋简体" w:eastAsia="方正小标宋简体" w:cs="方正小标宋简体"/>
          <w:sz w:val="52"/>
          <w:szCs w:val="52"/>
        </w:rPr>
        <w:t>2021年度</w:t>
      </w:r>
      <w:bookmarkEnd w:id="0"/>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sz w:val="52"/>
          <w:szCs w:val="52"/>
        </w:rPr>
      </w:pPr>
      <w:bookmarkStart w:id="7" w:name="_Toc15377194"/>
      <w:bookmarkStart w:id="8" w:name="_Toc15396598"/>
      <w:bookmarkStart w:id="9" w:name="_Toc15378442"/>
      <w:bookmarkStart w:id="10" w:name="_Toc15306268"/>
      <w:bookmarkStart w:id="11" w:name="_Toc15377426"/>
      <w:bookmarkStart w:id="12" w:name="_Toc15396476"/>
      <w:bookmarkStart w:id="13" w:name="_Toc21235"/>
      <w:r>
        <w:rPr>
          <w:rFonts w:hint="eastAsia" w:ascii="方正小标宋简体" w:hAnsi="方正小标宋简体" w:eastAsia="方正小标宋简体" w:cs="方正小标宋简体"/>
          <w:sz w:val="52"/>
          <w:szCs w:val="52"/>
        </w:rPr>
        <w:t>通江县第四小学单位决算</w:t>
      </w:r>
      <w:bookmarkEnd w:id="7"/>
      <w:bookmarkEnd w:id="8"/>
      <w:bookmarkEnd w:id="9"/>
      <w:bookmarkEnd w:id="10"/>
      <w:bookmarkEnd w:id="11"/>
      <w:bookmarkEnd w:id="12"/>
      <w:bookmarkEnd w:id="13"/>
    </w:p>
    <w:p>
      <w:pPr>
        <w:widowControl/>
        <w:jc w:val="center"/>
        <w:rPr>
          <w:rFonts w:ascii="黑体" w:hAnsi="黑体" w:eastAsia="黑体"/>
          <w:sz w:val="48"/>
          <w:szCs w:val="48"/>
        </w:rPr>
      </w:pPr>
    </w:p>
    <w:p>
      <w:pPr>
        <w:pStyle w:val="3"/>
        <w:spacing w:before="93"/>
        <w:rPr>
          <w:rFonts w:ascii="黑体" w:hAnsi="黑体" w:eastAsia="黑体"/>
          <w:sz w:val="48"/>
          <w:szCs w:val="48"/>
        </w:rPr>
      </w:pPr>
    </w:p>
    <w:p>
      <w:pPr>
        <w:pStyle w:val="3"/>
        <w:spacing w:before="93"/>
        <w:rPr>
          <w:rFonts w:ascii="黑体" w:hAnsi="黑体" w:eastAsia="黑体"/>
          <w:sz w:val="48"/>
          <w:szCs w:val="48"/>
        </w:rPr>
      </w:pPr>
    </w:p>
    <w:p>
      <w:pPr>
        <w:pStyle w:val="3"/>
        <w:spacing w:before="93"/>
        <w:rPr>
          <w:rFonts w:ascii="黑体" w:hAnsi="黑体" w:eastAsia="黑体"/>
          <w:sz w:val="48"/>
          <w:szCs w:val="48"/>
        </w:rPr>
      </w:pPr>
    </w:p>
    <w:p>
      <w:pPr>
        <w:pStyle w:val="3"/>
        <w:spacing w:before="93"/>
        <w:rPr>
          <w:rFonts w:ascii="黑体" w:hAnsi="黑体" w:eastAsia="黑体"/>
          <w:sz w:val="48"/>
          <w:szCs w:val="48"/>
        </w:rPr>
      </w:pPr>
    </w:p>
    <w:p>
      <w:pPr>
        <w:pStyle w:val="3"/>
        <w:spacing w:before="93"/>
        <w:rPr>
          <w:rFonts w:ascii="黑体" w:hAnsi="黑体" w:eastAsia="黑体"/>
          <w:sz w:val="48"/>
          <w:szCs w:val="48"/>
        </w:rPr>
      </w:pPr>
    </w:p>
    <w:p>
      <w:pPr>
        <w:pStyle w:val="3"/>
        <w:spacing w:before="93"/>
        <w:rPr>
          <w:rFonts w:ascii="黑体" w:hAnsi="黑体" w:eastAsia="黑体"/>
          <w:sz w:val="48"/>
          <w:szCs w:val="48"/>
        </w:rPr>
      </w:pPr>
    </w:p>
    <w:p>
      <w:pPr>
        <w:pStyle w:val="3"/>
        <w:spacing w:before="93"/>
        <w:rPr>
          <w:rFonts w:ascii="黑体" w:hAnsi="黑体" w:eastAsia="黑体"/>
          <w:sz w:val="48"/>
          <w:szCs w:val="48"/>
        </w:rPr>
      </w:pPr>
    </w:p>
    <w:p>
      <w:pPr>
        <w:pStyle w:val="3"/>
        <w:spacing w:before="93"/>
        <w:rPr>
          <w:rFonts w:ascii="黑体" w:hAnsi="黑体" w:eastAsia="黑体"/>
          <w:sz w:val="48"/>
          <w:szCs w:val="48"/>
        </w:rPr>
      </w:pPr>
    </w:p>
    <w:p>
      <w:pPr>
        <w:pStyle w:val="3"/>
        <w:spacing w:before="93"/>
        <w:rPr>
          <w:rFonts w:ascii="黑体" w:hAnsi="黑体" w:eastAsia="黑体"/>
          <w:sz w:val="48"/>
          <w:szCs w:val="48"/>
        </w:rPr>
      </w:pPr>
    </w:p>
    <w:p>
      <w:pPr>
        <w:pStyle w:val="3"/>
        <w:spacing w:before="93"/>
        <w:rPr>
          <w:rFonts w:ascii="黑体" w:hAnsi="黑体" w:eastAsia="黑体"/>
          <w:sz w:val="48"/>
          <w:szCs w:val="48"/>
        </w:rPr>
      </w:pPr>
    </w:p>
    <w:p>
      <w:pPr>
        <w:widowControl/>
        <w:jc w:val="center"/>
        <w:rPr>
          <w:rFonts w:ascii="黑体" w:hAnsi="黑体" w:eastAsia="黑体"/>
          <w:sz w:val="48"/>
          <w:szCs w:val="48"/>
        </w:rPr>
      </w:pPr>
    </w:p>
    <w:p>
      <w:pPr>
        <w:widowControl/>
        <w:jc w:val="center"/>
        <w:rPr>
          <w:rFonts w:ascii="黑体" w:hAnsi="黑体" w:eastAsia="黑体"/>
          <w:sz w:val="48"/>
          <w:szCs w:val="48"/>
        </w:rPr>
      </w:pPr>
    </w:p>
    <w:p>
      <w:pPr>
        <w:pStyle w:val="19"/>
        <w:rPr>
          <w:rFonts w:ascii="黑体" w:hAnsi="黑体" w:eastAsia="黑体"/>
          <w:sz w:val="48"/>
          <w:szCs w:val="48"/>
        </w:rPr>
      </w:pPr>
      <w:r>
        <w:rPr>
          <w:rFonts w:hint="eastAsia" w:ascii="黑体" w:hAnsi="黑体" w:eastAsia="黑体"/>
          <w:sz w:val="48"/>
          <w:szCs w:val="48"/>
        </w:rPr>
        <w:t>目录</w:t>
      </w:r>
    </w:p>
    <w:p>
      <w:pPr>
        <w:pStyle w:val="19"/>
        <w:rPr>
          <w:rFonts w:ascii="黑体" w:hAnsi="黑体" w:eastAsia="黑体"/>
          <w:sz w:val="48"/>
          <w:szCs w:val="48"/>
        </w:rPr>
      </w:pPr>
      <w:r>
        <w:rPr>
          <w:rFonts w:hint="eastAsia"/>
        </w:rPr>
        <w:t>公开时间：2022年8月25日</w:t>
      </w:r>
    </w:p>
    <w:sdt>
      <w:sdtPr>
        <w:rPr>
          <w:rFonts w:ascii="宋体" w:hAnsi="宋体"/>
        </w:rPr>
        <w:id w:val="147475165"/>
        <w:docPartObj>
          <w:docPartGallery w:val="Table of Contents"/>
          <w:docPartUnique/>
        </w:docPartObj>
      </w:sdtPr>
      <w:sdtEndPr>
        <w:rPr>
          <w:rFonts w:ascii="宋体" w:hAnsi="宋体" w:cs="宋体"/>
          <w:b/>
          <w:szCs w:val="28"/>
        </w:rPr>
      </w:sdtEndPr>
      <w:sdtContent>
        <w:p>
          <w:pPr>
            <w:jc w:val="center"/>
          </w:pPr>
        </w:p>
        <w:p>
          <w:pPr>
            <w:pStyle w:val="39"/>
            <w:tabs>
              <w:tab w:val="right" w:leader="dot" w:pos="8306"/>
            </w:tabs>
            <w:rPr>
              <w:b/>
            </w:rPr>
          </w:pPr>
          <w:r>
            <w:fldChar w:fldCharType="begin"/>
          </w:r>
          <w:r>
            <w:instrText xml:space="preserve">TOC \o "1-2" \h \u</w:instrText>
          </w:r>
          <w:r>
            <w:rPr>
              <w:rFonts w:ascii="宋体" w:hAnsi="宋体" w:cs="宋体"/>
              <w:sz w:val="28"/>
              <w:szCs w:val="28"/>
            </w:rPr>
            <w:fldChar w:fldCharType="separate"/>
          </w:r>
          <w:r>
            <w:fldChar w:fldCharType="begin"/>
          </w:r>
          <w:r>
            <w:instrText xml:space="preserve"> HYPERLINK \l "_Toc29947" </w:instrText>
          </w:r>
          <w:r>
            <w:fldChar w:fldCharType="separate"/>
          </w:r>
          <w:r>
            <w:rPr>
              <w:rFonts w:hint="eastAsia" w:ascii="黑体" w:hAnsi="黑体" w:eastAsia="黑体"/>
              <w:b/>
            </w:rPr>
            <w:t>第一部分单位概况</w:t>
          </w:r>
          <w:r>
            <w:rPr>
              <w:b/>
            </w:rPr>
            <w:tab/>
          </w:r>
          <w:r>
            <w:rPr>
              <w:b/>
            </w:rPr>
            <w:fldChar w:fldCharType="begin"/>
          </w:r>
          <w:r>
            <w:rPr>
              <w:b/>
            </w:rPr>
            <w:instrText xml:space="preserve"> PAGEREF _Toc29947 </w:instrText>
          </w:r>
          <w:r>
            <w:rPr>
              <w:b/>
            </w:rPr>
            <w:fldChar w:fldCharType="separate"/>
          </w:r>
          <w:r>
            <w:rPr>
              <w:b/>
            </w:rPr>
            <w:t>3</w:t>
          </w:r>
          <w:r>
            <w:rPr>
              <w:b/>
            </w:rPr>
            <w:fldChar w:fldCharType="end"/>
          </w:r>
          <w:r>
            <w:rPr>
              <w:b/>
            </w:rPr>
            <w:fldChar w:fldCharType="end"/>
          </w:r>
        </w:p>
        <w:p>
          <w:pPr>
            <w:pStyle w:val="40"/>
            <w:tabs>
              <w:tab w:val="right" w:leader="dot" w:pos="8306"/>
            </w:tabs>
            <w:ind w:left="420"/>
          </w:pPr>
          <w:r>
            <w:fldChar w:fldCharType="begin"/>
          </w:r>
          <w:r>
            <w:instrText xml:space="preserve"> HYPERLINK \l "_Toc1918" </w:instrText>
          </w:r>
          <w:r>
            <w:fldChar w:fldCharType="separate"/>
          </w:r>
          <w:r>
            <w:rPr>
              <w:rFonts w:hint="eastAsia" w:ascii="黑体" w:hAnsi="黑体" w:eastAsia="黑体"/>
            </w:rPr>
            <w:t>一、职能简介</w:t>
          </w:r>
          <w:r>
            <w:tab/>
          </w:r>
          <w:r>
            <w:fldChar w:fldCharType="begin"/>
          </w:r>
          <w:r>
            <w:instrText xml:space="preserve"> PAGEREF _Toc1918 </w:instrText>
          </w:r>
          <w:r>
            <w:fldChar w:fldCharType="separate"/>
          </w:r>
          <w:r>
            <w:t>3</w:t>
          </w:r>
          <w:r>
            <w:fldChar w:fldCharType="end"/>
          </w:r>
          <w:r>
            <w:fldChar w:fldCharType="end"/>
          </w:r>
        </w:p>
        <w:p>
          <w:pPr>
            <w:pStyle w:val="40"/>
            <w:tabs>
              <w:tab w:val="right" w:leader="dot" w:pos="8306"/>
            </w:tabs>
            <w:ind w:left="420"/>
          </w:pPr>
          <w:r>
            <w:fldChar w:fldCharType="begin"/>
          </w:r>
          <w:r>
            <w:instrText xml:space="preserve"> HYPERLINK \l "_Toc3287" </w:instrText>
          </w:r>
          <w:r>
            <w:fldChar w:fldCharType="separate"/>
          </w:r>
          <w:r>
            <w:rPr>
              <w:rFonts w:hint="eastAsia" w:ascii="黑体" w:hAnsi="黑体" w:eastAsia="黑体"/>
            </w:rPr>
            <w:t>二、2021年重点工作完成情况</w:t>
          </w:r>
          <w:r>
            <w:tab/>
          </w:r>
          <w:r>
            <w:fldChar w:fldCharType="begin"/>
          </w:r>
          <w:r>
            <w:instrText xml:space="preserve"> PAGEREF _Toc3287 </w:instrText>
          </w:r>
          <w:r>
            <w:fldChar w:fldCharType="separate"/>
          </w:r>
          <w:r>
            <w:t>3</w:t>
          </w:r>
          <w:r>
            <w:fldChar w:fldCharType="end"/>
          </w:r>
          <w:r>
            <w:fldChar w:fldCharType="end"/>
          </w:r>
        </w:p>
        <w:p>
          <w:pPr>
            <w:pStyle w:val="39"/>
            <w:tabs>
              <w:tab w:val="right" w:leader="dot" w:pos="8306"/>
            </w:tabs>
            <w:rPr>
              <w:b/>
            </w:rPr>
          </w:pPr>
          <w:r>
            <w:fldChar w:fldCharType="begin"/>
          </w:r>
          <w:r>
            <w:instrText xml:space="preserve"> HYPERLINK \l "_Toc4628" </w:instrText>
          </w:r>
          <w:r>
            <w:fldChar w:fldCharType="separate"/>
          </w:r>
          <w:r>
            <w:rPr>
              <w:rFonts w:hint="eastAsia" w:ascii="黑体" w:hAnsi="黑体" w:eastAsia="黑体"/>
              <w:b/>
              <w:bCs/>
            </w:rPr>
            <w:t>第二部分2021年度单位决算情况说明</w:t>
          </w:r>
          <w:r>
            <w:rPr>
              <w:b/>
            </w:rPr>
            <w:tab/>
          </w:r>
          <w:r>
            <w:rPr>
              <w:b/>
            </w:rPr>
            <w:fldChar w:fldCharType="begin"/>
          </w:r>
          <w:r>
            <w:rPr>
              <w:b/>
            </w:rPr>
            <w:instrText xml:space="preserve"> PAGEREF _Toc4628 </w:instrText>
          </w:r>
          <w:r>
            <w:rPr>
              <w:b/>
            </w:rPr>
            <w:fldChar w:fldCharType="separate"/>
          </w:r>
          <w:r>
            <w:rPr>
              <w:b/>
            </w:rPr>
            <w:t>4</w:t>
          </w:r>
          <w:r>
            <w:rPr>
              <w:b/>
            </w:rPr>
            <w:fldChar w:fldCharType="end"/>
          </w:r>
          <w:r>
            <w:rPr>
              <w:b/>
            </w:rPr>
            <w:fldChar w:fldCharType="end"/>
          </w:r>
        </w:p>
        <w:p>
          <w:pPr>
            <w:pStyle w:val="40"/>
            <w:tabs>
              <w:tab w:val="right" w:leader="dot" w:pos="8306"/>
            </w:tabs>
            <w:ind w:left="420"/>
          </w:pPr>
          <w:r>
            <w:fldChar w:fldCharType="begin"/>
          </w:r>
          <w:r>
            <w:instrText xml:space="preserve"> HYPERLINK \l "_Toc7856" </w:instrText>
          </w:r>
          <w:r>
            <w:fldChar w:fldCharType="separate"/>
          </w:r>
          <w:r>
            <w:rPr>
              <w:rFonts w:ascii="黑体" w:hAnsi="黑体" w:eastAsia="黑体"/>
            </w:rPr>
            <w:t>一、</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_Toc7856 </w:instrText>
          </w:r>
          <w:r>
            <w:fldChar w:fldCharType="separate"/>
          </w:r>
          <w:r>
            <w:t>4</w:t>
          </w:r>
          <w:r>
            <w:fldChar w:fldCharType="end"/>
          </w:r>
          <w:r>
            <w:fldChar w:fldCharType="end"/>
          </w:r>
        </w:p>
        <w:p>
          <w:pPr>
            <w:pStyle w:val="40"/>
            <w:tabs>
              <w:tab w:val="right" w:leader="dot" w:pos="8306"/>
            </w:tabs>
            <w:ind w:left="420"/>
          </w:pPr>
          <w:r>
            <w:fldChar w:fldCharType="begin"/>
          </w:r>
          <w:r>
            <w:instrText xml:space="preserve"> HYPERLINK \l "_Toc20304" </w:instrText>
          </w:r>
          <w:r>
            <w:fldChar w:fldCharType="separate"/>
          </w:r>
          <w:r>
            <w:rPr>
              <w:rFonts w:ascii="黑体" w:hAnsi="黑体" w:eastAsia="黑体"/>
            </w:rPr>
            <w:t>二、</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_Toc20304 </w:instrText>
          </w:r>
          <w:r>
            <w:fldChar w:fldCharType="separate"/>
          </w:r>
          <w:r>
            <w:t>4</w:t>
          </w:r>
          <w:r>
            <w:fldChar w:fldCharType="end"/>
          </w:r>
          <w:r>
            <w:fldChar w:fldCharType="end"/>
          </w:r>
        </w:p>
        <w:p>
          <w:pPr>
            <w:pStyle w:val="40"/>
            <w:tabs>
              <w:tab w:val="right" w:leader="dot" w:pos="8306"/>
            </w:tabs>
            <w:ind w:left="420"/>
          </w:pPr>
          <w:r>
            <w:fldChar w:fldCharType="begin"/>
          </w:r>
          <w:r>
            <w:instrText xml:space="preserve"> HYPERLINK \l "_Toc22105" </w:instrText>
          </w:r>
          <w:r>
            <w:fldChar w:fldCharType="separate"/>
          </w:r>
          <w:r>
            <w:rPr>
              <w:rFonts w:ascii="黑体" w:hAnsi="黑体" w:eastAsia="黑体"/>
            </w:rPr>
            <w:t>三、</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_Toc22105 </w:instrText>
          </w:r>
          <w:r>
            <w:fldChar w:fldCharType="separate"/>
          </w:r>
          <w:r>
            <w:t>5</w:t>
          </w:r>
          <w:r>
            <w:fldChar w:fldCharType="end"/>
          </w:r>
          <w:r>
            <w:fldChar w:fldCharType="end"/>
          </w:r>
        </w:p>
        <w:p>
          <w:pPr>
            <w:pStyle w:val="40"/>
            <w:tabs>
              <w:tab w:val="right" w:leader="dot" w:pos="8306"/>
            </w:tabs>
            <w:ind w:left="420"/>
          </w:pPr>
          <w:r>
            <w:fldChar w:fldCharType="begin"/>
          </w:r>
          <w:r>
            <w:instrText xml:space="preserve"> HYPERLINK \l "_Toc7025"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_Toc7025 </w:instrText>
          </w:r>
          <w:r>
            <w:fldChar w:fldCharType="separate"/>
          </w:r>
          <w:r>
            <w:t>5</w:t>
          </w:r>
          <w:r>
            <w:fldChar w:fldCharType="end"/>
          </w:r>
          <w:r>
            <w:fldChar w:fldCharType="end"/>
          </w:r>
        </w:p>
        <w:p>
          <w:pPr>
            <w:pStyle w:val="40"/>
            <w:tabs>
              <w:tab w:val="right" w:leader="dot" w:pos="8306"/>
            </w:tabs>
            <w:ind w:left="420"/>
          </w:pPr>
          <w:r>
            <w:fldChar w:fldCharType="begin"/>
          </w:r>
          <w:r>
            <w:instrText xml:space="preserve"> HYPERLINK \l "_Toc27310"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_Toc27310 </w:instrText>
          </w:r>
          <w:r>
            <w:fldChar w:fldCharType="separate"/>
          </w:r>
          <w:r>
            <w:t>6</w:t>
          </w:r>
          <w:r>
            <w:fldChar w:fldCharType="end"/>
          </w:r>
          <w:r>
            <w:fldChar w:fldCharType="end"/>
          </w:r>
        </w:p>
        <w:p>
          <w:pPr>
            <w:pStyle w:val="40"/>
            <w:tabs>
              <w:tab w:val="right" w:leader="dot" w:pos="8306"/>
            </w:tabs>
            <w:ind w:left="420"/>
          </w:pPr>
          <w:r>
            <w:fldChar w:fldCharType="begin"/>
          </w:r>
          <w:r>
            <w:instrText xml:space="preserve"> HYPERLINK \l "_Toc6141"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_Toc6141 </w:instrText>
          </w:r>
          <w:r>
            <w:fldChar w:fldCharType="separate"/>
          </w:r>
          <w:r>
            <w:t>8</w:t>
          </w:r>
          <w:r>
            <w:fldChar w:fldCharType="end"/>
          </w:r>
          <w:r>
            <w:fldChar w:fldCharType="end"/>
          </w:r>
        </w:p>
        <w:p>
          <w:pPr>
            <w:pStyle w:val="40"/>
            <w:tabs>
              <w:tab w:val="right" w:leader="dot" w:pos="8306"/>
            </w:tabs>
            <w:ind w:left="420"/>
          </w:pPr>
          <w:r>
            <w:fldChar w:fldCharType="begin"/>
          </w:r>
          <w:r>
            <w:instrText xml:space="preserve"> HYPERLINK \l "_Toc26929"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_Toc26929 </w:instrText>
          </w:r>
          <w:r>
            <w:fldChar w:fldCharType="separate"/>
          </w:r>
          <w:r>
            <w:t>8</w:t>
          </w:r>
          <w:r>
            <w:fldChar w:fldCharType="end"/>
          </w:r>
          <w:r>
            <w:fldChar w:fldCharType="end"/>
          </w:r>
        </w:p>
        <w:p>
          <w:pPr>
            <w:pStyle w:val="40"/>
            <w:tabs>
              <w:tab w:val="right" w:leader="dot" w:pos="8306"/>
            </w:tabs>
            <w:ind w:left="420"/>
          </w:pPr>
          <w:r>
            <w:fldChar w:fldCharType="begin"/>
          </w:r>
          <w:r>
            <w:instrText xml:space="preserve"> HYPERLINK \l "_Toc11168"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_Toc11168 </w:instrText>
          </w:r>
          <w:r>
            <w:fldChar w:fldCharType="separate"/>
          </w:r>
          <w:r>
            <w:t>10</w:t>
          </w:r>
          <w:r>
            <w:fldChar w:fldCharType="end"/>
          </w:r>
          <w:r>
            <w:fldChar w:fldCharType="end"/>
          </w:r>
        </w:p>
        <w:p>
          <w:pPr>
            <w:pStyle w:val="40"/>
            <w:tabs>
              <w:tab w:val="right" w:leader="dot" w:pos="8306"/>
            </w:tabs>
            <w:ind w:left="420"/>
          </w:pPr>
          <w:r>
            <w:fldChar w:fldCharType="begin"/>
          </w:r>
          <w:r>
            <w:instrText xml:space="preserve"> HYPERLINK \l "_Toc15840" </w:instrText>
          </w:r>
          <w:r>
            <w:fldChar w:fldCharType="separate"/>
          </w:r>
          <w:r>
            <w:rPr>
              <w:rFonts w:hint="eastAsia" w:ascii="黑体" w:hAnsi="黑体" w:eastAsia="黑体"/>
            </w:rPr>
            <w:t>九、国有资本经营预算支出决算情况说明</w:t>
          </w:r>
          <w:r>
            <w:tab/>
          </w:r>
          <w:r>
            <w:fldChar w:fldCharType="begin"/>
          </w:r>
          <w:r>
            <w:instrText xml:space="preserve"> PAGEREF _Toc15840 </w:instrText>
          </w:r>
          <w:r>
            <w:fldChar w:fldCharType="separate"/>
          </w:r>
          <w:r>
            <w:t>10</w:t>
          </w:r>
          <w:r>
            <w:fldChar w:fldCharType="end"/>
          </w:r>
          <w:r>
            <w:fldChar w:fldCharType="end"/>
          </w:r>
        </w:p>
        <w:p>
          <w:pPr>
            <w:pStyle w:val="40"/>
            <w:tabs>
              <w:tab w:val="right" w:leader="dot" w:pos="8306"/>
            </w:tabs>
            <w:ind w:left="420"/>
          </w:pPr>
          <w:r>
            <w:fldChar w:fldCharType="begin"/>
          </w:r>
          <w:r>
            <w:instrText xml:space="preserve"> HYPERLINK \l "_Toc18278" </w:instrText>
          </w:r>
          <w:r>
            <w:fldChar w:fldCharType="separate"/>
          </w:r>
          <w:r>
            <w:rPr>
              <w:rFonts w:hint="eastAsia" w:ascii="黑体" w:hAnsi="黑体" w:eastAsia="黑体"/>
            </w:rPr>
            <w:t>十、其他重要事项的情况说明</w:t>
          </w:r>
          <w:r>
            <w:tab/>
          </w:r>
          <w:r>
            <w:fldChar w:fldCharType="begin"/>
          </w:r>
          <w:r>
            <w:instrText xml:space="preserve"> PAGEREF _Toc18278 </w:instrText>
          </w:r>
          <w:r>
            <w:fldChar w:fldCharType="separate"/>
          </w:r>
          <w:r>
            <w:t>10</w:t>
          </w:r>
          <w:r>
            <w:fldChar w:fldCharType="end"/>
          </w:r>
          <w:r>
            <w:fldChar w:fldCharType="end"/>
          </w:r>
        </w:p>
        <w:p>
          <w:pPr>
            <w:pStyle w:val="39"/>
            <w:tabs>
              <w:tab w:val="right" w:leader="dot" w:pos="8306"/>
            </w:tabs>
            <w:rPr>
              <w:b/>
            </w:rPr>
          </w:pPr>
          <w:r>
            <w:fldChar w:fldCharType="begin"/>
          </w:r>
          <w:r>
            <w:instrText xml:space="preserve"> HYPERLINK \l "_Toc17205" </w:instrText>
          </w:r>
          <w:r>
            <w:fldChar w:fldCharType="separate"/>
          </w:r>
          <w:r>
            <w:rPr>
              <w:rFonts w:hint="eastAsia" w:ascii="黑体" w:hAnsi="黑体" w:eastAsia="黑体" w:cs="黑体"/>
              <w:b/>
              <w:bCs/>
              <w:szCs w:val="44"/>
            </w:rPr>
            <w:t>第三部分</w:t>
          </w:r>
          <w:r>
            <w:rPr>
              <w:rFonts w:hint="eastAsia" w:ascii="黑体" w:hAnsi="黑体" w:eastAsia="黑体"/>
              <w:b/>
              <w:bCs/>
              <w:szCs w:val="44"/>
            </w:rPr>
            <w:t>名</w:t>
          </w:r>
          <w:r>
            <w:rPr>
              <w:rFonts w:hint="eastAsia" w:ascii="黑体" w:hAnsi="黑体" w:eastAsia="黑体"/>
              <w:b/>
              <w:bCs/>
            </w:rPr>
            <w:t>词解释</w:t>
          </w:r>
          <w:r>
            <w:rPr>
              <w:b/>
            </w:rPr>
            <w:tab/>
          </w:r>
          <w:r>
            <w:rPr>
              <w:b/>
            </w:rPr>
            <w:fldChar w:fldCharType="begin"/>
          </w:r>
          <w:r>
            <w:rPr>
              <w:b/>
            </w:rPr>
            <w:instrText xml:space="preserve"> PAGEREF _Toc17205 </w:instrText>
          </w:r>
          <w:r>
            <w:rPr>
              <w:b/>
            </w:rPr>
            <w:fldChar w:fldCharType="separate"/>
          </w:r>
          <w:r>
            <w:rPr>
              <w:b/>
            </w:rPr>
            <w:t>11</w:t>
          </w:r>
          <w:r>
            <w:rPr>
              <w:b/>
            </w:rPr>
            <w:fldChar w:fldCharType="end"/>
          </w:r>
          <w:r>
            <w:rPr>
              <w:b/>
            </w:rPr>
            <w:fldChar w:fldCharType="end"/>
          </w:r>
        </w:p>
        <w:p>
          <w:pPr>
            <w:pStyle w:val="39"/>
            <w:tabs>
              <w:tab w:val="right" w:leader="dot" w:pos="8306"/>
            </w:tabs>
            <w:rPr>
              <w:b/>
            </w:rPr>
          </w:pPr>
          <w:r>
            <w:fldChar w:fldCharType="begin"/>
          </w:r>
          <w:r>
            <w:instrText xml:space="preserve"> HYPERLINK \l "_Toc15122" </w:instrText>
          </w:r>
          <w:r>
            <w:fldChar w:fldCharType="separate"/>
          </w:r>
          <w:r>
            <w:rPr>
              <w:rFonts w:hint="eastAsia" w:ascii="黑体" w:hAnsi="黑体" w:eastAsia="黑体"/>
              <w:b/>
              <w:bCs/>
              <w:szCs w:val="44"/>
            </w:rPr>
            <w:t>第</w:t>
          </w:r>
          <w:r>
            <w:rPr>
              <w:rFonts w:hint="eastAsia" w:ascii="黑体" w:hAnsi="黑体" w:eastAsia="黑体"/>
              <w:b/>
              <w:bCs/>
            </w:rPr>
            <w:t>四部分附件</w:t>
          </w:r>
          <w:r>
            <w:rPr>
              <w:b/>
            </w:rPr>
            <w:tab/>
          </w:r>
          <w:r>
            <w:rPr>
              <w:b/>
            </w:rPr>
            <w:fldChar w:fldCharType="begin"/>
          </w:r>
          <w:r>
            <w:rPr>
              <w:b/>
            </w:rPr>
            <w:instrText xml:space="preserve"> PAGEREF _Toc15122 </w:instrText>
          </w:r>
          <w:r>
            <w:rPr>
              <w:b/>
            </w:rPr>
            <w:fldChar w:fldCharType="separate"/>
          </w:r>
          <w:r>
            <w:rPr>
              <w:b/>
            </w:rPr>
            <w:t>13</w:t>
          </w:r>
          <w:r>
            <w:rPr>
              <w:b/>
            </w:rPr>
            <w:fldChar w:fldCharType="end"/>
          </w:r>
          <w:r>
            <w:rPr>
              <w:b/>
            </w:rPr>
            <w:fldChar w:fldCharType="end"/>
          </w:r>
        </w:p>
        <w:p>
          <w:pPr>
            <w:pStyle w:val="40"/>
            <w:tabs>
              <w:tab w:val="right" w:leader="dot" w:pos="8306"/>
            </w:tabs>
            <w:ind w:left="420"/>
          </w:pPr>
          <w:r>
            <w:fldChar w:fldCharType="begin"/>
          </w:r>
          <w:r>
            <w:instrText xml:space="preserve"> HYPERLINK \l "_Toc13391" </w:instrText>
          </w:r>
          <w:r>
            <w:fldChar w:fldCharType="separate"/>
          </w:r>
          <w:r>
            <w:rPr>
              <w:rFonts w:hint="eastAsia" w:ascii="黑体" w:hAnsi="黑体" w:eastAsia="黑体" w:cs="黑体"/>
              <w:szCs w:val="32"/>
            </w:rPr>
            <w:t>附件1</w:t>
          </w:r>
          <w:r>
            <w:tab/>
          </w:r>
          <w:r>
            <w:fldChar w:fldCharType="begin"/>
          </w:r>
          <w:r>
            <w:instrText xml:space="preserve"> PAGEREF _Toc13391 </w:instrText>
          </w:r>
          <w:r>
            <w:fldChar w:fldCharType="separate"/>
          </w:r>
          <w:r>
            <w:t>13</w:t>
          </w:r>
          <w:r>
            <w:fldChar w:fldCharType="end"/>
          </w:r>
          <w:r>
            <w:fldChar w:fldCharType="end"/>
          </w:r>
        </w:p>
        <w:p>
          <w:pPr>
            <w:pStyle w:val="40"/>
            <w:tabs>
              <w:tab w:val="right" w:leader="dot" w:pos="8306"/>
            </w:tabs>
            <w:ind w:left="420"/>
          </w:pPr>
          <w:r>
            <w:fldChar w:fldCharType="begin"/>
          </w:r>
          <w:r>
            <w:instrText xml:space="preserve"> HYPERLINK \l "_Toc32264" </w:instrText>
          </w:r>
          <w:r>
            <w:fldChar w:fldCharType="separate"/>
          </w:r>
          <w:r>
            <w:rPr>
              <w:rFonts w:hint="eastAsia" w:ascii="仿宋_GB2312" w:hAnsi="仿宋_GB2312" w:eastAsia="仿宋_GB2312" w:cs="仿宋_GB2312"/>
              <w:szCs w:val="28"/>
            </w:rPr>
            <w:t>附件2</w:t>
          </w:r>
          <w:r>
            <w:tab/>
          </w:r>
          <w:r>
            <w:fldChar w:fldCharType="begin"/>
          </w:r>
          <w:r>
            <w:instrText xml:space="preserve"> PAGEREF _Toc32264 </w:instrText>
          </w:r>
          <w:r>
            <w:fldChar w:fldCharType="separate"/>
          </w:r>
          <w:r>
            <w:t>20</w:t>
          </w:r>
          <w:r>
            <w:fldChar w:fldCharType="end"/>
          </w:r>
          <w:r>
            <w:fldChar w:fldCharType="end"/>
          </w:r>
        </w:p>
        <w:p>
          <w:pPr>
            <w:pStyle w:val="39"/>
            <w:tabs>
              <w:tab w:val="right" w:leader="dot" w:pos="8306"/>
            </w:tabs>
            <w:rPr>
              <w:b/>
            </w:rPr>
          </w:pPr>
          <w:r>
            <w:fldChar w:fldCharType="begin"/>
          </w:r>
          <w:r>
            <w:instrText xml:space="preserve"> HYPERLINK \l "_Toc14525" </w:instrText>
          </w:r>
          <w:r>
            <w:fldChar w:fldCharType="separate"/>
          </w:r>
          <w:r>
            <w:rPr>
              <w:rFonts w:hint="eastAsia" w:ascii="黑体" w:hAnsi="黑体" w:eastAsia="黑体"/>
              <w:b/>
              <w:bCs/>
              <w:szCs w:val="44"/>
            </w:rPr>
            <w:t>第</w:t>
          </w:r>
          <w:r>
            <w:rPr>
              <w:rFonts w:hint="eastAsia" w:ascii="黑体" w:hAnsi="黑体" w:eastAsia="黑体"/>
              <w:b/>
              <w:bCs/>
            </w:rPr>
            <w:t>五部分附表</w:t>
          </w:r>
          <w:r>
            <w:rPr>
              <w:b/>
            </w:rPr>
            <w:tab/>
          </w:r>
          <w:r>
            <w:rPr>
              <w:b/>
            </w:rPr>
            <w:fldChar w:fldCharType="begin"/>
          </w:r>
          <w:r>
            <w:rPr>
              <w:b/>
            </w:rPr>
            <w:instrText xml:space="preserve"> PAGEREF _Toc14525 </w:instrText>
          </w:r>
          <w:r>
            <w:rPr>
              <w:b/>
            </w:rPr>
            <w:fldChar w:fldCharType="separate"/>
          </w:r>
          <w:r>
            <w:rPr>
              <w:b/>
            </w:rPr>
            <w:t>22</w:t>
          </w:r>
          <w:r>
            <w:rPr>
              <w:b/>
            </w:rPr>
            <w:fldChar w:fldCharType="end"/>
          </w:r>
          <w:r>
            <w:rPr>
              <w:b/>
            </w:rPr>
            <w:fldChar w:fldCharType="end"/>
          </w:r>
        </w:p>
        <w:p>
          <w:pPr>
            <w:pStyle w:val="20"/>
            <w:adjustRightInd w:val="0"/>
            <w:snapToGrid w:val="0"/>
            <w:spacing w:line="440" w:lineRule="exact"/>
            <w:ind w:left="0" w:leftChars="0"/>
            <w:jc w:val="left"/>
            <w:rPr>
              <w:rFonts w:ascii="宋体" w:hAnsi="宋体" w:cs="宋体"/>
              <w:sz w:val="28"/>
              <w:szCs w:val="28"/>
            </w:rPr>
          </w:pPr>
          <w:r>
            <w:rPr>
              <w:rFonts w:ascii="宋体" w:hAnsi="宋体" w:cs="宋体"/>
              <w:b/>
              <w:szCs w:val="28"/>
            </w:rPr>
            <w:fldChar w:fldCharType="end"/>
          </w:r>
        </w:p>
      </w:sdtContent>
    </w:sdt>
    <w:p>
      <w:pPr>
        <w:pStyle w:val="13"/>
        <w:jc w:val="center"/>
        <w:outlineLvl w:val="9"/>
        <w:rPr>
          <w:rFonts w:ascii="宋体" w:hAnsi="宋体" w:cs="宋体"/>
          <w:b w:val="0"/>
          <w:sz w:val="28"/>
          <w:szCs w:val="28"/>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bookmarkStart w:id="14" w:name="_Toc15377196"/>
      <w:bookmarkStart w:id="15" w:name="_Toc15396599"/>
    </w:p>
    <w:p>
      <w:pPr>
        <w:pStyle w:val="13"/>
        <w:jc w:val="center"/>
        <w:rPr>
          <w:rFonts w:ascii="黑体" w:eastAsia="黑体"/>
          <w:sz w:val="32"/>
          <w:szCs w:val="32"/>
        </w:rPr>
      </w:pPr>
      <w:bookmarkStart w:id="16" w:name="_Toc29947"/>
      <w:r>
        <w:rPr>
          <w:rFonts w:hint="eastAsia" w:ascii="黑体" w:hAnsi="黑体" w:eastAsia="黑体"/>
          <w:b w:val="0"/>
        </w:rPr>
        <w:t>第一部分单位</w:t>
      </w:r>
      <w:r>
        <w:rPr>
          <w:rStyle w:val="30"/>
          <w:rFonts w:hint="eastAsia" w:ascii="黑体" w:hAnsi="黑体" w:eastAsia="黑体"/>
          <w:b w:val="0"/>
          <w:bCs w:val="0"/>
        </w:rPr>
        <w:t>概况</w:t>
      </w:r>
      <w:bookmarkEnd w:id="14"/>
      <w:bookmarkEnd w:id="15"/>
      <w:bookmarkEnd w:id="16"/>
    </w:p>
    <w:p>
      <w:pPr>
        <w:pStyle w:val="14"/>
        <w:spacing w:before="0" w:after="0" w:line="560" w:lineRule="exact"/>
        <w:ind w:firstLine="640" w:firstLineChars="200"/>
      </w:pPr>
      <w:bookmarkStart w:id="17" w:name="_Toc1918"/>
      <w:bookmarkStart w:id="18" w:name="_Toc15377197"/>
      <w:bookmarkStart w:id="19" w:name="_Toc15396600"/>
      <w:r>
        <w:rPr>
          <w:rStyle w:val="31"/>
          <w:rFonts w:hint="eastAsia" w:ascii="黑体" w:hAnsi="黑体" w:eastAsia="黑体"/>
          <w:b w:val="0"/>
          <w:bCs w:val="0"/>
        </w:rPr>
        <w:t>一、职能简介</w:t>
      </w:r>
      <w:bookmarkEnd w:id="17"/>
    </w:p>
    <w:p>
      <w:pPr>
        <w:spacing w:line="560" w:lineRule="exact"/>
        <w:ind w:firstLine="600" w:firstLineChars="200"/>
        <w:rPr>
          <w:rFonts w:ascii="仿宋" w:hAnsi="仿宋" w:eastAsia="仿宋"/>
          <w:sz w:val="30"/>
          <w:szCs w:val="30"/>
        </w:rPr>
      </w:pPr>
      <w:r>
        <w:rPr>
          <w:rFonts w:hint="eastAsia" w:ascii="仿宋" w:hAnsi="仿宋" w:eastAsia="仿宋"/>
          <w:sz w:val="30"/>
          <w:szCs w:val="30"/>
        </w:rPr>
        <w:t>通江县第四小学是一所完全小学，贯彻落实党和国家的教育方针、政策，严格执行上级主管部门的决议和指示，全面实施素质教育，培养德、智、体、美等方面全面发展的社会主义事业的建设者和接班人，做到为党育人，为国育才。</w:t>
      </w:r>
    </w:p>
    <w:p>
      <w:pPr>
        <w:numPr>
          <w:ilvl w:val="0"/>
          <w:numId w:val="1"/>
        </w:numPr>
        <w:spacing w:line="560" w:lineRule="exact"/>
        <w:ind w:firstLine="600" w:firstLineChars="200"/>
        <w:rPr>
          <w:rFonts w:ascii="仿宋" w:hAnsi="仿宋" w:eastAsia="仿宋"/>
          <w:sz w:val="30"/>
          <w:szCs w:val="30"/>
        </w:rPr>
      </w:pPr>
      <w:r>
        <w:rPr>
          <w:rFonts w:hint="eastAsia" w:ascii="仿宋" w:hAnsi="仿宋" w:eastAsia="仿宋"/>
          <w:sz w:val="30"/>
          <w:szCs w:val="30"/>
        </w:rPr>
        <w:t>研究拟定学校教育发展规划，贯彻执行党和国家的教育方针、政策。</w:t>
      </w:r>
    </w:p>
    <w:p>
      <w:pPr>
        <w:numPr>
          <w:ilvl w:val="0"/>
          <w:numId w:val="1"/>
        </w:numPr>
        <w:spacing w:line="560" w:lineRule="exact"/>
        <w:ind w:firstLine="600" w:firstLineChars="200"/>
        <w:rPr>
          <w:rFonts w:ascii="仿宋" w:hAnsi="仿宋" w:eastAsia="仿宋"/>
          <w:sz w:val="30"/>
          <w:szCs w:val="30"/>
        </w:rPr>
      </w:pPr>
      <w:r>
        <w:rPr>
          <w:rFonts w:hint="eastAsia" w:ascii="仿宋" w:hAnsi="仿宋" w:eastAsia="仿宋"/>
          <w:sz w:val="30"/>
          <w:szCs w:val="30"/>
        </w:rPr>
        <w:t>研究拟定学校年度教学计划，组织实施教育教学活动。</w:t>
      </w:r>
    </w:p>
    <w:p>
      <w:pPr>
        <w:numPr>
          <w:ilvl w:val="0"/>
          <w:numId w:val="1"/>
        </w:numPr>
        <w:spacing w:line="560" w:lineRule="exact"/>
        <w:ind w:firstLine="600" w:firstLineChars="200"/>
        <w:rPr>
          <w:rFonts w:ascii="仿宋" w:hAnsi="仿宋" w:eastAsia="仿宋"/>
          <w:sz w:val="30"/>
          <w:szCs w:val="30"/>
        </w:rPr>
      </w:pPr>
      <w:r>
        <w:rPr>
          <w:rFonts w:hint="eastAsia" w:ascii="仿宋" w:hAnsi="仿宋" w:eastAsia="仿宋"/>
          <w:sz w:val="30"/>
          <w:szCs w:val="30"/>
        </w:rPr>
        <w:t>管理和指导学校教育教学工作；确保普及九年义务教育工作成果。</w:t>
      </w:r>
    </w:p>
    <w:p>
      <w:pPr>
        <w:numPr>
          <w:ilvl w:val="0"/>
          <w:numId w:val="1"/>
        </w:numPr>
        <w:spacing w:line="560" w:lineRule="exact"/>
        <w:ind w:firstLine="600" w:firstLineChars="200"/>
        <w:rPr>
          <w:rFonts w:ascii="仿宋" w:hAnsi="仿宋" w:eastAsia="仿宋"/>
          <w:sz w:val="30"/>
          <w:szCs w:val="30"/>
        </w:rPr>
      </w:pPr>
      <w:r>
        <w:rPr>
          <w:rFonts w:hint="eastAsia" w:ascii="仿宋" w:hAnsi="仿宋" w:eastAsia="仿宋"/>
          <w:sz w:val="30"/>
          <w:szCs w:val="30"/>
        </w:rPr>
        <w:t>管理学校教育经费；严格执行财务管理制度，保障学校教育教学活动正常开展。</w:t>
      </w:r>
    </w:p>
    <w:p>
      <w:pPr>
        <w:numPr>
          <w:ilvl w:val="0"/>
          <w:numId w:val="1"/>
        </w:numPr>
        <w:spacing w:line="560" w:lineRule="exact"/>
        <w:ind w:firstLine="600" w:firstLineChars="200"/>
      </w:pPr>
      <w:r>
        <w:rPr>
          <w:rFonts w:hint="eastAsia" w:ascii="仿宋" w:hAnsi="仿宋" w:eastAsia="仿宋"/>
          <w:sz w:val="30"/>
          <w:szCs w:val="30"/>
        </w:rPr>
        <w:t>负责和指导学校教职工的思想政治工作，规划学校思想品德教育、体育卫生教育、安全教育、艺术教育和国防教育工作；负责做好社会治安综合治理及安全保卫工作。</w:t>
      </w:r>
    </w:p>
    <w:p>
      <w:pPr>
        <w:pStyle w:val="3"/>
        <w:spacing w:beforeLines="0" w:line="560" w:lineRule="exact"/>
      </w:pPr>
      <w:r>
        <w:rPr>
          <w:rFonts w:hint="eastAsia" w:ascii="仿宋" w:hAnsi="仿宋" w:eastAsia="仿宋"/>
          <w:szCs w:val="30"/>
        </w:rPr>
        <w:t>（六）完成小学学历教育。</w:t>
      </w:r>
    </w:p>
    <w:p>
      <w:pPr>
        <w:pStyle w:val="14"/>
        <w:spacing w:before="0" w:after="0" w:line="560" w:lineRule="exact"/>
        <w:ind w:firstLine="640" w:firstLineChars="200"/>
        <w:rPr>
          <w:rFonts w:ascii="黑体" w:hAnsi="黑体" w:eastAsia="黑体"/>
          <w:b w:val="0"/>
        </w:rPr>
      </w:pPr>
      <w:bookmarkStart w:id="20" w:name="_Toc3287"/>
      <w:r>
        <w:rPr>
          <w:rFonts w:hint="eastAsia" w:ascii="黑体" w:hAnsi="黑体" w:eastAsia="黑体"/>
          <w:b w:val="0"/>
        </w:rPr>
        <w:t>二、2021年重点工作</w:t>
      </w:r>
      <w:bookmarkEnd w:id="18"/>
      <w:bookmarkEnd w:id="19"/>
      <w:r>
        <w:rPr>
          <w:rFonts w:hint="eastAsia" w:ascii="黑体" w:hAnsi="黑体" w:eastAsia="黑体"/>
          <w:b w:val="0"/>
        </w:rPr>
        <w:t>完成情况</w:t>
      </w:r>
      <w:bookmarkEnd w:id="20"/>
    </w:p>
    <w:p>
      <w:pPr>
        <w:spacing w:line="560" w:lineRule="exact"/>
        <w:ind w:firstLine="600" w:firstLineChars="200"/>
        <w:rPr>
          <w:rFonts w:ascii="仿宋" w:hAnsi="仿宋" w:eastAsia="仿宋"/>
          <w:sz w:val="30"/>
          <w:szCs w:val="30"/>
        </w:rPr>
      </w:pPr>
      <w:r>
        <w:rPr>
          <w:rFonts w:hint="eastAsia" w:ascii="仿宋" w:hAnsi="仿宋" w:eastAsia="仿宋"/>
          <w:sz w:val="30"/>
          <w:szCs w:val="30"/>
          <w:u w:val="none" w:color="FFFFFF"/>
          <w:shd w:val="clear" w:fill="FFFFFF"/>
        </w:rPr>
        <w:t>通江县第四小学在县委、县政府的领导下，在上级主管部门的指导下，以尚美承道，立德树人为办学理念，以传统文化香校园、红色血脉代代传、家校共育助成长、艺术活动养身心为办学特色，全面完成了2021年教育教学工作，获得各级政府的一致表彰。</w:t>
      </w:r>
    </w:p>
    <w:p>
      <w:pPr>
        <w:pStyle w:val="13"/>
        <w:ind w:right="440"/>
        <w:jc w:val="center"/>
      </w:pPr>
      <w:bookmarkStart w:id="21" w:name="_Toc15377204"/>
      <w:bookmarkStart w:id="22" w:name="_Toc4628"/>
      <w:bookmarkStart w:id="23" w:name="_Toc15396602"/>
      <w:r>
        <w:rPr>
          <w:rFonts w:hint="eastAsia" w:ascii="黑体" w:hAnsi="黑体" w:eastAsia="黑体"/>
          <w:b w:val="0"/>
        </w:rPr>
        <w:t>第二</w:t>
      </w:r>
      <w:r>
        <w:rPr>
          <w:rFonts w:hint="eastAsia" w:ascii="黑体" w:hAnsi="黑体" w:eastAsia="黑体"/>
          <w:b w:val="0"/>
          <w:u w:val="none" w:color="FFFFFF"/>
          <w:shd w:val="clear" w:fill="FFFFFF"/>
        </w:rPr>
        <w:t>部分</w:t>
      </w:r>
      <w:r>
        <w:rPr>
          <w:rFonts w:hint="eastAsia" w:ascii="黑体" w:hAnsi="黑体" w:eastAsia="黑体"/>
          <w:b w:val="0"/>
        </w:rPr>
        <w:t>2021年度</w:t>
      </w:r>
      <w:r>
        <w:rPr>
          <w:rStyle w:val="30"/>
          <w:rFonts w:hint="eastAsia" w:ascii="黑体" w:hAnsi="黑体" w:eastAsia="黑体"/>
          <w:b w:val="0"/>
          <w:bCs/>
        </w:rPr>
        <w:t>单位决算情况说明</w:t>
      </w:r>
      <w:bookmarkEnd w:id="21"/>
      <w:bookmarkEnd w:id="22"/>
      <w:bookmarkEnd w:id="23"/>
    </w:p>
    <w:p>
      <w:pPr>
        <w:pStyle w:val="29"/>
        <w:numPr>
          <w:ilvl w:val="0"/>
          <w:numId w:val="2"/>
        </w:numPr>
        <w:spacing w:line="600" w:lineRule="exact"/>
        <w:ind w:firstLineChars="0"/>
        <w:outlineLvl w:val="1"/>
        <w:rPr>
          <w:rStyle w:val="31"/>
          <w:rFonts w:ascii="黑体" w:hAnsi="黑体" w:eastAsia="黑体"/>
          <w:b w:val="0"/>
        </w:rPr>
      </w:pPr>
      <w:bookmarkStart w:id="24" w:name="_Toc15396603"/>
      <w:bookmarkStart w:id="25" w:name="_Toc7856"/>
      <w:bookmarkStart w:id="26" w:name="_Toc15377205"/>
      <w:r>
        <w:rPr>
          <w:rFonts w:hint="eastAsia" w:ascii="黑体" w:hAnsi="黑体" w:eastAsia="黑体"/>
          <w:sz w:val="32"/>
          <w:szCs w:val="32"/>
        </w:rPr>
        <w:t>收</w:t>
      </w:r>
      <w:r>
        <w:rPr>
          <w:rStyle w:val="31"/>
          <w:rFonts w:hint="eastAsia" w:ascii="黑体" w:hAnsi="黑体" w:eastAsia="黑体"/>
          <w:b w:val="0"/>
        </w:rPr>
        <w:t>入支出</w:t>
      </w:r>
      <w:r>
        <w:rPr>
          <w:rFonts w:hint="eastAsia" w:ascii="黑体" w:hAnsi="黑体" w:eastAsia="黑体"/>
        </w:rPr>
        <w:t>决算总体情况说明</w:t>
      </w:r>
      <w:bookmarkEnd w:id="24"/>
      <w:bookmarkEnd w:id="25"/>
      <w:bookmarkEnd w:id="26"/>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2021年度收、支总计792.46万元。与2020年相比，收、支总计各减少24.6万元，减少3.01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u w:color="46CD7E"/>
        </w:rPr>
        <w:t>项目</w:t>
      </w:r>
      <w:r>
        <w:rPr>
          <w:rFonts w:hint="eastAsia" w:ascii="仿宋" w:hAnsi="仿宋" w:eastAsia="仿宋"/>
          <w:sz w:val="32"/>
          <w:szCs w:val="32"/>
          <w:u w:val="thick" w:color="FFB03A"/>
          <w:shd w:val="clear" w:color="auto" w:fill="FFEFD8"/>
        </w:rPr>
        <w:t>支出</w:t>
      </w:r>
      <w:r>
        <w:rPr>
          <w:rFonts w:hint="eastAsia" w:ascii="仿宋" w:hAnsi="仿宋" w:eastAsia="仿宋"/>
          <w:sz w:val="32"/>
          <w:szCs w:val="32"/>
        </w:rPr>
        <w:t>减少。</w:t>
      </w:r>
    </w:p>
    <w:p>
      <w:pPr>
        <w:pStyle w:val="3"/>
        <w:spacing w:before="93"/>
        <w:rPr>
          <w:rFonts w:ascii="仿宋" w:hAnsi="仿宋" w:eastAsia="仿宋"/>
          <w:sz w:val="32"/>
          <w:szCs w:val="32"/>
        </w:rPr>
      </w:pPr>
      <w:r>
        <w:rPr>
          <w:rFonts w:hint="eastAsia" w:ascii="仿宋" w:hAnsi="仿宋" w:eastAsia="仿宋"/>
          <w:sz w:val="32"/>
          <w:szCs w:val="32"/>
        </w:rPr>
        <w:drawing>
          <wp:inline distT="0" distB="0" distL="114300" distR="114300">
            <wp:extent cx="5001895" cy="3446780"/>
            <wp:effectExtent l="4445" t="4445" r="22860" b="15875"/>
            <wp:docPr id="204" name="_x0000_i139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9"/>
        <w:numPr>
          <w:ilvl w:val="0"/>
          <w:numId w:val="2"/>
        </w:numPr>
        <w:spacing w:line="600" w:lineRule="exact"/>
        <w:ind w:firstLineChars="0"/>
        <w:outlineLvl w:val="1"/>
        <w:rPr>
          <w:rStyle w:val="31"/>
          <w:rFonts w:ascii="黑体" w:hAnsi="黑体" w:eastAsia="黑体"/>
          <w:b w:val="0"/>
        </w:rPr>
      </w:pPr>
      <w:bookmarkStart w:id="27" w:name="_Toc15396604"/>
      <w:bookmarkStart w:id="28" w:name="_Toc15377206"/>
      <w:bookmarkStart w:id="29" w:name="_Toc20304"/>
      <w:r>
        <w:rPr>
          <w:rFonts w:hint="eastAsia" w:ascii="黑体" w:hAnsi="黑体" w:eastAsia="黑体"/>
          <w:sz w:val="32"/>
          <w:szCs w:val="32"/>
        </w:rPr>
        <w:t>收</w:t>
      </w:r>
      <w:r>
        <w:rPr>
          <w:rStyle w:val="31"/>
          <w:rFonts w:hint="eastAsia" w:ascii="黑体" w:hAnsi="黑体" w:eastAsia="黑体"/>
          <w:b w:val="0"/>
        </w:rPr>
        <w:t>入决算情况说明</w:t>
      </w:r>
      <w:bookmarkEnd w:id="27"/>
      <w:bookmarkEnd w:id="28"/>
      <w:bookmarkEnd w:id="29"/>
    </w:p>
    <w:p>
      <w:pPr>
        <w:spacing w:line="600" w:lineRule="exact"/>
        <w:ind w:firstLine="640" w:firstLineChars="200"/>
        <w:outlineLvl w:val="1"/>
        <w:rPr>
          <w:rFonts w:ascii="仿宋" w:hAnsi="仿宋" w:eastAsia="仿宋"/>
          <w:sz w:val="32"/>
          <w:szCs w:val="32"/>
        </w:rPr>
      </w:pPr>
      <w:bookmarkStart w:id="30" w:name="_Toc30661"/>
      <w:r>
        <w:rPr>
          <w:rFonts w:ascii="仿宋" w:hAnsi="仿宋" w:eastAsia="仿宋"/>
          <w:sz w:val="32"/>
          <w:szCs w:val="32"/>
        </w:rPr>
        <w:t>20</w:t>
      </w:r>
      <w:r>
        <w:rPr>
          <w:rFonts w:hint="eastAsia" w:ascii="仿宋" w:hAnsi="仿宋" w:eastAsia="仿宋"/>
          <w:sz w:val="32"/>
          <w:szCs w:val="32"/>
        </w:rPr>
        <w:t>21年本年收入合计792.46万元，其中：一般公共预算财政拨款收入792.46万元，占100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；营业收入0万元，占比0</w:t>
      </w:r>
      <w:r>
        <w:rPr>
          <w:rFonts w:ascii="仿宋" w:hAnsi="仿宋" w:eastAsia="仿宋"/>
          <w:sz w:val="32"/>
          <w:szCs w:val="32"/>
        </w:rPr>
        <w:t>%</w:t>
      </w:r>
      <w:r>
        <w:rPr>
          <w:rFonts w:hint="eastAsia" w:ascii="仿宋" w:hAnsi="仿宋" w:eastAsia="仿宋"/>
          <w:sz w:val="32"/>
          <w:szCs w:val="32"/>
        </w:rPr>
        <w:t>；经营收入0万元，占比0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bookmarkEnd w:id="30"/>
    </w:p>
    <w:p>
      <w:pPr>
        <w:pStyle w:val="3"/>
        <w:spacing w:before="93"/>
        <w:rPr>
          <w:sz w:val="32"/>
          <w:szCs w:val="32"/>
        </w:rPr>
      </w:pPr>
      <w:r>
        <w:rPr>
          <w:rFonts w:hint="eastAsia" w:ascii="仿宋" w:hAnsi="仿宋" w:eastAsia="仿宋"/>
          <w:sz w:val="32"/>
          <w:szCs w:val="32"/>
        </w:rPr>
        <w:drawing>
          <wp:inline distT="0" distB="0" distL="114300" distR="114300">
            <wp:extent cx="5137785" cy="2545080"/>
            <wp:effectExtent l="4445" t="4445" r="20320" b="22225"/>
            <wp:docPr id="205" name="_x0000_i139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9"/>
        <w:numPr>
          <w:ilvl w:val="0"/>
          <w:numId w:val="2"/>
        </w:numPr>
        <w:spacing w:line="600" w:lineRule="exact"/>
        <w:ind w:firstLineChars="0"/>
        <w:outlineLvl w:val="1"/>
        <w:rPr>
          <w:rStyle w:val="31"/>
          <w:rFonts w:ascii="黑体" w:hAnsi="黑体" w:eastAsia="黑体"/>
          <w:b w:val="0"/>
        </w:rPr>
      </w:pPr>
      <w:bookmarkStart w:id="31" w:name="_Toc22105"/>
      <w:bookmarkStart w:id="32" w:name="_Toc15377207"/>
      <w:bookmarkStart w:id="33" w:name="_Toc15396605"/>
      <w:r>
        <w:rPr>
          <w:rFonts w:hint="eastAsia" w:ascii="黑体" w:hAnsi="黑体" w:eastAsia="黑体"/>
          <w:sz w:val="32"/>
          <w:szCs w:val="32"/>
        </w:rPr>
        <w:t>支</w:t>
      </w:r>
      <w:r>
        <w:rPr>
          <w:rStyle w:val="31"/>
          <w:rFonts w:hint="eastAsia" w:ascii="黑体" w:hAnsi="黑体" w:eastAsia="黑体"/>
          <w:b w:val="0"/>
        </w:rPr>
        <w:t>出</w:t>
      </w:r>
      <w:r>
        <w:rPr>
          <w:rFonts w:hint="eastAsia" w:ascii="黑体" w:hAnsi="黑体" w:eastAsia="黑体"/>
          <w:sz w:val="32"/>
          <w:szCs w:val="32"/>
        </w:rPr>
        <w:t>决算情况说明</w:t>
      </w:r>
      <w:bookmarkEnd w:id="31"/>
      <w:bookmarkEnd w:id="32"/>
      <w:bookmarkEnd w:id="33"/>
    </w:p>
    <w:p>
      <w:pPr>
        <w:spacing w:line="600" w:lineRule="exact"/>
        <w:ind w:firstLine="640" w:firstLineChars="200"/>
        <w:outlineLvl w:val="1"/>
        <w:rPr>
          <w:rFonts w:ascii="仿宋" w:hAnsi="仿宋" w:eastAsia="仿宋"/>
          <w:sz w:val="32"/>
          <w:szCs w:val="32"/>
        </w:rPr>
      </w:pPr>
      <w:bookmarkStart w:id="34" w:name="_Toc24057"/>
      <w:r>
        <w:rPr>
          <w:rFonts w:ascii="仿宋" w:hAnsi="仿宋" w:eastAsia="仿宋"/>
          <w:sz w:val="32"/>
          <w:szCs w:val="32"/>
        </w:rPr>
        <w:t>20</w:t>
      </w:r>
      <w:r>
        <w:rPr>
          <w:rFonts w:hint="eastAsia" w:ascii="仿宋" w:hAnsi="仿宋" w:eastAsia="仿宋"/>
          <w:sz w:val="32"/>
          <w:szCs w:val="32"/>
        </w:rPr>
        <w:t>21年本年支出合计792.46万元，其中：基本支出709.69万元，占89.56</w:t>
      </w:r>
      <w:r>
        <w:rPr>
          <w:rFonts w:ascii="仿宋" w:hAnsi="仿宋" w:eastAsia="仿宋"/>
          <w:sz w:val="32"/>
          <w:szCs w:val="32"/>
        </w:rPr>
        <w:t>%</w:t>
      </w:r>
      <w:r>
        <w:rPr>
          <w:rFonts w:hint="eastAsia" w:ascii="仿宋" w:hAnsi="仿宋" w:eastAsia="仿宋"/>
          <w:sz w:val="32"/>
          <w:szCs w:val="32"/>
        </w:rPr>
        <w:t>；项目支出82.77万元，占10.44</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34"/>
    </w:p>
    <w:p>
      <w:pPr>
        <w:pStyle w:val="3"/>
        <w:spacing w:before="93"/>
        <w:rPr>
          <w:sz w:val="32"/>
          <w:szCs w:val="32"/>
        </w:rPr>
      </w:pPr>
      <w:r>
        <w:rPr>
          <w:rFonts w:hint="eastAsia" w:ascii="仿宋" w:hAnsi="仿宋" w:eastAsia="仿宋"/>
          <w:sz w:val="32"/>
          <w:szCs w:val="32"/>
        </w:rPr>
        <w:drawing>
          <wp:inline distT="0" distB="0" distL="114300" distR="114300">
            <wp:extent cx="5129530" cy="2632075"/>
            <wp:effectExtent l="4445" t="4445" r="9525" b="11430"/>
            <wp:docPr id="206" name="_x0000_i139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outlineLvl w:val="1"/>
        <w:rPr>
          <w:rStyle w:val="31"/>
          <w:rFonts w:ascii="黑体" w:hAnsi="黑体" w:eastAsia="黑体"/>
          <w:b w:val="0"/>
        </w:rPr>
      </w:pPr>
      <w:bookmarkStart w:id="35" w:name="_Toc15377208"/>
      <w:bookmarkStart w:id="36" w:name="_Toc7025"/>
      <w:bookmarkStart w:id="37" w:name="_Toc15396606"/>
      <w:r>
        <w:rPr>
          <w:rFonts w:hint="eastAsia" w:ascii="黑体" w:hAnsi="黑体" w:eastAsia="黑体"/>
          <w:sz w:val="32"/>
          <w:szCs w:val="32"/>
          <w:u w:val="none" w:color="FFFFFF"/>
          <w:shd w:val="clear" w:fill="FFFFFF"/>
        </w:rPr>
        <w:t>四、</w:t>
      </w:r>
      <w:r>
        <w:rPr>
          <w:rFonts w:hint="eastAsia" w:ascii="黑体" w:hAnsi="黑体" w:eastAsia="黑体"/>
          <w:sz w:val="32"/>
          <w:szCs w:val="32"/>
        </w:rPr>
        <w:t>财</w:t>
      </w:r>
      <w:r>
        <w:rPr>
          <w:rStyle w:val="31"/>
          <w:rFonts w:hint="eastAsia" w:ascii="黑体" w:hAnsi="黑体" w:eastAsia="黑体"/>
          <w:b w:val="0"/>
        </w:rPr>
        <w:t>政拨</w:t>
      </w:r>
      <w:r>
        <w:rPr>
          <w:rFonts w:hint="eastAsia" w:ascii="黑体" w:hAnsi="黑体" w:eastAsia="黑体"/>
          <w:sz w:val="32"/>
          <w:szCs w:val="32"/>
        </w:rPr>
        <w:t>款收入支</w:t>
      </w:r>
      <w:r>
        <w:rPr>
          <w:rStyle w:val="31"/>
          <w:rFonts w:hint="eastAsia" w:ascii="黑体" w:hAnsi="黑体" w:eastAsia="黑体"/>
          <w:b w:val="0"/>
        </w:rPr>
        <w:t>出</w:t>
      </w:r>
      <w:r>
        <w:rPr>
          <w:rFonts w:hint="eastAsia" w:ascii="黑体" w:hAnsi="黑体" w:eastAsia="黑体"/>
          <w:sz w:val="32"/>
          <w:szCs w:val="32"/>
        </w:rPr>
        <w:t>决算总体情况说明</w:t>
      </w:r>
      <w:bookmarkEnd w:id="35"/>
      <w:bookmarkEnd w:id="36"/>
      <w:bookmarkEnd w:id="37"/>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21年财政拨款收、支总计792.46万元。与</w:t>
      </w:r>
      <w:r>
        <w:rPr>
          <w:rFonts w:ascii="仿宋" w:hAnsi="仿宋" w:eastAsia="仿宋"/>
          <w:sz w:val="32"/>
          <w:szCs w:val="32"/>
        </w:rPr>
        <w:t>20</w:t>
      </w:r>
      <w:r>
        <w:rPr>
          <w:rFonts w:hint="eastAsia" w:ascii="仿宋" w:hAnsi="仿宋" w:eastAsia="仿宋"/>
          <w:sz w:val="32"/>
          <w:szCs w:val="32"/>
        </w:rPr>
        <w:t>20年相比，财政拨款收、支总计各减少24.6万元，减少3.01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u w:color="46CD7E"/>
        </w:rPr>
        <w:t>项目</w:t>
      </w:r>
      <w:r>
        <w:rPr>
          <w:rFonts w:hint="eastAsia" w:ascii="仿宋" w:hAnsi="仿宋" w:eastAsia="仿宋"/>
          <w:sz w:val="32"/>
          <w:szCs w:val="32"/>
          <w:u w:val="thick" w:color="FFB03A"/>
          <w:shd w:val="clear" w:color="auto" w:fill="FFEFD8"/>
        </w:rPr>
        <w:t>支出</w:t>
      </w:r>
      <w:r>
        <w:rPr>
          <w:rFonts w:hint="eastAsia" w:ascii="仿宋" w:hAnsi="仿宋" w:eastAsia="仿宋"/>
          <w:sz w:val="32"/>
          <w:szCs w:val="32"/>
        </w:rPr>
        <w:t>减少。</w:t>
      </w:r>
    </w:p>
    <w:p>
      <w:pPr>
        <w:pStyle w:val="3"/>
        <w:spacing w:before="93"/>
        <w:rPr>
          <w:rFonts w:ascii="仿宋" w:hAnsi="仿宋" w:eastAsia="仿宋"/>
          <w:sz w:val="32"/>
          <w:szCs w:val="32"/>
        </w:rPr>
      </w:pPr>
      <w:r>
        <w:rPr>
          <w:rFonts w:hint="eastAsia" w:ascii="仿宋" w:hAnsi="仿宋" w:eastAsia="仿宋"/>
          <w:sz w:val="32"/>
          <w:szCs w:val="32"/>
        </w:rPr>
        <w:drawing>
          <wp:inline distT="0" distB="0" distL="114300" distR="114300">
            <wp:extent cx="4993640" cy="2764155"/>
            <wp:effectExtent l="4445" t="4445" r="12065" b="12700"/>
            <wp:docPr id="207" name="_x0000_i139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firstLineChars="200"/>
        <w:outlineLvl w:val="1"/>
        <w:rPr>
          <w:rStyle w:val="31"/>
          <w:rFonts w:ascii="黑体" w:hAnsi="黑体" w:eastAsia="黑体"/>
          <w:b w:val="0"/>
        </w:rPr>
      </w:pPr>
      <w:bookmarkStart w:id="38" w:name="_Toc15377209"/>
      <w:bookmarkStart w:id="39" w:name="_Toc27310"/>
      <w:bookmarkStart w:id="40" w:name="_Toc15396607"/>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w:t>
      </w:r>
      <w:r>
        <w:rPr>
          <w:rFonts w:hint="eastAsia" w:ascii="黑体" w:hAnsi="黑体" w:eastAsia="黑体"/>
          <w:sz w:val="32"/>
          <w:szCs w:val="32"/>
        </w:rPr>
        <w:t>财政拨款支出决算情况说明</w:t>
      </w:r>
      <w:bookmarkEnd w:id="38"/>
      <w:bookmarkEnd w:id="39"/>
      <w:bookmarkEnd w:id="40"/>
    </w:p>
    <w:p>
      <w:pPr>
        <w:spacing w:line="600" w:lineRule="exact"/>
        <w:ind w:firstLine="643" w:firstLineChars="200"/>
        <w:outlineLvl w:val="2"/>
        <w:rPr>
          <w:rFonts w:ascii="仿宋" w:hAnsi="仿宋" w:eastAsia="仿宋"/>
          <w:b/>
          <w:sz w:val="32"/>
          <w:szCs w:val="32"/>
        </w:rPr>
      </w:pPr>
      <w:bookmarkStart w:id="41" w:name="_Toc15377210"/>
      <w:r>
        <w:rPr>
          <w:rFonts w:hint="eastAsia" w:ascii="仿宋" w:hAnsi="仿宋" w:eastAsia="仿宋"/>
          <w:b/>
          <w:sz w:val="32"/>
          <w:szCs w:val="32"/>
          <w:u w:val="thick" w:color="3AB0FF"/>
          <w:shd w:val="clear" w:color="auto" w:fill="D8EFFF"/>
        </w:rPr>
        <w:t>（一）</w:t>
      </w:r>
      <w:r>
        <w:rPr>
          <w:rFonts w:hint="eastAsia" w:ascii="仿宋" w:hAnsi="仿宋" w:eastAsia="仿宋"/>
          <w:b/>
          <w:sz w:val="32"/>
          <w:szCs w:val="32"/>
        </w:rPr>
        <w:t>一般公共预算财政拨款支出决算总体情况</w:t>
      </w:r>
      <w:bookmarkEnd w:id="41"/>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21年一般公共预算财政拨款支出709.69万元，占本年支出合计的100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20年相比，一般公共预算财政拨款支出增加29.55万元，增加4.3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u w:val="none" w:color="FFFFFF"/>
          <w:shd w:val="clear" w:fill="FFFFFF"/>
        </w:rPr>
        <w:t>主要变动原因是</w:t>
      </w:r>
      <w:r>
        <w:rPr>
          <w:rFonts w:hint="eastAsia" w:ascii="仿宋" w:hAnsi="仿宋" w:eastAsia="仿宋"/>
          <w:sz w:val="32"/>
          <w:szCs w:val="32"/>
        </w:rPr>
        <w:t>人员经费增加。</w:t>
      </w:r>
    </w:p>
    <w:p>
      <w:pPr>
        <w:pStyle w:val="3"/>
        <w:spacing w:before="93"/>
        <w:rPr>
          <w:rFonts w:ascii="仿宋" w:hAnsi="仿宋" w:eastAsia="仿宋"/>
          <w:sz w:val="32"/>
          <w:szCs w:val="32"/>
        </w:rPr>
      </w:pPr>
      <w:r>
        <w:rPr>
          <w:rFonts w:hint="eastAsia" w:ascii="仿宋" w:hAnsi="仿宋" w:eastAsia="仿宋"/>
          <w:sz w:val="32"/>
          <w:szCs w:val="32"/>
        </w:rPr>
        <w:drawing>
          <wp:inline distT="0" distB="0" distL="114300" distR="114300">
            <wp:extent cx="5045710" cy="3302635"/>
            <wp:effectExtent l="4445" t="4445" r="17145" b="7620"/>
            <wp:docPr id="208" name="_x0000_i140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3" w:firstLineChars="200"/>
        <w:outlineLvl w:val="2"/>
        <w:rPr>
          <w:rFonts w:ascii="仿宋" w:hAnsi="仿宋" w:eastAsia="仿宋"/>
          <w:b/>
          <w:sz w:val="32"/>
          <w:szCs w:val="32"/>
        </w:rPr>
      </w:pPr>
      <w:bookmarkStart w:id="42" w:name="_Toc15377211"/>
      <w:r>
        <w:rPr>
          <w:rFonts w:hint="eastAsia" w:ascii="仿宋" w:hAnsi="仿宋" w:eastAsia="仿宋"/>
          <w:b/>
          <w:sz w:val="32"/>
          <w:szCs w:val="32"/>
        </w:rPr>
        <w:t>（二）一般公共预算财政拨款支出决算结构情况</w:t>
      </w:r>
      <w:bookmarkEnd w:id="42"/>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21年一般公共预算财政拨款支出792.46万元，主要用于以下方面</w:t>
      </w:r>
      <w:r>
        <w:t>：</w:t>
      </w:r>
      <w:r>
        <w:rPr>
          <w:rFonts w:hint="eastAsia" w:ascii="仿宋" w:hAnsi="仿宋" w:eastAsia="仿宋"/>
          <w:sz w:val="32"/>
          <w:szCs w:val="32"/>
        </w:rPr>
        <w:t>教育支出（类）633.52万元，占79.94</w:t>
      </w:r>
      <w:r>
        <w:rPr>
          <w:rFonts w:ascii="仿宋" w:hAnsi="仿宋" w:eastAsia="仿宋"/>
          <w:sz w:val="32"/>
          <w:szCs w:val="32"/>
        </w:rPr>
        <w:t>%</w:t>
      </w:r>
      <w:r>
        <w:rPr>
          <w:rFonts w:hint="eastAsia" w:ascii="仿宋" w:hAnsi="仿宋" w:eastAsia="仿宋"/>
          <w:sz w:val="32"/>
          <w:szCs w:val="32"/>
        </w:rPr>
        <w:t>；社会保障和就业（类）支出66.21万元，占8.35</w:t>
      </w:r>
      <w:r>
        <w:rPr>
          <w:rFonts w:ascii="仿宋" w:hAnsi="仿宋" w:eastAsia="仿宋"/>
          <w:sz w:val="32"/>
          <w:szCs w:val="32"/>
        </w:rPr>
        <w:t>%</w:t>
      </w:r>
      <w:r>
        <w:rPr>
          <w:rFonts w:hint="eastAsia" w:ascii="仿宋" w:hAnsi="仿宋" w:eastAsia="仿宋"/>
          <w:sz w:val="32"/>
          <w:szCs w:val="32"/>
        </w:rPr>
        <w:t>；卫生健康支出39.47万元，占4.98</w:t>
      </w:r>
      <w:r>
        <w:rPr>
          <w:rFonts w:ascii="仿宋" w:hAnsi="仿宋" w:eastAsia="仿宋"/>
          <w:sz w:val="32"/>
          <w:szCs w:val="32"/>
        </w:rPr>
        <w:t>%</w:t>
      </w:r>
      <w:r>
        <w:rPr>
          <w:rFonts w:hint="eastAsia" w:ascii="仿宋" w:hAnsi="仿宋" w:eastAsia="仿宋"/>
          <w:sz w:val="32"/>
          <w:szCs w:val="32"/>
        </w:rPr>
        <w:t>；农林水支出3.6万元，占0.45</w:t>
      </w:r>
      <w:r>
        <w:rPr>
          <w:rFonts w:ascii="仿宋" w:hAnsi="仿宋" w:eastAsia="仿宋"/>
          <w:sz w:val="32"/>
          <w:szCs w:val="32"/>
        </w:rPr>
        <w:t>%</w:t>
      </w:r>
      <w:r>
        <w:rPr>
          <w:rFonts w:hint="eastAsia" w:ascii="仿宋" w:hAnsi="仿宋" w:eastAsia="仿宋"/>
          <w:sz w:val="32"/>
          <w:szCs w:val="32"/>
        </w:rPr>
        <w:t>；住房保障支出49.66万元，占比6.28</w:t>
      </w:r>
      <w:r>
        <w:rPr>
          <w:rFonts w:ascii="仿宋" w:hAnsi="仿宋" w:eastAsia="仿宋"/>
          <w:sz w:val="32"/>
          <w:szCs w:val="32"/>
        </w:rPr>
        <w:t>%</w:t>
      </w:r>
      <w:r>
        <w:rPr>
          <w:rFonts w:hint="eastAsia" w:ascii="仿宋" w:hAnsi="仿宋" w:eastAsia="仿宋"/>
          <w:sz w:val="32"/>
          <w:szCs w:val="32"/>
        </w:rPr>
        <w:t>。</w:t>
      </w:r>
    </w:p>
    <w:p>
      <w:pPr>
        <w:pStyle w:val="3"/>
        <w:spacing w:before="93"/>
        <w:rPr>
          <w:rFonts w:ascii="仿宋" w:hAnsi="仿宋" w:eastAsia="仿宋"/>
          <w:sz w:val="32"/>
          <w:szCs w:val="32"/>
        </w:rPr>
      </w:pPr>
      <w:r>
        <w:rPr>
          <w:rFonts w:hint="eastAsia" w:ascii="仿宋" w:hAnsi="仿宋" w:eastAsia="仿宋"/>
          <w:sz w:val="32"/>
          <w:szCs w:val="32"/>
        </w:rPr>
        <w:drawing>
          <wp:inline distT="0" distB="0" distL="114300" distR="114300">
            <wp:extent cx="4906645" cy="3300730"/>
            <wp:effectExtent l="4445" t="4445" r="22860" b="9525"/>
            <wp:docPr id="209" name="_x0000_i140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ind w:firstLine="643" w:firstLineChars="200"/>
        <w:outlineLvl w:val="2"/>
        <w:rPr>
          <w:rFonts w:ascii="仿宋" w:hAnsi="仿宋" w:eastAsia="仿宋"/>
          <w:b/>
          <w:sz w:val="32"/>
          <w:szCs w:val="32"/>
        </w:rPr>
      </w:pPr>
      <w:bookmarkStart w:id="43" w:name="_Toc15377212"/>
      <w:r>
        <w:rPr>
          <w:rFonts w:hint="eastAsia" w:ascii="仿宋" w:hAnsi="仿宋" w:eastAsia="仿宋"/>
          <w:b/>
          <w:sz w:val="32"/>
          <w:szCs w:val="32"/>
        </w:rPr>
        <w:t>（三）一般公共预算财政拨款支出决算具体情况</w:t>
      </w:r>
      <w:bookmarkEnd w:id="43"/>
    </w:p>
    <w:p>
      <w:pPr>
        <w:spacing w:line="600" w:lineRule="exact"/>
        <w:ind w:firstLine="640" w:firstLineChars="200"/>
        <w:outlineLvl w:val="2"/>
        <w:rPr>
          <w:rStyle w:val="10"/>
          <w:rFonts w:ascii="仿宋" w:hAnsi="仿宋" w:eastAsia="仿宋"/>
          <w:b w:val="0"/>
          <w:bCs/>
          <w:sz w:val="32"/>
          <w:szCs w:val="32"/>
        </w:rPr>
      </w:pPr>
      <w:bookmarkStart w:id="44" w:name="_Toc15377213"/>
      <w:bookmarkStart w:id="45" w:name="_Toc15378460"/>
      <w:bookmarkStart w:id="46" w:name="_Toc15377444"/>
      <w:r>
        <w:rPr>
          <w:rFonts w:hint="eastAsia" w:ascii="仿宋" w:hAnsi="仿宋" w:eastAsia="仿宋"/>
          <w:bCs/>
          <w:sz w:val="32"/>
          <w:szCs w:val="32"/>
        </w:rPr>
        <w:t>2021年一般公共预算支出决算数为792.46万元，</w:t>
      </w:r>
      <w:r>
        <w:rPr>
          <w:rStyle w:val="10"/>
          <w:rFonts w:hint="eastAsia" w:ascii="仿宋" w:hAnsi="仿宋" w:eastAsia="仿宋"/>
          <w:b w:val="0"/>
          <w:bCs/>
          <w:sz w:val="32"/>
          <w:szCs w:val="32"/>
        </w:rPr>
        <w:t>完成预算的100</w:t>
      </w:r>
      <w:r>
        <w:rPr>
          <w:rStyle w:val="10"/>
          <w:rFonts w:ascii="仿宋" w:hAnsi="仿宋" w:eastAsia="仿宋"/>
          <w:b w:val="0"/>
          <w:bCs/>
          <w:sz w:val="32"/>
          <w:szCs w:val="32"/>
        </w:rPr>
        <w:t>%</w:t>
      </w:r>
      <w:r>
        <w:rPr>
          <w:rStyle w:val="10"/>
          <w:rFonts w:hint="eastAsia" w:ascii="仿宋" w:hAnsi="仿宋" w:eastAsia="仿宋"/>
          <w:b w:val="0"/>
          <w:bCs/>
          <w:sz w:val="32"/>
          <w:szCs w:val="32"/>
        </w:rPr>
        <w:t>。其中</w:t>
      </w:r>
      <w:r>
        <w:rPr>
          <w:rStyle w:val="10"/>
          <w:rFonts w:hint="eastAsia" w:ascii="仿宋" w:hAnsi="仿宋" w:eastAsia="仿宋"/>
          <w:b w:val="0"/>
          <w:bCs/>
          <w:sz w:val="32"/>
          <w:szCs w:val="32"/>
          <w:u w:val="none" w:color="FFFFFF"/>
          <w:shd w:val="clear" w:fill="FFFFFF"/>
        </w:rPr>
        <w:t>：</w:t>
      </w:r>
      <w:bookmarkEnd w:id="44"/>
      <w:bookmarkEnd w:id="45"/>
      <w:bookmarkEnd w:id="46"/>
    </w:p>
    <w:p>
      <w:pPr>
        <w:spacing w:line="600" w:lineRule="exact"/>
        <w:ind w:firstLine="643" w:firstLineChars="200"/>
        <w:outlineLvl w:val="2"/>
        <w:rPr>
          <w:rStyle w:val="10"/>
          <w:rFonts w:ascii="仿宋" w:hAnsi="仿宋" w:eastAsia="仿宋"/>
          <w:b w:val="0"/>
          <w:bCs/>
          <w:sz w:val="32"/>
          <w:szCs w:val="32"/>
        </w:rPr>
      </w:pPr>
      <w:r>
        <w:rPr>
          <w:rStyle w:val="10"/>
          <w:rFonts w:ascii="仿宋" w:hAnsi="仿宋" w:eastAsia="仿宋"/>
          <w:bCs/>
          <w:color w:val="000000"/>
          <w:sz w:val="32"/>
          <w:szCs w:val="32"/>
        </w:rPr>
        <w:t>1.</w:t>
      </w:r>
      <w:r>
        <w:rPr>
          <w:rStyle w:val="10"/>
          <w:rFonts w:hint="eastAsia" w:ascii="仿宋" w:hAnsi="仿宋" w:eastAsia="仿宋"/>
          <w:bCs/>
          <w:color w:val="000000"/>
          <w:sz w:val="32"/>
          <w:szCs w:val="32"/>
        </w:rPr>
        <w:t>教育（类）普通教育（款）小学教育（项）</w:t>
      </w:r>
      <w:r>
        <w:rPr>
          <w:rStyle w:val="10"/>
          <w:rFonts w:ascii="仿宋" w:hAnsi="仿宋" w:eastAsia="仿宋"/>
          <w:bCs/>
          <w:color w:val="000000"/>
          <w:sz w:val="32"/>
          <w:szCs w:val="32"/>
        </w:rPr>
        <w:t>:</w:t>
      </w:r>
      <w:r>
        <w:rPr>
          <w:rStyle w:val="10"/>
          <w:rFonts w:hint="eastAsia" w:ascii="仿宋" w:hAnsi="仿宋" w:eastAsia="仿宋"/>
          <w:b w:val="0"/>
          <w:bCs/>
          <w:sz w:val="32"/>
          <w:szCs w:val="32"/>
        </w:rPr>
        <w:t>支出</w:t>
      </w:r>
      <w:r>
        <w:rPr>
          <w:rFonts w:hint="eastAsia" w:ascii="仿宋" w:hAnsi="仿宋" w:eastAsia="仿宋"/>
          <w:bCs/>
          <w:sz w:val="32"/>
          <w:szCs w:val="32"/>
        </w:rPr>
        <w:t>决算为</w:t>
      </w:r>
      <w:r>
        <w:rPr>
          <w:rFonts w:hint="eastAsia" w:ascii="仿宋" w:hAnsi="仿宋" w:eastAsia="仿宋"/>
          <w:sz w:val="32"/>
          <w:szCs w:val="32"/>
        </w:rPr>
        <w:t>633.52</w:t>
      </w:r>
      <w:r>
        <w:rPr>
          <w:rStyle w:val="10"/>
          <w:rFonts w:hint="eastAsia" w:ascii="仿宋" w:hAnsi="仿宋" w:eastAsia="仿宋"/>
          <w:b w:val="0"/>
          <w:bCs/>
          <w:sz w:val="32"/>
          <w:szCs w:val="32"/>
        </w:rPr>
        <w:t>万元，完成预算100</w:t>
      </w:r>
      <w:r>
        <w:rPr>
          <w:rStyle w:val="10"/>
          <w:rFonts w:ascii="仿宋" w:hAnsi="仿宋" w:eastAsia="仿宋"/>
          <w:b w:val="0"/>
          <w:bCs/>
          <w:sz w:val="32"/>
          <w:szCs w:val="32"/>
        </w:rPr>
        <w:t>%</w:t>
      </w:r>
      <w:r>
        <w:rPr>
          <w:rStyle w:val="10"/>
          <w:rFonts w:hint="eastAsia" w:ascii="仿宋" w:hAnsi="仿宋" w:eastAsia="仿宋"/>
          <w:b w:val="0"/>
          <w:bCs/>
          <w:sz w:val="32"/>
          <w:szCs w:val="32"/>
        </w:rPr>
        <w:t>。</w:t>
      </w:r>
    </w:p>
    <w:p>
      <w:pPr>
        <w:spacing w:line="600" w:lineRule="exact"/>
        <w:ind w:firstLine="643" w:firstLineChars="200"/>
        <w:rPr>
          <w:rStyle w:val="10"/>
          <w:rFonts w:ascii="仿宋" w:hAnsi="仿宋" w:eastAsia="仿宋"/>
          <w:b w:val="0"/>
          <w:bCs/>
          <w:sz w:val="32"/>
          <w:szCs w:val="32"/>
        </w:rPr>
      </w:pPr>
      <w:r>
        <w:rPr>
          <w:rStyle w:val="10"/>
          <w:rFonts w:ascii="仿宋" w:hAnsi="仿宋" w:eastAsia="仿宋"/>
          <w:bCs/>
          <w:color w:val="000000"/>
          <w:sz w:val="32"/>
          <w:szCs w:val="32"/>
          <w:u w:color="46CD7E"/>
        </w:rPr>
        <w:t>2.</w:t>
      </w:r>
      <w:r>
        <w:rPr>
          <w:rStyle w:val="10"/>
          <w:rFonts w:hint="eastAsia" w:ascii="仿宋" w:hAnsi="仿宋" w:eastAsia="仿宋"/>
          <w:bCs/>
          <w:color w:val="000000"/>
          <w:sz w:val="32"/>
          <w:szCs w:val="32"/>
        </w:rPr>
        <w:t>行政事业养老支出（款）机关事业单位基本养老保</w:t>
      </w:r>
      <w:r>
        <w:rPr>
          <w:rFonts w:hint="eastAsia" w:ascii="仿宋" w:hAnsi="仿宋" w:eastAsia="仿宋"/>
          <w:bCs/>
          <w:color w:val="000000"/>
          <w:sz w:val="32"/>
          <w:szCs w:val="32"/>
        </w:rPr>
        <w:t>险缴</w:t>
      </w:r>
      <w:r>
        <w:rPr>
          <w:rStyle w:val="10"/>
          <w:rFonts w:hint="eastAsia" w:ascii="仿宋" w:hAnsi="仿宋" w:eastAsia="仿宋"/>
          <w:bCs/>
          <w:color w:val="000000"/>
          <w:sz w:val="32"/>
          <w:szCs w:val="32"/>
        </w:rPr>
        <w:t>费</w:t>
      </w:r>
      <w:r>
        <w:rPr>
          <w:rFonts w:hint="eastAsia" w:ascii="仿宋" w:hAnsi="仿宋" w:eastAsia="仿宋"/>
          <w:bCs/>
          <w:color w:val="000000"/>
          <w:sz w:val="32"/>
          <w:szCs w:val="32"/>
        </w:rPr>
        <w:t>支</w:t>
      </w:r>
      <w:r>
        <w:rPr>
          <w:rStyle w:val="10"/>
          <w:rFonts w:hint="eastAsia" w:ascii="仿宋" w:hAnsi="仿宋" w:eastAsia="仿宋"/>
          <w:bCs/>
          <w:color w:val="000000"/>
          <w:sz w:val="32"/>
          <w:szCs w:val="32"/>
        </w:rPr>
        <w:t>出（项）</w:t>
      </w:r>
      <w:r>
        <w:rPr>
          <w:rStyle w:val="10"/>
          <w:rFonts w:ascii="仿宋" w:hAnsi="仿宋" w:eastAsia="仿宋"/>
          <w:bCs/>
          <w:color w:val="000000"/>
          <w:sz w:val="32"/>
          <w:szCs w:val="32"/>
        </w:rPr>
        <w:t>:</w:t>
      </w:r>
      <w:r>
        <w:rPr>
          <w:rStyle w:val="10"/>
          <w:rFonts w:hint="eastAsia" w:ascii="仿宋" w:hAnsi="仿宋" w:eastAsia="仿宋"/>
          <w:b w:val="0"/>
          <w:bCs/>
          <w:sz w:val="32"/>
          <w:szCs w:val="32"/>
        </w:rPr>
        <w:t>支出</w:t>
      </w:r>
      <w:r>
        <w:rPr>
          <w:rFonts w:hint="eastAsia" w:ascii="仿宋" w:hAnsi="仿宋" w:eastAsia="仿宋"/>
          <w:bCs/>
          <w:sz w:val="32"/>
          <w:szCs w:val="32"/>
        </w:rPr>
        <w:t>决算为</w:t>
      </w:r>
      <w:r>
        <w:rPr>
          <w:rFonts w:hint="eastAsia" w:ascii="仿宋" w:hAnsi="仿宋" w:eastAsia="仿宋"/>
          <w:sz w:val="32"/>
          <w:szCs w:val="32"/>
        </w:rPr>
        <w:t>66.21</w:t>
      </w:r>
      <w:r>
        <w:rPr>
          <w:rStyle w:val="10"/>
          <w:rFonts w:hint="eastAsia" w:ascii="仿宋" w:hAnsi="仿宋" w:eastAsia="仿宋"/>
          <w:b w:val="0"/>
          <w:bCs/>
          <w:sz w:val="32"/>
          <w:szCs w:val="32"/>
        </w:rPr>
        <w:t>万元，完成预算100</w:t>
      </w:r>
      <w:r>
        <w:rPr>
          <w:rStyle w:val="10"/>
          <w:rFonts w:ascii="仿宋" w:hAnsi="仿宋" w:eastAsia="仿宋"/>
          <w:b w:val="0"/>
          <w:bCs/>
          <w:sz w:val="32"/>
          <w:szCs w:val="32"/>
        </w:rPr>
        <w:t>%</w:t>
      </w:r>
      <w:r>
        <w:rPr>
          <w:rStyle w:val="10"/>
          <w:rFonts w:hint="eastAsia" w:ascii="仿宋" w:hAnsi="仿宋" w:eastAsia="仿宋"/>
          <w:b w:val="0"/>
          <w:bCs/>
          <w:sz w:val="32"/>
          <w:szCs w:val="32"/>
        </w:rPr>
        <w:t>。</w:t>
      </w:r>
    </w:p>
    <w:p>
      <w:pPr>
        <w:spacing w:line="600" w:lineRule="exact"/>
        <w:rPr>
          <w:rFonts w:ascii="仿宋" w:hAnsi="仿宋" w:eastAsia="仿宋"/>
          <w:bCs/>
          <w:sz w:val="32"/>
          <w:szCs w:val="32"/>
        </w:rPr>
      </w:pPr>
      <w:r>
        <w:rPr>
          <w:rStyle w:val="10"/>
          <w:rFonts w:hint="eastAsia" w:ascii="仿宋" w:hAnsi="仿宋" w:eastAsia="仿宋"/>
          <w:b w:val="0"/>
          <w:bCs/>
          <w:sz w:val="32"/>
          <w:szCs w:val="32"/>
        </w:rPr>
        <w:t xml:space="preserve">   </w:t>
      </w:r>
      <w:r>
        <w:rPr>
          <w:rStyle w:val="10"/>
          <w:rFonts w:ascii="仿宋" w:hAnsi="仿宋" w:eastAsia="仿宋"/>
          <w:b w:val="0"/>
          <w:bCs/>
          <w:sz w:val="32"/>
          <w:szCs w:val="32"/>
        </w:rPr>
        <w:t>3</w:t>
      </w:r>
      <w:r>
        <w:rPr>
          <w:rStyle w:val="10"/>
          <w:rFonts w:hint="eastAsia" w:ascii="仿宋" w:hAnsi="仿宋" w:eastAsia="仿宋"/>
          <w:bCs/>
          <w:color w:val="000000"/>
          <w:sz w:val="32"/>
          <w:szCs w:val="32"/>
        </w:rPr>
        <w:t>.卫生健康（类）</w:t>
      </w:r>
      <w:r>
        <w:rPr>
          <w:rFonts w:hint="eastAsia" w:ascii="仿宋" w:hAnsi="仿宋" w:eastAsia="仿宋"/>
          <w:bCs/>
          <w:color w:val="000000"/>
          <w:sz w:val="32"/>
          <w:szCs w:val="32"/>
        </w:rPr>
        <w:t>行政事业单位医疗（款</w:t>
      </w:r>
      <w:r>
        <w:rPr>
          <w:rFonts w:hint="eastAsia" w:ascii="仿宋" w:hAnsi="仿宋" w:eastAsia="仿宋"/>
          <w:bCs/>
          <w:color w:val="000000"/>
          <w:sz w:val="32"/>
          <w:szCs w:val="32"/>
          <w:u w:val="thick" w:color="909090"/>
          <w:shd w:val="clear" w:color="auto" w:fill="DDDDDD"/>
        </w:rPr>
        <w:t>）</w:t>
      </w:r>
      <w:r>
        <w:rPr>
          <w:rFonts w:hint="eastAsia" w:ascii="仿宋" w:hAnsi="仿宋" w:eastAsia="仿宋"/>
          <w:bCs/>
          <w:color w:val="000000"/>
          <w:sz w:val="32"/>
          <w:szCs w:val="32"/>
        </w:rPr>
        <w:t>事业单位医疗</w:t>
      </w:r>
      <w:r>
        <w:rPr>
          <w:rStyle w:val="10"/>
          <w:rFonts w:hint="eastAsia" w:ascii="仿宋" w:hAnsi="仿宋" w:eastAsia="仿宋"/>
          <w:bCs/>
          <w:color w:val="000000"/>
          <w:sz w:val="32"/>
          <w:szCs w:val="32"/>
          <w:u w:color="46CD7E"/>
        </w:rPr>
        <w:t>：</w:t>
      </w:r>
      <w:r>
        <w:rPr>
          <w:rStyle w:val="10"/>
          <w:rFonts w:hint="eastAsia" w:ascii="仿宋" w:hAnsi="仿宋" w:eastAsia="仿宋"/>
          <w:b w:val="0"/>
          <w:bCs/>
          <w:sz w:val="32"/>
          <w:szCs w:val="32"/>
        </w:rPr>
        <w:t>支出</w:t>
      </w:r>
      <w:r>
        <w:rPr>
          <w:rFonts w:hint="eastAsia" w:ascii="仿宋" w:hAnsi="仿宋" w:eastAsia="仿宋"/>
          <w:bCs/>
          <w:sz w:val="32"/>
          <w:szCs w:val="32"/>
        </w:rPr>
        <w:t>决算为</w:t>
      </w:r>
      <w:r>
        <w:rPr>
          <w:rFonts w:hint="eastAsia" w:ascii="仿宋" w:hAnsi="仿宋" w:eastAsia="仿宋"/>
          <w:sz w:val="32"/>
          <w:szCs w:val="32"/>
        </w:rPr>
        <w:t>39.47</w:t>
      </w:r>
      <w:r>
        <w:rPr>
          <w:rStyle w:val="10"/>
          <w:rFonts w:hint="eastAsia" w:ascii="仿宋" w:hAnsi="仿宋" w:eastAsia="仿宋"/>
          <w:b w:val="0"/>
          <w:bCs/>
          <w:sz w:val="32"/>
          <w:szCs w:val="32"/>
        </w:rPr>
        <w:t>万元，完成预算100</w:t>
      </w:r>
      <w:r>
        <w:rPr>
          <w:rStyle w:val="10"/>
          <w:rFonts w:ascii="仿宋" w:hAnsi="仿宋" w:eastAsia="仿宋"/>
          <w:b w:val="0"/>
          <w:bCs/>
          <w:sz w:val="32"/>
          <w:szCs w:val="32"/>
        </w:rPr>
        <w:t>%</w:t>
      </w:r>
      <w:r>
        <w:rPr>
          <w:rStyle w:val="10"/>
          <w:rFonts w:hint="eastAsia" w:ascii="仿宋" w:hAnsi="仿宋" w:eastAsia="仿宋"/>
          <w:b w:val="0"/>
          <w:bCs/>
          <w:sz w:val="32"/>
          <w:szCs w:val="32"/>
        </w:rPr>
        <w:t>。</w:t>
      </w:r>
    </w:p>
    <w:p>
      <w:pPr>
        <w:spacing w:line="600" w:lineRule="exact"/>
        <w:ind w:firstLine="643" w:firstLineChars="200"/>
        <w:rPr>
          <w:rStyle w:val="10"/>
          <w:rFonts w:ascii="仿宋" w:hAnsi="仿宋" w:eastAsia="仿宋"/>
          <w:b w:val="0"/>
          <w:bCs/>
          <w:sz w:val="32"/>
          <w:szCs w:val="32"/>
        </w:rPr>
      </w:pPr>
      <w:r>
        <w:rPr>
          <w:rStyle w:val="10"/>
          <w:rFonts w:ascii="仿宋" w:hAnsi="仿宋" w:eastAsia="仿宋"/>
          <w:bCs/>
          <w:color w:val="000000"/>
          <w:sz w:val="32"/>
          <w:szCs w:val="32"/>
        </w:rPr>
        <w:t>4</w:t>
      </w:r>
      <w:r>
        <w:rPr>
          <w:rStyle w:val="10"/>
          <w:rFonts w:hint="eastAsia" w:ascii="仿宋" w:hAnsi="仿宋" w:eastAsia="仿宋"/>
          <w:bCs/>
          <w:color w:val="000000"/>
          <w:sz w:val="32"/>
          <w:szCs w:val="32"/>
        </w:rPr>
        <w:t>.农林水支出</w:t>
      </w:r>
      <w:r>
        <w:rPr>
          <w:rFonts w:hint="eastAsia" w:ascii="仿宋" w:hAnsi="仿宋" w:eastAsia="仿宋"/>
          <w:bCs/>
          <w:color w:val="000000"/>
          <w:sz w:val="32"/>
          <w:szCs w:val="32"/>
        </w:rPr>
        <w:t>（类</w:t>
      </w:r>
      <w:r>
        <w:rPr>
          <w:rStyle w:val="10"/>
          <w:rFonts w:hint="eastAsia" w:ascii="仿宋" w:hAnsi="仿宋" w:eastAsia="仿宋"/>
          <w:bCs/>
          <w:color w:val="000000"/>
          <w:sz w:val="32"/>
          <w:szCs w:val="32"/>
        </w:rPr>
        <w:t>）</w:t>
      </w:r>
      <w:r>
        <w:rPr>
          <w:rFonts w:hint="eastAsia" w:ascii="仿宋" w:hAnsi="仿宋" w:eastAsia="仿宋"/>
          <w:bCs/>
          <w:color w:val="000000"/>
          <w:sz w:val="32"/>
          <w:szCs w:val="32"/>
        </w:rPr>
        <w:t>扶贫（款</w:t>
      </w:r>
      <w:r>
        <w:t>）</w:t>
      </w:r>
      <w:r>
        <w:rPr>
          <w:rFonts w:hint="eastAsia" w:ascii="仿宋" w:hAnsi="仿宋" w:eastAsia="仿宋"/>
          <w:bCs/>
          <w:color w:val="000000"/>
          <w:sz w:val="32"/>
          <w:szCs w:val="32"/>
        </w:rPr>
        <w:t>其他扶贫支出（项）：支</w:t>
      </w:r>
      <w:r>
        <w:rPr>
          <w:rStyle w:val="10"/>
          <w:rFonts w:hint="eastAsia" w:ascii="仿宋" w:hAnsi="仿宋" w:eastAsia="仿宋"/>
          <w:b w:val="0"/>
          <w:bCs/>
          <w:sz w:val="32"/>
          <w:szCs w:val="32"/>
        </w:rPr>
        <w:t>出</w:t>
      </w:r>
      <w:r>
        <w:rPr>
          <w:rFonts w:hint="eastAsia" w:ascii="仿宋" w:hAnsi="仿宋" w:eastAsia="仿宋"/>
          <w:bCs/>
          <w:sz w:val="32"/>
          <w:szCs w:val="32"/>
        </w:rPr>
        <w:t>决算为</w:t>
      </w:r>
      <w:r>
        <w:rPr>
          <w:rStyle w:val="10"/>
          <w:rFonts w:hint="eastAsia" w:ascii="仿宋" w:hAnsi="仿宋" w:eastAsia="仿宋"/>
          <w:b w:val="0"/>
          <w:bCs/>
          <w:sz w:val="32"/>
          <w:szCs w:val="32"/>
        </w:rPr>
        <w:t>3.6万元，完成预算100</w:t>
      </w:r>
      <w:r>
        <w:rPr>
          <w:rStyle w:val="10"/>
          <w:rFonts w:ascii="仿宋" w:hAnsi="仿宋" w:eastAsia="仿宋"/>
          <w:b w:val="0"/>
          <w:bCs/>
          <w:sz w:val="32"/>
          <w:szCs w:val="32"/>
        </w:rPr>
        <w:t>%</w:t>
      </w:r>
      <w:r>
        <w:rPr>
          <w:rStyle w:val="10"/>
          <w:rFonts w:hint="eastAsia" w:ascii="仿宋" w:hAnsi="仿宋" w:eastAsia="仿宋"/>
          <w:b w:val="0"/>
          <w:bCs/>
          <w:sz w:val="32"/>
          <w:szCs w:val="32"/>
        </w:rPr>
        <w:t>。</w:t>
      </w:r>
    </w:p>
    <w:p>
      <w:pPr>
        <w:spacing w:line="600" w:lineRule="exact"/>
        <w:ind w:firstLine="643" w:firstLineChars="200"/>
        <w:rPr>
          <w:rFonts w:ascii="仿宋" w:hAnsi="仿宋" w:eastAsia="仿宋"/>
          <w:bCs/>
          <w:sz w:val="32"/>
          <w:szCs w:val="32"/>
        </w:rPr>
      </w:pPr>
      <w:r>
        <w:rPr>
          <w:rStyle w:val="10"/>
          <w:rFonts w:ascii="仿宋" w:hAnsi="仿宋" w:eastAsia="仿宋"/>
          <w:bCs/>
          <w:color w:val="000000"/>
          <w:sz w:val="32"/>
          <w:szCs w:val="32"/>
        </w:rPr>
        <w:t>5</w:t>
      </w:r>
      <w:r>
        <w:rPr>
          <w:rStyle w:val="10"/>
          <w:rFonts w:hint="eastAsia" w:ascii="仿宋" w:hAnsi="仿宋" w:eastAsia="仿宋"/>
          <w:bCs/>
          <w:color w:val="000000"/>
          <w:sz w:val="32"/>
          <w:szCs w:val="32"/>
        </w:rPr>
        <w:t>.住房保</w:t>
      </w:r>
      <w:r>
        <w:rPr>
          <w:rFonts w:hint="eastAsia" w:ascii="仿宋" w:hAnsi="仿宋" w:eastAsia="仿宋"/>
          <w:bCs/>
          <w:color w:val="000000"/>
          <w:sz w:val="32"/>
          <w:szCs w:val="32"/>
        </w:rPr>
        <w:t>障支</w:t>
      </w:r>
      <w:r>
        <w:rPr>
          <w:rStyle w:val="10"/>
          <w:rFonts w:hint="eastAsia" w:ascii="仿宋" w:hAnsi="仿宋" w:eastAsia="仿宋"/>
          <w:bCs/>
          <w:color w:val="000000"/>
          <w:sz w:val="32"/>
          <w:szCs w:val="32"/>
        </w:rPr>
        <w:t>出</w:t>
      </w:r>
      <w:r>
        <w:rPr>
          <w:rFonts w:hint="eastAsia" w:ascii="仿宋" w:hAnsi="仿宋" w:eastAsia="仿宋"/>
          <w:bCs/>
          <w:color w:val="000000"/>
          <w:sz w:val="32"/>
          <w:szCs w:val="32"/>
        </w:rPr>
        <w:t>（类</w:t>
      </w:r>
      <w:r>
        <w:rPr>
          <w:rStyle w:val="10"/>
          <w:rFonts w:hint="eastAsia" w:ascii="仿宋" w:hAnsi="仿宋" w:eastAsia="仿宋"/>
          <w:bCs/>
          <w:color w:val="000000"/>
          <w:sz w:val="32"/>
          <w:szCs w:val="32"/>
        </w:rPr>
        <w:t>）</w:t>
      </w:r>
      <w:r>
        <w:rPr>
          <w:rFonts w:hint="eastAsia" w:ascii="仿宋" w:hAnsi="仿宋" w:eastAsia="仿宋"/>
          <w:bCs/>
          <w:color w:val="000000"/>
          <w:sz w:val="32"/>
          <w:szCs w:val="32"/>
        </w:rPr>
        <w:t>住房改革支出</w:t>
      </w:r>
      <w:r>
        <w:rPr>
          <w:rFonts w:hint="eastAsia" w:ascii="仿宋" w:hAnsi="仿宋" w:eastAsia="仿宋"/>
          <w:bCs/>
          <w:color w:val="000000"/>
          <w:sz w:val="32"/>
          <w:szCs w:val="32"/>
          <w:u w:val="thick" w:color="909090"/>
          <w:shd w:val="clear" w:color="auto" w:fill="DDDDDD"/>
        </w:rPr>
        <w:t>（</w:t>
      </w:r>
      <w:r>
        <w:rPr>
          <w:rFonts w:hint="eastAsia" w:ascii="仿宋" w:hAnsi="仿宋" w:eastAsia="仿宋"/>
          <w:bCs/>
          <w:color w:val="000000"/>
          <w:sz w:val="32"/>
          <w:szCs w:val="32"/>
        </w:rPr>
        <w:t>款</w:t>
      </w:r>
      <w:r>
        <w:rPr>
          <w:rFonts w:ascii="仿宋" w:hAnsi="仿宋" w:eastAsia="仿宋"/>
          <w:bCs/>
          <w:color w:val="000000"/>
          <w:sz w:val="32"/>
          <w:szCs w:val="32"/>
        </w:rPr>
        <w:t>）</w:t>
      </w:r>
      <w:r>
        <w:rPr>
          <w:rFonts w:hint="eastAsia" w:ascii="仿宋" w:hAnsi="仿宋" w:eastAsia="仿宋"/>
          <w:bCs/>
          <w:color w:val="000000"/>
          <w:sz w:val="32"/>
          <w:szCs w:val="32"/>
        </w:rPr>
        <w:t>住房公积金</w:t>
      </w:r>
      <w:r>
        <w:rPr>
          <w:rFonts w:hint="eastAsia" w:ascii="仿宋" w:hAnsi="仿宋" w:eastAsia="仿宋"/>
          <w:bCs/>
          <w:color w:val="000000"/>
          <w:sz w:val="32"/>
          <w:szCs w:val="32"/>
          <w:u w:val="thick" w:color="909090"/>
          <w:shd w:val="clear" w:color="auto" w:fill="DDDDDD"/>
        </w:rPr>
        <w:t>（</w:t>
      </w:r>
      <w:r>
        <w:rPr>
          <w:rFonts w:hint="eastAsia" w:ascii="仿宋" w:hAnsi="仿宋" w:eastAsia="仿宋"/>
          <w:bCs/>
          <w:color w:val="000000"/>
          <w:sz w:val="32"/>
          <w:szCs w:val="32"/>
        </w:rPr>
        <w:t>项</w:t>
      </w:r>
      <w:r>
        <w:rPr>
          <w:rFonts w:ascii="仿宋" w:hAnsi="仿宋" w:eastAsia="仿宋"/>
          <w:bCs/>
          <w:color w:val="000000"/>
          <w:sz w:val="32"/>
          <w:szCs w:val="32"/>
        </w:rPr>
        <w:t>）</w:t>
      </w:r>
      <w:r>
        <w:rPr>
          <w:rFonts w:hint="eastAsia" w:ascii="仿宋" w:hAnsi="仿宋" w:eastAsia="仿宋"/>
          <w:bCs/>
          <w:color w:val="000000"/>
          <w:sz w:val="32"/>
          <w:szCs w:val="32"/>
        </w:rPr>
        <w:t>：支</w:t>
      </w:r>
      <w:r>
        <w:rPr>
          <w:rStyle w:val="10"/>
          <w:rFonts w:hint="eastAsia" w:ascii="仿宋" w:hAnsi="仿宋" w:eastAsia="仿宋"/>
          <w:b w:val="0"/>
          <w:bCs/>
          <w:sz w:val="32"/>
          <w:szCs w:val="32"/>
        </w:rPr>
        <w:t>出</w:t>
      </w:r>
      <w:r>
        <w:rPr>
          <w:rFonts w:hint="eastAsia" w:ascii="仿宋" w:hAnsi="仿宋" w:eastAsia="仿宋"/>
          <w:bCs/>
          <w:sz w:val="32"/>
          <w:szCs w:val="32"/>
        </w:rPr>
        <w:t>决算为</w:t>
      </w:r>
      <w:r>
        <w:rPr>
          <w:rFonts w:hint="eastAsia" w:ascii="仿宋" w:hAnsi="仿宋" w:eastAsia="仿宋"/>
          <w:sz w:val="32"/>
          <w:szCs w:val="32"/>
        </w:rPr>
        <w:t>49.66</w:t>
      </w:r>
      <w:r>
        <w:rPr>
          <w:rStyle w:val="10"/>
          <w:rFonts w:hint="eastAsia" w:ascii="仿宋" w:hAnsi="仿宋" w:eastAsia="仿宋"/>
          <w:b w:val="0"/>
          <w:bCs/>
          <w:sz w:val="32"/>
          <w:szCs w:val="32"/>
        </w:rPr>
        <w:t>万元，完成预算100</w:t>
      </w:r>
      <w:r>
        <w:rPr>
          <w:rStyle w:val="10"/>
          <w:rFonts w:ascii="仿宋" w:hAnsi="仿宋" w:eastAsia="仿宋"/>
          <w:b w:val="0"/>
          <w:bCs/>
          <w:sz w:val="32"/>
          <w:szCs w:val="32"/>
        </w:rPr>
        <w:t>%</w:t>
      </w:r>
      <w:r>
        <w:rPr>
          <w:rStyle w:val="10"/>
          <w:rFonts w:hint="eastAsia" w:ascii="仿宋" w:hAnsi="仿宋" w:eastAsia="仿宋"/>
          <w:b w:val="0"/>
          <w:bCs/>
          <w:sz w:val="32"/>
          <w:szCs w:val="32"/>
        </w:rPr>
        <w:t>。</w:t>
      </w:r>
      <w:r>
        <w:commentReference w:id="0"/>
      </w:r>
    </w:p>
    <w:p>
      <w:pPr>
        <w:tabs>
          <w:tab w:val="right" w:pos="8306"/>
        </w:tabs>
        <w:spacing w:line="600" w:lineRule="exact"/>
        <w:ind w:firstLine="640"/>
        <w:outlineLvl w:val="1"/>
        <w:rPr>
          <w:rStyle w:val="31"/>
        </w:rPr>
      </w:pPr>
      <w:bookmarkStart w:id="47" w:name="_Toc15377214"/>
      <w:bookmarkStart w:id="48" w:name="_Toc15396608"/>
      <w:bookmarkStart w:id="49" w:name="_Toc6141"/>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w:t>
      </w:r>
      <w:r>
        <w:rPr>
          <w:rFonts w:hint="eastAsia" w:ascii="黑体" w:hAnsi="黑体" w:eastAsia="黑体"/>
          <w:sz w:val="32"/>
          <w:szCs w:val="32"/>
        </w:rPr>
        <w:t>财政拨款基本支出决算情况说明</w:t>
      </w:r>
      <w:bookmarkEnd w:id="47"/>
      <w:bookmarkEnd w:id="48"/>
      <w:bookmarkEnd w:id="49"/>
      <w:r>
        <w:rPr>
          <w:rStyle w:val="31"/>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21年一般公共预算财政拨款基本支出709.69万元，其中：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654.31万元，主要包括：基本工资、津贴补贴、奖金、伙食补助费、绩效工资、机关事业单位基本养老保险缴费、职业年金缴费、其他社会保障缴费、其他工资福利支出、离休费、退休费、抚恤金、生活补助、医疗补助、奖励金、住房公积金、其他对个人和家庭的补助支出等。</w:t>
      </w:r>
    </w:p>
    <w:p>
      <w:pPr>
        <w:spacing w:line="600" w:lineRule="exact"/>
        <w:ind w:firstLine="645"/>
        <w:rPr>
          <w:rFonts w:ascii="仿宋" w:hAnsi="仿宋" w:eastAsia="仿宋"/>
          <w:b/>
          <w:sz w:val="32"/>
          <w:szCs w:val="32"/>
        </w:rPr>
      </w:pPr>
      <w:r>
        <w:rPr>
          <w:rFonts w:hint="eastAsia" w:ascii="仿宋" w:hAnsi="仿宋" w:eastAsia="仿宋"/>
          <w:sz w:val="32"/>
          <w:szCs w:val="32"/>
        </w:rPr>
        <w:t>公用经费55.38万元，主要包括：办公费、印刷费、咨询费、手续费、水费、电费、邮电费、物业管理费、差旅费、因公出国（</w:t>
      </w:r>
      <w:r>
        <w:rPr>
          <w:rFonts w:hint="eastAsia" w:ascii="仿宋" w:hAnsi="仿宋" w:eastAsia="仿宋"/>
          <w:sz w:val="32"/>
          <w:szCs w:val="32"/>
          <w:u w:val="none" w:color="FFFFFF"/>
          <w:shd w:val="clear" w:fill="FFFFFF"/>
          <w:lang w:eastAsia="zh-CN"/>
        </w:rPr>
        <w:t>境）费用</w:t>
      </w:r>
      <w:r>
        <w:rPr>
          <w:rFonts w:hint="eastAsia" w:ascii="仿宋" w:hAnsi="仿宋" w:eastAsia="仿宋"/>
          <w:sz w:val="32"/>
          <w:szCs w:val="32"/>
        </w:rPr>
        <w:t>、维修（护）费、租赁费、会议费、培训费、公务接待费、劳务费、委托业务费、工会经费、福利费、公务用车运行维护费、其他交通费、税金及附加费用、其他服务费等。</w:t>
      </w:r>
    </w:p>
    <w:p>
      <w:pPr>
        <w:spacing w:line="600" w:lineRule="exact"/>
        <w:ind w:firstLine="640"/>
        <w:outlineLvl w:val="1"/>
        <w:rPr>
          <w:rStyle w:val="31"/>
          <w:rFonts w:ascii="黑体" w:hAnsi="黑体" w:eastAsia="黑体"/>
          <w:b w:val="0"/>
        </w:rPr>
      </w:pPr>
      <w:bookmarkStart w:id="50" w:name="_Toc15396609"/>
      <w:bookmarkStart w:id="51" w:name="_Toc26929"/>
      <w:bookmarkStart w:id="52" w:name="_Toc15377215"/>
      <w:r>
        <w:rPr>
          <w:rFonts w:hint="eastAsia" w:ascii="黑体" w:eastAsia="黑体"/>
          <w:sz w:val="32"/>
          <w:szCs w:val="32"/>
        </w:rPr>
        <w:t>七、</w:t>
      </w:r>
      <w:r>
        <w:rPr>
          <w:rStyle w:val="31"/>
          <w:rFonts w:hint="eastAsia" w:ascii="黑体" w:hAnsi="黑体" w:eastAsia="黑体"/>
        </w:rPr>
        <w:t>“</w:t>
      </w:r>
      <w:r>
        <w:rPr>
          <w:rStyle w:val="31"/>
          <w:rFonts w:hint="eastAsia" w:ascii="黑体" w:hAnsi="黑体" w:eastAsia="黑体"/>
          <w:b w:val="0"/>
        </w:rPr>
        <w:t>三公”经费</w:t>
      </w:r>
      <w:r>
        <w:rPr>
          <w:rFonts w:hint="eastAsia" w:ascii="黑体" w:hAnsi="黑体" w:eastAsia="黑体"/>
          <w:sz w:val="32"/>
          <w:szCs w:val="32"/>
        </w:rPr>
        <w:t>财政拨款支</w:t>
      </w:r>
      <w:r>
        <w:rPr>
          <w:rStyle w:val="31"/>
          <w:rFonts w:hint="eastAsia" w:ascii="黑体" w:hAnsi="黑体" w:eastAsia="黑体"/>
          <w:b w:val="0"/>
        </w:rPr>
        <w:t>出</w:t>
      </w:r>
      <w:r>
        <w:rPr>
          <w:rFonts w:hint="eastAsia" w:ascii="黑体" w:hAnsi="黑体" w:eastAsia="黑体"/>
          <w:sz w:val="32"/>
          <w:szCs w:val="32"/>
        </w:rPr>
        <w:t>决算情况说明</w:t>
      </w:r>
      <w:bookmarkEnd w:id="50"/>
      <w:bookmarkEnd w:id="51"/>
      <w:bookmarkEnd w:id="52"/>
    </w:p>
    <w:p>
      <w:pPr>
        <w:spacing w:line="600" w:lineRule="exact"/>
        <w:ind w:firstLine="640"/>
        <w:outlineLvl w:val="2"/>
        <w:rPr>
          <w:rFonts w:ascii="仿宋" w:hAnsi="仿宋" w:eastAsia="仿宋"/>
          <w:b/>
          <w:sz w:val="32"/>
          <w:szCs w:val="32"/>
        </w:rPr>
      </w:pPr>
      <w:bookmarkStart w:id="53" w:name="_Toc15377216"/>
      <w:r>
        <w:rPr>
          <w:rFonts w:hint="eastAsia" w:ascii="仿宋" w:hAnsi="仿宋" w:eastAsia="仿宋"/>
          <w:b/>
          <w:sz w:val="32"/>
          <w:szCs w:val="32"/>
        </w:rPr>
        <w:t>（一）“三公”经费财政拨款支出决算总体情况说明</w:t>
      </w:r>
      <w:bookmarkEnd w:id="5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21年“三公”经费财政拨款支出决算为0.24万元，完成预算的51</w:t>
      </w:r>
      <w:r>
        <w:rPr>
          <w:rFonts w:ascii="仿宋" w:hAnsi="仿宋" w:eastAsia="仿宋"/>
          <w:sz w:val="32"/>
          <w:szCs w:val="32"/>
        </w:rPr>
        <w:t>%</w:t>
      </w:r>
      <w:r>
        <w:rPr>
          <w:rFonts w:hint="eastAsia" w:ascii="仿宋" w:hAnsi="仿宋" w:eastAsia="仿宋"/>
          <w:sz w:val="32"/>
          <w:szCs w:val="32"/>
        </w:rPr>
        <w:t>，决算数小于预算数的主要原因是减少公务接待支出。</w:t>
      </w:r>
    </w:p>
    <w:p>
      <w:pPr>
        <w:spacing w:line="600" w:lineRule="exact"/>
        <w:ind w:firstLine="640"/>
        <w:outlineLvl w:val="2"/>
        <w:rPr>
          <w:rFonts w:ascii="仿宋" w:hAnsi="仿宋" w:eastAsia="仿宋"/>
          <w:b/>
          <w:sz w:val="32"/>
          <w:szCs w:val="32"/>
        </w:rPr>
      </w:pPr>
      <w:bookmarkStart w:id="54" w:name="_Toc15377217"/>
      <w:r>
        <w:rPr>
          <w:rFonts w:hint="eastAsia" w:ascii="仿宋" w:hAnsi="仿宋" w:eastAsia="仿宋"/>
          <w:b/>
          <w:sz w:val="32"/>
          <w:szCs w:val="32"/>
        </w:rPr>
        <w:t>（二）“三公”经费财政拨款支出决算具体情况说明</w:t>
      </w:r>
      <w:bookmarkEnd w:id="5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；公务接待费支出决算0.24万元，占比100</w:t>
      </w:r>
      <w:r>
        <w:rPr>
          <w:rFonts w:ascii="仿宋" w:hAnsi="仿宋" w:eastAsia="仿宋"/>
          <w:sz w:val="32"/>
          <w:szCs w:val="32"/>
        </w:rPr>
        <w:t>%</w:t>
      </w:r>
      <w:r>
        <w:rPr>
          <w:rFonts w:hint="eastAsia" w:ascii="仿宋" w:hAnsi="仿宋" w:eastAsia="仿宋"/>
          <w:sz w:val="32"/>
          <w:szCs w:val="32"/>
        </w:rPr>
        <w:t>。具体情况如下</w:t>
      </w:r>
      <w:r>
        <w:rPr>
          <w:rFonts w:hint="eastAsia" w:ascii="仿宋" w:hAnsi="仿宋" w:eastAsia="仿宋"/>
          <w:sz w:val="32"/>
          <w:szCs w:val="32"/>
          <w:u w:val="none" w:color="FFFFFF"/>
          <w:shd w:val="clear" w:fill="FFFFFF"/>
        </w:rPr>
        <w:t>：</w:t>
      </w:r>
    </w:p>
    <w:p>
      <w:pPr>
        <w:spacing w:line="600" w:lineRule="exact"/>
        <w:ind w:firstLine="640" w:firstLineChars="200"/>
        <w:rPr>
          <w:rFonts w:ascii="仿宋_GB2312" w:eastAsia="仿宋_GB2312"/>
          <w:bCs/>
          <w:sz w:val="32"/>
          <w:szCs w:val="32"/>
        </w:rPr>
      </w:pPr>
      <w:r>
        <w:rPr>
          <w:rFonts w:ascii="仿宋_GB2312" w:eastAsia="仿宋_GB2312"/>
          <w:bCs/>
          <w:sz w:val="32"/>
          <w:szCs w:val="32"/>
        </w:rPr>
        <w:t>1.</w:t>
      </w:r>
      <w:r>
        <w:rPr>
          <w:rFonts w:hint="eastAsia" w:ascii="仿宋_GB2312" w:eastAsia="仿宋_GB2312"/>
          <w:bCs/>
          <w:sz w:val="32"/>
          <w:szCs w:val="32"/>
        </w:rPr>
        <w:t>因公出国（境）经费支出0万元。</w:t>
      </w:r>
    </w:p>
    <w:p>
      <w:pPr>
        <w:spacing w:line="600" w:lineRule="exact"/>
        <w:ind w:firstLine="640"/>
        <w:rPr>
          <w:rFonts w:ascii="仿宋_GB2312" w:eastAsia="仿宋_GB2312"/>
          <w:bCs/>
          <w:sz w:val="32"/>
          <w:szCs w:val="32"/>
        </w:rPr>
      </w:pPr>
      <w:r>
        <w:rPr>
          <w:rFonts w:ascii="仿宋_GB2312" w:eastAsia="仿宋_GB2312"/>
          <w:bCs/>
          <w:sz w:val="32"/>
          <w:szCs w:val="32"/>
        </w:rPr>
        <w:t>2.</w:t>
      </w:r>
      <w:r>
        <w:rPr>
          <w:rFonts w:hint="eastAsia" w:ascii="仿宋_GB2312" w:eastAsia="仿宋_GB2312"/>
          <w:bCs/>
          <w:sz w:val="32"/>
          <w:szCs w:val="32"/>
        </w:rPr>
        <w:t>公务用车购置及运行维护费支出0万元。</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其中：公务用车购置支出0万元。</w:t>
      </w:r>
    </w:p>
    <w:p>
      <w:pPr>
        <w:spacing w:line="600" w:lineRule="exact"/>
        <w:ind w:firstLine="640"/>
        <w:rPr>
          <w:rFonts w:ascii="仿宋_GB2312" w:eastAsia="仿宋_GB2312"/>
          <w:bCs/>
          <w:sz w:val="32"/>
          <w:szCs w:val="32"/>
        </w:rPr>
      </w:pPr>
      <w:r>
        <w:rPr>
          <w:rFonts w:hint="eastAsia" w:ascii="仿宋_GB2312" w:eastAsia="仿宋_GB2312"/>
          <w:bCs/>
          <w:sz w:val="32"/>
          <w:szCs w:val="32"/>
        </w:rPr>
        <w:t>公务用车运行维护费支出0万元。</w:t>
      </w:r>
    </w:p>
    <w:p>
      <w:pPr>
        <w:spacing w:line="600" w:lineRule="exact"/>
        <w:ind w:firstLine="640"/>
        <w:rPr>
          <w:rFonts w:ascii="仿宋_GB2312" w:eastAsia="仿宋_GB2312"/>
          <w:bCs/>
          <w:sz w:val="32"/>
          <w:szCs w:val="32"/>
        </w:rPr>
      </w:pPr>
      <w:r>
        <w:rPr>
          <w:rFonts w:ascii="仿宋_GB2312" w:eastAsia="仿宋_GB2312"/>
          <w:bCs/>
          <w:sz w:val="32"/>
          <w:szCs w:val="32"/>
        </w:rPr>
        <w:t>3.</w:t>
      </w:r>
      <w:r>
        <w:rPr>
          <w:rFonts w:hint="eastAsia" w:ascii="仿宋_GB2312" w:eastAsia="仿宋_GB2312"/>
          <w:bCs/>
          <w:sz w:val="32"/>
          <w:szCs w:val="32"/>
        </w:rPr>
        <w:t>公务接待费支出0.24万元，</w:t>
      </w:r>
      <w:r>
        <w:rPr>
          <w:rStyle w:val="10"/>
          <w:rFonts w:hint="eastAsia" w:ascii="仿宋" w:hAnsi="仿宋" w:eastAsia="仿宋"/>
          <w:b w:val="0"/>
          <w:bCs/>
          <w:sz w:val="32"/>
          <w:szCs w:val="32"/>
        </w:rPr>
        <w:t>完成预算的51</w:t>
      </w:r>
      <w:r>
        <w:rPr>
          <w:rStyle w:val="10"/>
          <w:rFonts w:ascii="仿宋" w:hAnsi="仿宋" w:eastAsia="仿宋"/>
          <w:b w:val="0"/>
          <w:bCs/>
          <w:sz w:val="32"/>
          <w:szCs w:val="32"/>
        </w:rPr>
        <w:t>%</w:t>
      </w:r>
      <w:r>
        <w:rPr>
          <w:rStyle w:val="10"/>
          <w:rFonts w:hint="eastAsia" w:ascii="仿宋" w:hAnsi="仿宋" w:eastAsia="仿宋"/>
          <w:b w:val="0"/>
          <w:bCs/>
          <w:sz w:val="32"/>
          <w:szCs w:val="32"/>
        </w:rPr>
        <w:t>。</w:t>
      </w:r>
      <w:r>
        <w:rPr>
          <w:rFonts w:hint="eastAsia" w:ascii="仿宋_GB2312" w:eastAsia="仿宋_GB2312"/>
          <w:bCs/>
          <w:sz w:val="32"/>
          <w:szCs w:val="32"/>
        </w:rPr>
        <w:t>公务接待费支出决算比</w:t>
      </w:r>
      <w:r>
        <w:rPr>
          <w:rFonts w:ascii="仿宋_GB2312" w:eastAsia="仿宋_GB2312"/>
          <w:bCs/>
          <w:sz w:val="32"/>
          <w:szCs w:val="32"/>
        </w:rPr>
        <w:t>20</w:t>
      </w:r>
      <w:r>
        <w:rPr>
          <w:rFonts w:hint="eastAsia" w:ascii="仿宋_GB2312" w:eastAsia="仿宋_GB2312"/>
          <w:bCs/>
          <w:sz w:val="32"/>
          <w:szCs w:val="32"/>
        </w:rPr>
        <w:t>20年减少0.01万元，下降4</w:t>
      </w:r>
      <w:r>
        <w:rPr>
          <w:rFonts w:ascii="仿宋_GB2312" w:eastAsia="仿宋_GB2312"/>
          <w:bCs/>
          <w:sz w:val="32"/>
          <w:szCs w:val="32"/>
        </w:rPr>
        <w:t>%</w:t>
      </w:r>
      <w:r>
        <w:rPr>
          <w:rFonts w:hint="eastAsia" w:ascii="仿宋_GB2312" w:eastAsia="仿宋_GB2312"/>
          <w:bCs/>
          <w:sz w:val="32"/>
          <w:szCs w:val="32"/>
        </w:rPr>
        <w:t>。主要原因是减少公务接待。其中</w:t>
      </w:r>
      <w:r>
        <w:rPr>
          <w:rFonts w:hint="eastAsia" w:ascii="仿宋_GB2312" w:eastAsia="仿宋_GB2312"/>
          <w:bCs/>
          <w:sz w:val="32"/>
          <w:szCs w:val="32"/>
          <w:u w:val="none" w:color="FFFFFF"/>
          <w:shd w:val="clear" w:fill="FFFFFF"/>
        </w:rPr>
        <w:t>：</w:t>
      </w:r>
    </w:p>
    <w:p>
      <w:pPr>
        <w:spacing w:line="600" w:lineRule="exact"/>
        <w:ind w:firstLine="640"/>
        <w:rPr>
          <w:rFonts w:ascii="仿宋_GB2312" w:eastAsia="仿宋_GB2312"/>
          <w:bCs/>
          <w:sz w:val="32"/>
          <w:szCs w:val="32"/>
        </w:rPr>
      </w:pPr>
      <w:r>
        <w:rPr>
          <w:rFonts w:hint="eastAsia" w:ascii="仿宋" w:hAnsi="仿宋" w:eastAsia="仿宋"/>
          <w:bCs/>
          <w:sz w:val="32"/>
          <w:szCs w:val="32"/>
        </w:rPr>
        <w:t>国内公务接待支出0.24</w:t>
      </w:r>
      <w:r>
        <w:rPr>
          <w:rFonts w:hint="eastAsia" w:ascii="仿宋_GB2312" w:eastAsia="仿宋_GB2312"/>
          <w:bCs/>
          <w:sz w:val="32"/>
          <w:szCs w:val="32"/>
        </w:rPr>
        <w:t>万元，主要用于执行公务、开展业务活动开支的交通费、住宿费、用餐费等。国内公务接待6批次，62人次（不包括陪同人员），共计支出0.24万元，具体内容包括：2021年春学期五、六年级抽考接待外校</w:t>
      </w:r>
      <w:r>
        <w:rPr>
          <w:rFonts w:hint="eastAsia" w:ascii="仿宋_GB2312" w:eastAsia="仿宋_GB2312"/>
          <w:sz w:val="32"/>
          <w:szCs w:val="32"/>
        </w:rPr>
        <w:t>监考</w:t>
      </w:r>
      <w:r>
        <w:rPr>
          <w:rFonts w:hint="eastAsia" w:ascii="仿宋_GB2312" w:eastAsia="仿宋_GB2312"/>
          <w:bCs/>
          <w:sz w:val="32"/>
          <w:szCs w:val="32"/>
        </w:rPr>
        <w:t>教师32人次（午、晚餐）生活费1200元，秋学期四年级抽考接待外校监考教师30人次（午、晚餐）生活费1200元。</w:t>
      </w:r>
    </w:p>
    <w:p>
      <w:pPr>
        <w:spacing w:line="600" w:lineRule="exact"/>
        <w:ind w:firstLine="640" w:firstLineChars="200"/>
        <w:rPr>
          <w:rFonts w:ascii="黑体" w:eastAsia="黑体"/>
          <w:bCs/>
          <w:sz w:val="32"/>
          <w:szCs w:val="32"/>
        </w:rPr>
      </w:pPr>
      <w:r>
        <w:rPr>
          <w:rFonts w:hint="eastAsia" w:ascii="仿宋" w:hAnsi="仿宋" w:eastAsia="仿宋"/>
          <w:bCs/>
          <w:sz w:val="32"/>
          <w:szCs w:val="32"/>
        </w:rPr>
        <w:t>外事接待支出0</w:t>
      </w:r>
      <w:r>
        <w:rPr>
          <w:rFonts w:hint="eastAsia" w:ascii="仿宋_GB2312" w:eastAsia="仿宋_GB2312"/>
          <w:bCs/>
          <w:sz w:val="32"/>
          <w:szCs w:val="32"/>
        </w:rPr>
        <w:t>万元。</w:t>
      </w:r>
      <w:bookmarkStart w:id="55" w:name="_Toc15396610"/>
      <w:bookmarkStart w:id="56" w:name="_Toc15377218"/>
    </w:p>
    <w:p>
      <w:pPr>
        <w:spacing w:line="600" w:lineRule="exact"/>
        <w:ind w:firstLine="640"/>
        <w:outlineLvl w:val="1"/>
        <w:rPr>
          <w:rStyle w:val="31"/>
          <w:rFonts w:ascii="黑体" w:hAnsi="黑体" w:eastAsia="黑体"/>
        </w:rPr>
      </w:pPr>
      <w:bookmarkStart w:id="57" w:name="_Toc11168"/>
      <w:r>
        <w:rPr>
          <w:rFonts w:hint="eastAsia" w:ascii="黑体" w:eastAsia="黑体"/>
          <w:sz w:val="32"/>
          <w:szCs w:val="32"/>
        </w:rPr>
        <w:t>八、</w:t>
      </w:r>
      <w:r>
        <w:rPr>
          <w:rStyle w:val="31"/>
          <w:rFonts w:hint="eastAsia" w:ascii="黑体" w:hAnsi="黑体" w:eastAsia="黑体"/>
          <w:b w:val="0"/>
        </w:rPr>
        <w:t>政府性基金预算</w:t>
      </w:r>
      <w:r>
        <w:rPr>
          <w:rFonts w:hint="eastAsia" w:ascii="黑体" w:hAnsi="黑体" w:eastAsia="黑体"/>
          <w:sz w:val="32"/>
          <w:szCs w:val="32"/>
        </w:rPr>
        <w:t>支出决算情况说明</w:t>
      </w:r>
      <w:bookmarkEnd w:id="55"/>
      <w:bookmarkEnd w:id="56"/>
      <w:bookmarkEnd w:id="57"/>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2021年政府性基金预算财政拨款支出0万元。</w:t>
      </w:r>
    </w:p>
    <w:p>
      <w:pPr>
        <w:numPr>
          <w:ilvl w:val="0"/>
          <w:numId w:val="3"/>
        </w:numPr>
        <w:spacing w:line="600" w:lineRule="exact"/>
        <w:ind w:firstLine="640"/>
        <w:outlineLvl w:val="1"/>
        <w:rPr>
          <w:rStyle w:val="31"/>
          <w:rFonts w:ascii="黑体" w:hAnsi="黑体" w:eastAsia="黑体"/>
          <w:b w:val="0"/>
        </w:rPr>
      </w:pPr>
      <w:bookmarkStart w:id="58" w:name="_Toc15840"/>
      <w:bookmarkStart w:id="59" w:name="_Toc15396611"/>
      <w:bookmarkStart w:id="60" w:name="_Toc15377219"/>
      <w:r>
        <w:rPr>
          <w:rStyle w:val="31"/>
          <w:rFonts w:hint="eastAsia" w:ascii="黑体" w:hAnsi="黑体" w:eastAsia="黑体"/>
          <w:b w:val="0"/>
        </w:rPr>
        <w:t>国有资本经营预算</w:t>
      </w:r>
      <w:r>
        <w:rPr>
          <w:rFonts w:hint="eastAsia" w:ascii="黑体" w:hAnsi="黑体" w:eastAsia="黑体"/>
          <w:sz w:val="32"/>
          <w:szCs w:val="32"/>
        </w:rPr>
        <w:t>支出决算情况说明</w:t>
      </w:r>
      <w:bookmarkEnd w:id="58"/>
      <w:bookmarkEnd w:id="59"/>
      <w:bookmarkEnd w:id="60"/>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3"/>
        </w:numPr>
        <w:spacing w:line="600" w:lineRule="exact"/>
        <w:ind w:firstLine="640"/>
        <w:outlineLvl w:val="1"/>
        <w:rPr>
          <w:rStyle w:val="31"/>
          <w:rFonts w:ascii="黑体" w:hAnsi="黑体" w:eastAsia="黑体"/>
          <w:b w:val="0"/>
        </w:rPr>
      </w:pPr>
      <w:bookmarkStart w:id="61" w:name="_Toc15377221"/>
      <w:bookmarkStart w:id="62" w:name="_Toc15396612"/>
      <w:bookmarkStart w:id="63" w:name="_Toc18278"/>
      <w:r>
        <w:rPr>
          <w:rStyle w:val="31"/>
          <w:rFonts w:hint="eastAsia" w:ascii="黑体" w:hAnsi="黑体" w:eastAsia="黑体"/>
          <w:b w:val="0"/>
        </w:rPr>
        <w:t>其他重要事项的情况说明</w:t>
      </w:r>
      <w:bookmarkEnd w:id="61"/>
      <w:bookmarkEnd w:id="62"/>
      <w:bookmarkEnd w:id="63"/>
    </w:p>
    <w:p>
      <w:pPr>
        <w:spacing w:line="600" w:lineRule="exact"/>
        <w:ind w:firstLine="643" w:firstLineChars="200"/>
        <w:outlineLvl w:val="2"/>
        <w:rPr>
          <w:rFonts w:ascii="仿宋" w:hAnsi="仿宋" w:eastAsia="仿宋"/>
          <w:sz w:val="32"/>
          <w:szCs w:val="32"/>
        </w:rPr>
      </w:pPr>
      <w:bookmarkStart w:id="64" w:name="_Toc15377222"/>
      <w:r>
        <w:rPr>
          <w:rFonts w:hint="eastAsia" w:ascii="仿宋" w:hAnsi="仿宋" w:eastAsia="仿宋"/>
          <w:b/>
          <w:sz w:val="32"/>
          <w:szCs w:val="32"/>
        </w:rPr>
        <w:t>（一）机关运行经费支出情况</w:t>
      </w:r>
      <w:bookmarkEnd w:id="64"/>
    </w:p>
    <w:p>
      <w:pPr>
        <w:spacing w:line="600" w:lineRule="exact"/>
        <w:ind w:firstLine="640" w:firstLineChars="200"/>
        <w:rPr>
          <w:rFonts w:ascii="仿宋" w:hAnsi="仿宋" w:eastAsia="仿宋"/>
          <w:sz w:val="32"/>
          <w:szCs w:val="32"/>
        </w:rPr>
      </w:pPr>
      <w:r>
        <w:rPr>
          <w:rFonts w:ascii="仿宋_GB2312" w:eastAsia="仿宋_GB2312"/>
          <w:sz w:val="32"/>
          <w:szCs w:val="32"/>
        </w:rPr>
        <w:t>20</w:t>
      </w:r>
      <w:r>
        <w:rPr>
          <w:rFonts w:hint="eastAsia" w:ascii="仿宋_GB2312" w:eastAsia="仿宋_GB2312"/>
          <w:sz w:val="32"/>
          <w:szCs w:val="32"/>
        </w:rPr>
        <w:t>21年，通江县第四小学机关运行经费支出0万元。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5" w:name="_Toc15377223"/>
      <w:r>
        <w:rPr>
          <w:rFonts w:hint="eastAsia" w:ascii="仿宋" w:hAnsi="仿宋" w:eastAsia="仿宋"/>
          <w:b/>
          <w:sz w:val="32"/>
          <w:szCs w:val="32"/>
        </w:rPr>
        <w:t>（二）政府采购支出情况</w:t>
      </w:r>
      <w:bookmarkEnd w:id="65"/>
    </w:p>
    <w:p>
      <w:pPr>
        <w:spacing w:line="60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21年，通江县第四小学政府采购支出总额0万元。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6" w:name="_Toc15377224"/>
      <w:r>
        <w:rPr>
          <w:rFonts w:hint="eastAsia" w:ascii="仿宋" w:hAnsi="仿宋" w:eastAsia="仿宋"/>
          <w:b/>
          <w:sz w:val="32"/>
          <w:szCs w:val="32"/>
        </w:rPr>
        <w:t>（三）国有资产占有使用情况</w:t>
      </w:r>
      <w:bookmarkEnd w:id="66"/>
    </w:p>
    <w:p>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日，通江县第四小学共有车辆0辆。单价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免作业本费项目、义教奖补项目、义教生活补助项目、公用经费项目、人才引进安家费补助项目、驻村人员差旅费补助项目等6个项目开展了预算事前绩效评估，对6个项目编制了绩效目标，预算执行过程中，选取6个项目开展绩效监控，年终执行完毕后，对6个项目开展了绩效自评，2021年特定目标类部门预算项目绩效目标自评表见附件（第四部分）。</w:t>
      </w:r>
    </w:p>
    <w:p>
      <w:pPr>
        <w:pStyle w:val="3"/>
        <w:spacing w:before="93"/>
      </w:pPr>
    </w:p>
    <w:p>
      <w:pPr>
        <w:numPr>
          <w:ilvl w:val="0"/>
          <w:numId w:val="4"/>
        </w:numPr>
        <w:spacing w:line="600" w:lineRule="exact"/>
        <w:ind w:firstLine="663" w:firstLineChars="150"/>
        <w:jc w:val="center"/>
        <w:outlineLvl w:val="0"/>
        <w:rPr>
          <w:rStyle w:val="30"/>
          <w:rFonts w:ascii="黑体" w:hAnsi="黑体" w:eastAsia="黑体"/>
        </w:rPr>
      </w:pPr>
      <w:bookmarkStart w:id="67" w:name="_Toc15377225"/>
      <w:bookmarkStart w:id="68" w:name="_Toc15396613"/>
      <w:bookmarkStart w:id="69" w:name="_Toc17205"/>
      <w:r>
        <w:rPr>
          <w:rFonts w:hint="eastAsia" w:ascii="黑体" w:hAnsi="黑体" w:eastAsia="黑体"/>
          <w:b/>
          <w:bCs/>
          <w:sz w:val="44"/>
          <w:szCs w:val="44"/>
        </w:rPr>
        <w:t>名</w:t>
      </w:r>
      <w:r>
        <w:rPr>
          <w:rStyle w:val="30"/>
          <w:rFonts w:hint="eastAsia" w:ascii="黑体" w:hAnsi="黑体" w:eastAsia="黑体"/>
        </w:rPr>
        <w:t>词解释</w:t>
      </w:r>
      <w:bookmarkEnd w:id="67"/>
      <w:bookmarkEnd w:id="68"/>
      <w:bookmarkEnd w:id="69"/>
    </w:p>
    <w:p>
      <w:pPr>
        <w:spacing w:line="600" w:lineRule="exact"/>
        <w:jc w:val="left"/>
        <w:rPr>
          <w:rFonts w:ascii="宋体"/>
          <w:b/>
          <w:sz w:val="44"/>
          <w:szCs w:val="44"/>
        </w:rPr>
      </w:pPr>
    </w:p>
    <w:p>
      <w:pPr>
        <w:pStyle w:val="28"/>
        <w:spacing w:line="560" w:lineRule="exact"/>
        <w:ind w:firstLine="640" w:firstLineChars="200"/>
        <w:rPr>
          <w:rFonts w:ascii="仿宋_GB2312" w:eastAsia="仿宋_GB2312"/>
          <w:sz w:val="32"/>
          <w:szCs w:val="32"/>
        </w:rPr>
      </w:pPr>
      <w:bookmarkStart w:id="70" w:name="_Toc15396614"/>
      <w:bookmarkStart w:id="71"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w:t>
      </w:r>
      <w:r>
        <w:rPr>
          <w:rFonts w:hint="eastAsia" w:ascii="仿宋_GB2312" w:eastAsia="仿宋_GB2312"/>
          <w:sz w:val="32"/>
          <w:szCs w:val="32"/>
          <w:u w:color="46CD7E"/>
        </w:rPr>
        <w:t>本年度</w:t>
      </w:r>
      <w:r>
        <w:rPr>
          <w:rFonts w:hint="eastAsia" w:ascii="仿宋_GB2312" w:eastAsia="仿宋_GB2312"/>
          <w:sz w:val="32"/>
          <w:szCs w:val="32"/>
        </w:rPr>
        <w:t>有关规定继续使用的资金。</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8</w:t>
      </w:r>
      <w:r>
        <w:rPr>
          <w:rFonts w:ascii="仿宋_GB2312" w:eastAsia="仿宋_GB2312"/>
          <w:sz w:val="32"/>
          <w:szCs w:val="32"/>
          <w:u w:val="thick" w:color="46CD7E"/>
          <w:shd w:val="clear" w:color="auto" w:fill="DAF5E5"/>
        </w:rPr>
        <w:t>.</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u w:color="46CD7E"/>
        </w:rPr>
        <w:t>9</w:t>
      </w:r>
      <w:r>
        <w:rPr>
          <w:rFonts w:ascii="仿宋_GB2312" w:eastAsia="仿宋_GB2312"/>
          <w:color w:val="000000"/>
          <w:sz w:val="32"/>
          <w:szCs w:val="32"/>
          <w:u w:color="46CD7E"/>
        </w:rPr>
        <w:t>.</w:t>
      </w:r>
      <w:r>
        <w:rPr>
          <w:rFonts w:hint="eastAsia" w:ascii="仿宋_GB2312" w:eastAsia="仿宋_GB2312"/>
          <w:color w:val="000000"/>
          <w:sz w:val="32"/>
          <w:szCs w:val="32"/>
        </w:rPr>
        <w:t>教育（类）普通教育（款）小学教育（项）：指反映各部门举办的小学教育支出，政府各部门对社会组织等举办的小学的资助</w:t>
      </w:r>
      <w:r>
        <w:t>，</w:t>
      </w:r>
      <w:r>
        <w:rPr>
          <w:rFonts w:hint="eastAsia" w:ascii="仿宋_GB2312" w:eastAsia="仿宋_GB2312"/>
          <w:color w:val="000000"/>
          <w:sz w:val="32"/>
          <w:szCs w:val="32"/>
        </w:rPr>
        <w:t>如捐赠、补贴等，也在本科目中反映。</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0</w:t>
      </w:r>
      <w:r>
        <w:rPr>
          <w:rFonts w:ascii="仿宋_GB2312" w:eastAsia="仿宋_GB2312"/>
          <w:color w:val="000000"/>
          <w:sz w:val="32"/>
          <w:szCs w:val="32"/>
        </w:rPr>
        <w:t>.</w:t>
      </w:r>
      <w:r>
        <w:rPr>
          <w:rFonts w:hint="eastAsia" w:ascii="仿宋_GB2312" w:eastAsia="仿宋_GB2312"/>
          <w:color w:val="000000"/>
          <w:sz w:val="32"/>
          <w:szCs w:val="32"/>
        </w:rPr>
        <w:t>社会保障和就业（类）人力资源和社会保障管理事务（款）社会保险经办机构（项）：指反映机关事业单位实施养老保险制度由单位缴纳的基本养老保险费支出。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医疗卫生与计划生育（类）行政事业单位医疗（款）事业单位医疗（项）：指反映财政部门安排的事业单位基本医疗保险缴费经费，未参加医疗保险的事业单位的公费医疗经费，按国家规定享受离休人员待遇的医疗经费。</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农林水（类）扶贫（款）其他扶贫支出（项）：指反映其他用于巩固拓展脱贫攻坚成果同乡村振兴有效衔接方面的支出。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住房保障（类）住房保障（款）住房公积金（项）：指反映行政事业单位按人力资源和社会保障部、财政部规定的基本工资和津贴补贴以及规定比例为职工缴纳的住房公积金。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ascii="黑体" w:hAnsi="黑体" w:eastAsia="黑体"/>
          <w:color w:val="auto"/>
          <w:sz w:val="44"/>
          <w:szCs w:val="44"/>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w:t>
      </w:r>
      <w:r>
        <w:rPr>
          <w:rFonts w:hint="eastAsia" w:ascii="仿宋_GB2312" w:eastAsia="仿宋_GB2312"/>
          <w:sz w:val="32"/>
          <w:szCs w:val="32"/>
          <w:u w:val="none" w:color="FFFFFF"/>
          <w:shd w:val="clear" w:fill="FFFFFF"/>
        </w:rPr>
        <w:t>材料</w:t>
      </w:r>
      <w:r>
        <w:rPr>
          <w:rFonts w:hint="eastAsia" w:ascii="仿宋_GB2312" w:eastAsia="仿宋_GB2312"/>
          <w:sz w:val="32"/>
          <w:szCs w:val="32"/>
        </w:rPr>
        <w:t>及一般设备购置费、办公用房水电费、办公用房取暖费、办公用房物业管理费、公务用车运行维护费以及其他费用。</w:t>
      </w:r>
    </w:p>
    <w:p>
      <w:pPr>
        <w:spacing w:line="600" w:lineRule="exact"/>
        <w:jc w:val="center"/>
        <w:rPr>
          <w:rFonts w:ascii="黑体" w:hAnsi="黑体" w:eastAsia="黑体"/>
          <w:sz w:val="44"/>
          <w:szCs w:val="44"/>
        </w:rPr>
      </w:pPr>
    </w:p>
    <w:p>
      <w:pPr>
        <w:spacing w:line="600" w:lineRule="exact"/>
        <w:jc w:val="center"/>
        <w:outlineLvl w:val="0"/>
        <w:rPr>
          <w:rStyle w:val="30"/>
          <w:rFonts w:ascii="黑体" w:hAnsi="黑体" w:eastAsia="黑体"/>
        </w:rPr>
      </w:pPr>
      <w:bookmarkStart w:id="72" w:name="_Toc15122"/>
      <w:r>
        <w:rPr>
          <w:rFonts w:hint="eastAsia" w:ascii="黑体" w:hAnsi="黑体" w:eastAsia="黑体"/>
          <w:b/>
          <w:bCs/>
          <w:sz w:val="44"/>
          <w:szCs w:val="44"/>
        </w:rPr>
        <w:t>第</w:t>
      </w:r>
      <w:r>
        <w:rPr>
          <w:rStyle w:val="30"/>
          <w:rFonts w:hint="eastAsia" w:ascii="黑体" w:hAnsi="黑体" w:eastAsia="黑体"/>
        </w:rPr>
        <w:t>四部</w:t>
      </w:r>
      <w:r>
        <w:rPr>
          <w:rFonts w:hint="eastAsia" w:ascii="黑体" w:hAnsi="黑体" w:eastAsia="黑体"/>
          <w:b/>
          <w:bCs/>
        </w:rPr>
        <w:t>分附件</w:t>
      </w:r>
      <w:bookmarkEnd w:id="70"/>
      <w:bookmarkEnd w:id="72"/>
    </w:p>
    <w:p>
      <w:pPr>
        <w:spacing w:line="572" w:lineRule="exact"/>
        <w:jc w:val="left"/>
        <w:outlineLvl w:val="1"/>
        <w:rPr>
          <w:rFonts w:ascii="黑体" w:hAnsi="黑体" w:eastAsia="黑体" w:cs="黑体"/>
          <w:sz w:val="32"/>
          <w:szCs w:val="32"/>
        </w:rPr>
      </w:pPr>
      <w:bookmarkStart w:id="73" w:name="_Toc13391"/>
      <w:r>
        <w:rPr>
          <w:rFonts w:hint="eastAsia" w:ascii="黑体" w:hAnsi="黑体" w:eastAsia="黑体" w:cs="黑体"/>
          <w:sz w:val="32"/>
          <w:szCs w:val="32"/>
          <w:u w:val="none" w:color="FFFFFF"/>
          <w:shd w:val="clear" w:fill="FFFFFF"/>
        </w:rPr>
        <w:t>附件</w:t>
      </w:r>
      <w:r>
        <w:rPr>
          <w:rFonts w:hint="eastAsia" w:ascii="黑体" w:hAnsi="黑体" w:eastAsia="黑体" w:cs="黑体"/>
          <w:sz w:val="32"/>
          <w:szCs w:val="32"/>
        </w:rPr>
        <w:t>1</w:t>
      </w:r>
      <w:bookmarkEnd w:id="73"/>
    </w:p>
    <w:p>
      <w:pPr>
        <w:adjustRightInd w:val="0"/>
        <w:snapToGrid w:val="0"/>
        <w:spacing w:line="560" w:lineRule="exact"/>
        <w:ind w:firstLine="875" w:firstLineChars="198"/>
        <w:jc w:val="center"/>
        <w:rPr>
          <w:rFonts w:ascii="仿宋_GB2312" w:hAnsi="Calibri" w:eastAsia="仿宋_GB2312" w:cs="仿宋"/>
          <w:b/>
          <w:bCs/>
          <w:kern w:val="0"/>
          <w:sz w:val="44"/>
          <w:szCs w:val="44"/>
        </w:rPr>
      </w:pPr>
      <w:r>
        <w:rPr>
          <w:rFonts w:hint="eastAsia" w:ascii="仿宋_GB2312" w:hAnsi="Calibri" w:eastAsia="仿宋_GB2312" w:cs="仿宋"/>
          <w:b/>
          <w:bCs/>
          <w:kern w:val="0"/>
          <w:sz w:val="44"/>
          <w:szCs w:val="44"/>
        </w:rPr>
        <w:t>通江县第四小学</w:t>
      </w:r>
    </w:p>
    <w:p>
      <w:pPr>
        <w:adjustRightInd w:val="0"/>
        <w:snapToGrid w:val="0"/>
        <w:spacing w:line="560" w:lineRule="exact"/>
        <w:ind w:firstLine="875" w:firstLineChars="198"/>
        <w:jc w:val="center"/>
        <w:rPr>
          <w:rFonts w:ascii="仿宋_GB2312" w:hAnsi="Calibri" w:eastAsia="仿宋_GB2312" w:cs="仿宋"/>
          <w:b/>
          <w:bCs/>
          <w:kern w:val="0"/>
          <w:sz w:val="44"/>
          <w:szCs w:val="44"/>
        </w:rPr>
      </w:pPr>
      <w:r>
        <w:rPr>
          <w:rFonts w:hint="eastAsia" w:ascii="仿宋_GB2312" w:hAnsi="Calibri" w:eastAsia="仿宋_GB2312" w:cs="仿宋"/>
          <w:b/>
          <w:bCs/>
          <w:kern w:val="0"/>
          <w:sz w:val="44"/>
          <w:szCs w:val="44"/>
        </w:rPr>
        <w:t>2021年度整体支出绩效目标自评报告</w:t>
      </w:r>
    </w:p>
    <w:p>
      <w:pPr>
        <w:adjustRightInd w:val="0"/>
        <w:snapToGrid w:val="0"/>
        <w:spacing w:line="560" w:lineRule="exact"/>
        <w:ind w:firstLine="633" w:firstLineChars="198"/>
        <w:rPr>
          <w:rFonts w:ascii="仿宋_GB2312" w:hAnsi="Calibri" w:eastAsia="仿宋_GB2312" w:cs="仿宋"/>
          <w:kern w:val="0"/>
          <w:sz w:val="32"/>
          <w:szCs w:val="32"/>
        </w:rPr>
      </w:pPr>
    </w:p>
    <w:p>
      <w:pPr>
        <w:adjustRightInd w:val="0"/>
        <w:snapToGrid w:val="0"/>
        <w:spacing w:line="560" w:lineRule="exact"/>
        <w:ind w:firstLine="633" w:firstLineChars="198"/>
        <w:rPr>
          <w:rFonts w:ascii="仿宋_GB2312" w:hAnsi="Calibri" w:eastAsia="仿宋_GB2312" w:cs="仿宋"/>
          <w:kern w:val="0"/>
          <w:sz w:val="32"/>
          <w:szCs w:val="32"/>
        </w:rPr>
      </w:pPr>
      <w:r>
        <w:rPr>
          <w:rFonts w:hint="eastAsia" w:ascii="仿宋_GB2312" w:hAnsi="Calibri" w:eastAsia="仿宋_GB2312" w:cs="仿宋"/>
          <w:kern w:val="0"/>
          <w:sz w:val="32"/>
          <w:szCs w:val="32"/>
        </w:rPr>
        <w:t>为加强</w:t>
      </w:r>
      <w:r>
        <w:rPr>
          <w:rFonts w:hint="eastAsia" w:ascii="仿宋_GB2312" w:hAnsi="Calibri" w:eastAsia="仿宋_GB2312" w:cs="仿宋"/>
          <w:kern w:val="0"/>
          <w:sz w:val="32"/>
          <w:szCs w:val="32"/>
          <w:u w:val="thick" w:color="46CD7E"/>
          <w:shd w:val="clear" w:color="auto" w:fill="DAF5E5"/>
        </w:rPr>
        <w:t>学校教育管理</w:t>
      </w:r>
      <w:r>
        <w:rPr>
          <w:rFonts w:hint="eastAsia" w:ascii="仿宋_GB2312" w:hAnsi="Calibri" w:eastAsia="仿宋_GB2312" w:cs="仿宋"/>
          <w:kern w:val="0"/>
          <w:sz w:val="32"/>
          <w:szCs w:val="32"/>
        </w:rPr>
        <w:t>，充分发挥教育服务作用，调动</w:t>
      </w:r>
      <w:r>
        <w:rPr>
          <w:rFonts w:hint="eastAsia" w:ascii="仿宋_GB2312" w:hAnsi="Calibri" w:eastAsia="仿宋_GB2312" w:cs="仿宋"/>
          <w:kern w:val="0"/>
          <w:sz w:val="32"/>
          <w:szCs w:val="32"/>
          <w:u w:val="thick" w:color="46CD7E"/>
          <w:shd w:val="clear" w:color="auto" w:fill="DAF5E5"/>
        </w:rPr>
        <w:t>我校教育</w:t>
      </w:r>
      <w:r>
        <w:rPr>
          <w:rFonts w:hint="eastAsia" w:ascii="仿宋_GB2312" w:hAnsi="Calibri" w:eastAsia="仿宋_GB2312" w:cs="仿宋"/>
          <w:kern w:val="0"/>
          <w:sz w:val="32"/>
          <w:szCs w:val="32"/>
        </w:rPr>
        <w:t>人员的积极性。根据四川省教育系统绩效考核标准及通江县财政局关于全面实施预算绩效管理的通知通财绩【2022】13号文件精神，我校进行了自查自评，现将绩效自查情况报告如下</w:t>
      </w:r>
      <w:r>
        <w:rPr>
          <w:rFonts w:hint="eastAsia" w:ascii="仿宋_GB2312" w:hAnsi="Calibri" w:eastAsia="仿宋_GB2312" w:cs="仿宋"/>
          <w:kern w:val="0"/>
          <w:sz w:val="32"/>
          <w:szCs w:val="32"/>
          <w:u w:val="none" w:color="FFFFFF"/>
          <w:shd w:val="clear" w:fill="FFFFFF"/>
        </w:rPr>
        <w:t>：</w:t>
      </w:r>
    </w:p>
    <w:p>
      <w:pPr>
        <w:adjustRightInd w:val="0"/>
        <w:snapToGrid w:val="0"/>
        <w:spacing w:line="560" w:lineRule="exact"/>
        <w:ind w:firstLine="633" w:firstLineChars="198"/>
        <w:rPr>
          <w:rFonts w:ascii="仿宋_GB2312" w:hAnsi="Calibri" w:eastAsia="仿宋_GB2312" w:cs="仿宋"/>
          <w:kern w:val="0"/>
          <w:sz w:val="32"/>
          <w:szCs w:val="32"/>
        </w:rPr>
      </w:pPr>
      <w:r>
        <w:rPr>
          <w:rFonts w:hint="eastAsia" w:ascii="仿宋_GB2312" w:hAnsi="Calibri" w:eastAsia="仿宋_GB2312" w:cs="仿宋"/>
          <w:kern w:val="0"/>
          <w:sz w:val="32"/>
          <w:szCs w:val="32"/>
        </w:rPr>
        <w:t>一、基本情况</w:t>
      </w:r>
    </w:p>
    <w:p>
      <w:pPr>
        <w:adjustRightInd w:val="0"/>
        <w:snapToGrid w:val="0"/>
        <w:spacing w:line="560" w:lineRule="exact"/>
        <w:ind w:firstLine="633" w:firstLineChars="198"/>
        <w:rPr>
          <w:rFonts w:ascii="仿宋_GB2312" w:hAnsi="Calibri" w:eastAsia="仿宋_GB2312" w:cs="仿宋"/>
          <w:kern w:val="0"/>
          <w:sz w:val="32"/>
          <w:szCs w:val="32"/>
        </w:rPr>
      </w:pPr>
      <w:r>
        <w:rPr>
          <w:rFonts w:hint="eastAsia" w:ascii="仿宋_GB2312" w:hAnsi="Calibri" w:eastAsia="仿宋_GB2312" w:cs="仿宋"/>
          <w:kern w:val="0"/>
          <w:sz w:val="32"/>
          <w:szCs w:val="32"/>
        </w:rPr>
        <w:t>通江县第四小学的主要职能是认真贯彻落实党和国家的方针、政策，正确执行上级主管部门的决议和指示，全面实施素质教育，培养德、智、体、美等方面全面发展的社会主义事业的建设者和接班人。编制数为56人，年末在编在岗人员56人，其中专技人员55人（含管理人员双肩挑1人），遗属补助人员4人，财政供给人员60人。年末有小学生569人。</w:t>
      </w:r>
    </w:p>
    <w:p>
      <w:pPr>
        <w:adjustRightInd w:val="0"/>
        <w:snapToGrid w:val="0"/>
        <w:spacing w:line="560" w:lineRule="exact"/>
        <w:ind w:firstLine="633" w:firstLineChars="198"/>
        <w:rPr>
          <w:rFonts w:ascii="仿宋_GB2312" w:hAnsi="Calibri" w:eastAsia="仿宋_GB2312" w:cs="仿宋"/>
          <w:kern w:val="0"/>
          <w:sz w:val="32"/>
          <w:szCs w:val="32"/>
        </w:rPr>
      </w:pPr>
      <w:r>
        <w:rPr>
          <w:rFonts w:hint="eastAsia" w:ascii="仿宋_GB2312" w:hAnsi="Calibri" w:eastAsia="仿宋_GB2312" w:cs="仿宋"/>
          <w:kern w:val="0"/>
          <w:sz w:val="32"/>
          <w:szCs w:val="32"/>
        </w:rPr>
        <w:t>二、资金使用情况</w:t>
      </w:r>
    </w:p>
    <w:p>
      <w:pPr>
        <w:adjustRightInd w:val="0"/>
        <w:snapToGrid w:val="0"/>
        <w:spacing w:line="560" w:lineRule="exact"/>
        <w:ind w:firstLine="633" w:firstLineChars="198"/>
        <w:rPr>
          <w:rFonts w:ascii="仿宋_GB2312" w:hAnsi="Calibri" w:eastAsia="仿宋_GB2312" w:cs="仿宋"/>
          <w:kern w:val="0"/>
          <w:sz w:val="32"/>
          <w:szCs w:val="32"/>
        </w:rPr>
      </w:pPr>
      <w:r>
        <w:rPr>
          <w:rFonts w:hint="eastAsia" w:ascii="仿宋_GB2312" w:hAnsi="Calibri" w:eastAsia="仿宋_GB2312" w:cs="仿宋"/>
          <w:kern w:val="0"/>
          <w:sz w:val="32"/>
          <w:szCs w:val="32"/>
        </w:rPr>
        <w:t>（一）资金使用。</w:t>
      </w:r>
    </w:p>
    <w:p>
      <w:pPr>
        <w:adjustRightInd w:val="0"/>
        <w:snapToGrid w:val="0"/>
        <w:spacing w:line="560" w:lineRule="exact"/>
        <w:ind w:firstLine="633" w:firstLineChars="198"/>
        <w:rPr>
          <w:rFonts w:ascii="仿宋_GB2312" w:hAnsi="Calibri" w:eastAsia="仿宋_GB2312" w:cs="仿宋"/>
          <w:kern w:val="0"/>
          <w:sz w:val="32"/>
          <w:szCs w:val="32"/>
        </w:rPr>
      </w:pPr>
      <w:r>
        <w:rPr>
          <w:rFonts w:hint="eastAsia" w:ascii="仿宋_GB2312" w:hAnsi="Calibri" w:eastAsia="仿宋_GB2312" w:cs="仿宋"/>
          <w:kern w:val="0"/>
          <w:sz w:val="32"/>
          <w:szCs w:val="32"/>
          <w:u w:val="thick" w:color="46CD7E"/>
          <w:shd w:val="clear" w:color="auto" w:fill="DAF5E5"/>
        </w:rPr>
        <w:t>截至</w:t>
      </w:r>
      <w:r>
        <w:rPr>
          <w:rFonts w:hint="eastAsia" w:ascii="仿宋_GB2312" w:hAnsi="Calibri" w:eastAsia="仿宋_GB2312" w:cs="仿宋"/>
          <w:kern w:val="0"/>
          <w:sz w:val="32"/>
          <w:szCs w:val="32"/>
        </w:rPr>
        <w:t>评价财政补助收入全年共拨入792.46万元，其中：基本支出全年共拨入709.69万元，项目支出全年共拨入82.77万元。基本支出中人员经费支出654.32万元，公用经费支出55.37万元；项目支出中公用经费64.17万元，助学金15万元，其他扶贫支出3.6万元，免作业本费1.78万元。实际支出为792.46元，开支用于学校教职工工资福利支出及商品服务支出等，支出依据合规合法，资金支付与预算相符。</w:t>
      </w:r>
    </w:p>
    <w:p>
      <w:pPr>
        <w:adjustRightInd w:val="0"/>
        <w:snapToGrid w:val="0"/>
        <w:spacing w:line="560" w:lineRule="exact"/>
        <w:ind w:firstLine="633" w:firstLineChars="198"/>
        <w:rPr>
          <w:rFonts w:ascii="仿宋_GB2312" w:hAnsi="Calibri" w:eastAsia="仿宋_GB2312" w:cs="仿宋"/>
          <w:kern w:val="0"/>
          <w:sz w:val="32"/>
          <w:szCs w:val="32"/>
        </w:rPr>
      </w:pPr>
      <w:r>
        <w:rPr>
          <w:rFonts w:hint="eastAsia" w:ascii="仿宋_GB2312" w:hAnsi="Calibri" w:eastAsia="仿宋_GB2312" w:cs="仿宋"/>
          <w:kern w:val="0"/>
          <w:sz w:val="32"/>
          <w:szCs w:val="32"/>
          <w:u w:color="FFB03A"/>
        </w:rPr>
        <w:t>（二）</w:t>
      </w:r>
      <w:r>
        <w:rPr>
          <w:rFonts w:hint="eastAsia" w:ascii="仿宋_GB2312" w:hAnsi="Calibri" w:eastAsia="仿宋_GB2312" w:cs="仿宋"/>
          <w:kern w:val="0"/>
          <w:sz w:val="32"/>
          <w:szCs w:val="32"/>
        </w:rPr>
        <w:t>组织实施情况。</w:t>
      </w:r>
    </w:p>
    <w:p>
      <w:pPr>
        <w:adjustRightInd w:val="0"/>
        <w:snapToGrid w:val="0"/>
        <w:spacing w:line="560" w:lineRule="exact"/>
        <w:ind w:firstLine="633" w:firstLineChars="198"/>
        <w:rPr>
          <w:rFonts w:ascii="仿宋_GB2312" w:hAnsi="Calibri" w:eastAsia="仿宋_GB2312" w:cs="仿宋"/>
          <w:kern w:val="0"/>
          <w:sz w:val="32"/>
          <w:szCs w:val="32"/>
        </w:rPr>
      </w:pPr>
      <w:r>
        <w:rPr>
          <w:rFonts w:hint="eastAsia" w:ascii="仿宋_GB2312" w:hAnsi="Calibri" w:eastAsia="仿宋_GB2312" w:cs="仿宋"/>
          <w:kern w:val="0"/>
          <w:sz w:val="32"/>
          <w:szCs w:val="32"/>
        </w:rPr>
        <w:t>所有项目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pPr>
        <w:adjustRightInd w:val="0"/>
        <w:snapToGrid w:val="0"/>
        <w:spacing w:line="560" w:lineRule="exact"/>
        <w:ind w:firstLine="633" w:firstLineChars="198"/>
        <w:rPr>
          <w:rFonts w:ascii="仿宋_GB2312" w:hAnsi="Calibri" w:eastAsia="仿宋_GB2312" w:cs="仿宋"/>
          <w:kern w:val="0"/>
          <w:sz w:val="32"/>
          <w:szCs w:val="32"/>
        </w:rPr>
      </w:pPr>
      <w:r>
        <w:rPr>
          <w:rFonts w:hint="eastAsia" w:ascii="仿宋_GB2312" w:hAnsi="Calibri" w:eastAsia="仿宋_GB2312" w:cs="仿宋"/>
          <w:kern w:val="0"/>
          <w:sz w:val="32"/>
          <w:szCs w:val="32"/>
        </w:rPr>
        <w:t>三、目标完成情况</w:t>
      </w:r>
      <w:r>
        <w:rPr>
          <w:rFonts w:hint="eastAsia" w:ascii="仿宋_GB2312" w:hAnsi="Calibri" w:eastAsia="仿宋_GB2312" w:cs="仿宋"/>
          <w:kern w:val="0"/>
          <w:sz w:val="32"/>
          <w:szCs w:val="32"/>
        </w:rPr>
        <w:tab/>
      </w:r>
    </w:p>
    <w:p>
      <w:pPr>
        <w:adjustRightInd w:val="0"/>
        <w:snapToGrid w:val="0"/>
        <w:spacing w:line="560" w:lineRule="exact"/>
        <w:ind w:firstLine="633" w:firstLineChars="198"/>
        <w:rPr>
          <w:rFonts w:ascii="仿宋_GB2312" w:hAnsi="Calibri" w:eastAsia="仿宋_GB2312" w:cs="仿宋"/>
          <w:kern w:val="0"/>
          <w:sz w:val="32"/>
          <w:szCs w:val="32"/>
        </w:rPr>
      </w:pPr>
      <w:r>
        <w:rPr>
          <w:rFonts w:hint="eastAsia" w:ascii="仿宋_GB2312" w:hAnsi="Calibri" w:eastAsia="仿宋_GB2312" w:cs="仿宋"/>
          <w:kern w:val="0"/>
          <w:sz w:val="32"/>
          <w:szCs w:val="32"/>
        </w:rPr>
        <w:t>（一）目标任务量完成情况。</w:t>
      </w:r>
    </w:p>
    <w:p>
      <w:pPr>
        <w:adjustRightInd w:val="0"/>
        <w:snapToGrid w:val="0"/>
        <w:spacing w:line="560" w:lineRule="exact"/>
        <w:ind w:firstLine="633" w:firstLineChars="198"/>
        <w:rPr>
          <w:rFonts w:ascii="仿宋_GB2312" w:hAnsi="Calibri" w:eastAsia="仿宋_GB2312" w:cs="仿宋"/>
          <w:kern w:val="0"/>
          <w:sz w:val="32"/>
          <w:szCs w:val="32"/>
        </w:rPr>
      </w:pPr>
      <w:r>
        <w:rPr>
          <w:rFonts w:hint="eastAsia" w:ascii="仿宋_GB2312" w:hAnsi="Calibri" w:eastAsia="仿宋_GB2312" w:cs="仿宋"/>
          <w:kern w:val="0"/>
          <w:sz w:val="32"/>
          <w:szCs w:val="32"/>
        </w:rPr>
        <w:t>全校教职工</w:t>
      </w:r>
      <w:r>
        <w:rPr>
          <w:rFonts w:hint="eastAsia" w:ascii="仿宋_GB2312" w:hAnsi="Calibri" w:eastAsia="仿宋_GB2312" w:cs="仿宋"/>
          <w:kern w:val="0"/>
          <w:sz w:val="32"/>
          <w:szCs w:val="32"/>
          <w:u w:val="thick" w:color="FFB03A"/>
          <w:shd w:val="clear" w:fill="FFEFD7"/>
        </w:rPr>
        <w:t>完成</w:t>
      </w:r>
      <w:r>
        <w:rPr>
          <w:rFonts w:hint="eastAsia" w:ascii="仿宋_GB2312" w:hAnsi="Calibri" w:eastAsia="仿宋_GB2312" w:cs="仿宋"/>
          <w:kern w:val="0"/>
          <w:sz w:val="32"/>
          <w:szCs w:val="32"/>
          <w:u w:val="thick" w:color="FFB03A"/>
          <w:shd w:val="clear" w:fill="FFEFD7"/>
          <w:lang w:eastAsia="zh-CN"/>
        </w:rPr>
        <w:t>了</w:t>
      </w:r>
      <w:r>
        <w:rPr>
          <w:rFonts w:hint="eastAsia" w:ascii="仿宋_GB2312" w:hAnsi="Calibri" w:eastAsia="仿宋_GB2312" w:cs="仿宋"/>
          <w:kern w:val="0"/>
          <w:sz w:val="32"/>
          <w:szCs w:val="32"/>
        </w:rPr>
        <w:t>学期目标任务，达到了相关教学要求，学校</w:t>
      </w:r>
      <w:bookmarkStart w:id="78" w:name="_GoBack"/>
      <w:r>
        <w:rPr>
          <w:rFonts w:hint="eastAsia" w:ascii="仿宋_GB2312" w:hAnsi="Calibri" w:eastAsia="仿宋_GB2312" w:cs="仿宋"/>
          <w:kern w:val="0"/>
          <w:sz w:val="32"/>
          <w:szCs w:val="32"/>
          <w:u w:val="none" w:color="FFFFFF"/>
          <w:shd w:val="clear" w:fill="FFFFFF"/>
        </w:rPr>
        <w:t>整体</w:t>
      </w:r>
      <w:bookmarkEnd w:id="78"/>
      <w:r>
        <w:rPr>
          <w:rFonts w:hint="eastAsia" w:ascii="仿宋_GB2312" w:hAnsi="Calibri" w:eastAsia="仿宋_GB2312" w:cs="仿宋"/>
          <w:kern w:val="0"/>
          <w:sz w:val="32"/>
          <w:szCs w:val="32"/>
        </w:rPr>
        <w:t>工作取得了较好成效。</w:t>
      </w:r>
    </w:p>
    <w:p>
      <w:pPr>
        <w:adjustRightInd w:val="0"/>
        <w:snapToGrid w:val="0"/>
        <w:spacing w:line="560" w:lineRule="exact"/>
        <w:ind w:firstLine="633" w:firstLineChars="198"/>
        <w:rPr>
          <w:rFonts w:ascii="仿宋_GB2312" w:hAnsi="Calibri" w:eastAsia="仿宋_GB2312" w:cs="仿宋"/>
          <w:kern w:val="0"/>
          <w:sz w:val="32"/>
          <w:szCs w:val="32"/>
        </w:rPr>
      </w:pPr>
      <w:r>
        <w:rPr>
          <w:rFonts w:hint="eastAsia" w:ascii="仿宋_GB2312" w:hAnsi="Calibri" w:eastAsia="仿宋_GB2312" w:cs="仿宋"/>
          <w:kern w:val="0"/>
          <w:sz w:val="32"/>
          <w:szCs w:val="32"/>
          <w:u w:color="FFB03A"/>
        </w:rPr>
        <w:t>（二）</w:t>
      </w:r>
      <w:r>
        <w:rPr>
          <w:rFonts w:hint="eastAsia" w:ascii="仿宋_GB2312" w:hAnsi="Calibri" w:eastAsia="仿宋_GB2312" w:cs="仿宋"/>
          <w:kern w:val="0"/>
          <w:sz w:val="32"/>
          <w:szCs w:val="32"/>
        </w:rPr>
        <w:t>目标质量完成情况。</w:t>
      </w:r>
    </w:p>
    <w:p>
      <w:pPr>
        <w:adjustRightInd w:val="0"/>
        <w:snapToGrid w:val="0"/>
        <w:spacing w:line="560" w:lineRule="exact"/>
        <w:ind w:firstLine="633" w:firstLineChars="198"/>
        <w:rPr>
          <w:rFonts w:ascii="仿宋_GB2312" w:hAnsi="Calibri" w:eastAsia="仿宋_GB2312" w:cs="仿宋"/>
          <w:kern w:val="0"/>
          <w:sz w:val="32"/>
          <w:szCs w:val="32"/>
        </w:rPr>
      </w:pPr>
      <w:r>
        <w:rPr>
          <w:rFonts w:hint="eastAsia" w:ascii="仿宋_GB2312" w:hAnsi="Calibri" w:eastAsia="仿宋_GB2312" w:cs="仿宋"/>
          <w:kern w:val="0"/>
          <w:sz w:val="32"/>
          <w:szCs w:val="32"/>
        </w:rPr>
        <w:t>按照年初目标任务，实际完成较好，大部分教职工做得很优秀。</w:t>
      </w:r>
    </w:p>
    <w:p>
      <w:pPr>
        <w:adjustRightInd w:val="0"/>
        <w:snapToGrid w:val="0"/>
        <w:spacing w:line="560" w:lineRule="exact"/>
        <w:ind w:firstLine="633" w:firstLineChars="198"/>
        <w:rPr>
          <w:rFonts w:ascii="仿宋_GB2312" w:hAnsi="Calibri" w:eastAsia="仿宋_GB2312" w:cs="仿宋"/>
          <w:kern w:val="0"/>
          <w:sz w:val="32"/>
          <w:szCs w:val="32"/>
        </w:rPr>
      </w:pPr>
      <w:r>
        <w:rPr>
          <w:rFonts w:hint="eastAsia" w:ascii="仿宋_GB2312" w:hAnsi="Calibri" w:eastAsia="仿宋_GB2312" w:cs="仿宋"/>
          <w:kern w:val="0"/>
          <w:sz w:val="32"/>
          <w:szCs w:val="32"/>
        </w:rPr>
        <w:t>（三）目标进度完成情况。</w:t>
      </w:r>
    </w:p>
    <w:p>
      <w:pPr>
        <w:adjustRightInd w:val="0"/>
        <w:snapToGrid w:val="0"/>
        <w:spacing w:line="560" w:lineRule="exact"/>
        <w:ind w:firstLine="633" w:firstLineChars="198"/>
        <w:rPr>
          <w:rFonts w:ascii="仿宋_GB2312" w:hAnsi="Calibri" w:eastAsia="仿宋_GB2312" w:cs="仿宋"/>
          <w:kern w:val="0"/>
          <w:sz w:val="32"/>
          <w:szCs w:val="32"/>
        </w:rPr>
      </w:pPr>
      <w:r>
        <w:rPr>
          <w:rFonts w:hint="eastAsia" w:ascii="仿宋_GB2312" w:hAnsi="Calibri" w:eastAsia="仿宋_GB2312" w:cs="仿宋"/>
          <w:kern w:val="0"/>
          <w:sz w:val="32"/>
          <w:szCs w:val="32"/>
        </w:rPr>
        <w:t>对照预定计划，全部完成了目标任务。</w:t>
      </w:r>
    </w:p>
    <w:p>
      <w:pPr>
        <w:adjustRightInd w:val="0"/>
        <w:snapToGrid w:val="0"/>
        <w:spacing w:line="560" w:lineRule="exact"/>
        <w:ind w:firstLine="633" w:firstLineChars="198"/>
        <w:rPr>
          <w:rFonts w:ascii="仿宋_GB2312" w:hAnsi="Calibri" w:eastAsia="仿宋_GB2312" w:cs="仿宋"/>
          <w:kern w:val="0"/>
          <w:sz w:val="32"/>
          <w:szCs w:val="32"/>
        </w:rPr>
      </w:pPr>
      <w:r>
        <w:rPr>
          <w:rFonts w:hint="eastAsia" w:ascii="仿宋_GB2312" w:hAnsi="Calibri" w:eastAsia="仿宋_GB2312" w:cs="仿宋"/>
          <w:kern w:val="0"/>
          <w:sz w:val="32"/>
          <w:szCs w:val="32"/>
        </w:rPr>
        <w:t>四、项目效益情况</w:t>
      </w:r>
    </w:p>
    <w:p>
      <w:pPr>
        <w:adjustRightInd w:val="0"/>
        <w:snapToGrid w:val="0"/>
        <w:spacing w:line="560" w:lineRule="exact"/>
        <w:ind w:firstLine="633" w:firstLineChars="198"/>
        <w:rPr>
          <w:rFonts w:ascii="仿宋_GB2312" w:hAnsi="Calibri" w:eastAsia="仿宋_GB2312" w:cs="仿宋"/>
          <w:kern w:val="0"/>
          <w:sz w:val="32"/>
          <w:szCs w:val="32"/>
        </w:rPr>
      </w:pPr>
      <w:r>
        <w:rPr>
          <w:rFonts w:hint="eastAsia" w:ascii="仿宋_GB2312" w:hAnsi="Calibri" w:eastAsia="仿宋_GB2312" w:cs="仿宋"/>
          <w:kern w:val="0"/>
          <w:sz w:val="32"/>
          <w:szCs w:val="32"/>
        </w:rPr>
        <w:t>实施目标绩效考核，充分调动了教职工积极性，学校各方面工作都有序，高质量完成，产生较好的社会效益，严格执行目标管理，充分保障学校正常运转。</w:t>
      </w:r>
    </w:p>
    <w:p>
      <w:pPr>
        <w:adjustRightInd w:val="0"/>
        <w:snapToGrid w:val="0"/>
        <w:spacing w:line="560" w:lineRule="exact"/>
        <w:ind w:firstLine="633" w:firstLineChars="198"/>
        <w:rPr>
          <w:rFonts w:ascii="仿宋_GB2312" w:hAnsi="Calibri" w:eastAsia="仿宋_GB2312" w:cs="仿宋"/>
          <w:kern w:val="0"/>
          <w:sz w:val="32"/>
          <w:szCs w:val="32"/>
        </w:rPr>
      </w:pPr>
      <w:r>
        <w:rPr>
          <w:rFonts w:hint="eastAsia" w:ascii="仿宋_GB2312" w:hAnsi="Calibri" w:eastAsia="仿宋_GB2312" w:cs="仿宋"/>
          <w:kern w:val="0"/>
          <w:sz w:val="32"/>
          <w:szCs w:val="32"/>
        </w:rPr>
        <w:t>五、问题及建议</w:t>
      </w:r>
    </w:p>
    <w:p>
      <w:pPr>
        <w:adjustRightInd w:val="0"/>
        <w:snapToGrid w:val="0"/>
        <w:spacing w:line="560" w:lineRule="exact"/>
        <w:ind w:firstLine="633" w:firstLineChars="198"/>
        <w:rPr>
          <w:rFonts w:ascii="仿宋_GB2312" w:hAnsi="Calibri" w:eastAsia="仿宋_GB2312" w:cs="仿宋"/>
          <w:kern w:val="0"/>
          <w:sz w:val="32"/>
          <w:szCs w:val="32"/>
        </w:rPr>
      </w:pPr>
      <w:r>
        <w:rPr>
          <w:rFonts w:hint="eastAsia" w:ascii="仿宋_GB2312" w:hAnsi="Calibri" w:eastAsia="仿宋_GB2312" w:cs="仿宋"/>
          <w:kern w:val="0"/>
          <w:sz w:val="32"/>
          <w:szCs w:val="32"/>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pPr>
        <w:jc w:val="center"/>
        <w:rPr>
          <w:rFonts w:ascii="方正小标宋简体" w:hAnsi="华文中宋" w:eastAsia="方正小标宋简体"/>
          <w:b/>
          <w:sz w:val="40"/>
          <w:szCs w:val="40"/>
        </w:rPr>
      </w:pPr>
    </w:p>
    <w:p>
      <w:pPr>
        <w:pStyle w:val="3"/>
        <w:spacing w:before="93"/>
        <w:rPr>
          <w:rFonts w:ascii="方正小标宋简体" w:hAnsi="华文中宋" w:eastAsia="方正小标宋简体"/>
          <w:b/>
          <w:sz w:val="40"/>
          <w:szCs w:val="40"/>
        </w:rPr>
      </w:pPr>
    </w:p>
    <w:p>
      <w:pPr>
        <w:pStyle w:val="3"/>
        <w:spacing w:before="93"/>
        <w:rPr>
          <w:rFonts w:ascii="方正小标宋简体" w:hAnsi="华文中宋" w:eastAsia="方正小标宋简体"/>
          <w:b/>
          <w:sz w:val="40"/>
          <w:szCs w:val="40"/>
        </w:rPr>
      </w:pPr>
    </w:p>
    <w:p>
      <w:pPr>
        <w:pStyle w:val="3"/>
        <w:spacing w:before="93"/>
        <w:rPr>
          <w:rFonts w:ascii="方正小标宋简体" w:hAnsi="华文中宋" w:eastAsia="方正小标宋简体"/>
          <w:b/>
          <w:sz w:val="40"/>
          <w:szCs w:val="40"/>
        </w:rPr>
      </w:pPr>
    </w:p>
    <w:p>
      <w:pPr>
        <w:jc w:val="center"/>
        <w:rPr>
          <w:rFonts w:ascii="方正小标宋简体" w:hAnsi="华文中宋" w:eastAsia="方正小标宋简体"/>
          <w:b/>
          <w:sz w:val="40"/>
          <w:szCs w:val="40"/>
        </w:rPr>
      </w:pPr>
    </w:p>
    <w:p>
      <w:pPr>
        <w:jc w:val="center"/>
        <w:rPr>
          <w:rFonts w:ascii="方正小标宋简体" w:hAnsi="华文中宋" w:eastAsia="方正小标宋简体"/>
          <w:b/>
          <w:sz w:val="40"/>
          <w:szCs w:val="40"/>
        </w:rPr>
      </w:pPr>
      <w:r>
        <w:rPr>
          <w:rFonts w:hint="eastAsia" w:ascii="方正小标宋简体" w:hAnsi="华文中宋" w:eastAsia="方正小标宋简体"/>
          <w:b/>
          <w:sz w:val="40"/>
          <w:szCs w:val="40"/>
        </w:rPr>
        <w:t>通江县第四小学</w:t>
      </w:r>
    </w:p>
    <w:p>
      <w:pPr>
        <w:pStyle w:val="37"/>
        <w:spacing w:line="240" w:lineRule="auto"/>
        <w:jc w:val="center"/>
        <w:rPr>
          <w:rFonts w:ascii="方正小标宋简体" w:hAnsi="华文中宋" w:eastAsia="方正小标宋简体"/>
          <w:b/>
          <w:sz w:val="40"/>
          <w:szCs w:val="40"/>
        </w:rPr>
      </w:pPr>
      <w:r>
        <w:rPr>
          <w:rFonts w:hint="eastAsia" w:ascii="方正小标宋简体" w:hAnsi="华文中宋" w:eastAsia="方正小标宋简体"/>
          <w:b/>
          <w:sz w:val="40"/>
          <w:szCs w:val="40"/>
        </w:rPr>
        <w:t>关于2021年度公用经费资金绩效自评</w:t>
      </w:r>
    </w:p>
    <w:p>
      <w:pPr>
        <w:pStyle w:val="37"/>
        <w:spacing w:line="240" w:lineRule="auto"/>
        <w:jc w:val="center"/>
        <w:rPr>
          <w:rFonts w:ascii="方正小标宋简体" w:hAnsi="华文中宋" w:eastAsia="方正小标宋简体"/>
          <w:b/>
          <w:sz w:val="40"/>
          <w:szCs w:val="40"/>
        </w:rPr>
      </w:pPr>
      <w:r>
        <w:rPr>
          <w:rFonts w:hint="eastAsia" w:ascii="方正小标宋简体" w:hAnsi="华文中宋" w:eastAsia="方正小标宋简体"/>
          <w:b/>
          <w:sz w:val="40"/>
          <w:szCs w:val="40"/>
        </w:rPr>
        <w:t>报告</w:t>
      </w:r>
    </w:p>
    <w:p>
      <w:pPr>
        <w:adjustRightInd w:val="0"/>
        <w:snapToGrid w:val="0"/>
        <w:spacing w:line="560" w:lineRule="exact"/>
        <w:ind w:firstLine="594" w:firstLineChars="198"/>
        <w:rPr>
          <w:rFonts w:ascii="仿宋_GB2312" w:hAnsi="仿宋" w:eastAsia="仿宋_GB2312"/>
          <w:sz w:val="30"/>
          <w:szCs w:val="30"/>
        </w:rPr>
      </w:pPr>
    </w:p>
    <w:p>
      <w:pPr>
        <w:adjustRightInd w:val="0"/>
        <w:snapToGrid w:val="0"/>
        <w:spacing w:line="560" w:lineRule="exact"/>
        <w:ind w:firstLine="594" w:firstLineChars="198"/>
        <w:rPr>
          <w:rFonts w:ascii="仿宋_GB2312" w:hAnsi="仿宋" w:eastAsia="仿宋_GB2312"/>
          <w:sz w:val="30"/>
          <w:szCs w:val="30"/>
        </w:rPr>
      </w:pPr>
      <w:r>
        <w:rPr>
          <w:rFonts w:hint="eastAsia" w:ascii="仿宋_GB2312" w:hAnsi="仿宋" w:eastAsia="仿宋_GB2312"/>
          <w:sz w:val="30"/>
          <w:szCs w:val="30"/>
        </w:rPr>
        <w:t>为加强</w:t>
      </w:r>
      <w:r>
        <w:rPr>
          <w:rFonts w:hint="eastAsia" w:ascii="仿宋_GB2312" w:hAnsi="仿宋" w:eastAsia="仿宋_GB2312"/>
          <w:sz w:val="30"/>
          <w:szCs w:val="30"/>
          <w:u w:val="thick" w:color="46CD7E"/>
          <w:shd w:val="clear" w:color="auto" w:fill="DAF5E5"/>
        </w:rPr>
        <w:t>学校教育管理</w:t>
      </w:r>
      <w:r>
        <w:rPr>
          <w:rFonts w:hint="eastAsia" w:ascii="仿宋_GB2312" w:hAnsi="仿宋" w:eastAsia="仿宋_GB2312"/>
          <w:sz w:val="30"/>
          <w:szCs w:val="30"/>
        </w:rPr>
        <w:t>，充分发挥教育服务作用，调动</w:t>
      </w:r>
      <w:r>
        <w:rPr>
          <w:rFonts w:hint="eastAsia" w:ascii="仿宋_GB2312" w:hAnsi="仿宋" w:eastAsia="仿宋_GB2312"/>
          <w:sz w:val="30"/>
          <w:szCs w:val="30"/>
          <w:u w:val="thick" w:color="46CD7E"/>
          <w:shd w:val="clear" w:color="auto" w:fill="DAF5E5"/>
        </w:rPr>
        <w:t>我校教育</w:t>
      </w:r>
      <w:r>
        <w:rPr>
          <w:rFonts w:hint="eastAsia" w:ascii="仿宋_GB2312" w:hAnsi="仿宋" w:eastAsia="仿宋_GB2312"/>
          <w:sz w:val="30"/>
          <w:szCs w:val="30"/>
        </w:rPr>
        <w:t>人员的积极性。根据四川省教育系统绩效考核标准及通江县财政局关于全面实施预算绩效管理的通知通财绩</w:t>
      </w:r>
      <w:r>
        <w:rPr>
          <w:rFonts w:hint="eastAsia" w:ascii="仿宋_GB2312" w:hAnsi="华文中宋" w:eastAsia="仿宋_GB2312"/>
          <w:sz w:val="30"/>
          <w:szCs w:val="30"/>
        </w:rPr>
        <w:t>〔2022〕13</w:t>
      </w:r>
      <w:r>
        <w:rPr>
          <w:rFonts w:hint="eastAsia" w:ascii="仿宋_GB2312" w:hAnsi="仿宋" w:eastAsia="仿宋_GB2312"/>
          <w:sz w:val="30"/>
          <w:szCs w:val="30"/>
        </w:rPr>
        <w:t>号文件精神，我校进行了自查自评，现将绩效自查情况报告如下</w:t>
      </w:r>
      <w:r>
        <w:rPr>
          <w:rFonts w:hint="eastAsia" w:ascii="仿宋_GB2312" w:hAnsi="仿宋" w:eastAsia="仿宋_GB2312"/>
          <w:sz w:val="30"/>
          <w:szCs w:val="30"/>
          <w:u w:val="none" w:color="FFFFFF"/>
          <w:shd w:val="clear" w:fill="FFFFFF"/>
        </w:rPr>
        <w:t>：</w:t>
      </w:r>
    </w:p>
    <w:p>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rPr>
        <w:t>一、</w:t>
      </w:r>
      <w:r>
        <w:rPr>
          <w:rFonts w:hint="eastAsia" w:ascii="仿宋_GB2312" w:hAnsi="宋体" w:eastAsia="仿宋_GB2312"/>
          <w:sz w:val="30"/>
          <w:szCs w:val="30"/>
          <w:lang w:val="zh-CN"/>
        </w:rPr>
        <w:t>项目概况</w:t>
      </w:r>
    </w:p>
    <w:p>
      <w:pPr>
        <w:adjustRightInd w:val="0"/>
        <w:snapToGrid w:val="0"/>
        <w:spacing w:line="560" w:lineRule="exact"/>
        <w:ind w:firstLine="720"/>
        <w:rPr>
          <w:rFonts w:ascii="仿宋_GB2312" w:hAnsi="宋体" w:eastAsia="仿宋_GB2312"/>
          <w:b/>
          <w:sz w:val="30"/>
          <w:szCs w:val="30"/>
          <w:lang w:val="zh-CN"/>
        </w:rPr>
      </w:pPr>
      <w:r>
        <w:rPr>
          <w:rFonts w:hint="eastAsia" w:ascii="仿宋_GB2312" w:hAnsi="宋体" w:eastAsia="仿宋_GB2312"/>
          <w:b/>
          <w:sz w:val="30"/>
          <w:szCs w:val="30"/>
          <w:lang w:val="zh-CN"/>
        </w:rPr>
        <w:t>（一）项目资金申报及批复情况。</w:t>
      </w:r>
    </w:p>
    <w:p>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第四小学有学生</w:t>
      </w:r>
      <w:r>
        <w:rPr>
          <w:rFonts w:hint="eastAsia" w:ascii="仿宋_GB2312" w:hAnsi="宋体" w:eastAsia="仿宋_GB2312"/>
          <w:sz w:val="30"/>
          <w:szCs w:val="30"/>
        </w:rPr>
        <w:t>569人</w:t>
      </w:r>
      <w:r>
        <w:rPr>
          <w:rFonts w:hint="eastAsia" w:ascii="仿宋_GB2312" w:hAnsi="宋体" w:eastAsia="仿宋_GB2312"/>
          <w:sz w:val="30"/>
          <w:szCs w:val="30"/>
          <w:lang w:val="zh-CN"/>
        </w:rPr>
        <w:t>，在编教师</w:t>
      </w:r>
      <w:r>
        <w:rPr>
          <w:rFonts w:hint="eastAsia" w:ascii="仿宋_GB2312" w:hAnsi="宋体" w:eastAsia="仿宋_GB2312"/>
          <w:sz w:val="30"/>
          <w:szCs w:val="30"/>
        </w:rPr>
        <w:t>56人</w:t>
      </w:r>
      <w:r>
        <w:rPr>
          <w:rFonts w:hint="eastAsia" w:ascii="仿宋_GB2312" w:hAnsi="宋体" w:eastAsia="仿宋_GB2312"/>
          <w:sz w:val="30"/>
          <w:szCs w:val="30"/>
          <w:lang w:val="zh-CN"/>
        </w:rPr>
        <w:t>，共拨付公用经费资金</w:t>
      </w:r>
      <w:r>
        <w:rPr>
          <w:rFonts w:hint="eastAsia" w:ascii="仿宋_GB2312" w:hAnsi="宋体" w:eastAsia="仿宋_GB2312"/>
          <w:sz w:val="30"/>
          <w:szCs w:val="30"/>
        </w:rPr>
        <w:t>55.3755</w:t>
      </w:r>
      <w:r>
        <w:rPr>
          <w:rFonts w:hint="eastAsia" w:ascii="仿宋_GB2312" w:hAnsi="宋体" w:eastAsia="仿宋_GB2312"/>
          <w:sz w:val="30"/>
          <w:szCs w:val="30"/>
          <w:lang w:val="zh-CN"/>
        </w:rPr>
        <w:t>万元，评价符合资金管理办法等相关规定。</w:t>
      </w:r>
    </w:p>
    <w:p>
      <w:pPr>
        <w:adjustRightInd w:val="0"/>
        <w:snapToGrid w:val="0"/>
        <w:spacing w:line="560" w:lineRule="exact"/>
        <w:ind w:firstLine="720"/>
        <w:rPr>
          <w:rFonts w:ascii="仿宋_GB2312" w:hAnsi="宋体" w:eastAsia="仿宋_GB2312"/>
          <w:b/>
          <w:sz w:val="30"/>
          <w:szCs w:val="30"/>
          <w:lang w:val="zh-CN"/>
        </w:rPr>
      </w:pPr>
      <w:r>
        <w:rPr>
          <w:rFonts w:hint="eastAsia" w:ascii="仿宋_GB2312" w:hAnsi="宋体" w:eastAsia="仿宋_GB2312"/>
          <w:b/>
          <w:sz w:val="30"/>
          <w:szCs w:val="30"/>
          <w:lang w:val="zh-CN"/>
        </w:rPr>
        <w:t>（二）项目绩效目标。</w:t>
      </w:r>
    </w:p>
    <w:p>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保障通江县第四小学学生及教师的基本学习、生活秩序，使学生、教师幸福指数增加。</w:t>
      </w:r>
    </w:p>
    <w:p>
      <w:pPr>
        <w:adjustRightInd w:val="0"/>
        <w:snapToGrid w:val="0"/>
        <w:spacing w:line="560" w:lineRule="exact"/>
        <w:ind w:left="420" w:leftChars="200" w:firstLine="422" w:firstLineChars="140"/>
        <w:rPr>
          <w:rFonts w:ascii="仿宋_GB2312" w:hAnsi="宋体" w:eastAsia="仿宋_GB2312"/>
          <w:b/>
          <w:sz w:val="30"/>
          <w:szCs w:val="30"/>
          <w:lang w:val="zh-CN"/>
        </w:rPr>
      </w:pPr>
      <w:r>
        <w:rPr>
          <w:rFonts w:hint="eastAsia" w:ascii="仿宋_GB2312" w:hAnsi="宋体" w:eastAsia="仿宋_GB2312"/>
          <w:b/>
          <w:sz w:val="30"/>
          <w:szCs w:val="30"/>
          <w:u w:val="none" w:color="FFFFFF"/>
          <w:shd w:val="clear" w:fill="FFFFFF"/>
          <w:lang w:val="zh-CN"/>
        </w:rPr>
        <w:t>（三）项目资金申报相符性。</w:t>
      </w:r>
    </w:p>
    <w:p>
      <w:pPr>
        <w:adjustRightInd w:val="0"/>
        <w:snapToGrid w:val="0"/>
        <w:spacing w:line="560" w:lineRule="exact"/>
        <w:ind w:left="420" w:leftChars="200" w:firstLine="420" w:firstLineChars="140"/>
        <w:rPr>
          <w:rFonts w:ascii="仿宋_GB2312" w:hAnsi="宋体" w:eastAsia="仿宋_GB2312"/>
          <w:sz w:val="30"/>
          <w:szCs w:val="30"/>
          <w:lang w:val="zh-CN"/>
        </w:rPr>
      </w:pPr>
      <w:r>
        <w:rPr>
          <w:rFonts w:hint="eastAsia" w:ascii="仿宋_GB2312" w:hAnsi="宋体" w:eastAsia="仿宋_GB2312"/>
          <w:sz w:val="30"/>
          <w:szCs w:val="30"/>
          <w:lang w:val="zh-CN"/>
        </w:rPr>
        <w:t>项目申报内容与具体实施内容相符</w:t>
      </w:r>
      <w:r>
        <w:rPr>
          <w:rFonts w:hint="eastAsia" w:ascii="仿宋_GB2312" w:hAnsi="宋体" w:eastAsia="仿宋_GB2312"/>
          <w:b/>
          <w:sz w:val="30"/>
          <w:szCs w:val="30"/>
          <w:lang w:val="zh-CN"/>
        </w:rPr>
        <w:t>。</w:t>
      </w:r>
    </w:p>
    <w:p>
      <w:pPr>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二、项目实施及管理情况</w:t>
      </w:r>
    </w:p>
    <w:p>
      <w:pPr>
        <w:adjustRightInd w:val="0"/>
        <w:snapToGrid w:val="0"/>
        <w:spacing w:line="560" w:lineRule="exact"/>
        <w:ind w:firstLine="590" w:firstLineChars="196"/>
        <w:rPr>
          <w:rFonts w:ascii="仿宋_GB2312" w:hAnsi="宋体" w:eastAsia="仿宋_GB2312"/>
          <w:b/>
          <w:sz w:val="30"/>
          <w:szCs w:val="30"/>
          <w:lang w:val="zh-CN"/>
        </w:rPr>
      </w:pPr>
      <w:r>
        <w:rPr>
          <w:rFonts w:hint="eastAsia" w:ascii="仿宋_GB2312" w:hAnsi="宋体" w:eastAsia="仿宋_GB2312"/>
          <w:b/>
          <w:sz w:val="30"/>
          <w:szCs w:val="30"/>
          <w:u w:val="none" w:color="FFFFFF"/>
          <w:shd w:val="clear" w:fill="FFFFFF"/>
          <w:lang w:val="zh-CN"/>
        </w:rPr>
        <w:t>（一）资金计划、到位及使用情况。</w:t>
      </w:r>
    </w:p>
    <w:p>
      <w:pPr>
        <w:adjustRightInd w:val="0"/>
        <w:snapToGrid w:val="0"/>
        <w:spacing w:line="560" w:lineRule="exact"/>
        <w:ind w:firstLine="600" w:firstLineChars="200"/>
        <w:rPr>
          <w:rFonts w:ascii="仿宋_GB2312" w:hAnsi="宋体" w:eastAsia="仿宋_GB2312"/>
          <w:sz w:val="30"/>
          <w:szCs w:val="30"/>
          <w:lang w:val="zh-CN"/>
        </w:rPr>
      </w:pPr>
      <w:r>
        <w:rPr>
          <w:rFonts w:hint="eastAsia" w:ascii="仿宋_GB2312" w:hAnsi="宋体" w:eastAsia="仿宋_GB2312"/>
          <w:sz w:val="30"/>
          <w:szCs w:val="30"/>
          <w:lang w:val="zh-CN"/>
        </w:rPr>
        <w:t>1．资金计划及时到位。该项目资金计划及时到位。资金到位情况与资金计划完全一致，资金到位率100%、到位及时。</w:t>
      </w:r>
    </w:p>
    <w:p>
      <w:pPr>
        <w:adjustRightInd w:val="0"/>
        <w:snapToGrid w:val="0"/>
        <w:spacing w:line="560" w:lineRule="exact"/>
        <w:ind w:firstLine="600" w:firstLineChars="200"/>
        <w:rPr>
          <w:rFonts w:ascii="仿宋_GB2312" w:hAnsi="宋体" w:eastAsia="仿宋_GB2312"/>
          <w:sz w:val="30"/>
          <w:szCs w:val="30"/>
          <w:lang w:val="zh-CN"/>
        </w:rPr>
      </w:pPr>
      <w:r>
        <w:rPr>
          <w:rFonts w:hint="eastAsia" w:ascii="仿宋_GB2312" w:hAnsi="宋体" w:eastAsia="仿宋_GB2312"/>
          <w:sz w:val="30"/>
          <w:szCs w:val="30"/>
          <w:lang w:val="zh-CN"/>
        </w:rPr>
        <w:t>2．资金使用。截至评价时点项目资金的实际支出</w:t>
      </w:r>
      <w:r>
        <w:rPr>
          <w:rFonts w:hint="eastAsia" w:ascii="仿宋_GB2312" w:hAnsi="宋体" w:eastAsia="仿宋_GB2312"/>
          <w:sz w:val="30"/>
          <w:szCs w:val="30"/>
        </w:rPr>
        <w:t>82.77</w:t>
      </w:r>
      <w:r>
        <w:rPr>
          <w:rFonts w:hint="eastAsia" w:ascii="仿宋_GB2312" w:hAnsi="宋体" w:eastAsia="仿宋_GB2312"/>
          <w:sz w:val="30"/>
          <w:szCs w:val="30"/>
          <w:lang w:val="zh-CN"/>
        </w:rPr>
        <w:t>万元，全部用于保障学校正常运转的支出，支出依据合规合法，资金支付与预算相符。</w:t>
      </w:r>
    </w:p>
    <w:p>
      <w:pPr>
        <w:adjustRightInd w:val="0"/>
        <w:snapToGrid w:val="0"/>
        <w:spacing w:line="560" w:lineRule="exact"/>
        <w:ind w:firstLine="720"/>
        <w:rPr>
          <w:rFonts w:ascii="仿宋_GB2312" w:hAnsi="宋体" w:eastAsia="仿宋_GB2312"/>
          <w:b/>
          <w:sz w:val="30"/>
          <w:szCs w:val="30"/>
          <w:lang w:val="zh-CN"/>
        </w:rPr>
      </w:pPr>
      <w:r>
        <w:rPr>
          <w:rFonts w:hint="eastAsia" w:ascii="仿宋_GB2312" w:hAnsi="宋体" w:eastAsia="仿宋_GB2312"/>
          <w:b/>
          <w:sz w:val="30"/>
          <w:szCs w:val="30"/>
          <w:lang w:val="zh-CN"/>
        </w:rPr>
        <w:t>（二）项目财务管理及组织实施情况。</w:t>
      </w:r>
    </w:p>
    <w:p>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公用经费资金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rPr>
        <w:t>三、项目绩效情况</w:t>
      </w:r>
      <w:r>
        <w:rPr>
          <w:rFonts w:hint="eastAsia" w:ascii="仿宋_GB2312" w:hAnsi="宋体" w:eastAsia="仿宋_GB2312"/>
          <w:sz w:val="30"/>
          <w:szCs w:val="30"/>
          <w:lang w:val="zh-CN"/>
        </w:rPr>
        <w:tab/>
      </w:r>
    </w:p>
    <w:p>
      <w:pPr>
        <w:adjustRightInd w:val="0"/>
        <w:snapToGrid w:val="0"/>
        <w:spacing w:line="560" w:lineRule="exact"/>
        <w:ind w:firstLine="720"/>
        <w:rPr>
          <w:rFonts w:ascii="仿宋_GB2312" w:hAnsi="宋体" w:eastAsia="仿宋_GB2312"/>
          <w:b/>
          <w:sz w:val="30"/>
          <w:szCs w:val="30"/>
          <w:lang w:val="zh-CN"/>
        </w:rPr>
      </w:pPr>
      <w:r>
        <w:rPr>
          <w:rFonts w:hint="eastAsia" w:ascii="仿宋_GB2312" w:hAnsi="宋体" w:eastAsia="仿宋_GB2312"/>
          <w:b/>
          <w:sz w:val="30"/>
          <w:szCs w:val="30"/>
          <w:lang w:val="zh-CN"/>
        </w:rPr>
        <w:t>（一）项目完成情况。</w:t>
      </w:r>
    </w:p>
    <w:p>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u w:val="thick" w:color="FFB03A"/>
          <w:shd w:val="clear" w:color="auto" w:fill="FFEFD8"/>
          <w:lang w:val="zh-CN"/>
        </w:rPr>
        <w:t>1.</w:t>
      </w:r>
      <w:r>
        <w:rPr>
          <w:rFonts w:hint="eastAsia" w:ascii="仿宋_GB2312" w:hAnsi="宋体" w:eastAsia="仿宋_GB2312"/>
          <w:sz w:val="30"/>
          <w:szCs w:val="30"/>
          <w:lang w:val="zh-CN"/>
        </w:rPr>
        <w:t>目标任务量完成情况。</w:t>
      </w:r>
    </w:p>
    <w:p>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公用经费资金完成了学期目标任务，达到了相关要求，学校工作取得了较好成效。</w:t>
      </w:r>
    </w:p>
    <w:p>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2.目标质量完成情况。</w:t>
      </w:r>
    </w:p>
    <w:p>
      <w:pPr>
        <w:adjustRightInd w:val="0"/>
        <w:snapToGrid w:val="0"/>
        <w:spacing w:line="560" w:lineRule="exact"/>
        <w:ind w:firstLine="720"/>
        <w:rPr>
          <w:rFonts w:ascii="仿宋_GB2312" w:hAnsi="宋体" w:eastAsia="仿宋_GB2312"/>
          <w:sz w:val="30"/>
          <w:szCs w:val="30"/>
          <w:lang w:val="zh-CN"/>
        </w:rPr>
      </w:pPr>
      <w:r>
        <w:rPr>
          <w:rFonts w:hint="eastAsia" w:ascii="仿宋_GB2312" w:hAnsi="宋体" w:eastAsia="仿宋_GB2312"/>
          <w:sz w:val="30"/>
          <w:szCs w:val="30"/>
          <w:lang w:val="zh-CN"/>
        </w:rPr>
        <w:t>按照年初目标任务，实际完成较好。</w:t>
      </w:r>
    </w:p>
    <w:p>
      <w:pPr>
        <w:adjustRightInd w:val="0"/>
        <w:snapToGrid w:val="0"/>
        <w:spacing w:line="560" w:lineRule="exact"/>
        <w:ind w:firstLine="750" w:firstLineChars="250"/>
        <w:rPr>
          <w:rFonts w:ascii="仿宋_GB2312" w:hAnsi="宋体" w:eastAsia="仿宋_GB2312"/>
          <w:sz w:val="30"/>
          <w:szCs w:val="30"/>
          <w:lang w:val="zh-CN"/>
        </w:rPr>
      </w:pPr>
      <w:r>
        <w:rPr>
          <w:rFonts w:hint="eastAsia" w:ascii="仿宋_GB2312" w:hAnsi="宋体" w:eastAsia="仿宋_GB2312"/>
          <w:sz w:val="30"/>
          <w:szCs w:val="30"/>
          <w:lang w:val="zh-CN"/>
        </w:rPr>
        <w:t>3.目标进度完成情况。</w:t>
      </w:r>
    </w:p>
    <w:p>
      <w:pPr>
        <w:adjustRightInd w:val="0"/>
        <w:snapToGrid w:val="0"/>
        <w:spacing w:line="560" w:lineRule="exact"/>
        <w:ind w:firstLine="750" w:firstLineChars="250"/>
        <w:rPr>
          <w:rFonts w:ascii="仿宋_GB2312" w:hAnsi="宋体" w:eastAsia="仿宋_GB2312"/>
          <w:sz w:val="30"/>
          <w:szCs w:val="30"/>
          <w:lang w:val="zh-CN"/>
        </w:rPr>
      </w:pPr>
      <w:r>
        <w:rPr>
          <w:rFonts w:hint="eastAsia" w:ascii="仿宋_GB2312" w:hAnsi="宋体" w:eastAsia="仿宋_GB2312"/>
          <w:sz w:val="30"/>
          <w:szCs w:val="30"/>
          <w:lang w:val="zh-CN"/>
        </w:rPr>
        <w:t>对照预定计划，公用经费资金完成了目标任务。</w:t>
      </w:r>
    </w:p>
    <w:p>
      <w:pPr>
        <w:adjustRightInd w:val="0"/>
        <w:snapToGrid w:val="0"/>
        <w:spacing w:line="560" w:lineRule="exact"/>
        <w:ind w:firstLine="720"/>
        <w:rPr>
          <w:rFonts w:ascii="仿宋_GB2312" w:hAnsi="宋体" w:eastAsia="仿宋_GB2312"/>
          <w:b/>
          <w:sz w:val="30"/>
          <w:szCs w:val="30"/>
          <w:lang w:val="zh-CN"/>
        </w:rPr>
      </w:pPr>
      <w:r>
        <w:rPr>
          <w:rFonts w:hint="eastAsia" w:ascii="仿宋_GB2312" w:hAnsi="宋体" w:eastAsia="仿宋_GB2312"/>
          <w:b/>
          <w:sz w:val="30"/>
          <w:szCs w:val="30"/>
          <w:lang w:val="zh-CN"/>
        </w:rPr>
        <w:t>（二）项目效益情况。</w:t>
      </w:r>
    </w:p>
    <w:p>
      <w:pPr>
        <w:adjustRightInd w:val="0"/>
        <w:snapToGrid w:val="0"/>
        <w:spacing w:line="560" w:lineRule="exact"/>
        <w:ind w:firstLine="720"/>
        <w:rPr>
          <w:rFonts w:ascii="仿宋_GB2312" w:hAnsi="仿宋" w:eastAsia="仿宋_GB2312"/>
          <w:sz w:val="30"/>
          <w:szCs w:val="30"/>
        </w:rPr>
      </w:pPr>
      <w:r>
        <w:rPr>
          <w:rFonts w:hint="eastAsia" w:ascii="仿宋_GB2312" w:hAnsi="宋体" w:eastAsia="仿宋_GB2312"/>
          <w:sz w:val="30"/>
          <w:szCs w:val="30"/>
          <w:lang w:val="zh-CN"/>
        </w:rPr>
        <w:t>实施了目标绩效考核，学校各方面工作都</w:t>
      </w:r>
      <w:r>
        <w:rPr>
          <w:rFonts w:hint="eastAsia" w:ascii="仿宋_GB2312" w:hAnsi="宋体" w:eastAsia="仿宋_GB2312"/>
          <w:sz w:val="30"/>
          <w:szCs w:val="30"/>
          <w:u w:val="thick" w:color="46CD7E"/>
          <w:shd w:val="clear" w:color="auto" w:fill="DAF5E5"/>
          <w:lang w:val="zh-CN"/>
        </w:rPr>
        <w:t>有序完成</w:t>
      </w:r>
      <w:r>
        <w:rPr>
          <w:rFonts w:hint="eastAsia" w:ascii="仿宋_GB2312" w:hAnsi="宋体" w:eastAsia="仿宋_GB2312"/>
          <w:sz w:val="30"/>
          <w:szCs w:val="30"/>
          <w:lang w:val="zh-CN"/>
        </w:rPr>
        <w:t>，高质量完成，产生较好的社会效益，严格执行目标管理，充分保障学校正常教学</w:t>
      </w:r>
      <w:r>
        <w:rPr>
          <w:rFonts w:hint="eastAsia" w:ascii="仿宋_GB2312" w:hAnsi="仿宋" w:eastAsia="仿宋_GB2312"/>
          <w:sz w:val="30"/>
          <w:szCs w:val="30"/>
        </w:rPr>
        <w:t>。</w:t>
      </w:r>
    </w:p>
    <w:p>
      <w:pPr>
        <w:adjustRightInd w:val="0"/>
        <w:snapToGrid w:val="0"/>
        <w:spacing w:line="560" w:lineRule="exact"/>
        <w:ind w:firstLine="720"/>
        <w:rPr>
          <w:rFonts w:ascii="仿宋_GB2312" w:hAnsi="宋体" w:eastAsia="仿宋_GB2312"/>
          <w:sz w:val="30"/>
          <w:szCs w:val="30"/>
        </w:rPr>
      </w:pPr>
      <w:r>
        <w:rPr>
          <w:rFonts w:hint="eastAsia" w:ascii="仿宋_GB2312" w:hAnsi="宋体" w:eastAsia="仿宋_GB2312"/>
          <w:sz w:val="30"/>
          <w:szCs w:val="30"/>
        </w:rPr>
        <w:t>四、评价结论</w:t>
      </w:r>
    </w:p>
    <w:p>
      <w:pPr>
        <w:adjustRightInd w:val="0"/>
        <w:snapToGrid w:val="0"/>
        <w:spacing w:line="560" w:lineRule="exact"/>
        <w:ind w:firstLine="720"/>
        <w:rPr>
          <w:rFonts w:ascii="仿宋_GB2312" w:hAnsi="宋体" w:eastAsia="仿宋_GB2312"/>
          <w:sz w:val="30"/>
          <w:szCs w:val="30"/>
        </w:rPr>
      </w:pPr>
      <w:r>
        <w:rPr>
          <w:rFonts w:hint="eastAsia" w:ascii="仿宋_GB2312" w:hAnsi="宋体" w:eastAsia="仿宋_GB2312"/>
          <w:sz w:val="30"/>
          <w:szCs w:val="30"/>
          <w:u w:val="thick" w:color="98967F"/>
          <w:shd w:val="clear" w:fill="98967F"/>
        </w:rPr>
        <w:t>通过项目的实施，我县相关</w:t>
      </w:r>
      <w:r>
        <w:rPr>
          <w:rFonts w:hint="eastAsia" w:ascii="仿宋_GB2312" w:hAnsi="宋体" w:eastAsia="仿宋_GB2312"/>
          <w:sz w:val="30"/>
          <w:szCs w:val="30"/>
          <w:u w:val="thick" w:color="98967F"/>
          <w:shd w:val="clear" w:color="auto" w:fill="98967F"/>
        </w:rPr>
        <w:t>部门</w:t>
      </w:r>
      <w:r>
        <w:rPr>
          <w:rFonts w:hint="eastAsia" w:ascii="仿宋_GB2312" w:hAnsi="宋体" w:eastAsia="仿宋_GB2312"/>
          <w:sz w:val="30"/>
          <w:szCs w:val="30"/>
          <w:u w:val="thick" w:color="98967F"/>
          <w:shd w:val="clear" w:fill="98967F"/>
        </w:rPr>
        <w:t>领导和社会对我校项目实施的满意度达到较好水平</w:t>
      </w:r>
      <w:r>
        <w:rPr>
          <w:rFonts w:hint="eastAsia" w:ascii="仿宋_GB2312" w:hAnsi="宋体" w:eastAsia="仿宋_GB2312"/>
          <w:b/>
          <w:sz w:val="30"/>
          <w:szCs w:val="30"/>
          <w:u w:val="thick" w:color="98967F"/>
          <w:shd w:val="clear" w:fill="98967F"/>
          <w:lang w:val="zh-CN"/>
        </w:rPr>
        <w:t>。</w:t>
      </w:r>
    </w:p>
    <w:p>
      <w:pPr>
        <w:adjustRightInd w:val="0"/>
        <w:snapToGrid w:val="0"/>
        <w:spacing w:line="560" w:lineRule="exact"/>
        <w:ind w:firstLine="720"/>
        <w:rPr>
          <w:rFonts w:ascii="仿宋_GB2312" w:hAnsi="宋体" w:eastAsia="仿宋_GB2312"/>
          <w:sz w:val="30"/>
          <w:szCs w:val="30"/>
        </w:rPr>
      </w:pPr>
      <w:r>
        <w:rPr>
          <w:rFonts w:hint="eastAsia" w:ascii="仿宋_GB2312" w:hAnsi="宋体" w:eastAsia="仿宋_GB2312"/>
          <w:sz w:val="30"/>
          <w:szCs w:val="30"/>
        </w:rPr>
        <w:t>五、问题及建议</w:t>
      </w:r>
    </w:p>
    <w:p>
      <w:pPr>
        <w:adjustRightInd w:val="0"/>
        <w:snapToGrid w:val="0"/>
        <w:spacing w:line="560" w:lineRule="exact"/>
        <w:ind w:firstLine="720"/>
        <w:rPr>
          <w:rFonts w:ascii="仿宋_GB2312" w:hAnsi="仿宋" w:eastAsia="仿宋_GB2312"/>
          <w:sz w:val="30"/>
          <w:szCs w:val="30"/>
        </w:rPr>
      </w:pPr>
      <w:r>
        <w:rPr>
          <w:rFonts w:hint="eastAsia" w:ascii="仿宋_GB2312" w:hAnsi="仿宋" w:eastAsia="仿宋_GB2312"/>
          <w:sz w:val="30"/>
          <w:szCs w:val="30"/>
        </w:rPr>
        <w:t>进一步健全和完善财务管理制度及内部部门控制制度，创新管理手段，用新思路、新方法，改进完善财务管理办法，按照财政支出绩效管理的要求，应建立科学的财政资金效益考评制度体系，不断提高财政资金使用管理水平和效率。</w:t>
      </w:r>
    </w:p>
    <w:tbl>
      <w:tblPr>
        <w:tblStyle w:val="7"/>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668"/>
        <w:gridCol w:w="1094"/>
        <w:gridCol w:w="1350"/>
        <w:gridCol w:w="184"/>
        <w:gridCol w:w="1829"/>
        <w:gridCol w:w="1040"/>
        <w:gridCol w:w="184"/>
        <w:gridCol w:w="2226"/>
        <w:gridCol w:w="236"/>
      </w:tblGrid>
      <w:tr>
        <w:tblPrEx>
          <w:tblLayout w:type="fixed"/>
          <w:tblCellMar>
            <w:top w:w="0" w:type="dxa"/>
            <w:left w:w="108" w:type="dxa"/>
            <w:bottom w:w="0" w:type="dxa"/>
            <w:right w:w="108" w:type="dxa"/>
          </w:tblCellMar>
        </w:tblPrEx>
        <w:trPr>
          <w:trHeight w:val="675" w:hRule="atLeast"/>
        </w:trPr>
        <w:tc>
          <w:tcPr>
            <w:tcW w:w="9575" w:type="dxa"/>
            <w:gridSpan w:val="8"/>
            <w:tcBorders>
              <w:top w:val="nil"/>
              <w:left w:val="nil"/>
              <w:bottom w:val="nil"/>
              <w:right w:val="nil"/>
            </w:tcBorders>
            <w:shd w:val="clear" w:color="auto" w:fill="auto"/>
            <w:vAlign w:val="center"/>
          </w:tcPr>
          <w:p>
            <w:pPr>
              <w:widowControl/>
              <w:ind w:firstLine="2249" w:firstLineChars="700"/>
              <w:textAlignment w:val="center"/>
              <w:rPr>
                <w:rFonts w:ascii="宋体" w:hAnsi="宋体" w:cs="宋体"/>
                <w:b/>
                <w:sz w:val="32"/>
                <w:szCs w:val="32"/>
              </w:rPr>
            </w:pPr>
            <w:r>
              <w:rPr>
                <w:rFonts w:hint="eastAsia" w:ascii="宋体" w:hAnsi="宋体" w:cs="宋体"/>
                <w:b/>
                <w:sz w:val="32"/>
                <w:szCs w:val="32"/>
              </w:rPr>
              <w:t>整体支出绩效目标自评表</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Layout w:type="fixed"/>
          <w:tblCellMar>
            <w:top w:w="0" w:type="dxa"/>
            <w:left w:w="108" w:type="dxa"/>
            <w:bottom w:w="0" w:type="dxa"/>
            <w:right w:w="108" w:type="dxa"/>
          </w:tblCellMar>
        </w:tblPrEx>
        <w:trPr>
          <w:gridAfter w:val="1"/>
          <w:wAfter w:w="236" w:type="dxa"/>
          <w:trHeight w:val="254" w:hRule="atLeast"/>
        </w:trPr>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0"/>
                <w:szCs w:val="20"/>
              </w:rPr>
            </w:pPr>
            <w:r>
              <w:rPr>
                <w:rFonts w:hint="eastAsia" w:ascii="宋体" w:hAnsi="宋体" w:cs="宋体"/>
                <w:kern w:val="0"/>
                <w:sz w:val="20"/>
                <w:szCs w:val="20"/>
              </w:rPr>
              <w:t>主管部门及代码</w:t>
            </w:r>
          </w:p>
        </w:tc>
        <w:tc>
          <w:tcPr>
            <w:tcW w:w="4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0"/>
                <w:szCs w:val="20"/>
              </w:rPr>
            </w:pPr>
            <w:r>
              <w:rPr>
                <w:rFonts w:hint="eastAsia" w:ascii="宋体" w:hAnsi="宋体" w:cs="宋体"/>
                <w:sz w:val="20"/>
                <w:szCs w:val="20"/>
              </w:rPr>
              <w:t>通江县教育科技和体育局</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0"/>
                <w:szCs w:val="20"/>
              </w:rPr>
            </w:pPr>
            <w:r>
              <w:rPr>
                <w:rFonts w:hint="eastAsia" w:ascii="宋体" w:hAnsi="宋体" w:cs="宋体"/>
                <w:kern w:val="0"/>
                <w:sz w:val="20"/>
                <w:szCs w:val="20"/>
              </w:rPr>
              <w:t>实施单位</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0"/>
                <w:szCs w:val="20"/>
              </w:rPr>
            </w:pPr>
            <w:r>
              <w:rPr>
                <w:rFonts w:hint="eastAsia" w:ascii="宋体" w:hAnsi="宋体" w:cs="宋体"/>
                <w:sz w:val="20"/>
                <w:szCs w:val="20"/>
              </w:rPr>
              <w:t>通江县第四小学</w:t>
            </w:r>
          </w:p>
        </w:tc>
      </w:tr>
      <w:tr>
        <w:tblPrEx>
          <w:tblLayout w:type="fixed"/>
          <w:tblCellMar>
            <w:top w:w="0" w:type="dxa"/>
            <w:left w:w="108" w:type="dxa"/>
            <w:bottom w:w="0" w:type="dxa"/>
            <w:right w:w="108" w:type="dxa"/>
          </w:tblCellMar>
        </w:tblPrEx>
        <w:trPr>
          <w:gridAfter w:val="1"/>
          <w:wAfter w:w="236" w:type="dxa"/>
          <w:trHeight w:val="341" w:hRule="atLeast"/>
        </w:trPr>
        <w:tc>
          <w:tcPr>
            <w:tcW w:w="1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0"/>
                <w:szCs w:val="20"/>
              </w:rPr>
            </w:pPr>
            <w:r>
              <w:rPr>
                <w:rFonts w:hint="eastAsia" w:ascii="宋体" w:hAnsi="宋体" w:cs="宋体"/>
                <w:kern w:val="0"/>
                <w:sz w:val="20"/>
                <w:szCs w:val="20"/>
              </w:rPr>
              <w:t>项目预算</w:t>
            </w:r>
          </w:p>
          <w:p>
            <w:pPr>
              <w:widowControl/>
              <w:spacing w:line="320" w:lineRule="exact"/>
              <w:jc w:val="center"/>
              <w:textAlignment w:val="center"/>
              <w:rPr>
                <w:rFonts w:ascii="宋体" w:hAnsi="宋体" w:cs="宋体"/>
                <w:kern w:val="0"/>
                <w:sz w:val="20"/>
                <w:szCs w:val="20"/>
              </w:rPr>
            </w:pPr>
            <w:r>
              <w:rPr>
                <w:rFonts w:hint="eastAsia" w:ascii="宋体" w:hAnsi="宋体" w:cs="宋体"/>
                <w:kern w:val="0"/>
                <w:sz w:val="20"/>
                <w:szCs w:val="20"/>
              </w:rPr>
              <w:t>执行情况</w:t>
            </w:r>
          </w:p>
          <w:p>
            <w:pPr>
              <w:widowControl/>
              <w:spacing w:line="320" w:lineRule="exact"/>
              <w:jc w:val="center"/>
              <w:textAlignment w:val="center"/>
              <w:rPr>
                <w:rFonts w:ascii="宋体" w:hAnsi="宋体" w:cs="宋体"/>
                <w:sz w:val="20"/>
                <w:szCs w:val="20"/>
              </w:rPr>
            </w:pPr>
            <w:r>
              <w:rPr>
                <w:rFonts w:hint="eastAsia" w:ascii="宋体" w:hAnsi="宋体" w:cs="宋体"/>
                <w:kern w:val="0"/>
                <w:sz w:val="20"/>
                <w:szCs w:val="20"/>
              </w:rPr>
              <w:t>（万元）</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cs="宋体"/>
                <w:kern w:val="0"/>
                <w:sz w:val="20"/>
                <w:szCs w:val="20"/>
              </w:rPr>
              <w:t>预算数：</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cs="宋体"/>
                <w:sz w:val="20"/>
                <w:szCs w:val="20"/>
              </w:rPr>
              <w:t>792.46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cs="宋体"/>
                <w:kern w:val="0"/>
                <w:sz w:val="20"/>
                <w:szCs w:val="20"/>
              </w:rPr>
              <w:t>执行数：</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0"/>
                <w:szCs w:val="20"/>
              </w:rPr>
            </w:pPr>
            <w:r>
              <w:rPr>
                <w:rFonts w:hint="eastAsia" w:ascii="宋体" w:hAnsi="宋体" w:cs="宋体"/>
                <w:sz w:val="20"/>
                <w:szCs w:val="20"/>
              </w:rPr>
              <w:t>792.46</w:t>
            </w:r>
          </w:p>
        </w:tc>
      </w:tr>
      <w:tr>
        <w:tblPrEx>
          <w:tblLayout w:type="fixed"/>
          <w:tblCellMar>
            <w:top w:w="0" w:type="dxa"/>
            <w:left w:w="108" w:type="dxa"/>
            <w:bottom w:w="0" w:type="dxa"/>
            <w:right w:w="108" w:type="dxa"/>
          </w:tblCellMar>
        </w:tblPrEx>
        <w:trPr>
          <w:gridAfter w:val="1"/>
          <w:wAfter w:w="236" w:type="dxa"/>
          <w:trHeight w:val="555"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0"/>
                <w:szCs w:val="20"/>
              </w:rPr>
            </w:pP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0"/>
                <w:szCs w:val="20"/>
              </w:rPr>
            </w:pPr>
            <w:r>
              <w:rPr>
                <w:rFonts w:hint="eastAsia" w:ascii="宋体" w:hAnsi="宋体" w:cs="宋体"/>
                <w:kern w:val="0"/>
                <w:sz w:val="20"/>
                <w:szCs w:val="20"/>
              </w:rPr>
              <w:t>其中：</w:t>
            </w:r>
          </w:p>
          <w:p>
            <w:pPr>
              <w:widowControl/>
              <w:spacing w:line="320" w:lineRule="exact"/>
              <w:jc w:val="left"/>
              <w:textAlignment w:val="center"/>
              <w:rPr>
                <w:rFonts w:ascii="宋体" w:hAnsi="宋体" w:cs="宋体"/>
                <w:sz w:val="20"/>
                <w:szCs w:val="20"/>
              </w:rPr>
            </w:pPr>
            <w:r>
              <w:rPr>
                <w:rFonts w:hint="eastAsia" w:ascii="宋体" w:hAnsi="宋体" w:cs="宋体"/>
                <w:kern w:val="0"/>
                <w:sz w:val="20"/>
                <w:szCs w:val="20"/>
              </w:rPr>
              <w:t>财政拨款</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cs="宋体"/>
                <w:sz w:val="20"/>
                <w:szCs w:val="20"/>
              </w:rPr>
              <w:t>792.46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0"/>
                <w:szCs w:val="20"/>
              </w:rPr>
            </w:pPr>
            <w:r>
              <w:rPr>
                <w:rFonts w:hint="eastAsia" w:ascii="宋体" w:hAnsi="宋体" w:cs="宋体"/>
                <w:kern w:val="0"/>
                <w:sz w:val="20"/>
                <w:szCs w:val="20"/>
              </w:rPr>
              <w:t>其中：</w:t>
            </w:r>
          </w:p>
          <w:p>
            <w:pPr>
              <w:widowControl/>
              <w:spacing w:line="320" w:lineRule="exact"/>
              <w:jc w:val="left"/>
              <w:textAlignment w:val="center"/>
              <w:rPr>
                <w:rFonts w:ascii="宋体" w:hAnsi="宋体" w:cs="宋体"/>
                <w:sz w:val="20"/>
                <w:szCs w:val="20"/>
              </w:rPr>
            </w:pPr>
            <w:r>
              <w:rPr>
                <w:rFonts w:hint="eastAsia" w:ascii="宋体" w:hAnsi="宋体" w:cs="宋体"/>
                <w:kern w:val="0"/>
                <w:sz w:val="20"/>
                <w:szCs w:val="20"/>
              </w:rPr>
              <w:t>财政拨款</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0"/>
                <w:szCs w:val="20"/>
              </w:rPr>
            </w:pPr>
            <w:r>
              <w:rPr>
                <w:rFonts w:hint="eastAsia" w:ascii="宋体" w:hAnsi="宋体" w:cs="宋体"/>
                <w:sz w:val="20"/>
                <w:szCs w:val="20"/>
              </w:rPr>
              <w:t>792.46</w:t>
            </w:r>
          </w:p>
        </w:tc>
      </w:tr>
      <w:tr>
        <w:tblPrEx>
          <w:tblLayout w:type="fixed"/>
          <w:tblCellMar>
            <w:top w:w="0" w:type="dxa"/>
            <w:left w:w="108" w:type="dxa"/>
            <w:bottom w:w="0" w:type="dxa"/>
            <w:right w:w="108" w:type="dxa"/>
          </w:tblCellMar>
        </w:tblPrEx>
        <w:trPr>
          <w:gridAfter w:val="1"/>
          <w:wAfter w:w="236" w:type="dxa"/>
          <w:trHeight w:val="341"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0"/>
                <w:szCs w:val="20"/>
              </w:rPr>
            </w:pP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cs="宋体"/>
                <w:kern w:val="0"/>
                <w:sz w:val="20"/>
                <w:szCs w:val="20"/>
              </w:rPr>
              <w:t>其他资金</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cs="宋体"/>
                <w:sz w:val="20"/>
                <w:szCs w:val="20"/>
              </w:rPr>
              <w:t>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cs="宋体"/>
                <w:kern w:val="0"/>
                <w:sz w:val="20"/>
                <w:szCs w:val="20"/>
              </w:rPr>
              <w:t>其他资金</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0"/>
                <w:szCs w:val="20"/>
              </w:rPr>
            </w:pPr>
            <w:r>
              <w:rPr>
                <w:rFonts w:hint="eastAsia" w:ascii="宋体" w:hAnsi="宋体" w:cs="宋体"/>
                <w:sz w:val="20"/>
                <w:szCs w:val="20"/>
              </w:rPr>
              <w:t>0</w:t>
            </w:r>
          </w:p>
        </w:tc>
      </w:tr>
      <w:tr>
        <w:tblPrEx>
          <w:tblLayout w:type="fixed"/>
          <w:tblCellMar>
            <w:top w:w="0" w:type="dxa"/>
            <w:left w:w="108" w:type="dxa"/>
            <w:bottom w:w="0" w:type="dxa"/>
            <w:right w:w="108" w:type="dxa"/>
          </w:tblCellMar>
        </w:tblPrEx>
        <w:trPr>
          <w:gridAfter w:val="1"/>
          <w:wAfter w:w="236" w:type="dxa"/>
          <w:trHeight w:val="217" w:hRule="atLeast"/>
        </w:trPr>
        <w:tc>
          <w:tcPr>
            <w:tcW w:w="1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0"/>
                <w:szCs w:val="20"/>
              </w:rPr>
            </w:pPr>
            <w:r>
              <w:rPr>
                <w:rFonts w:hint="eastAsia" w:ascii="宋体" w:hAnsi="宋体" w:cs="宋体"/>
                <w:kern w:val="0"/>
                <w:sz w:val="20"/>
                <w:szCs w:val="20"/>
              </w:rPr>
              <w:t>年度总体目标</w:t>
            </w:r>
          </w:p>
          <w:p>
            <w:pPr>
              <w:widowControl/>
              <w:spacing w:line="320" w:lineRule="exact"/>
              <w:jc w:val="center"/>
              <w:textAlignment w:val="center"/>
              <w:rPr>
                <w:rFonts w:ascii="宋体" w:hAnsi="宋体" w:cs="宋体"/>
                <w:sz w:val="20"/>
                <w:szCs w:val="20"/>
              </w:rPr>
            </w:pPr>
            <w:r>
              <w:rPr>
                <w:rFonts w:hint="eastAsia" w:ascii="宋体" w:hAnsi="宋体" w:cs="宋体"/>
                <w:kern w:val="0"/>
                <w:sz w:val="20"/>
                <w:szCs w:val="20"/>
              </w:rPr>
              <w:t>完成情况</w:t>
            </w:r>
          </w:p>
        </w:tc>
        <w:tc>
          <w:tcPr>
            <w:tcW w:w="4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0"/>
                <w:szCs w:val="20"/>
              </w:rPr>
            </w:pPr>
            <w:r>
              <w:rPr>
                <w:rFonts w:hint="eastAsia" w:ascii="宋体" w:hAnsi="宋体" w:cs="宋体"/>
                <w:kern w:val="0"/>
                <w:sz w:val="20"/>
                <w:szCs w:val="20"/>
              </w:rPr>
              <w:t>预期目标</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0"/>
                <w:szCs w:val="20"/>
              </w:rPr>
            </w:pPr>
            <w:r>
              <w:rPr>
                <w:rFonts w:hint="eastAsia" w:ascii="宋体" w:hAnsi="宋体" w:cs="宋体"/>
                <w:kern w:val="0"/>
                <w:sz w:val="20"/>
                <w:szCs w:val="20"/>
              </w:rPr>
              <w:t>目标实际完成情况</w:t>
            </w:r>
          </w:p>
        </w:tc>
      </w:tr>
      <w:tr>
        <w:tblPrEx>
          <w:tblLayout w:type="fixed"/>
          <w:tblCellMar>
            <w:top w:w="0" w:type="dxa"/>
            <w:left w:w="108" w:type="dxa"/>
            <w:bottom w:w="0" w:type="dxa"/>
            <w:right w:w="108" w:type="dxa"/>
          </w:tblCellMar>
        </w:tblPrEx>
        <w:trPr>
          <w:gridAfter w:val="1"/>
          <w:wAfter w:w="236" w:type="dxa"/>
          <w:trHeight w:val="797"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0"/>
                <w:szCs w:val="20"/>
              </w:rPr>
            </w:pPr>
          </w:p>
        </w:tc>
        <w:tc>
          <w:tcPr>
            <w:tcW w:w="4457"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0"/>
                <w:szCs w:val="20"/>
              </w:rPr>
            </w:pPr>
            <w:r>
              <w:rPr>
                <w:rFonts w:hint="eastAsia" w:ascii="宋体" w:hAnsi="宋体" w:cs="宋体"/>
                <w:sz w:val="20"/>
                <w:szCs w:val="20"/>
              </w:rPr>
              <w:t xml:space="preserve"> 1.执行党和国家的教育方针、政策，管理和使用好教育资金，改善和优化办学条件。2.保障569名学生，56名教职工教育教学工作有序开展，</w:t>
            </w:r>
            <w:r>
              <w:rPr>
                <w:rFonts w:hint="eastAsia" w:ascii="宋体" w:hAnsi="宋体" w:cs="宋体"/>
                <w:sz w:val="20"/>
                <w:szCs w:val="20"/>
                <w:u w:val="none" w:color="FFFFFF"/>
                <w:shd w:val="clear" w:fill="FFFFFF"/>
              </w:rPr>
              <w:t>提升</w:t>
            </w:r>
            <w:r>
              <w:rPr>
                <w:rFonts w:hint="eastAsia" w:ascii="宋体" w:hAnsi="宋体" w:cs="宋体"/>
                <w:sz w:val="20"/>
                <w:szCs w:val="20"/>
              </w:rPr>
              <w:t>教育教学质量。3.关爱留守儿童、贫困儿童。4.教书育人，把教育教学质量和安全工作放在首位，确保学生全面健康发展。5.保障教师培训和教研活动正常开展。</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0"/>
                <w:szCs w:val="20"/>
              </w:rPr>
            </w:pPr>
            <w:r>
              <w:rPr>
                <w:rFonts w:hint="eastAsia" w:ascii="宋体" w:hAnsi="宋体" w:cs="宋体"/>
                <w:sz w:val="20"/>
                <w:szCs w:val="20"/>
              </w:rPr>
              <w:t xml:space="preserve"> 1.执行党和国家的教育方针、政策，管理和使用好教育资金，改善和优化办学条件。2.保障569名学生，56名教职工教育教学工作有序开展，</w:t>
            </w:r>
            <w:r>
              <w:rPr>
                <w:rFonts w:hint="eastAsia" w:ascii="宋体" w:hAnsi="宋体" w:cs="宋体"/>
                <w:sz w:val="20"/>
                <w:szCs w:val="20"/>
                <w:u w:val="none" w:color="FFFFFF"/>
                <w:shd w:val="clear" w:fill="FFFFFF"/>
              </w:rPr>
              <w:t>提升</w:t>
            </w:r>
            <w:r>
              <w:rPr>
                <w:rFonts w:hint="eastAsia" w:ascii="宋体" w:hAnsi="宋体" w:cs="宋体"/>
                <w:sz w:val="20"/>
                <w:szCs w:val="20"/>
              </w:rPr>
              <w:t>教育教学质量。3.关爱留守儿童、贫困儿童。4.教书育人，把教育教学质量和安全工作放在首位，确保学生全面健康发展。5.保障教师培训和教研活动正常开展。</w:t>
            </w:r>
          </w:p>
        </w:tc>
      </w:tr>
      <w:tr>
        <w:tblPrEx>
          <w:tblLayout w:type="fixed"/>
          <w:tblCellMar>
            <w:top w:w="0" w:type="dxa"/>
            <w:left w:w="108" w:type="dxa"/>
            <w:bottom w:w="0" w:type="dxa"/>
            <w:right w:w="108" w:type="dxa"/>
          </w:tblCellMar>
        </w:tblPrEx>
        <w:trPr>
          <w:gridAfter w:val="1"/>
          <w:wAfter w:w="236" w:type="dxa"/>
          <w:trHeight w:val="640" w:hRule="atLeast"/>
        </w:trPr>
        <w:tc>
          <w:tcPr>
            <w:tcW w:w="1668"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0"/>
                <w:szCs w:val="20"/>
              </w:rPr>
            </w:pPr>
            <w:r>
              <w:rPr>
                <w:rFonts w:hint="eastAsia" w:ascii="宋体" w:hAnsi="宋体" w:cs="宋体"/>
                <w:kern w:val="0"/>
                <w:sz w:val="20"/>
                <w:szCs w:val="20"/>
              </w:rPr>
              <w:t>年度绩效指标完成情况</w:t>
            </w:r>
          </w:p>
        </w:tc>
        <w:tc>
          <w:tcPr>
            <w:tcW w:w="1094"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0"/>
                <w:szCs w:val="20"/>
              </w:rPr>
            </w:pPr>
            <w:r>
              <w:rPr>
                <w:rFonts w:hint="eastAsia" w:ascii="宋体" w:hAnsi="宋体" w:cs="宋体"/>
                <w:kern w:val="0"/>
                <w:sz w:val="20"/>
                <w:szCs w:val="20"/>
              </w:rPr>
              <w:t>一级</w:t>
            </w:r>
          </w:p>
          <w:p>
            <w:pPr>
              <w:widowControl/>
              <w:spacing w:line="320" w:lineRule="exact"/>
              <w:jc w:val="center"/>
              <w:textAlignment w:val="center"/>
              <w:rPr>
                <w:rFonts w:ascii="宋体" w:hAnsi="宋体" w:cs="宋体"/>
                <w:sz w:val="20"/>
                <w:szCs w:val="20"/>
              </w:rPr>
            </w:pPr>
            <w:r>
              <w:rPr>
                <w:rFonts w:hint="eastAsia" w:ascii="宋体" w:hAnsi="宋体" w:cs="宋体"/>
                <w:kern w:val="0"/>
                <w:sz w:val="20"/>
                <w:szCs w:val="20"/>
              </w:rPr>
              <w:t>指标</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0"/>
                <w:szCs w:val="20"/>
              </w:rPr>
            </w:pPr>
            <w:r>
              <w:rPr>
                <w:rFonts w:hint="eastAsia" w:ascii="宋体" w:hAnsi="宋体" w:cs="宋体"/>
                <w:kern w:val="0"/>
                <w:sz w:val="20"/>
                <w:szCs w:val="20"/>
              </w:rPr>
              <w:t>四级</w:t>
            </w:r>
          </w:p>
          <w:p>
            <w:pPr>
              <w:widowControl/>
              <w:spacing w:line="320" w:lineRule="exact"/>
              <w:jc w:val="center"/>
              <w:textAlignment w:val="center"/>
              <w:rPr>
                <w:rFonts w:ascii="宋体" w:hAnsi="宋体" w:cs="宋体"/>
                <w:sz w:val="20"/>
                <w:szCs w:val="20"/>
              </w:rPr>
            </w:pPr>
            <w:r>
              <w:rPr>
                <w:rFonts w:hint="eastAsia" w:ascii="宋体" w:hAnsi="宋体" w:cs="宋体"/>
                <w:kern w:val="0"/>
                <w:sz w:val="20"/>
                <w:szCs w:val="20"/>
              </w:rPr>
              <w:t>指标</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0"/>
                <w:szCs w:val="20"/>
              </w:rPr>
            </w:pPr>
            <w:r>
              <w:rPr>
                <w:rFonts w:hint="eastAsia" w:ascii="宋体" w:hAnsi="宋体" w:cs="宋体"/>
                <w:kern w:val="0"/>
                <w:sz w:val="20"/>
                <w:szCs w:val="20"/>
              </w:rPr>
              <w:t>三级</w:t>
            </w:r>
          </w:p>
          <w:p>
            <w:pPr>
              <w:widowControl/>
              <w:spacing w:line="320" w:lineRule="exact"/>
              <w:jc w:val="center"/>
              <w:textAlignment w:val="center"/>
              <w:rPr>
                <w:rFonts w:ascii="宋体" w:hAnsi="宋体" w:cs="宋体"/>
                <w:sz w:val="20"/>
                <w:szCs w:val="20"/>
              </w:rPr>
            </w:pPr>
            <w:r>
              <w:rPr>
                <w:rFonts w:hint="eastAsia" w:ascii="宋体" w:hAnsi="宋体" w:cs="宋体"/>
                <w:kern w:val="0"/>
                <w:sz w:val="20"/>
                <w:szCs w:val="20"/>
              </w:rPr>
              <w:t>指标</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0"/>
                <w:szCs w:val="20"/>
              </w:rPr>
            </w:pPr>
            <w:r>
              <w:rPr>
                <w:rFonts w:hint="eastAsia" w:ascii="宋体" w:hAnsi="宋体" w:cs="宋体"/>
                <w:kern w:val="0"/>
                <w:sz w:val="20"/>
                <w:szCs w:val="20"/>
              </w:rPr>
              <w:t>预期指标值</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0"/>
                <w:szCs w:val="20"/>
              </w:rPr>
            </w:pPr>
            <w:r>
              <w:rPr>
                <w:rFonts w:hint="eastAsia" w:ascii="宋体" w:hAnsi="宋体" w:cs="宋体"/>
                <w:kern w:val="0"/>
                <w:sz w:val="20"/>
                <w:szCs w:val="20"/>
              </w:rPr>
              <w:t>实际完成指标值</w:t>
            </w:r>
          </w:p>
        </w:tc>
      </w:tr>
      <w:tr>
        <w:tblPrEx>
          <w:tblLayout w:type="fixed"/>
          <w:tblCellMar>
            <w:top w:w="0" w:type="dxa"/>
            <w:left w:w="108" w:type="dxa"/>
            <w:bottom w:w="0" w:type="dxa"/>
            <w:right w:w="108" w:type="dxa"/>
          </w:tblCellMar>
        </w:tblPrEx>
        <w:trPr>
          <w:gridAfter w:val="1"/>
          <w:wAfter w:w="236" w:type="dxa"/>
          <w:trHeight w:val="640"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sz w:val="20"/>
                <w:szCs w:val="20"/>
              </w:rPr>
            </w:pPr>
          </w:p>
        </w:tc>
        <w:tc>
          <w:tcPr>
            <w:tcW w:w="1094"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kern w:val="0"/>
                <w:sz w:val="20"/>
                <w:szCs w:val="20"/>
              </w:rPr>
            </w:pPr>
            <w:r>
              <w:rPr>
                <w:rFonts w:hint="eastAsia" w:ascii="宋体" w:hAnsi="宋体" w:cs="宋体"/>
                <w:kern w:val="0"/>
                <w:sz w:val="20"/>
                <w:szCs w:val="20"/>
              </w:rPr>
              <w:t>完成</w:t>
            </w:r>
          </w:p>
          <w:p>
            <w:pPr>
              <w:widowControl/>
              <w:spacing w:line="320" w:lineRule="exact"/>
              <w:jc w:val="center"/>
              <w:textAlignment w:val="bottom"/>
              <w:rPr>
                <w:rFonts w:ascii="宋体" w:hAnsi="宋体" w:cs="宋体"/>
                <w:sz w:val="20"/>
                <w:szCs w:val="20"/>
              </w:rPr>
            </w:pPr>
            <w:r>
              <w:rPr>
                <w:rFonts w:hint="eastAsia" w:ascii="宋体" w:hAnsi="宋体" w:cs="宋体"/>
                <w:kern w:val="0"/>
                <w:sz w:val="20"/>
                <w:szCs w:val="20"/>
              </w:rPr>
              <w:t>指标</w:t>
            </w:r>
          </w:p>
        </w:tc>
        <w:tc>
          <w:tcPr>
            <w:tcW w:w="1534"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sz w:val="20"/>
                <w:szCs w:val="20"/>
              </w:rPr>
            </w:pPr>
            <w:r>
              <w:rPr>
                <w:rFonts w:hint="eastAsia" w:ascii="宋体" w:hAnsi="宋体" w:cs="宋体"/>
                <w:kern w:val="0"/>
                <w:sz w:val="20"/>
                <w:szCs w:val="20"/>
              </w:rPr>
              <w:t>数量指标</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教学课时</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≥18720节</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≥18720节</w:t>
            </w:r>
          </w:p>
        </w:tc>
      </w:tr>
      <w:tr>
        <w:tblPrEx>
          <w:tblLayout w:type="fixed"/>
          <w:tblCellMar>
            <w:top w:w="0" w:type="dxa"/>
            <w:left w:w="108" w:type="dxa"/>
            <w:bottom w:w="0" w:type="dxa"/>
            <w:right w:w="108" w:type="dxa"/>
          </w:tblCellMar>
        </w:tblPrEx>
        <w:trPr>
          <w:gridAfter w:val="1"/>
          <w:wAfter w:w="236" w:type="dxa"/>
          <w:trHeight w:val="640" w:hRule="atLeast"/>
        </w:trPr>
        <w:tc>
          <w:tcPr>
            <w:tcW w:w="1668"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sz w:val="20"/>
                <w:szCs w:val="20"/>
              </w:rPr>
            </w:pPr>
          </w:p>
        </w:tc>
        <w:tc>
          <w:tcPr>
            <w:tcW w:w="1094"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sz w:val="20"/>
                <w:szCs w:val="20"/>
              </w:rPr>
            </w:pPr>
          </w:p>
        </w:tc>
        <w:tc>
          <w:tcPr>
            <w:tcW w:w="1534" w:type="dxa"/>
            <w:gridSpan w:val="2"/>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 w:val="20"/>
                <w:szCs w:val="20"/>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教师人均规范培训学时</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≥120学时</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≥120学时</w:t>
            </w:r>
          </w:p>
        </w:tc>
      </w:tr>
      <w:tr>
        <w:tblPrEx>
          <w:tblLayout w:type="fixed"/>
          <w:tblCellMar>
            <w:top w:w="0" w:type="dxa"/>
            <w:left w:w="108" w:type="dxa"/>
            <w:bottom w:w="0" w:type="dxa"/>
            <w:right w:w="108" w:type="dxa"/>
          </w:tblCellMar>
        </w:tblPrEx>
        <w:trPr>
          <w:gridAfter w:val="1"/>
          <w:wAfter w:w="236" w:type="dxa"/>
          <w:trHeight w:val="640" w:hRule="atLeast"/>
        </w:trPr>
        <w:tc>
          <w:tcPr>
            <w:tcW w:w="1668"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sz w:val="20"/>
                <w:szCs w:val="20"/>
              </w:rPr>
            </w:pPr>
          </w:p>
        </w:tc>
        <w:tc>
          <w:tcPr>
            <w:tcW w:w="1094"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sz w:val="20"/>
                <w:szCs w:val="20"/>
              </w:rPr>
            </w:pPr>
          </w:p>
        </w:tc>
        <w:tc>
          <w:tcPr>
            <w:tcW w:w="1534" w:type="dxa"/>
            <w:gridSpan w:val="2"/>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 w:val="20"/>
                <w:szCs w:val="20"/>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朗读、诗词、文艺活动</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≥4次</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≥4次</w:t>
            </w:r>
          </w:p>
        </w:tc>
      </w:tr>
      <w:tr>
        <w:tblPrEx>
          <w:tblLayout w:type="fixed"/>
          <w:tblCellMar>
            <w:top w:w="0" w:type="dxa"/>
            <w:left w:w="108" w:type="dxa"/>
            <w:bottom w:w="0" w:type="dxa"/>
            <w:right w:w="108" w:type="dxa"/>
          </w:tblCellMar>
        </w:tblPrEx>
        <w:trPr>
          <w:gridAfter w:val="1"/>
          <w:wAfter w:w="236" w:type="dxa"/>
          <w:trHeight w:val="640" w:hRule="atLeast"/>
        </w:trPr>
        <w:tc>
          <w:tcPr>
            <w:tcW w:w="1668"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sz w:val="20"/>
                <w:szCs w:val="20"/>
              </w:rPr>
            </w:pPr>
          </w:p>
        </w:tc>
        <w:tc>
          <w:tcPr>
            <w:tcW w:w="1094"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sz w:val="20"/>
                <w:szCs w:val="20"/>
              </w:rPr>
            </w:pPr>
          </w:p>
        </w:tc>
        <w:tc>
          <w:tcPr>
            <w:tcW w:w="1534" w:type="dxa"/>
            <w:gridSpan w:val="2"/>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 w:val="20"/>
                <w:szCs w:val="20"/>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安全知识讲座、演练</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≥6次</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≥6次</w:t>
            </w:r>
          </w:p>
        </w:tc>
      </w:tr>
      <w:tr>
        <w:tblPrEx>
          <w:tblLayout w:type="fixed"/>
          <w:tblCellMar>
            <w:top w:w="0" w:type="dxa"/>
            <w:left w:w="108" w:type="dxa"/>
            <w:bottom w:w="0" w:type="dxa"/>
            <w:right w:w="108" w:type="dxa"/>
          </w:tblCellMar>
        </w:tblPrEx>
        <w:trPr>
          <w:gridAfter w:val="1"/>
          <w:wAfter w:w="236" w:type="dxa"/>
          <w:trHeight w:val="640" w:hRule="atLeast"/>
        </w:trPr>
        <w:tc>
          <w:tcPr>
            <w:tcW w:w="1668"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sz w:val="20"/>
                <w:szCs w:val="20"/>
              </w:rPr>
            </w:pPr>
          </w:p>
        </w:tc>
        <w:tc>
          <w:tcPr>
            <w:tcW w:w="1094"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sz w:val="20"/>
                <w:szCs w:val="20"/>
              </w:rPr>
            </w:pPr>
          </w:p>
        </w:tc>
        <w:tc>
          <w:tcPr>
            <w:tcW w:w="1534" w:type="dxa"/>
            <w:gridSpan w:val="2"/>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 w:val="20"/>
                <w:szCs w:val="20"/>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心理健康知识讲座</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≥8次</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≥8次</w:t>
            </w:r>
          </w:p>
        </w:tc>
      </w:tr>
      <w:tr>
        <w:tblPrEx>
          <w:tblLayout w:type="fixed"/>
          <w:tblCellMar>
            <w:top w:w="0" w:type="dxa"/>
            <w:left w:w="108" w:type="dxa"/>
            <w:bottom w:w="0" w:type="dxa"/>
            <w:right w:w="108" w:type="dxa"/>
          </w:tblCellMar>
        </w:tblPrEx>
        <w:trPr>
          <w:gridAfter w:val="1"/>
          <w:wAfter w:w="236" w:type="dxa"/>
          <w:trHeight w:val="640" w:hRule="atLeast"/>
        </w:trPr>
        <w:tc>
          <w:tcPr>
            <w:tcW w:w="1668"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sz w:val="20"/>
                <w:szCs w:val="20"/>
              </w:rPr>
            </w:pPr>
          </w:p>
        </w:tc>
        <w:tc>
          <w:tcPr>
            <w:tcW w:w="1094"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sz w:val="20"/>
                <w:szCs w:val="20"/>
              </w:rPr>
            </w:pPr>
          </w:p>
        </w:tc>
        <w:tc>
          <w:tcPr>
            <w:tcW w:w="1534" w:type="dxa"/>
            <w:gridSpan w:val="2"/>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 w:val="20"/>
                <w:szCs w:val="20"/>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举办学生运动会</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≥2次</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≥2次</w:t>
            </w:r>
          </w:p>
        </w:tc>
      </w:tr>
      <w:tr>
        <w:tblPrEx>
          <w:tblLayout w:type="fixed"/>
          <w:tblCellMar>
            <w:top w:w="0" w:type="dxa"/>
            <w:left w:w="108" w:type="dxa"/>
            <w:bottom w:w="0" w:type="dxa"/>
            <w:right w:w="108" w:type="dxa"/>
          </w:tblCellMar>
        </w:tblPrEx>
        <w:trPr>
          <w:gridAfter w:val="1"/>
          <w:wAfter w:w="236" w:type="dxa"/>
          <w:trHeight w:val="640" w:hRule="atLeast"/>
        </w:trPr>
        <w:tc>
          <w:tcPr>
            <w:tcW w:w="1668"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sz w:val="20"/>
                <w:szCs w:val="20"/>
              </w:rPr>
            </w:pPr>
          </w:p>
        </w:tc>
        <w:tc>
          <w:tcPr>
            <w:tcW w:w="1094"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sz w:val="20"/>
                <w:szCs w:val="20"/>
              </w:rPr>
            </w:pPr>
          </w:p>
        </w:tc>
        <w:tc>
          <w:tcPr>
            <w:tcW w:w="1534" w:type="dxa"/>
            <w:gridSpan w:val="2"/>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 w:val="20"/>
                <w:szCs w:val="20"/>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下乡扶贫</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≥1220次</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≥1220次</w:t>
            </w:r>
          </w:p>
        </w:tc>
      </w:tr>
      <w:tr>
        <w:tblPrEx>
          <w:tblLayout w:type="fixed"/>
          <w:tblCellMar>
            <w:top w:w="0" w:type="dxa"/>
            <w:left w:w="108" w:type="dxa"/>
            <w:bottom w:w="0" w:type="dxa"/>
            <w:right w:w="108" w:type="dxa"/>
          </w:tblCellMar>
        </w:tblPrEx>
        <w:trPr>
          <w:gridAfter w:val="1"/>
          <w:wAfter w:w="236" w:type="dxa"/>
          <w:trHeight w:val="640" w:hRule="atLeast"/>
        </w:trPr>
        <w:tc>
          <w:tcPr>
            <w:tcW w:w="1668"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sz w:val="20"/>
                <w:szCs w:val="20"/>
              </w:rPr>
            </w:pPr>
          </w:p>
        </w:tc>
        <w:tc>
          <w:tcPr>
            <w:tcW w:w="1094"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sz w:val="20"/>
                <w:szCs w:val="20"/>
              </w:rPr>
            </w:pPr>
          </w:p>
        </w:tc>
        <w:tc>
          <w:tcPr>
            <w:tcW w:w="1534" w:type="dxa"/>
            <w:gridSpan w:val="2"/>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 w:val="20"/>
                <w:szCs w:val="20"/>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教研活动</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Style w:val="36"/>
                <w:rFonts w:hint="default"/>
              </w:rPr>
              <w:t>≥20次</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≥20次</w:t>
            </w:r>
          </w:p>
        </w:tc>
      </w:tr>
      <w:tr>
        <w:tblPrEx>
          <w:tblLayout w:type="fixed"/>
          <w:tblCellMar>
            <w:top w:w="0" w:type="dxa"/>
            <w:left w:w="108" w:type="dxa"/>
            <w:bottom w:w="0" w:type="dxa"/>
            <w:right w:w="108" w:type="dxa"/>
          </w:tblCellMar>
        </w:tblPrEx>
        <w:trPr>
          <w:gridAfter w:val="1"/>
          <w:wAfter w:w="236" w:type="dxa"/>
          <w:trHeight w:val="640"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sz w:val="20"/>
                <w:szCs w:val="20"/>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宋体" w:hAnsi="宋体" w:cs="宋体"/>
                <w:sz w:val="20"/>
                <w:szCs w:val="20"/>
              </w:rPr>
            </w:pPr>
          </w:p>
        </w:tc>
        <w:tc>
          <w:tcPr>
            <w:tcW w:w="1534"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sz w:val="20"/>
                <w:szCs w:val="20"/>
              </w:rPr>
            </w:pPr>
            <w:r>
              <w:rPr>
                <w:rFonts w:hint="eastAsia" w:ascii="宋体" w:hAnsi="宋体" w:cs="宋体"/>
                <w:kern w:val="0"/>
                <w:sz w:val="20"/>
                <w:szCs w:val="20"/>
              </w:rPr>
              <w:t>质量指标</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教育教学质量合格率</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=100%</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=100%</w:t>
            </w:r>
          </w:p>
        </w:tc>
      </w:tr>
      <w:tr>
        <w:tblPrEx>
          <w:tblLayout w:type="fixed"/>
          <w:tblCellMar>
            <w:top w:w="0" w:type="dxa"/>
            <w:left w:w="108" w:type="dxa"/>
            <w:bottom w:w="0" w:type="dxa"/>
            <w:right w:w="108" w:type="dxa"/>
          </w:tblCellMar>
        </w:tblPrEx>
        <w:trPr>
          <w:gridAfter w:val="1"/>
          <w:wAfter w:w="236" w:type="dxa"/>
          <w:trHeight w:val="640" w:hRule="atLeast"/>
        </w:trPr>
        <w:tc>
          <w:tcPr>
            <w:tcW w:w="1668"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sz w:val="20"/>
                <w:szCs w:val="20"/>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 w:val="20"/>
                <w:szCs w:val="20"/>
              </w:rPr>
            </w:pPr>
          </w:p>
        </w:tc>
        <w:tc>
          <w:tcPr>
            <w:tcW w:w="1534" w:type="dxa"/>
            <w:gridSpan w:val="2"/>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 w:val="20"/>
                <w:szCs w:val="20"/>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教职工培训合格率</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=100%</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=100%</w:t>
            </w:r>
          </w:p>
        </w:tc>
      </w:tr>
      <w:tr>
        <w:tblPrEx>
          <w:tblLayout w:type="fixed"/>
          <w:tblCellMar>
            <w:top w:w="0" w:type="dxa"/>
            <w:left w:w="108" w:type="dxa"/>
            <w:bottom w:w="0" w:type="dxa"/>
            <w:right w:w="108" w:type="dxa"/>
          </w:tblCellMar>
        </w:tblPrEx>
        <w:trPr>
          <w:gridAfter w:val="1"/>
          <w:wAfter w:w="236" w:type="dxa"/>
          <w:trHeight w:val="640" w:hRule="atLeast"/>
        </w:trPr>
        <w:tc>
          <w:tcPr>
            <w:tcW w:w="1668"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sz w:val="20"/>
                <w:szCs w:val="20"/>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 w:val="20"/>
                <w:szCs w:val="20"/>
              </w:rPr>
            </w:pPr>
          </w:p>
        </w:tc>
        <w:tc>
          <w:tcPr>
            <w:tcW w:w="1534" w:type="dxa"/>
            <w:gridSpan w:val="2"/>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 w:val="20"/>
                <w:szCs w:val="20"/>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u w:val="none" w:color="FFFFFF"/>
                <w:shd w:val="clear" w:fill="FFFFFF"/>
              </w:rPr>
            </w:pPr>
            <w:r>
              <w:rPr>
                <w:rFonts w:hint="eastAsia" w:ascii="宋体" w:hAnsi="宋体" w:cs="宋体"/>
                <w:color w:val="000000"/>
                <w:kern w:val="0"/>
                <w:sz w:val="20"/>
                <w:szCs w:val="20"/>
              </w:rPr>
              <w:t>活动举办达标</w:t>
            </w:r>
            <w:r>
              <w:rPr>
                <w:rFonts w:hint="eastAsia" w:ascii="宋体" w:hAnsi="宋体" w:cs="宋体"/>
                <w:color w:val="000000"/>
                <w:kern w:val="0"/>
                <w:sz w:val="20"/>
                <w:szCs w:val="20"/>
                <w:u w:val="none" w:color="FFFFFF"/>
                <w:shd w:val="clear" w:fill="FFFFFF"/>
              </w:rPr>
              <w:t>率</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=100%</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=100%</w:t>
            </w:r>
          </w:p>
        </w:tc>
      </w:tr>
      <w:tr>
        <w:tblPrEx>
          <w:tblLayout w:type="fixed"/>
          <w:tblCellMar>
            <w:top w:w="0" w:type="dxa"/>
            <w:left w:w="108" w:type="dxa"/>
            <w:bottom w:w="0" w:type="dxa"/>
            <w:right w:w="108" w:type="dxa"/>
          </w:tblCellMar>
        </w:tblPrEx>
        <w:trPr>
          <w:gridAfter w:val="1"/>
          <w:wAfter w:w="236" w:type="dxa"/>
          <w:trHeight w:val="640" w:hRule="atLeast"/>
        </w:trPr>
        <w:tc>
          <w:tcPr>
            <w:tcW w:w="1668"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sz w:val="20"/>
                <w:szCs w:val="20"/>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 w:val="20"/>
                <w:szCs w:val="20"/>
              </w:rPr>
            </w:pPr>
          </w:p>
        </w:tc>
        <w:tc>
          <w:tcPr>
            <w:tcW w:w="1534" w:type="dxa"/>
            <w:gridSpan w:val="2"/>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 w:val="20"/>
                <w:szCs w:val="20"/>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教研活动完成率</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≥100%</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≥100%</w:t>
            </w:r>
          </w:p>
        </w:tc>
      </w:tr>
      <w:tr>
        <w:tblPrEx>
          <w:tblLayout w:type="fixed"/>
          <w:tblCellMar>
            <w:top w:w="0" w:type="dxa"/>
            <w:left w:w="108" w:type="dxa"/>
            <w:bottom w:w="0" w:type="dxa"/>
            <w:right w:w="108" w:type="dxa"/>
          </w:tblCellMar>
        </w:tblPrEx>
        <w:trPr>
          <w:gridAfter w:val="1"/>
          <w:wAfter w:w="236" w:type="dxa"/>
          <w:trHeight w:val="640" w:hRule="atLeast"/>
        </w:trPr>
        <w:tc>
          <w:tcPr>
            <w:tcW w:w="1668"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sz w:val="20"/>
                <w:szCs w:val="20"/>
              </w:rPr>
            </w:pPr>
          </w:p>
        </w:tc>
        <w:tc>
          <w:tcPr>
            <w:tcW w:w="1094"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 w:val="20"/>
                <w:szCs w:val="20"/>
              </w:rPr>
            </w:pPr>
          </w:p>
        </w:tc>
        <w:tc>
          <w:tcPr>
            <w:tcW w:w="1534" w:type="dxa"/>
            <w:gridSpan w:val="2"/>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 w:val="20"/>
                <w:szCs w:val="20"/>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扶贫任务完成率</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=100%</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=100%</w:t>
            </w:r>
          </w:p>
        </w:tc>
      </w:tr>
      <w:tr>
        <w:tblPrEx>
          <w:tblLayout w:type="fixed"/>
          <w:tblCellMar>
            <w:top w:w="0" w:type="dxa"/>
            <w:left w:w="108" w:type="dxa"/>
            <w:bottom w:w="0" w:type="dxa"/>
            <w:right w:w="108" w:type="dxa"/>
          </w:tblCellMar>
        </w:tblPrEx>
        <w:trPr>
          <w:gridAfter w:val="1"/>
          <w:wAfter w:w="236" w:type="dxa"/>
          <w:trHeight w:val="640"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sz w:val="20"/>
                <w:szCs w:val="20"/>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宋体" w:hAnsi="宋体" w:cs="宋体"/>
                <w:sz w:val="20"/>
                <w:szCs w:val="20"/>
              </w:rPr>
            </w:pPr>
          </w:p>
        </w:tc>
        <w:tc>
          <w:tcPr>
            <w:tcW w:w="1534"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sz w:val="20"/>
                <w:szCs w:val="20"/>
              </w:rPr>
            </w:pPr>
            <w:r>
              <w:rPr>
                <w:rFonts w:hint="eastAsia" w:ascii="宋体" w:hAnsi="宋体" w:cs="宋体"/>
                <w:kern w:val="0"/>
                <w:sz w:val="20"/>
                <w:szCs w:val="20"/>
                <w:u w:val="thick" w:color="FFB03A"/>
                <w:shd w:val="clear" w:color="auto" w:fill="FFEFD8"/>
              </w:rPr>
              <w:t>时效</w:t>
            </w:r>
            <w:r>
              <w:rPr>
                <w:rFonts w:hint="eastAsia" w:ascii="宋体" w:hAnsi="宋体" w:cs="宋体"/>
                <w:kern w:val="0"/>
                <w:sz w:val="20"/>
                <w:szCs w:val="20"/>
              </w:rPr>
              <w:t>指标</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教学任务完成时间</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2021年1月</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2021年1月</w:t>
            </w:r>
          </w:p>
        </w:tc>
      </w:tr>
      <w:tr>
        <w:tblPrEx>
          <w:tblLayout w:type="fixed"/>
          <w:tblCellMar>
            <w:top w:w="0" w:type="dxa"/>
            <w:left w:w="108" w:type="dxa"/>
            <w:bottom w:w="0" w:type="dxa"/>
            <w:right w:w="108" w:type="dxa"/>
          </w:tblCellMar>
        </w:tblPrEx>
        <w:trPr>
          <w:gridAfter w:val="1"/>
          <w:wAfter w:w="236" w:type="dxa"/>
          <w:trHeight w:val="640" w:hRule="atLeast"/>
        </w:trPr>
        <w:tc>
          <w:tcPr>
            <w:tcW w:w="1668"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sz w:val="20"/>
                <w:szCs w:val="20"/>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 w:val="20"/>
                <w:szCs w:val="20"/>
              </w:rPr>
            </w:pPr>
          </w:p>
        </w:tc>
        <w:tc>
          <w:tcPr>
            <w:tcW w:w="1534" w:type="dxa"/>
            <w:gridSpan w:val="2"/>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 w:val="20"/>
                <w:szCs w:val="20"/>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学生各项资助发放及时率</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=100%</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=100%</w:t>
            </w:r>
          </w:p>
        </w:tc>
      </w:tr>
      <w:tr>
        <w:tblPrEx>
          <w:tblLayout w:type="fixed"/>
          <w:tblCellMar>
            <w:top w:w="0" w:type="dxa"/>
            <w:left w:w="108" w:type="dxa"/>
            <w:bottom w:w="0" w:type="dxa"/>
            <w:right w:w="108" w:type="dxa"/>
          </w:tblCellMar>
        </w:tblPrEx>
        <w:trPr>
          <w:gridAfter w:val="1"/>
          <w:wAfter w:w="236" w:type="dxa"/>
          <w:trHeight w:val="640" w:hRule="atLeast"/>
        </w:trPr>
        <w:tc>
          <w:tcPr>
            <w:tcW w:w="1668"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sz w:val="20"/>
                <w:szCs w:val="20"/>
              </w:rPr>
            </w:pPr>
          </w:p>
        </w:tc>
        <w:tc>
          <w:tcPr>
            <w:tcW w:w="1094"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 w:val="20"/>
                <w:szCs w:val="20"/>
              </w:rPr>
            </w:pPr>
          </w:p>
        </w:tc>
        <w:tc>
          <w:tcPr>
            <w:tcW w:w="1534" w:type="dxa"/>
            <w:gridSpan w:val="2"/>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 w:val="20"/>
                <w:szCs w:val="20"/>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教职工培训完成时间</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2021年12月</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2021年12月</w:t>
            </w:r>
          </w:p>
        </w:tc>
      </w:tr>
      <w:tr>
        <w:tblPrEx>
          <w:tblLayout w:type="fixed"/>
          <w:tblCellMar>
            <w:top w:w="0" w:type="dxa"/>
            <w:left w:w="108" w:type="dxa"/>
            <w:bottom w:w="0" w:type="dxa"/>
            <w:right w:w="108" w:type="dxa"/>
          </w:tblCellMar>
        </w:tblPrEx>
        <w:trPr>
          <w:gridAfter w:val="1"/>
          <w:wAfter w:w="236" w:type="dxa"/>
          <w:trHeight w:val="640"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sz w:val="20"/>
                <w:szCs w:val="20"/>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宋体" w:hAnsi="宋体" w:cs="宋体"/>
                <w:sz w:val="20"/>
                <w:szCs w:val="20"/>
              </w:rPr>
            </w:pPr>
          </w:p>
        </w:tc>
        <w:tc>
          <w:tcPr>
            <w:tcW w:w="1534"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sz w:val="20"/>
                <w:szCs w:val="20"/>
              </w:rPr>
            </w:pPr>
            <w:r>
              <w:rPr>
                <w:rFonts w:hint="eastAsia" w:ascii="宋体" w:hAnsi="宋体" w:cs="宋体"/>
                <w:kern w:val="0"/>
                <w:sz w:val="20"/>
                <w:szCs w:val="20"/>
              </w:rPr>
              <w:t>成本指标</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活动开展经费</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≥5万元</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≥5万元</w:t>
            </w:r>
          </w:p>
        </w:tc>
      </w:tr>
      <w:tr>
        <w:tblPrEx>
          <w:tblLayout w:type="fixed"/>
          <w:tblCellMar>
            <w:top w:w="0" w:type="dxa"/>
            <w:left w:w="108" w:type="dxa"/>
            <w:bottom w:w="0" w:type="dxa"/>
            <w:right w:w="108" w:type="dxa"/>
          </w:tblCellMar>
        </w:tblPrEx>
        <w:trPr>
          <w:gridAfter w:val="1"/>
          <w:wAfter w:w="236" w:type="dxa"/>
          <w:trHeight w:val="640" w:hRule="atLeast"/>
        </w:trPr>
        <w:tc>
          <w:tcPr>
            <w:tcW w:w="1668"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sz w:val="20"/>
                <w:szCs w:val="20"/>
              </w:rPr>
            </w:pPr>
          </w:p>
        </w:tc>
        <w:tc>
          <w:tcPr>
            <w:tcW w:w="1094"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 w:val="20"/>
                <w:szCs w:val="20"/>
              </w:rPr>
            </w:pPr>
          </w:p>
        </w:tc>
        <w:tc>
          <w:tcPr>
            <w:tcW w:w="1534" w:type="dxa"/>
            <w:gridSpan w:val="2"/>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 w:val="20"/>
                <w:szCs w:val="20"/>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培训教研经费</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≥6万元</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≥6万元</w:t>
            </w:r>
          </w:p>
        </w:tc>
      </w:tr>
      <w:tr>
        <w:tblPrEx>
          <w:tblLayout w:type="fixed"/>
          <w:tblCellMar>
            <w:top w:w="0" w:type="dxa"/>
            <w:left w:w="108" w:type="dxa"/>
            <w:bottom w:w="0" w:type="dxa"/>
            <w:right w:w="108" w:type="dxa"/>
          </w:tblCellMar>
        </w:tblPrEx>
        <w:trPr>
          <w:gridAfter w:val="1"/>
          <w:wAfter w:w="236" w:type="dxa"/>
          <w:trHeight w:val="640"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sz w:val="20"/>
                <w:szCs w:val="20"/>
              </w:rPr>
            </w:pP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kern w:val="0"/>
                <w:sz w:val="20"/>
                <w:szCs w:val="20"/>
              </w:rPr>
            </w:pPr>
            <w:r>
              <w:rPr>
                <w:rFonts w:hint="eastAsia" w:ascii="宋体" w:hAnsi="宋体" w:cs="宋体"/>
                <w:kern w:val="0"/>
                <w:sz w:val="20"/>
                <w:szCs w:val="20"/>
              </w:rPr>
              <w:t>效益</w:t>
            </w:r>
          </w:p>
          <w:p>
            <w:pPr>
              <w:widowControl/>
              <w:spacing w:line="320" w:lineRule="exact"/>
              <w:jc w:val="center"/>
              <w:textAlignment w:val="bottom"/>
              <w:rPr>
                <w:rFonts w:ascii="宋体" w:hAnsi="宋体" w:cs="宋体"/>
                <w:sz w:val="20"/>
                <w:szCs w:val="20"/>
              </w:rPr>
            </w:pPr>
            <w:r>
              <w:rPr>
                <w:rFonts w:hint="eastAsia" w:ascii="宋体" w:hAnsi="宋体" w:cs="宋体"/>
                <w:kern w:val="0"/>
                <w:sz w:val="20"/>
                <w:szCs w:val="20"/>
              </w:rPr>
              <w:t>指标</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 w:val="20"/>
                <w:szCs w:val="20"/>
              </w:rPr>
            </w:pPr>
            <w:r>
              <w:rPr>
                <w:rFonts w:hint="eastAsia" w:ascii="宋体" w:hAnsi="宋体" w:cs="宋体"/>
                <w:kern w:val="0"/>
                <w:sz w:val="20"/>
                <w:szCs w:val="20"/>
              </w:rPr>
              <w:t>经济效益指标</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帮扶对象增收率</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≥90%</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≥90%</w:t>
            </w:r>
          </w:p>
        </w:tc>
      </w:tr>
      <w:tr>
        <w:tblPrEx>
          <w:tblLayout w:type="fixed"/>
          <w:tblCellMar>
            <w:top w:w="0" w:type="dxa"/>
            <w:left w:w="108" w:type="dxa"/>
            <w:bottom w:w="0" w:type="dxa"/>
            <w:right w:w="108" w:type="dxa"/>
          </w:tblCellMar>
        </w:tblPrEx>
        <w:trPr>
          <w:gridAfter w:val="1"/>
          <w:wAfter w:w="236" w:type="dxa"/>
          <w:trHeight w:val="640"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sz w:val="20"/>
                <w:szCs w:val="20"/>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宋体" w:hAnsi="宋体" w:cs="宋体"/>
                <w:sz w:val="20"/>
                <w:szCs w:val="20"/>
              </w:rPr>
            </w:pPr>
          </w:p>
        </w:tc>
        <w:tc>
          <w:tcPr>
            <w:tcW w:w="1534"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sz w:val="20"/>
                <w:szCs w:val="20"/>
              </w:rPr>
            </w:pPr>
            <w:r>
              <w:rPr>
                <w:rFonts w:hint="eastAsia" w:ascii="宋体" w:hAnsi="宋体" w:cs="宋体"/>
                <w:kern w:val="0"/>
                <w:sz w:val="20"/>
                <w:szCs w:val="20"/>
              </w:rPr>
              <w:t>社会效益指标</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对教育教学的认可度</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≥100%</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≥100%</w:t>
            </w:r>
          </w:p>
        </w:tc>
      </w:tr>
      <w:tr>
        <w:tblPrEx>
          <w:tblLayout w:type="fixed"/>
          <w:tblCellMar>
            <w:top w:w="0" w:type="dxa"/>
            <w:left w:w="108" w:type="dxa"/>
            <w:bottom w:w="0" w:type="dxa"/>
            <w:right w:w="108" w:type="dxa"/>
          </w:tblCellMar>
        </w:tblPrEx>
        <w:trPr>
          <w:gridAfter w:val="1"/>
          <w:wAfter w:w="236" w:type="dxa"/>
          <w:trHeight w:val="640" w:hRule="atLeast"/>
        </w:trPr>
        <w:tc>
          <w:tcPr>
            <w:tcW w:w="1668"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sz w:val="20"/>
                <w:szCs w:val="20"/>
              </w:rPr>
            </w:pPr>
          </w:p>
        </w:tc>
        <w:tc>
          <w:tcPr>
            <w:tcW w:w="1094"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 w:val="20"/>
                <w:szCs w:val="20"/>
              </w:rPr>
            </w:pPr>
          </w:p>
        </w:tc>
        <w:tc>
          <w:tcPr>
            <w:tcW w:w="1534" w:type="dxa"/>
            <w:gridSpan w:val="2"/>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 w:val="20"/>
                <w:szCs w:val="20"/>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教育教学水平提高率</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≥30%</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≥30%</w:t>
            </w:r>
          </w:p>
        </w:tc>
      </w:tr>
      <w:tr>
        <w:tblPrEx>
          <w:tblLayout w:type="fixed"/>
          <w:tblCellMar>
            <w:top w:w="0" w:type="dxa"/>
            <w:left w:w="108" w:type="dxa"/>
            <w:bottom w:w="0" w:type="dxa"/>
            <w:right w:w="108" w:type="dxa"/>
          </w:tblCellMar>
        </w:tblPrEx>
        <w:trPr>
          <w:gridAfter w:val="1"/>
          <w:wAfter w:w="236" w:type="dxa"/>
          <w:trHeight w:val="577"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sz w:val="20"/>
                <w:szCs w:val="20"/>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宋体" w:hAnsi="宋体" w:cs="宋体"/>
                <w:sz w:val="20"/>
                <w:szCs w:val="20"/>
              </w:rPr>
            </w:pP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宋体"/>
                <w:sz w:val="20"/>
                <w:szCs w:val="20"/>
              </w:rPr>
            </w:pPr>
            <w:r>
              <w:rPr>
                <w:rFonts w:hint="eastAsia" w:ascii="宋体" w:hAnsi="宋体" w:cs="宋体"/>
                <w:kern w:val="0"/>
                <w:sz w:val="20"/>
                <w:szCs w:val="20"/>
              </w:rPr>
              <w:t>生态效益指标</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 w:val="20"/>
                <w:szCs w:val="20"/>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 w:val="20"/>
                <w:szCs w:val="20"/>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 w:val="20"/>
                <w:szCs w:val="20"/>
              </w:rPr>
            </w:pPr>
          </w:p>
        </w:tc>
      </w:tr>
      <w:tr>
        <w:tblPrEx>
          <w:tblLayout w:type="fixed"/>
          <w:tblCellMar>
            <w:top w:w="0" w:type="dxa"/>
            <w:left w:w="108" w:type="dxa"/>
            <w:bottom w:w="0" w:type="dxa"/>
            <w:right w:w="108" w:type="dxa"/>
          </w:tblCellMar>
        </w:tblPrEx>
        <w:trPr>
          <w:gridAfter w:val="1"/>
          <w:wAfter w:w="236" w:type="dxa"/>
          <w:trHeight w:val="480"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center"/>
              <w:rPr>
                <w:rFonts w:ascii="宋体" w:hAnsi="宋体" w:cs="宋体"/>
                <w:sz w:val="20"/>
                <w:szCs w:val="20"/>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宋体" w:hAnsi="宋体" w:cs="宋体"/>
                <w:sz w:val="20"/>
                <w:szCs w:val="20"/>
              </w:rPr>
            </w:pP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ascii="宋体" w:hAnsi="宋体" w:cs="宋体"/>
                <w:sz w:val="20"/>
                <w:szCs w:val="20"/>
              </w:rPr>
            </w:pPr>
            <w:r>
              <w:rPr>
                <w:rFonts w:hint="eastAsia" w:ascii="宋体" w:hAnsi="宋体" w:cs="宋体"/>
                <w:kern w:val="0"/>
                <w:sz w:val="20"/>
                <w:szCs w:val="20"/>
              </w:rPr>
              <w:t>可持续影响指标</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教育教学可持续影响期限</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长期</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长期</w:t>
            </w:r>
          </w:p>
        </w:tc>
      </w:tr>
      <w:tr>
        <w:tblPrEx>
          <w:tblLayout w:type="fixed"/>
          <w:tblCellMar>
            <w:top w:w="0" w:type="dxa"/>
            <w:left w:w="108" w:type="dxa"/>
            <w:bottom w:w="0" w:type="dxa"/>
            <w:right w:w="108" w:type="dxa"/>
          </w:tblCellMar>
        </w:tblPrEx>
        <w:trPr>
          <w:gridAfter w:val="1"/>
          <w:wAfter w:w="236" w:type="dxa"/>
          <w:trHeight w:val="325" w:hRule="atLeast"/>
        </w:trPr>
        <w:tc>
          <w:tcPr>
            <w:tcW w:w="1668"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0"/>
                <w:szCs w:val="20"/>
              </w:rPr>
            </w:pPr>
          </w:p>
        </w:tc>
        <w:tc>
          <w:tcPr>
            <w:tcW w:w="1094" w:type="dxa"/>
            <w:vMerge w:val="restart"/>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kern w:val="0"/>
                <w:sz w:val="20"/>
                <w:szCs w:val="20"/>
              </w:rPr>
            </w:pPr>
            <w:r>
              <w:rPr>
                <w:rFonts w:hint="eastAsia" w:ascii="宋体" w:hAnsi="宋体" w:cs="宋体"/>
                <w:kern w:val="0"/>
                <w:sz w:val="20"/>
                <w:szCs w:val="20"/>
              </w:rPr>
              <w:t>满意</w:t>
            </w:r>
          </w:p>
          <w:p>
            <w:pPr>
              <w:widowControl/>
              <w:spacing w:line="320" w:lineRule="exact"/>
              <w:jc w:val="center"/>
              <w:textAlignment w:val="bottom"/>
              <w:rPr>
                <w:rFonts w:ascii="宋体" w:hAnsi="宋体" w:cs="宋体"/>
                <w:sz w:val="20"/>
                <w:szCs w:val="20"/>
              </w:rPr>
            </w:pPr>
            <w:r>
              <w:rPr>
                <w:rFonts w:hint="eastAsia" w:ascii="宋体" w:hAnsi="宋体" w:cs="宋体"/>
                <w:kern w:val="0"/>
                <w:sz w:val="20"/>
                <w:szCs w:val="20"/>
              </w:rPr>
              <w:t>度指标</w:t>
            </w:r>
          </w:p>
        </w:tc>
        <w:tc>
          <w:tcPr>
            <w:tcW w:w="1534" w:type="dxa"/>
            <w:gridSpan w:val="2"/>
            <w:vMerge w:val="restart"/>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kern w:val="0"/>
                <w:sz w:val="20"/>
                <w:szCs w:val="20"/>
                <w:u w:val="none" w:color="FFFFFF"/>
                <w:shd w:val="clear" w:fill="FFFFFF"/>
              </w:rPr>
            </w:pPr>
            <w:r>
              <w:rPr>
                <w:rFonts w:hint="eastAsia" w:ascii="宋体" w:hAnsi="宋体" w:cs="宋体"/>
                <w:kern w:val="0"/>
                <w:sz w:val="20"/>
                <w:szCs w:val="20"/>
                <w:u w:val="none" w:color="FFFFFF"/>
                <w:shd w:val="clear" w:fill="FFFFFF"/>
              </w:rPr>
              <w:t>满意度</w:t>
            </w:r>
          </w:p>
          <w:p>
            <w:pPr>
              <w:widowControl/>
              <w:spacing w:line="320" w:lineRule="exact"/>
              <w:jc w:val="center"/>
              <w:textAlignment w:val="bottom"/>
              <w:rPr>
                <w:rFonts w:ascii="宋体" w:hAnsi="宋体" w:cs="宋体"/>
                <w:sz w:val="20"/>
                <w:szCs w:val="20"/>
              </w:rPr>
            </w:pPr>
            <w:r>
              <w:rPr>
                <w:rFonts w:hint="eastAsia" w:ascii="宋体" w:hAnsi="宋体" w:cs="宋体"/>
                <w:kern w:val="0"/>
                <w:sz w:val="20"/>
                <w:szCs w:val="20"/>
                <w:u w:val="none" w:color="FFFFFF"/>
                <w:shd w:val="clear" w:fill="FFFFFF"/>
              </w:rPr>
              <w:t>指标</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帮扶对象的满意度</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≥100%</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≥100%</w:t>
            </w:r>
          </w:p>
        </w:tc>
      </w:tr>
      <w:tr>
        <w:tblPrEx>
          <w:tblLayout w:type="fixed"/>
          <w:tblCellMar>
            <w:top w:w="0" w:type="dxa"/>
            <w:left w:w="108" w:type="dxa"/>
            <w:bottom w:w="0" w:type="dxa"/>
            <w:right w:w="108" w:type="dxa"/>
          </w:tblCellMar>
        </w:tblPrEx>
        <w:trPr>
          <w:gridAfter w:val="1"/>
          <w:wAfter w:w="236" w:type="dxa"/>
          <w:trHeight w:val="325" w:hRule="atLeast"/>
        </w:trPr>
        <w:tc>
          <w:tcPr>
            <w:tcW w:w="1668"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sz w:val="20"/>
                <w:szCs w:val="20"/>
              </w:rPr>
            </w:pPr>
          </w:p>
        </w:tc>
        <w:tc>
          <w:tcPr>
            <w:tcW w:w="1094"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 w:val="20"/>
                <w:szCs w:val="20"/>
              </w:rPr>
            </w:pPr>
          </w:p>
        </w:tc>
        <w:tc>
          <w:tcPr>
            <w:tcW w:w="1534" w:type="dxa"/>
            <w:gridSpan w:val="2"/>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sz w:val="20"/>
                <w:szCs w:val="20"/>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社会满意度</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≥100%</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≥100%</w:t>
            </w:r>
          </w:p>
        </w:tc>
      </w:tr>
    </w:tbl>
    <w:p>
      <w:pPr>
        <w:pStyle w:val="3"/>
        <w:spacing w:before="93"/>
        <w:rPr>
          <w:rFonts w:ascii="黑体" w:hAnsi="黑体" w:eastAsia="黑体" w:cs="黑体"/>
          <w:sz w:val="32"/>
          <w:szCs w:val="32"/>
        </w:rPr>
      </w:pPr>
    </w:p>
    <w:p>
      <w:pPr>
        <w:pStyle w:val="3"/>
        <w:spacing w:before="93"/>
        <w:rPr>
          <w:rFonts w:hAnsi="仿宋_GB2312" w:cs="仿宋_GB2312"/>
          <w:sz w:val="28"/>
          <w:szCs w:val="28"/>
        </w:rPr>
      </w:pPr>
    </w:p>
    <w:p>
      <w:pPr>
        <w:pStyle w:val="3"/>
        <w:spacing w:before="93"/>
        <w:rPr>
          <w:rFonts w:hAnsi="仿宋_GB2312" w:cs="仿宋_GB2312"/>
          <w:sz w:val="28"/>
          <w:szCs w:val="28"/>
        </w:rPr>
      </w:pPr>
    </w:p>
    <w:p>
      <w:pPr>
        <w:pStyle w:val="3"/>
        <w:spacing w:before="93"/>
        <w:outlineLvl w:val="1"/>
        <w:rPr>
          <w:rFonts w:hAnsi="仿宋_GB2312" w:cs="仿宋_GB2312"/>
          <w:sz w:val="28"/>
          <w:szCs w:val="28"/>
        </w:rPr>
      </w:pPr>
      <w:bookmarkStart w:id="74" w:name="_Toc32264"/>
      <w:r>
        <w:rPr>
          <w:rFonts w:hint="eastAsia" w:hAnsi="仿宋_GB2312" w:cs="仿宋_GB2312"/>
          <w:sz w:val="28"/>
          <w:szCs w:val="28"/>
        </w:rPr>
        <w:t>附件2</w:t>
      </w:r>
      <w:bookmarkEnd w:id="74"/>
    </w:p>
    <w:tbl>
      <w:tblPr>
        <w:tblStyle w:val="7"/>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638"/>
        <w:gridCol w:w="959"/>
        <w:gridCol w:w="1110"/>
        <w:gridCol w:w="2234"/>
        <w:gridCol w:w="1456"/>
        <w:gridCol w:w="2178"/>
        <w:gridCol w:w="236"/>
      </w:tblGrid>
      <w:tr>
        <w:tblPrEx>
          <w:tblLayout w:type="fixed"/>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ind w:firstLine="2570" w:firstLineChars="800"/>
              <w:textAlignment w:val="center"/>
              <w:rPr>
                <w:rFonts w:ascii="宋体" w:hAnsi="宋体" w:cs="宋体"/>
                <w:b/>
                <w:sz w:val="32"/>
                <w:szCs w:val="32"/>
              </w:rPr>
            </w:pPr>
            <w:bookmarkStart w:id="75" w:name="_Toc15396618"/>
            <w:r>
              <w:rPr>
                <w:rFonts w:hint="eastAsia" w:ascii="宋体" w:hAnsi="宋体" w:cs="宋体"/>
                <w:b/>
                <w:sz w:val="32"/>
                <w:szCs w:val="32"/>
              </w:rPr>
              <w:t>公用经费绩效目标自评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Layout w:type="fixed"/>
          <w:tblCellMar>
            <w:top w:w="0" w:type="dxa"/>
            <w:left w:w="108" w:type="dxa"/>
            <w:bottom w:w="0" w:type="dxa"/>
            <w:right w:w="108" w:type="dxa"/>
          </w:tblCellMar>
        </w:tblPrEx>
        <w:trPr>
          <w:gridAfter w:val="1"/>
          <w:wAfter w:w="236" w:type="dxa"/>
          <w:trHeight w:val="90" w:hRule="atLeast"/>
        </w:trPr>
        <w:tc>
          <w:tcPr>
            <w:tcW w:w="2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主管部门及代码</w:t>
            </w:r>
          </w:p>
        </w:tc>
        <w:tc>
          <w:tcPr>
            <w:tcW w:w="3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通江县教育科技和体育局</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实施单位</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通江县第四小学</w:t>
            </w:r>
          </w:p>
        </w:tc>
      </w:tr>
      <w:tr>
        <w:tblPrEx>
          <w:tblLayout w:type="fixed"/>
          <w:tblCellMar>
            <w:top w:w="0" w:type="dxa"/>
            <w:left w:w="108" w:type="dxa"/>
            <w:bottom w:w="0" w:type="dxa"/>
            <w:right w:w="108" w:type="dxa"/>
          </w:tblCellMar>
        </w:tblPrEx>
        <w:trPr>
          <w:gridAfter w:val="1"/>
          <w:wAfter w:w="236" w:type="dxa"/>
          <w:trHeight w:val="341" w:hRule="atLeast"/>
        </w:trPr>
        <w:tc>
          <w:tcPr>
            <w:tcW w:w="25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项目预算</w:t>
            </w:r>
          </w:p>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执行情况</w:t>
            </w:r>
          </w:p>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（万元）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预算数：</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55.38</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执行数：</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55.38</w:t>
            </w:r>
          </w:p>
        </w:tc>
      </w:tr>
      <w:tr>
        <w:tblPrEx>
          <w:tblLayout w:type="fixed"/>
          <w:tblCellMar>
            <w:top w:w="0" w:type="dxa"/>
            <w:left w:w="108" w:type="dxa"/>
            <w:bottom w:w="0" w:type="dxa"/>
            <w:right w:w="108" w:type="dxa"/>
          </w:tblCellMar>
        </w:tblPrEx>
        <w:trPr>
          <w:gridAfter w:val="1"/>
          <w:wAfter w:w="236" w:type="dxa"/>
          <w:trHeight w:val="555" w:hRule="atLeast"/>
        </w:trPr>
        <w:tc>
          <w:tcPr>
            <w:tcW w:w="2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其中：</w:t>
            </w:r>
          </w:p>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财政拨款</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55.38</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其中：</w:t>
            </w:r>
          </w:p>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财政拨款</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55.38</w:t>
            </w:r>
          </w:p>
        </w:tc>
      </w:tr>
      <w:tr>
        <w:tblPrEx>
          <w:tblLayout w:type="fixed"/>
          <w:tblCellMar>
            <w:top w:w="0" w:type="dxa"/>
            <w:left w:w="108" w:type="dxa"/>
            <w:bottom w:w="0" w:type="dxa"/>
            <w:right w:w="108" w:type="dxa"/>
          </w:tblCellMar>
        </w:tblPrEx>
        <w:trPr>
          <w:gridAfter w:val="1"/>
          <w:wAfter w:w="236" w:type="dxa"/>
          <w:trHeight w:val="341" w:hRule="atLeast"/>
        </w:trPr>
        <w:tc>
          <w:tcPr>
            <w:tcW w:w="2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其他资金</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其他资金</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0</w:t>
            </w:r>
          </w:p>
        </w:tc>
      </w:tr>
      <w:tr>
        <w:tblPrEx>
          <w:tblLayout w:type="fixed"/>
          <w:tblCellMar>
            <w:top w:w="0" w:type="dxa"/>
            <w:left w:w="108" w:type="dxa"/>
            <w:bottom w:w="0" w:type="dxa"/>
            <w:right w:w="108" w:type="dxa"/>
          </w:tblCellMar>
        </w:tblPrEx>
        <w:trPr>
          <w:gridAfter w:val="1"/>
          <w:wAfter w:w="236" w:type="dxa"/>
          <w:trHeight w:val="795" w:hRule="atLeast"/>
        </w:trPr>
        <w:tc>
          <w:tcPr>
            <w:tcW w:w="16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年度总体目标完成情况</w:t>
            </w:r>
          </w:p>
        </w:tc>
        <w:tc>
          <w:tcPr>
            <w:tcW w:w="43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center" w:pos="2104"/>
                <w:tab w:val="left" w:pos="3262"/>
              </w:tabs>
              <w:spacing w:line="320" w:lineRule="exact"/>
              <w:jc w:val="left"/>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预期目标</w:t>
            </w:r>
            <w:r>
              <w:rPr>
                <w:rFonts w:hint="eastAsia" w:ascii="仿宋_GB2312" w:hAnsi="仿宋_GB2312" w:eastAsia="仿宋_GB2312" w:cs="仿宋_GB2312"/>
                <w:kern w:val="0"/>
                <w:sz w:val="32"/>
                <w:szCs w:val="32"/>
              </w:rPr>
              <w:tab/>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目标实际完成情况</w:t>
            </w:r>
          </w:p>
        </w:tc>
      </w:tr>
      <w:tr>
        <w:tblPrEx>
          <w:tblLayout w:type="fixed"/>
          <w:tblCellMar>
            <w:top w:w="0" w:type="dxa"/>
            <w:left w:w="108" w:type="dxa"/>
            <w:bottom w:w="0" w:type="dxa"/>
            <w:right w:w="108" w:type="dxa"/>
          </w:tblCellMar>
        </w:tblPrEx>
        <w:trPr>
          <w:gridAfter w:val="1"/>
          <w:wAfter w:w="236" w:type="dxa"/>
          <w:trHeight w:val="2135" w:hRule="atLeast"/>
        </w:trPr>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p>
        </w:tc>
        <w:tc>
          <w:tcPr>
            <w:tcW w:w="4303"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通过预算执行：实施其他商品服务支出，保障通江县第四小学56</w:t>
            </w:r>
            <w:r>
              <w:rPr>
                <w:rFonts w:hint="eastAsia" w:ascii="仿宋_GB2312" w:eastAsia="仿宋_GB2312"/>
                <w:sz w:val="32"/>
                <w:szCs w:val="32"/>
              </w:rPr>
              <w:t>名</w:t>
            </w:r>
            <w:r>
              <w:rPr>
                <w:rFonts w:hint="eastAsia" w:ascii="仿宋_GB2312" w:hAnsi="仿宋_GB2312" w:eastAsia="仿宋_GB2312" w:cs="仿宋_GB2312"/>
                <w:kern w:val="0"/>
                <w:sz w:val="32"/>
                <w:szCs w:val="32"/>
              </w:rPr>
              <w:t>教师和569</w:t>
            </w:r>
            <w:r>
              <w:rPr>
                <w:rFonts w:hint="eastAsia" w:ascii="仿宋_GB2312" w:eastAsia="仿宋_GB2312"/>
                <w:sz w:val="32"/>
                <w:szCs w:val="32"/>
              </w:rPr>
              <w:t>名</w:t>
            </w:r>
            <w:r>
              <w:rPr>
                <w:rFonts w:hint="eastAsia" w:ascii="仿宋_GB2312" w:hAnsi="仿宋_GB2312" w:eastAsia="仿宋_GB2312" w:cs="仿宋_GB2312"/>
                <w:kern w:val="0"/>
                <w:sz w:val="32"/>
                <w:szCs w:val="32"/>
              </w:rPr>
              <w:t>学生日常办公支出，改善办学条件，使教师安心工作，学生认真学习。</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实施其他商品服务支出，保障通江县第四小学56</w:t>
            </w:r>
            <w:r>
              <w:rPr>
                <w:rFonts w:hint="eastAsia" w:ascii="仿宋_GB2312" w:eastAsia="仿宋_GB2312"/>
                <w:sz w:val="32"/>
                <w:szCs w:val="32"/>
              </w:rPr>
              <w:t>名</w:t>
            </w:r>
            <w:r>
              <w:rPr>
                <w:rFonts w:hint="eastAsia" w:ascii="仿宋_GB2312" w:hAnsi="仿宋_GB2312" w:eastAsia="仿宋_GB2312" w:cs="仿宋_GB2312"/>
                <w:kern w:val="0"/>
                <w:sz w:val="32"/>
                <w:szCs w:val="32"/>
              </w:rPr>
              <w:t>教师和569</w:t>
            </w:r>
            <w:r>
              <w:rPr>
                <w:rFonts w:hint="eastAsia" w:ascii="仿宋_GB2312" w:eastAsia="仿宋_GB2312"/>
                <w:sz w:val="32"/>
                <w:szCs w:val="32"/>
              </w:rPr>
              <w:t>名</w:t>
            </w:r>
            <w:r>
              <w:rPr>
                <w:rFonts w:hint="eastAsia" w:ascii="仿宋_GB2312" w:hAnsi="仿宋_GB2312" w:eastAsia="仿宋_GB2312" w:cs="仿宋_GB2312"/>
                <w:kern w:val="0"/>
                <w:sz w:val="32"/>
                <w:szCs w:val="32"/>
              </w:rPr>
              <w:t>学生日常办公支出，改善办学条件，使教师安心工作，学生认真学习。</w:t>
            </w:r>
          </w:p>
        </w:tc>
      </w:tr>
      <w:tr>
        <w:tblPrEx>
          <w:tblLayout w:type="fixed"/>
          <w:tblCellMar>
            <w:top w:w="0" w:type="dxa"/>
            <w:left w:w="108" w:type="dxa"/>
            <w:bottom w:w="0" w:type="dxa"/>
            <w:right w:w="108" w:type="dxa"/>
          </w:tblCellMar>
        </w:tblPrEx>
        <w:trPr>
          <w:gridAfter w:val="1"/>
          <w:wAfter w:w="236" w:type="dxa"/>
          <w:trHeight w:val="960" w:hRule="atLeast"/>
        </w:trPr>
        <w:tc>
          <w:tcPr>
            <w:tcW w:w="1638"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年度绩效指标完成情况</w:t>
            </w:r>
          </w:p>
        </w:tc>
        <w:tc>
          <w:tcPr>
            <w:tcW w:w="959"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一级</w:t>
            </w:r>
          </w:p>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四级</w:t>
            </w:r>
          </w:p>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三级</w:t>
            </w:r>
          </w:p>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指标</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预期指标值</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实际完成指标值</w:t>
            </w:r>
          </w:p>
        </w:tc>
      </w:tr>
      <w:tr>
        <w:tblPrEx>
          <w:tblLayout w:type="fixed"/>
          <w:tblCellMar>
            <w:top w:w="0" w:type="dxa"/>
            <w:left w:w="108" w:type="dxa"/>
            <w:bottom w:w="0" w:type="dxa"/>
            <w:right w:w="108" w:type="dxa"/>
          </w:tblCellMar>
        </w:tblPrEx>
        <w:trPr>
          <w:gridAfter w:val="1"/>
          <w:wAfter w:w="236" w:type="dxa"/>
          <w:trHeight w:val="960" w:hRule="atLeast"/>
        </w:trPr>
        <w:tc>
          <w:tcPr>
            <w:tcW w:w="1638"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p>
        </w:tc>
        <w:tc>
          <w:tcPr>
            <w:tcW w:w="959"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完成</w:t>
            </w:r>
          </w:p>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指标</w:t>
            </w:r>
          </w:p>
        </w:tc>
        <w:tc>
          <w:tcPr>
            <w:tcW w:w="1110" w:type="dxa"/>
            <w:vMerge w:val="restart"/>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数量指标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学生人数</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569</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569</w:t>
            </w:r>
          </w:p>
        </w:tc>
      </w:tr>
      <w:tr>
        <w:tblPrEx>
          <w:tblLayout w:type="fixed"/>
          <w:tblCellMar>
            <w:top w:w="0" w:type="dxa"/>
            <w:left w:w="108" w:type="dxa"/>
            <w:bottom w:w="0" w:type="dxa"/>
            <w:right w:w="108" w:type="dxa"/>
          </w:tblCellMar>
        </w:tblPrEx>
        <w:trPr>
          <w:gridAfter w:val="1"/>
          <w:wAfter w:w="236" w:type="dxa"/>
          <w:trHeight w:val="960" w:hRule="atLeast"/>
        </w:trPr>
        <w:tc>
          <w:tcPr>
            <w:tcW w:w="1638"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p>
        </w:tc>
        <w:tc>
          <w:tcPr>
            <w:tcW w:w="959"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p>
        </w:tc>
        <w:tc>
          <w:tcPr>
            <w:tcW w:w="1110"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32"/>
                <w:szCs w:val="32"/>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教师人数</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56</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56</w:t>
            </w:r>
          </w:p>
        </w:tc>
      </w:tr>
      <w:tr>
        <w:tblPrEx>
          <w:tblLayout w:type="fixed"/>
          <w:tblCellMar>
            <w:top w:w="0" w:type="dxa"/>
            <w:left w:w="108" w:type="dxa"/>
            <w:bottom w:w="0" w:type="dxa"/>
            <w:right w:w="108" w:type="dxa"/>
          </w:tblCellMar>
        </w:tblPrEx>
        <w:trPr>
          <w:gridAfter w:val="1"/>
          <w:wAfter w:w="236" w:type="dxa"/>
          <w:trHeight w:val="960" w:hRule="atLeast"/>
        </w:trPr>
        <w:tc>
          <w:tcPr>
            <w:tcW w:w="1638"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32"/>
                <w:szCs w:val="3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质量指标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公用经费支出率</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100%</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100%</w:t>
            </w:r>
          </w:p>
        </w:tc>
      </w:tr>
      <w:tr>
        <w:tblPrEx>
          <w:tblLayout w:type="fixed"/>
          <w:tblCellMar>
            <w:top w:w="0" w:type="dxa"/>
            <w:left w:w="108" w:type="dxa"/>
            <w:bottom w:w="0" w:type="dxa"/>
            <w:right w:w="108" w:type="dxa"/>
          </w:tblCellMar>
        </w:tblPrEx>
        <w:trPr>
          <w:gridAfter w:val="1"/>
          <w:wAfter w:w="236" w:type="dxa"/>
          <w:trHeight w:val="960" w:hRule="atLeast"/>
        </w:trPr>
        <w:tc>
          <w:tcPr>
            <w:tcW w:w="1638"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32"/>
                <w:szCs w:val="3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thick" w:color="FFB03A"/>
                <w:shd w:val="clear" w:color="auto" w:fill="FFEFD8"/>
              </w:rPr>
              <w:t>时效</w:t>
            </w:r>
            <w:r>
              <w:rPr>
                <w:rFonts w:hint="eastAsia" w:ascii="仿宋_GB2312" w:hAnsi="仿宋_GB2312" w:eastAsia="仿宋_GB2312" w:cs="仿宋_GB2312"/>
                <w:kern w:val="0"/>
                <w:sz w:val="32"/>
                <w:szCs w:val="32"/>
              </w:rPr>
              <w:t>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公用经费支出及时率</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100%</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100%</w:t>
            </w:r>
          </w:p>
        </w:tc>
      </w:tr>
      <w:tr>
        <w:tblPrEx>
          <w:tblLayout w:type="fixed"/>
          <w:tblCellMar>
            <w:top w:w="0" w:type="dxa"/>
            <w:left w:w="108" w:type="dxa"/>
            <w:bottom w:w="0" w:type="dxa"/>
            <w:right w:w="108" w:type="dxa"/>
          </w:tblCellMar>
        </w:tblPrEx>
        <w:trPr>
          <w:gridAfter w:val="1"/>
          <w:wAfter w:w="236" w:type="dxa"/>
          <w:trHeight w:val="960" w:hRule="atLeast"/>
        </w:trPr>
        <w:tc>
          <w:tcPr>
            <w:tcW w:w="1638"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32"/>
                <w:szCs w:val="3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成本指标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公用经费支出成本万元</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55.38</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55.38</w:t>
            </w:r>
          </w:p>
        </w:tc>
      </w:tr>
      <w:tr>
        <w:tblPrEx>
          <w:tblLayout w:type="fixed"/>
          <w:tblCellMar>
            <w:top w:w="0" w:type="dxa"/>
            <w:left w:w="108" w:type="dxa"/>
            <w:bottom w:w="0" w:type="dxa"/>
            <w:right w:w="108" w:type="dxa"/>
          </w:tblCellMar>
        </w:tblPrEx>
        <w:trPr>
          <w:gridAfter w:val="1"/>
          <w:wAfter w:w="236" w:type="dxa"/>
          <w:trHeight w:val="960" w:hRule="atLeast"/>
        </w:trPr>
        <w:tc>
          <w:tcPr>
            <w:tcW w:w="1638"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效益</w:t>
            </w:r>
          </w:p>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经济效益指标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税收</w:t>
            </w:r>
            <w:r>
              <w:rPr>
                <w:rFonts w:hint="eastAsia" w:ascii="仿宋_GB2312" w:hAnsi="仿宋_GB2312" w:eastAsia="仿宋_GB2312" w:cs="仿宋_GB2312"/>
                <w:kern w:val="0"/>
                <w:sz w:val="32"/>
                <w:szCs w:val="32"/>
                <w:u w:val="none" w:color="FFFFFF"/>
                <w:shd w:val="clear" w:fill="FFFFFF"/>
              </w:rPr>
              <w:t>增加</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≥1万元</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≥1万元</w:t>
            </w:r>
          </w:p>
        </w:tc>
      </w:tr>
      <w:tr>
        <w:tblPrEx>
          <w:tblLayout w:type="fixed"/>
          <w:tblCellMar>
            <w:top w:w="0" w:type="dxa"/>
            <w:left w:w="108" w:type="dxa"/>
            <w:bottom w:w="0" w:type="dxa"/>
            <w:right w:w="108" w:type="dxa"/>
          </w:tblCellMar>
        </w:tblPrEx>
        <w:trPr>
          <w:gridAfter w:val="1"/>
          <w:wAfter w:w="236" w:type="dxa"/>
          <w:trHeight w:val="960" w:hRule="atLeast"/>
        </w:trPr>
        <w:tc>
          <w:tcPr>
            <w:tcW w:w="1638"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32"/>
                <w:szCs w:val="3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社会效益指标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家长、学生、教师幸福指数增加</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≥90%</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≥90%</w:t>
            </w:r>
          </w:p>
        </w:tc>
      </w:tr>
      <w:tr>
        <w:tblPrEx>
          <w:tblLayout w:type="fixed"/>
          <w:tblCellMar>
            <w:top w:w="0" w:type="dxa"/>
            <w:left w:w="108" w:type="dxa"/>
            <w:bottom w:w="0" w:type="dxa"/>
            <w:right w:w="108" w:type="dxa"/>
          </w:tblCellMar>
        </w:tblPrEx>
        <w:trPr>
          <w:gridAfter w:val="1"/>
          <w:wAfter w:w="236" w:type="dxa"/>
          <w:trHeight w:val="960" w:hRule="atLeast"/>
        </w:trPr>
        <w:tc>
          <w:tcPr>
            <w:tcW w:w="1638"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32"/>
                <w:szCs w:val="3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生态效益指标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改善人居环境</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≥90%</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≥90%</w:t>
            </w:r>
          </w:p>
        </w:tc>
      </w:tr>
      <w:tr>
        <w:tblPrEx>
          <w:tblLayout w:type="fixed"/>
          <w:tblCellMar>
            <w:top w:w="0" w:type="dxa"/>
            <w:left w:w="108" w:type="dxa"/>
            <w:bottom w:w="0" w:type="dxa"/>
            <w:right w:w="108" w:type="dxa"/>
          </w:tblCellMar>
        </w:tblPrEx>
        <w:trPr>
          <w:gridAfter w:val="1"/>
          <w:wAfter w:w="236" w:type="dxa"/>
          <w:trHeight w:val="960" w:hRule="atLeast"/>
        </w:trPr>
        <w:tc>
          <w:tcPr>
            <w:tcW w:w="1638"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32"/>
                <w:szCs w:val="3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可持续影响指标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对社会未来可持续发展的影响</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长期</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长期</w:t>
            </w:r>
          </w:p>
        </w:tc>
      </w:tr>
      <w:tr>
        <w:tblPrEx>
          <w:tblLayout w:type="fixed"/>
          <w:tblCellMar>
            <w:top w:w="0" w:type="dxa"/>
            <w:left w:w="108" w:type="dxa"/>
            <w:bottom w:w="0" w:type="dxa"/>
            <w:right w:w="108" w:type="dxa"/>
          </w:tblCellMar>
        </w:tblPrEx>
        <w:trPr>
          <w:gridAfter w:val="1"/>
          <w:wAfter w:w="236" w:type="dxa"/>
          <w:trHeight w:val="960" w:hRule="atLeast"/>
        </w:trPr>
        <w:tc>
          <w:tcPr>
            <w:tcW w:w="1638"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p>
        </w:tc>
        <w:tc>
          <w:tcPr>
            <w:tcW w:w="959" w:type="dxa"/>
            <w:vMerge w:val="restart"/>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满意</w:t>
            </w:r>
          </w:p>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度指标</w:t>
            </w:r>
          </w:p>
        </w:tc>
        <w:tc>
          <w:tcPr>
            <w:tcW w:w="1110" w:type="dxa"/>
            <w:vMerge w:val="restart"/>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32"/>
                <w:szCs w:val="32"/>
                <w:u w:val="none" w:color="FFFFFF"/>
                <w:shd w:val="clear" w:fill="FFFFFF"/>
              </w:rPr>
            </w:pPr>
            <w:r>
              <w:rPr>
                <w:rFonts w:hint="eastAsia" w:ascii="仿宋_GB2312" w:hAnsi="仿宋_GB2312" w:eastAsia="仿宋_GB2312" w:cs="仿宋_GB2312"/>
                <w:kern w:val="0"/>
                <w:sz w:val="32"/>
                <w:szCs w:val="32"/>
                <w:u w:val="none" w:color="FFFFFF"/>
                <w:shd w:val="clear" w:fill="FFFFFF"/>
              </w:rPr>
              <w:t>满意度</w:t>
            </w:r>
          </w:p>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none" w:color="FFFFFF"/>
                <w:shd w:val="clear" w:fill="FFFFFF"/>
              </w:rPr>
              <w:t>指标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教师、学生、家长的满意度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≥90%</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≥90%</w:t>
            </w:r>
          </w:p>
        </w:tc>
      </w:tr>
      <w:tr>
        <w:tblPrEx>
          <w:tblLayout w:type="fixed"/>
          <w:tblCellMar>
            <w:top w:w="0" w:type="dxa"/>
            <w:left w:w="108" w:type="dxa"/>
            <w:bottom w:w="0" w:type="dxa"/>
            <w:right w:w="108" w:type="dxa"/>
          </w:tblCellMar>
        </w:tblPrEx>
        <w:trPr>
          <w:gridAfter w:val="1"/>
          <w:wAfter w:w="236" w:type="dxa"/>
          <w:trHeight w:val="960" w:hRule="atLeast"/>
        </w:trPr>
        <w:tc>
          <w:tcPr>
            <w:tcW w:w="1638"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p>
        </w:tc>
        <w:tc>
          <w:tcPr>
            <w:tcW w:w="959"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32"/>
                <w:szCs w:val="32"/>
              </w:rPr>
            </w:pPr>
          </w:p>
        </w:tc>
        <w:tc>
          <w:tcPr>
            <w:tcW w:w="1110"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32"/>
                <w:szCs w:val="32"/>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社会满意度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≥90%</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≥90%</w:t>
            </w:r>
          </w:p>
        </w:tc>
      </w:tr>
    </w:tbl>
    <w:p>
      <w:pPr>
        <w:spacing w:line="600" w:lineRule="exact"/>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outlineLvl w:val="0"/>
        <w:rPr>
          <w:rFonts w:ascii="仿宋" w:hAnsi="仿宋" w:eastAsia="仿宋"/>
          <w:b/>
          <w:bCs/>
        </w:rPr>
      </w:pPr>
      <w:bookmarkStart w:id="76" w:name="_Toc14525"/>
      <w:r>
        <w:rPr>
          <w:rFonts w:hint="eastAsia" w:ascii="黑体" w:hAnsi="黑体" w:eastAsia="黑体"/>
          <w:b/>
          <w:bCs/>
          <w:sz w:val="44"/>
          <w:szCs w:val="44"/>
        </w:rPr>
        <w:t>第</w:t>
      </w:r>
      <w:r>
        <w:rPr>
          <w:rStyle w:val="30"/>
          <w:rFonts w:hint="eastAsia" w:ascii="黑体" w:hAnsi="黑体" w:eastAsia="黑体"/>
        </w:rPr>
        <w:t>五部</w:t>
      </w:r>
      <w:r>
        <w:rPr>
          <w:rFonts w:hint="eastAsia" w:ascii="黑体" w:hAnsi="黑体" w:eastAsia="黑体"/>
          <w:b/>
          <w:bCs/>
        </w:rPr>
        <w:t>分附表</w:t>
      </w:r>
      <w:bookmarkEnd w:id="71"/>
      <w:bookmarkEnd w:id="75"/>
      <w:bookmarkEnd w:id="76"/>
      <w:bookmarkStart w:id="77" w:name="_Toc15396619"/>
      <w:bookmarkEnd w:id="77"/>
    </w:p>
    <w:p/>
    <w:p>
      <w:pPr>
        <w:pStyle w:val="20"/>
        <w:adjustRightInd w:val="0"/>
        <w:snapToGrid w:val="0"/>
        <w:spacing w:line="640" w:lineRule="exact"/>
        <w:jc w:val="left"/>
        <w:rPr>
          <w:rFonts w:ascii="仿宋" w:hAnsi="仿宋" w:eastAsia="仿宋" w:cs="仿宋"/>
          <w:sz w:val="32"/>
          <w:szCs w:val="32"/>
        </w:rPr>
      </w:pPr>
      <w:r>
        <w:rPr>
          <w:rFonts w:hint="eastAsia" w:ascii="仿宋" w:hAnsi="仿宋" w:eastAsia="仿宋" w:cs="仿宋"/>
          <w:sz w:val="32"/>
          <w:szCs w:val="32"/>
        </w:rPr>
        <w:t>一、收入支出决算总表</w:t>
      </w:r>
    </w:p>
    <w:p>
      <w:pPr>
        <w:pStyle w:val="20"/>
        <w:numPr>
          <w:ilvl w:val="0"/>
          <w:numId w:val="5"/>
        </w:numPr>
        <w:adjustRightInd w:val="0"/>
        <w:snapToGrid w:val="0"/>
        <w:spacing w:line="640" w:lineRule="exact"/>
        <w:jc w:val="left"/>
        <w:rPr>
          <w:rFonts w:ascii="仿宋" w:hAnsi="仿宋" w:eastAsia="仿宋" w:cs="仿宋"/>
          <w:sz w:val="32"/>
          <w:szCs w:val="32"/>
        </w:rPr>
      </w:pPr>
      <w:r>
        <w:rPr>
          <w:rFonts w:hint="eastAsia" w:ascii="仿宋" w:hAnsi="仿宋" w:eastAsia="仿宋" w:cs="仿宋"/>
          <w:sz w:val="32"/>
          <w:szCs w:val="32"/>
        </w:rPr>
        <w:t>收入决算表</w:t>
      </w:r>
    </w:p>
    <w:p>
      <w:pPr>
        <w:pStyle w:val="20"/>
        <w:numPr>
          <w:ilvl w:val="0"/>
          <w:numId w:val="5"/>
        </w:numPr>
        <w:adjustRightInd w:val="0"/>
        <w:snapToGrid w:val="0"/>
        <w:spacing w:line="640" w:lineRule="exact"/>
        <w:jc w:val="left"/>
        <w:rPr>
          <w:rFonts w:ascii="仿宋" w:hAnsi="仿宋" w:eastAsia="仿宋" w:cs="仿宋"/>
          <w:sz w:val="32"/>
          <w:szCs w:val="32"/>
        </w:rPr>
      </w:pPr>
      <w:r>
        <w:rPr>
          <w:rFonts w:hint="eastAsia" w:ascii="仿宋" w:hAnsi="仿宋" w:eastAsia="仿宋" w:cs="仿宋"/>
          <w:sz w:val="32"/>
          <w:szCs w:val="32"/>
        </w:rPr>
        <w:t>支出决算表</w:t>
      </w:r>
    </w:p>
    <w:p>
      <w:pPr>
        <w:pStyle w:val="20"/>
        <w:numPr>
          <w:ilvl w:val="0"/>
          <w:numId w:val="5"/>
        </w:numPr>
        <w:adjustRightInd w:val="0"/>
        <w:snapToGrid w:val="0"/>
        <w:spacing w:line="640" w:lineRule="exact"/>
        <w:jc w:val="left"/>
        <w:rPr>
          <w:rFonts w:ascii="仿宋" w:hAnsi="仿宋" w:eastAsia="仿宋" w:cs="仿宋"/>
          <w:sz w:val="32"/>
          <w:szCs w:val="32"/>
        </w:rPr>
      </w:pPr>
      <w:r>
        <w:rPr>
          <w:rFonts w:hint="eastAsia" w:ascii="仿宋" w:hAnsi="仿宋" w:eastAsia="仿宋" w:cs="仿宋"/>
          <w:sz w:val="32"/>
          <w:szCs w:val="32"/>
        </w:rPr>
        <w:t>财政拨款收入支出决算总表</w:t>
      </w:r>
    </w:p>
    <w:p>
      <w:pPr>
        <w:pStyle w:val="20"/>
        <w:numPr>
          <w:ilvl w:val="0"/>
          <w:numId w:val="6"/>
        </w:numPr>
        <w:adjustRightInd w:val="0"/>
        <w:snapToGrid w:val="0"/>
        <w:spacing w:line="640" w:lineRule="exact"/>
        <w:jc w:val="left"/>
        <w:rPr>
          <w:rFonts w:ascii="仿宋" w:hAnsi="仿宋" w:eastAsia="仿宋" w:cs="仿宋"/>
          <w:sz w:val="32"/>
          <w:szCs w:val="32"/>
        </w:rPr>
      </w:pPr>
      <w:r>
        <w:rPr>
          <w:rFonts w:hint="eastAsia" w:ascii="仿宋" w:hAnsi="仿宋" w:eastAsia="仿宋" w:cs="仿宋"/>
          <w:sz w:val="32"/>
          <w:szCs w:val="32"/>
        </w:rPr>
        <w:t>财政拨款支出决算明细表</w:t>
      </w:r>
    </w:p>
    <w:p>
      <w:pPr>
        <w:pStyle w:val="20"/>
        <w:numPr>
          <w:ilvl w:val="0"/>
          <w:numId w:val="6"/>
        </w:numPr>
        <w:adjustRightInd w:val="0"/>
        <w:snapToGrid w:val="0"/>
        <w:spacing w:line="640" w:lineRule="exact"/>
        <w:jc w:val="left"/>
        <w:rPr>
          <w:rFonts w:ascii="仿宋" w:hAnsi="仿宋" w:eastAsia="仿宋" w:cs="仿宋"/>
          <w:sz w:val="32"/>
          <w:szCs w:val="32"/>
        </w:rPr>
      </w:pPr>
      <w:r>
        <w:rPr>
          <w:rFonts w:hint="eastAsia" w:ascii="仿宋" w:hAnsi="仿宋" w:eastAsia="仿宋" w:cs="仿宋"/>
          <w:sz w:val="32"/>
          <w:szCs w:val="32"/>
        </w:rPr>
        <w:t>一般公共预算财政拨款支出决算表</w:t>
      </w:r>
    </w:p>
    <w:p>
      <w:pPr>
        <w:pStyle w:val="20"/>
        <w:numPr>
          <w:ilvl w:val="0"/>
          <w:numId w:val="6"/>
        </w:numPr>
        <w:adjustRightInd w:val="0"/>
        <w:snapToGrid w:val="0"/>
        <w:spacing w:line="640" w:lineRule="exact"/>
        <w:jc w:val="left"/>
        <w:rPr>
          <w:rFonts w:ascii="仿宋" w:hAnsi="仿宋" w:eastAsia="仿宋" w:cs="仿宋"/>
          <w:sz w:val="32"/>
          <w:szCs w:val="32"/>
        </w:rPr>
      </w:pPr>
      <w:r>
        <w:rPr>
          <w:rFonts w:hint="eastAsia" w:ascii="仿宋" w:hAnsi="仿宋" w:eastAsia="仿宋" w:cs="仿宋"/>
          <w:sz w:val="32"/>
          <w:szCs w:val="32"/>
        </w:rPr>
        <w:t>一般公共预算财政拨款支出决算明细表</w:t>
      </w:r>
    </w:p>
    <w:p>
      <w:pPr>
        <w:pStyle w:val="20"/>
        <w:numPr>
          <w:ilvl w:val="0"/>
          <w:numId w:val="6"/>
        </w:numPr>
        <w:adjustRightInd w:val="0"/>
        <w:snapToGrid w:val="0"/>
        <w:spacing w:line="640" w:lineRule="exact"/>
        <w:jc w:val="left"/>
        <w:rPr>
          <w:rFonts w:ascii="仿宋" w:hAnsi="仿宋" w:eastAsia="仿宋" w:cs="仿宋"/>
          <w:sz w:val="32"/>
          <w:szCs w:val="32"/>
        </w:rPr>
      </w:pPr>
      <w:r>
        <w:rPr>
          <w:rFonts w:hint="eastAsia" w:ascii="仿宋" w:hAnsi="仿宋" w:eastAsia="仿宋" w:cs="仿宋"/>
          <w:sz w:val="32"/>
          <w:szCs w:val="32"/>
        </w:rPr>
        <w:t>一般公共预算财政拨款基本支出决算表</w:t>
      </w:r>
    </w:p>
    <w:p>
      <w:pPr>
        <w:pStyle w:val="20"/>
        <w:numPr>
          <w:ilvl w:val="0"/>
          <w:numId w:val="6"/>
        </w:numPr>
        <w:adjustRightInd w:val="0"/>
        <w:snapToGrid w:val="0"/>
        <w:spacing w:line="640" w:lineRule="exact"/>
        <w:jc w:val="left"/>
        <w:rPr>
          <w:rFonts w:ascii="仿宋" w:hAnsi="仿宋" w:eastAsia="仿宋" w:cs="仿宋"/>
          <w:sz w:val="32"/>
          <w:szCs w:val="32"/>
        </w:rPr>
      </w:pPr>
      <w:r>
        <w:rPr>
          <w:rFonts w:hint="eastAsia" w:ascii="仿宋" w:hAnsi="仿宋" w:eastAsia="仿宋" w:cs="仿宋"/>
          <w:sz w:val="32"/>
          <w:szCs w:val="32"/>
        </w:rPr>
        <w:t>一般公共预算财政拨款项目支出决算表</w:t>
      </w:r>
    </w:p>
    <w:p>
      <w:pPr>
        <w:pStyle w:val="20"/>
        <w:numPr>
          <w:ilvl w:val="0"/>
          <w:numId w:val="6"/>
        </w:numPr>
        <w:adjustRightInd w:val="0"/>
        <w:snapToGrid w:val="0"/>
        <w:spacing w:line="640" w:lineRule="exact"/>
        <w:jc w:val="left"/>
        <w:rPr>
          <w:rFonts w:ascii="仿宋" w:hAnsi="仿宋" w:eastAsia="仿宋" w:cs="仿宋"/>
          <w:sz w:val="32"/>
          <w:szCs w:val="32"/>
        </w:rPr>
      </w:pPr>
      <w:r>
        <w:rPr>
          <w:rFonts w:hint="eastAsia" w:ascii="仿宋" w:hAnsi="仿宋" w:eastAsia="仿宋" w:cs="仿宋"/>
          <w:sz w:val="32"/>
          <w:szCs w:val="32"/>
        </w:rPr>
        <w:t>一般公共预算财政拨款“三公”经费支出决算表</w:t>
      </w:r>
    </w:p>
    <w:p>
      <w:pPr>
        <w:pStyle w:val="20"/>
        <w:numPr>
          <w:ilvl w:val="0"/>
          <w:numId w:val="6"/>
        </w:numPr>
        <w:adjustRightInd w:val="0"/>
        <w:snapToGrid w:val="0"/>
        <w:spacing w:line="640" w:lineRule="exact"/>
        <w:jc w:val="left"/>
        <w:rPr>
          <w:rFonts w:ascii="仿宋" w:hAnsi="仿宋" w:eastAsia="仿宋" w:cs="仿宋"/>
          <w:sz w:val="32"/>
          <w:szCs w:val="32"/>
        </w:rPr>
      </w:pPr>
      <w:r>
        <w:rPr>
          <w:rFonts w:hint="eastAsia" w:ascii="仿宋" w:hAnsi="仿宋" w:eastAsia="仿宋" w:cs="仿宋"/>
          <w:sz w:val="32"/>
          <w:szCs w:val="32"/>
        </w:rPr>
        <w:t>政府性基金预算财政拨款收入支出决算表</w:t>
      </w:r>
    </w:p>
    <w:p>
      <w:pPr>
        <w:pStyle w:val="20"/>
        <w:numPr>
          <w:ilvl w:val="0"/>
          <w:numId w:val="6"/>
        </w:numPr>
        <w:adjustRightInd w:val="0"/>
        <w:snapToGrid w:val="0"/>
        <w:spacing w:line="640" w:lineRule="exact"/>
        <w:jc w:val="left"/>
        <w:rPr>
          <w:rFonts w:ascii="仿宋" w:hAnsi="仿宋" w:eastAsia="仿宋" w:cs="仿宋"/>
          <w:sz w:val="32"/>
          <w:szCs w:val="32"/>
        </w:rPr>
      </w:pPr>
      <w:r>
        <w:rPr>
          <w:rFonts w:hint="eastAsia" w:ascii="仿宋" w:hAnsi="仿宋" w:eastAsia="仿宋" w:cs="仿宋"/>
          <w:sz w:val="32"/>
          <w:szCs w:val="32"/>
        </w:rPr>
        <w:t>政府性基金预算财政拨款“三公”经费支出决算表</w:t>
      </w:r>
    </w:p>
    <w:p>
      <w:pPr>
        <w:pStyle w:val="20"/>
        <w:numPr>
          <w:ilvl w:val="0"/>
          <w:numId w:val="6"/>
        </w:numPr>
        <w:adjustRightInd w:val="0"/>
        <w:snapToGrid w:val="0"/>
        <w:spacing w:line="640" w:lineRule="exact"/>
        <w:jc w:val="left"/>
        <w:rPr>
          <w:rFonts w:ascii="仿宋" w:hAnsi="仿宋" w:eastAsia="仿宋" w:cs="仿宋"/>
          <w:sz w:val="32"/>
          <w:szCs w:val="32"/>
        </w:rPr>
      </w:pPr>
      <w:r>
        <w:rPr>
          <w:rFonts w:hint="eastAsia" w:ascii="仿宋" w:hAnsi="仿宋" w:eastAsia="仿宋" w:cs="仿宋"/>
          <w:sz w:val="32"/>
          <w:szCs w:val="32"/>
        </w:rPr>
        <w:t>国有资本经营预算财政拨款收入支出决算表</w:t>
      </w:r>
    </w:p>
    <w:p>
      <w:pPr>
        <w:pStyle w:val="20"/>
        <w:adjustRightInd w:val="0"/>
        <w:snapToGrid w:val="0"/>
        <w:spacing w:line="640" w:lineRule="exact"/>
        <w:jc w:val="left"/>
      </w:pPr>
      <w:r>
        <w:rPr>
          <w:rFonts w:hint="eastAsia" w:ascii="仿宋" w:hAnsi="仿宋" w:eastAsia="仿宋" w:cs="仿宋"/>
          <w:sz w:val="32"/>
          <w:szCs w:val="32"/>
          <w:u w:val="thick" w:color="3AB0FF"/>
          <w:shd w:val="clear" w:color="auto" w:fill="D8EFFF"/>
        </w:rPr>
        <w:t>十四、</w:t>
      </w:r>
      <w:r>
        <w:rPr>
          <w:rFonts w:hint="eastAsia" w:ascii="仿宋" w:hAnsi="仿宋" w:eastAsia="仿宋" w:cs="仿宋"/>
          <w:sz w:val="32"/>
          <w:szCs w:val="32"/>
        </w:rPr>
        <w:t>国有资本经营预算财政拨款支出决算表</w:t>
      </w:r>
    </w:p>
    <w:sectPr>
      <w:footerReference r:id="rId9" w:type="first"/>
      <w:headerReference r:id="rId7" w:type="default"/>
      <w:footerReference r:id="rId8" w:type="default"/>
      <w:pgSz w:w="11906" w:h="16838"/>
      <w:pgMar w:top="1440" w:right="1800" w:bottom="1440" w:left="1800" w:header="851" w:footer="992" w:gutter="0"/>
      <w:cols w:space="425"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3-02-22T15:02:00Z" w:initials="A">
    <w:p w14:paraId="603E620E">
      <w:r>
        <w:t xml:space="preserve">检测时间：2023-02-22 15:02:45 </w:t>
      </w:r>
    </w:p>
    <w:p w14:paraId="58B10FF4">
      <w:r>
        <w:t xml:space="preserve">错误词：） </w:t>
      </w:r>
    </w:p>
    <w:p w14:paraId="13A932CE">
      <w:r>
        <w:t>建议词：[]</w:t>
      </w:r>
    </w:p>
    <w:p w14:paraId="411B3EF8">
      <w:r>
        <w:t>错误类型：标点符号差错</w:t>
      </w:r>
    </w:p>
    <w:p w14:paraId="13692570">
      <w:r>
        <w:t xml:space="preserve">可信度：疑错 </w:t>
      </w:r>
    </w:p>
    <w:p w14:paraId="08532703">
      <w:r>
        <w:t>处理建议：重点检查</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853270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18</w:t>
                </w:r>
                <w:r>
                  <w:fldChar w:fldCharType="end"/>
                </w:r>
              </w:p>
            </w:txbxContent>
          </v:textbox>
        </v:shape>
      </w:pict>
    </w:r>
  </w:p>
  <w:p>
    <w:pPr>
      <w:pStyle w:val="1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7" o:spid="_x0000_s409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shape>
      </w:pict>
    </w:r>
  </w:p>
  <w:p>
    <w:pPr>
      <w:pStyle w:val="1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6ED3"/>
    <w:multiLevelType w:val="multilevel"/>
    <w:tmpl w:val="07336ED3"/>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0F667CA"/>
    <w:multiLevelType w:val="singleLevel"/>
    <w:tmpl w:val="10F667CA"/>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39AB20DC"/>
    <w:multiLevelType w:val="singleLevel"/>
    <w:tmpl w:val="39AB20DC"/>
    <w:lvl w:ilvl="0" w:tentative="0">
      <w:start w:val="9"/>
      <w:numFmt w:val="chineseCounting"/>
      <w:suff w:val="nothing"/>
      <w:lvlText w:val="%1、"/>
      <w:lvlJc w:val="left"/>
      <w:rPr>
        <w:rFonts w:hint="eastAsia"/>
      </w:rPr>
    </w:lvl>
  </w:abstractNum>
  <w:abstractNum w:abstractNumId="3">
    <w:nsid w:val="413C4A1C"/>
    <w:multiLevelType w:val="singleLevel"/>
    <w:tmpl w:val="413C4A1C"/>
    <w:lvl w:ilvl="0" w:tentative="0">
      <w:start w:val="5"/>
      <w:numFmt w:val="chineseCounting"/>
      <w:suff w:val="nothing"/>
      <w:lvlText w:val="%1、"/>
      <w:lvlJc w:val="left"/>
      <w:rPr>
        <w:rFonts w:hint="eastAsia"/>
      </w:rPr>
    </w:lvl>
  </w:abstractNum>
  <w:abstractNum w:abstractNumId="4">
    <w:nsid w:val="54797E79"/>
    <w:multiLevelType w:val="singleLevel"/>
    <w:tmpl w:val="54797E79"/>
    <w:lvl w:ilvl="0" w:tentative="0">
      <w:start w:val="1"/>
      <w:numFmt w:val="chineseCounting"/>
      <w:suff w:val="nothing"/>
      <w:lvlText w:val="%1、"/>
      <w:lvlJc w:val="left"/>
      <w:rPr>
        <w:rFonts w:hint="eastAsia"/>
      </w:rPr>
    </w:lvl>
  </w:abstractNum>
  <w:abstractNum w:abstractNumId="5">
    <w:nsid w:val="738057B8"/>
    <w:multiLevelType w:val="singleLevel"/>
    <w:tmpl w:val="738057B8"/>
    <w:lvl w:ilvl="0" w:tentative="0">
      <w:start w:val="1"/>
      <w:numFmt w:val="chineseCounting"/>
      <w:suff w:val="nothing"/>
      <w:lvlText w:val="（%1）"/>
      <w:lvlJc w:val="left"/>
      <w:rPr>
        <w:rFonts w:hint="eastAsia"/>
      </w:r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dit="trackedChanges"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Q3YmU1NWUyYmU0MDMwMzIxNGI4YzBjZjFhMGZmZTcifQ=="/>
  </w:docVars>
  <w:rsids>
    <w:rsidRoot w:val="0085600F"/>
    <w:rsid w:val="001E20D0"/>
    <w:rsid w:val="00406AEF"/>
    <w:rsid w:val="00590D81"/>
    <w:rsid w:val="00844278"/>
    <w:rsid w:val="0085600F"/>
    <w:rsid w:val="00B4507C"/>
    <w:rsid w:val="00BB3415"/>
    <w:rsid w:val="00CB328D"/>
    <w:rsid w:val="00CB39AF"/>
    <w:rsid w:val="00E8799B"/>
    <w:rsid w:val="00FD1F7A"/>
    <w:rsid w:val="2615363E"/>
    <w:rsid w:val="7CE20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w:basedOn w:val="1"/>
    <w:qFormat/>
    <w:uiPriority w:val="99"/>
    <w:pPr>
      <w:spacing w:beforeLines="30"/>
    </w:pPr>
    <w:rPr>
      <w:rFonts w:ascii="仿宋_GB2312" w:eastAsia="仿宋_GB2312"/>
      <w:kern w:val="0"/>
      <w:sz w:val="30"/>
    </w:rPr>
  </w:style>
  <w:style w:type="paragraph" w:styleId="4">
    <w:name w:val="Balloon Text"/>
    <w:basedOn w:val="1"/>
    <w:semiHidden/>
    <w:unhideWhenUsed/>
    <w:qFormat/>
    <w:uiPriority w:val="99"/>
    <w:rPr>
      <w:sz w:val="18"/>
      <w:szCs w:val="18"/>
    </w:rPr>
  </w:style>
  <w:style w:type="paragraph" w:styleId="5">
    <w:name w:val="footer"/>
    <w:basedOn w:val="1"/>
    <w:link w:val="47"/>
    <w:qFormat/>
    <w:uiPriority w:val="99"/>
    <w:pPr>
      <w:tabs>
        <w:tab w:val="center" w:pos="4153"/>
        <w:tab w:val="right" w:pos="8306"/>
      </w:tabs>
      <w:snapToGrid w:val="0"/>
      <w:jc w:val="left"/>
    </w:pPr>
    <w:rPr>
      <w:sz w:val="18"/>
      <w:szCs w:val="18"/>
    </w:rPr>
  </w:style>
  <w:style w:type="paragraph" w:styleId="6">
    <w:name w:val="header"/>
    <w:basedOn w:val="1"/>
    <w:link w:val="46"/>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0">
    <w:name w:val="Strong"/>
    <w:basedOn w:val="9"/>
    <w:qFormat/>
    <w:uiPriority w:val="99"/>
    <w:rPr>
      <w:b/>
    </w:rPr>
  </w:style>
  <w:style w:type="character" w:styleId="11">
    <w:name w:val="Hyperlink"/>
    <w:basedOn w:val="9"/>
    <w:unhideWhenUsed/>
    <w:qFormat/>
    <w:uiPriority w:val="99"/>
    <w:rPr>
      <w:color w:val="0000FF" w:themeColor="hyperlink"/>
      <w:u w:val="single"/>
    </w:rPr>
  </w:style>
  <w:style w:type="character" w:styleId="12">
    <w:name w:val="annotation reference"/>
    <w:basedOn w:val="9"/>
    <w:semiHidden/>
    <w:unhideWhenUsed/>
    <w:uiPriority w:val="99"/>
    <w:rPr>
      <w:sz w:val="21"/>
      <w:szCs w:val="21"/>
    </w:rPr>
  </w:style>
  <w:style w:type="paragraph" w:customStyle="1" w:styleId="13">
    <w:name w:val="标题 11"/>
    <w:basedOn w:val="1"/>
    <w:next w:val="1"/>
    <w:link w:val="30"/>
    <w:qFormat/>
    <w:uiPriority w:val="9"/>
    <w:pPr>
      <w:keepNext/>
      <w:keepLines/>
      <w:spacing w:before="340" w:after="330" w:line="578" w:lineRule="auto"/>
      <w:outlineLvl w:val="0"/>
    </w:pPr>
    <w:rPr>
      <w:b/>
      <w:bCs/>
      <w:kern w:val="44"/>
      <w:sz w:val="44"/>
      <w:szCs w:val="44"/>
    </w:rPr>
  </w:style>
  <w:style w:type="paragraph" w:customStyle="1" w:styleId="14">
    <w:name w:val="标题 21"/>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customStyle="1" w:styleId="15">
    <w:name w:val="标题 31"/>
    <w:basedOn w:val="1"/>
    <w:next w:val="1"/>
    <w:link w:val="34"/>
    <w:unhideWhenUsed/>
    <w:qFormat/>
    <w:uiPriority w:val="9"/>
    <w:pPr>
      <w:keepNext/>
      <w:keepLines/>
      <w:spacing w:before="260" w:after="260" w:line="416" w:lineRule="auto"/>
      <w:outlineLvl w:val="2"/>
    </w:pPr>
    <w:rPr>
      <w:b/>
      <w:bCs/>
      <w:sz w:val="32"/>
      <w:szCs w:val="32"/>
    </w:rPr>
  </w:style>
  <w:style w:type="paragraph" w:customStyle="1" w:styleId="16">
    <w:name w:val="TOC 31"/>
    <w:basedOn w:val="1"/>
    <w:next w:val="1"/>
    <w:unhideWhenUsed/>
    <w:qFormat/>
    <w:uiPriority w:val="39"/>
    <w:pPr>
      <w:tabs>
        <w:tab w:val="right" w:leader="dot" w:pos="8296"/>
      </w:tabs>
      <w:ind w:left="840" w:leftChars="400"/>
    </w:pPr>
  </w:style>
  <w:style w:type="paragraph" w:customStyle="1" w:styleId="17">
    <w:name w:val="页脚1"/>
    <w:basedOn w:val="1"/>
    <w:qFormat/>
    <w:uiPriority w:val="99"/>
    <w:pPr>
      <w:tabs>
        <w:tab w:val="center" w:pos="4153"/>
        <w:tab w:val="right" w:pos="8306"/>
      </w:tabs>
      <w:snapToGrid w:val="0"/>
      <w:jc w:val="left"/>
    </w:pPr>
    <w:rPr>
      <w:rFonts w:ascii="Calibri" w:hAnsi="Calibri"/>
      <w:kern w:val="0"/>
      <w:sz w:val="18"/>
      <w:szCs w:val="18"/>
    </w:rPr>
  </w:style>
  <w:style w:type="paragraph" w:customStyle="1" w:styleId="18">
    <w:name w:val="页眉1"/>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19">
    <w:name w:val="TOC 1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20">
    <w:name w:val="TOC 21"/>
    <w:basedOn w:val="1"/>
    <w:next w:val="1"/>
    <w:unhideWhenUsed/>
    <w:qFormat/>
    <w:uiPriority w:val="39"/>
    <w:pPr>
      <w:tabs>
        <w:tab w:val="right" w:leader="dot" w:pos="8296"/>
      </w:tabs>
      <w:ind w:left="420" w:leftChars="200"/>
    </w:pPr>
  </w:style>
  <w:style w:type="character" w:customStyle="1" w:styleId="21">
    <w:name w:val="页码1"/>
    <w:basedOn w:val="9"/>
    <w:qFormat/>
    <w:uiPriority w:val="0"/>
  </w:style>
  <w:style w:type="character" w:customStyle="1" w:styleId="22">
    <w:name w:val="Header Char"/>
    <w:basedOn w:val="9"/>
    <w:semiHidden/>
    <w:qFormat/>
    <w:uiPriority w:val="99"/>
    <w:rPr>
      <w:rFonts w:ascii="Times New Roman" w:hAnsi="Times New Roman"/>
      <w:sz w:val="18"/>
      <w:szCs w:val="18"/>
    </w:rPr>
  </w:style>
  <w:style w:type="character" w:customStyle="1" w:styleId="23">
    <w:name w:val="页眉 Char"/>
    <w:semiHidden/>
    <w:qFormat/>
    <w:locked/>
    <w:uiPriority w:val="99"/>
    <w:rPr>
      <w:sz w:val="18"/>
    </w:rPr>
  </w:style>
  <w:style w:type="character" w:customStyle="1" w:styleId="24">
    <w:name w:val="Footer Char"/>
    <w:basedOn w:val="9"/>
    <w:semiHidden/>
    <w:qFormat/>
    <w:uiPriority w:val="99"/>
    <w:rPr>
      <w:rFonts w:ascii="Times New Roman" w:hAnsi="Times New Roman"/>
      <w:sz w:val="18"/>
      <w:szCs w:val="18"/>
    </w:rPr>
  </w:style>
  <w:style w:type="character" w:customStyle="1" w:styleId="25">
    <w:name w:val="页脚 Char"/>
    <w:qFormat/>
    <w:locked/>
    <w:uiPriority w:val="99"/>
    <w:rPr>
      <w:sz w:val="18"/>
    </w:rPr>
  </w:style>
  <w:style w:type="character" w:customStyle="1" w:styleId="26">
    <w:name w:val="Body Text Char"/>
    <w:basedOn w:val="9"/>
    <w:semiHidden/>
    <w:qFormat/>
    <w:uiPriority w:val="99"/>
    <w:rPr>
      <w:rFonts w:ascii="Times New Roman" w:hAnsi="Times New Roman"/>
      <w:szCs w:val="24"/>
    </w:rPr>
  </w:style>
  <w:style w:type="character" w:customStyle="1" w:styleId="27">
    <w:name w:val="正文文本 Char"/>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9"/>
    <w:link w:val="13"/>
    <w:qFormat/>
    <w:uiPriority w:val="9"/>
    <w:rPr>
      <w:rFonts w:ascii="Times New Roman" w:hAnsi="Times New Roman"/>
      <w:b/>
      <w:bCs/>
      <w:kern w:val="44"/>
      <w:sz w:val="44"/>
      <w:szCs w:val="44"/>
    </w:rPr>
  </w:style>
  <w:style w:type="character" w:customStyle="1" w:styleId="31">
    <w:name w:val="标题 2 Char"/>
    <w:basedOn w:val="9"/>
    <w:link w:val="14"/>
    <w:qFormat/>
    <w:uiPriority w:val="9"/>
    <w:rPr>
      <w:rFonts w:asciiTheme="majorHAnsi" w:hAnsiTheme="majorHAnsi" w:eastAsiaTheme="majorEastAsia" w:cstheme="majorBidi"/>
      <w:b/>
      <w:bCs/>
      <w:kern w:val="2"/>
      <w:sz w:val="32"/>
      <w:szCs w:val="32"/>
    </w:rPr>
  </w:style>
  <w:style w:type="paragraph" w:customStyle="1" w:styleId="32">
    <w:name w:val="TOC 标题1"/>
    <w:basedOn w:val="1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批注框文本 Char"/>
    <w:basedOn w:val="9"/>
    <w:semiHidden/>
    <w:qFormat/>
    <w:uiPriority w:val="99"/>
    <w:rPr>
      <w:rFonts w:ascii="Times New Roman" w:hAnsi="Times New Roman"/>
      <w:kern w:val="2"/>
      <w:sz w:val="18"/>
      <w:szCs w:val="18"/>
    </w:rPr>
  </w:style>
  <w:style w:type="character" w:customStyle="1" w:styleId="34">
    <w:name w:val="标题 3 Char"/>
    <w:basedOn w:val="9"/>
    <w:link w:val="15"/>
    <w:qFormat/>
    <w:uiPriority w:val="9"/>
    <w:rPr>
      <w:rFonts w:ascii="Times New Roman" w:hAnsi="Times New Roman"/>
      <w:b/>
      <w:bCs/>
      <w:kern w:val="2"/>
      <w:sz w:val="32"/>
      <w:szCs w:val="32"/>
    </w:rPr>
  </w:style>
  <w:style w:type="paragraph" w:customStyle="1" w:styleId="35">
    <w:name w:val="TOC 标题2"/>
    <w:basedOn w:val="1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6">
    <w:name w:val="font21"/>
    <w:basedOn w:val="9"/>
    <w:qFormat/>
    <w:uiPriority w:val="0"/>
    <w:rPr>
      <w:rFonts w:hint="eastAsia" w:ascii="宋体" w:hAnsi="宋体" w:eastAsia="宋体" w:cs="宋体"/>
      <w:color w:val="000000"/>
      <w:sz w:val="20"/>
      <w:szCs w:val="20"/>
      <w:u w:val="none"/>
    </w:rPr>
  </w:style>
  <w:style w:type="paragraph" w:customStyle="1" w:styleId="37">
    <w:name w:val="四号正文"/>
    <w:basedOn w:val="1"/>
    <w:qFormat/>
    <w:uiPriority w:val="0"/>
    <w:pPr>
      <w:spacing w:line="360" w:lineRule="auto"/>
    </w:pPr>
    <w:rPr>
      <w:rFonts w:ascii="??" w:hAnsi="??" w:cs="宋体"/>
      <w:color w:val="000000"/>
      <w:kern w:val="0"/>
      <w:sz w:val="28"/>
      <w:szCs w:val="21"/>
    </w:rPr>
  </w:style>
  <w:style w:type="character" w:customStyle="1" w:styleId="38">
    <w:name w:val="font31"/>
    <w:basedOn w:val="9"/>
    <w:qFormat/>
    <w:uiPriority w:val="0"/>
    <w:rPr>
      <w:rFonts w:hint="eastAsia" w:ascii="宋体" w:hAnsi="宋体" w:eastAsia="宋体" w:cs="宋体"/>
      <w:color w:val="000000"/>
      <w:sz w:val="20"/>
      <w:szCs w:val="20"/>
      <w:u w:val="none"/>
    </w:rPr>
  </w:style>
  <w:style w:type="paragraph" w:customStyle="1" w:styleId="39">
    <w:name w:val="WPSOffice手动目录 1"/>
    <w:qFormat/>
    <w:uiPriority w:val="0"/>
    <w:rPr>
      <w:rFonts w:ascii="Times New Roman" w:hAnsi="Times New Roman" w:eastAsia="宋体" w:cs="Times New Roman"/>
      <w:lang w:val="en-US" w:eastAsia="zh-CN" w:bidi="ar-SA"/>
    </w:rPr>
  </w:style>
  <w:style w:type="paragraph" w:customStyle="1" w:styleId="4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1">
    <w:name w:val="批注文字 Char"/>
    <w:basedOn w:val="9"/>
    <w:semiHidden/>
    <w:uiPriority w:val="99"/>
    <w:rPr>
      <w:kern w:val="2"/>
      <w:sz w:val="21"/>
      <w:szCs w:val="24"/>
    </w:rPr>
  </w:style>
  <w:style w:type="paragraph" w:customStyle="1" w:styleId="42">
    <w:name w:val="Header0"/>
    <w:basedOn w:val="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43">
    <w:name w:val="页眉 Char1"/>
    <w:basedOn w:val="9"/>
    <w:semiHidden/>
    <w:uiPriority w:val="99"/>
    <w:rPr>
      <w:kern w:val="2"/>
      <w:sz w:val="18"/>
      <w:szCs w:val="18"/>
    </w:rPr>
  </w:style>
  <w:style w:type="paragraph" w:customStyle="1" w:styleId="44">
    <w:name w:val="Footer0"/>
    <w:basedOn w:val="1"/>
    <w:qFormat/>
    <w:uiPriority w:val="99"/>
    <w:pPr>
      <w:tabs>
        <w:tab w:val="center" w:pos="4153"/>
        <w:tab w:val="right" w:pos="8306"/>
      </w:tabs>
      <w:snapToGrid w:val="0"/>
      <w:jc w:val="left"/>
    </w:pPr>
    <w:rPr>
      <w:sz w:val="18"/>
      <w:szCs w:val="18"/>
    </w:rPr>
  </w:style>
  <w:style w:type="character" w:customStyle="1" w:styleId="45">
    <w:name w:val="页脚 Char1"/>
    <w:basedOn w:val="9"/>
    <w:uiPriority w:val="99"/>
    <w:rPr>
      <w:kern w:val="2"/>
      <w:sz w:val="18"/>
      <w:szCs w:val="18"/>
    </w:rPr>
  </w:style>
  <w:style w:type="character" w:customStyle="1" w:styleId="46">
    <w:name w:val="页眉 字符"/>
    <w:basedOn w:val="9"/>
    <w:link w:val="6"/>
    <w:semiHidden/>
    <w:uiPriority w:val="99"/>
    <w:rPr>
      <w:kern w:val="2"/>
      <w:sz w:val="18"/>
      <w:szCs w:val="18"/>
    </w:rPr>
  </w:style>
  <w:style w:type="character" w:customStyle="1" w:styleId="47">
    <w:name w:val="页脚 字符"/>
    <w:basedOn w:val="9"/>
    <w:link w:val="5"/>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2" Type="http://schemas.microsoft.com/office/2011/relationships/people" Target="people.xml"/><Relationship Id="rId31" Type="http://schemas.openxmlformats.org/officeDocument/2006/relationships/fontTable" Target="fontTable.xml"/><Relationship Id="rId30" Type="http://schemas.openxmlformats.org/officeDocument/2006/relationships/customXml" Target="../customXml/item13.xml"/><Relationship Id="rId3" Type="http://schemas.openxmlformats.org/officeDocument/2006/relationships/comments" Target="comments.xml"/><Relationship Id="rId29" Type="http://schemas.openxmlformats.org/officeDocument/2006/relationships/customXml" Target="../customXml/item12.xml"/><Relationship Id="rId28" Type="http://schemas.openxmlformats.org/officeDocument/2006/relationships/customXml" Target="../customXml/item11.xml"/><Relationship Id="rId27" Type="http://schemas.openxmlformats.org/officeDocument/2006/relationships/customXml" Target="../customXml/item10.xml"/><Relationship Id="rId26" Type="http://schemas.openxmlformats.org/officeDocument/2006/relationships/customXml" Target="../customXml/item9.xml"/><Relationship Id="rId25" Type="http://schemas.openxmlformats.org/officeDocument/2006/relationships/customXml" Target="../customXml/item8.xml"/><Relationship Id="rId24" Type="http://schemas.openxmlformats.org/officeDocument/2006/relationships/customXml" Target="../customXml/item7.xml"/><Relationship Id="rId23" Type="http://schemas.openxmlformats.org/officeDocument/2006/relationships/customXml" Target="../customXml/item6.xml"/><Relationship Id="rId22" Type="http://schemas.openxmlformats.org/officeDocument/2006/relationships/customXml" Target="../customXml/item5.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lang="zh-CN" altLang="en-US"/>
              <a:t>年、</a:t>
            </a:r>
            <a:r>
              <a:rPr lang="en-US" altLang="zh-CN"/>
              <a:t>2020</a:t>
            </a:r>
            <a:r>
              <a:rPr lang="zh-CN" altLang="en-US"/>
              <a:t>年收、支决算变动情况图</a:t>
            </a:r>
            <a:endParaRPr lang="zh-CN" altLang="en-US"/>
          </a:p>
        </c:rich>
      </c:tx>
      <c:layout/>
      <c:overlay val="0"/>
      <c:spPr>
        <a:noFill/>
        <a:ln>
          <a:noFill/>
        </a:ln>
        <a:effectLst/>
      </c:spPr>
    </c:title>
    <c:autoTitleDeleted val="0"/>
    <c:plotArea>
      <c:layout>
        <c:manualLayout>
          <c:layoutTarget val="inner"/>
          <c:xMode val="edge"/>
          <c:yMode val="edge"/>
          <c:x val="0.0805750000000001"/>
          <c:y val="0.1275"/>
          <c:w val="0.8938"/>
          <c:h val="0.716066666666667"/>
        </c:manualLayout>
      </c:layout>
      <c:barChart>
        <c:barDir val="col"/>
        <c:grouping val="clustered"/>
        <c:varyColors val="0"/>
        <c:ser>
          <c:idx val="0"/>
          <c:order val="0"/>
          <c:tx>
            <c:strRef>
              <c:f>Sheet1!$B$1</c:f>
              <c:strCache>
                <c:ptCount val="1"/>
                <c:pt idx="0">
                  <c:v>2021年收支决算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Sheet1!$B$2</c:f>
              <c:numCache>
                <c:formatCode>General</c:formatCode>
                <c:ptCount val="1"/>
                <c:pt idx="0">
                  <c:v>792.46</c:v>
                </c:pt>
              </c:numCache>
            </c:numRef>
          </c:val>
          <c:extLst>
            <c:ext xmlns:c15="http://schemas.microsoft.com/office/drawing/2012/chart" uri="{02D57815-91ED-43cb-92C2-25804820EDAC}">
              <c15:filteredCategoryTitle>
                <c15:cat>
                  <c:strRef>
                    <c:extLst>
                      <c:ext uri="{02D57815-91ED-43cb-92C2-25804820EDAC}">
                        <c15:formulaRef>
                          <c15:sqref>Sheet1!$A$2</c15:sqref>
                        </c15:formulaRef>
                      </c:ext>
                    </c:extLst>
                    <c:strCache>
                      <c:ptCount val="1"/>
                      <c:pt idx="0">
                        <c:v>类别 1</c:v>
                      </c:pt>
                    </c:strCache>
                  </c:strRef>
                </c15:cat>
              </c15:filteredCategoryTitle>
            </c:ext>
          </c:extLst>
        </c:ser>
        <c:ser>
          <c:idx val="1"/>
          <c:order val="1"/>
          <c:tx>
            <c:strRef>
              <c:f>Sheet1!$C$1</c:f>
              <c:strCache>
                <c:ptCount val="1"/>
                <c:pt idx="0">
                  <c:v>2020年收支决算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Sheet1!$C$2</c:f>
              <c:numCache>
                <c:formatCode>General</c:formatCode>
                <c:ptCount val="1"/>
                <c:pt idx="0">
                  <c:v>817.06</c:v>
                </c:pt>
              </c:numCache>
            </c:numRef>
          </c:val>
          <c:extLst>
            <c:ext xmlns:c15="http://schemas.microsoft.com/office/drawing/2012/chart" uri="{02D57815-91ED-43cb-92C2-25804820EDAC}">
              <c15:filteredCategoryTitle>
                <c15:cat>
                  <c:strRef>
                    <c:extLst>
                      <c:ext uri="{02D57815-91ED-43cb-92C2-25804820EDAC}">
                        <c15:formulaRef>
                          <c15:sqref>Sheet1!$A$2</c15:sqref>
                        </c15:formulaRef>
                      </c:ext>
                    </c:extLst>
                    <c:strCache>
                      <c:ptCount val="1"/>
                      <c:pt idx="0">
                        <c:v>类别 1</c:v>
                      </c:pt>
                    </c:strCache>
                  </c:strRef>
                </c15:cat>
              </c15:filteredCategoryTitle>
            </c:ext>
          </c:extLst>
        </c:ser>
        <c:dLbls>
          <c:showLegendKey val="0"/>
          <c:showVal val="0"/>
          <c:showCatName val="0"/>
          <c:showSerName val="0"/>
          <c:showPercent val="0"/>
          <c:showBubbleSize val="0"/>
        </c:dLbls>
        <c:gapWidth val="219"/>
        <c:overlap val="-27"/>
        <c:axId val="202476928"/>
        <c:axId val="204674176"/>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val>
                  <c:numRef>
                    <c:extLst>
                      <c:ext uri="{02D57815-91ED-43cb-92C2-25804820EDAC}">
                        <c15:formulaRef>
                          <c15:sqref>Sheet1!#REF!</c15:sqref>
                        </c15:formulaRef>
                      </c:ext>
                    </c:extLst>
                    <c:numCache>
                      <c:formatCode>General</c:formatCode>
                      <c:ptCount val="1"/>
                      <c:pt idx="0">
                        <c:v>1</c:v>
                      </c:pt>
                    </c:numCache>
                  </c:numRef>
                </c:val>
                <c:extLst>
                  <c:ext xmlns:c15="http://schemas.microsoft.com/office/drawing/2012/chart" uri="{02D57815-91ED-43cb-92C2-25804820EDAC}">
                    <c15:filteredCategoryTitle>
                      <c15:cat>
                        <c:strRef>
                          <c:extLst>
                            <c:ext uri="{02D57815-91ED-43cb-92C2-25804820EDAC}">
                              <c15:formulaRef>
                                <c15:sqref>Sheet1!$A$2</c15:sqref>
                              </c15:formulaRef>
                            </c:ext>
                          </c:extLst>
                          <c:strCache>
                            <c:ptCount val="1"/>
                            <c:pt idx="0">
                              <c:v>类别 1</c:v>
                            </c:pt>
                          </c:strCache>
                        </c:strRef>
                      </c15:cat>
                    </c15:filteredCategoryTitle>
                  </c:ext>
                </c:extLst>
              </c15:ser>
            </c15:filteredBarSeries>
          </c:ext>
        </c:extLst>
      </c:barChart>
      <c:catAx>
        <c:axId val="2024769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4674176"/>
        <c:crosses val="autoZero"/>
        <c:auto val="1"/>
        <c:lblAlgn val="ctr"/>
        <c:lblOffset val="100"/>
        <c:noMultiLvlLbl val="0"/>
      </c:catAx>
      <c:valAx>
        <c:axId val="2046741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2476928"/>
        <c:crosses val="autoZero"/>
        <c:crossBetween val="between"/>
      </c:valAx>
      <c:spPr>
        <a:noFill/>
        <a:ln>
          <a:noFill/>
        </a:ln>
        <a:effectLst/>
      </c:spPr>
    </c:plotArea>
    <c:legend>
      <c:legendPos val="b"/>
      <c:layout>
        <c:manualLayout>
          <c:xMode val="edge"/>
          <c:yMode val="edge"/>
          <c:x val="0.266125"/>
          <c:y val="0.924166666666667"/>
          <c:w val="0.551375"/>
          <c:h val="0.055833333333333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rPr lang="en-US" altLang="zh-CN"/>
              <a:t>2021</a:t>
            </a:r>
            <a:r>
              <a:rPr lang="zh-CN" altLang="en-US"/>
              <a:t>年收入决算结构图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2021年收入决算结构图</c:v>
                </c:pt>
              </c:strCache>
            </c:strRef>
          </c:tx>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r>
                      <a:rPr lang="en-US" altLang="zh-CN" sz="1200"/>
                      <a:t>100%</a:t>
                    </a:r>
                    <a:endParaRPr lang="en-US" altLang="zh-CN" sz="1200"/>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1"/>
                <c:pt idx="0">
                  <c:v>一般公共预算财政拨款收入</c:v>
                </c:pt>
              </c:strCache>
            </c:strRef>
          </c:cat>
          <c:val>
            <c:numRef>
              <c:f>Sheet1!$B$2:$B$9</c:f>
              <c:numCache>
                <c:formatCode>General</c:formatCode>
                <c:ptCount val="1"/>
                <c:pt idx="0">
                  <c:v>1704.78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rPr lang="en-US" altLang="zh-CN"/>
              <a:t>2021</a:t>
            </a:r>
            <a:r>
              <a:rPr lang="zh-CN" altLang="en-US"/>
              <a:t>年支出决算结构图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2021年收入决算结构图</c:v>
                </c:pt>
              </c:strCache>
            </c:strRef>
          </c:tx>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dPt>
          <c:dPt>
            <c:idx val="4"/>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r>
                      <a:rPr lang="en-US" altLang="zh-CN" sz="1200"/>
                      <a:t>89.56%</a:t>
                    </a:r>
                    <a:endParaRPr lang="en-US" altLang="zh-CN" sz="1200"/>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0.0429741339449583"/>
                  <c:y val="0.132212046561673"/>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r>
                      <a:rPr lang="en-US" altLang="zh-CN" sz="1200"/>
                      <a:t>10.44%</a:t>
                    </a:r>
                    <a:endParaRPr lang="en-US" altLang="zh-CN" sz="1200"/>
                  </a:p>
                </c:rich>
              </c:tx>
              <c:dLblPos val="bestFit"/>
              <c:showLegendKey val="0"/>
              <c:showVal val="1"/>
              <c:showCatName val="0"/>
              <c:showSerName val="0"/>
              <c:showPercent val="0"/>
              <c:showBubbleSize val="0"/>
              <c:extLst>
                <c:ext xmlns:c15="http://schemas.microsoft.com/office/drawing/2012/chart" uri="{CE6537A1-D6FC-4f65-9D91-7224C49458BB}">
                  <c15:layout>
                    <c:manualLayout>
                      <c:w val="0.118474374255066"/>
                      <c:h val="0.0731509625126646"/>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709.69</c:v>
                </c:pt>
                <c:pt idx="1">
                  <c:v>82.77</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财政拨款收、支决算总计变动情况</a:t>
            </a:r>
            <a:endParaRPr lang="zh-CN" altLang="en-US"/>
          </a:p>
        </c:rich>
      </c:tx>
      <c:layout>
        <c:manualLayout>
          <c:xMode val="edge"/>
          <c:yMode val="edge"/>
          <c:x val="0.16325"/>
          <c:y val="0.037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2021年财政拨款收、支决算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Sheet1!$B$2</c:f>
              <c:numCache>
                <c:formatCode>General</c:formatCode>
                <c:ptCount val="1"/>
                <c:pt idx="0">
                  <c:v>792.46</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Lst>
        </c:ser>
        <c:ser>
          <c:idx val="1"/>
          <c:order val="1"/>
          <c:tx>
            <c:strRef>
              <c:f>Sheet1!$C$1</c:f>
              <c:strCache>
                <c:ptCount val="1"/>
                <c:pt idx="0">
                  <c:v>2020年财政拨款收、支决算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Sheet1!$C$2</c:f>
              <c:numCache>
                <c:formatCode>General</c:formatCode>
                <c:ptCount val="1"/>
                <c:pt idx="0">
                  <c:v>817.06</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Lst>
        </c:ser>
        <c:dLbls>
          <c:showLegendKey val="0"/>
          <c:showVal val="0"/>
          <c:showCatName val="0"/>
          <c:showSerName val="0"/>
          <c:showPercent val="0"/>
          <c:showBubbleSize val="0"/>
        </c:dLbls>
        <c:gapWidth val="219"/>
        <c:overlap val="-27"/>
        <c:axId val="198068480"/>
        <c:axId val="198103040"/>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val>
                  <c:numRef>
                    <c:extLst>
                      <c:ext uri="{02D57815-91ED-43cb-92C2-25804820EDAC}">
                        <c15:formulaRef>
                          <c15:sqref>Sheet1!#REF!</c15:sqref>
                        </c15:formulaRef>
                      </c:ext>
                    </c:extLst>
                    <c:numCache>
                      <c:formatCode>General</c:formatCode>
                      <c:ptCount val="1"/>
                      <c:pt idx="0">
                        <c:v>1</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Lst>
              </c15:ser>
            </c15:filteredBarSeries>
          </c:ext>
        </c:extLst>
      </c:barChart>
      <c:catAx>
        <c:axId val="19806848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8103040"/>
        <c:crosses val="autoZero"/>
        <c:auto val="1"/>
        <c:lblAlgn val="ctr"/>
        <c:lblOffset val="100"/>
        <c:noMultiLvlLbl val="0"/>
      </c:catAx>
      <c:valAx>
        <c:axId val="1981030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8068480"/>
        <c:crosses val="autoZero"/>
        <c:crossBetween val="between"/>
      </c:valAx>
      <c:spPr>
        <a:noFill/>
        <a:ln>
          <a:noFill/>
        </a:ln>
        <a:effectLst/>
      </c:spPr>
    </c:plotArea>
    <c:legend>
      <c:legendPos val="b"/>
      <c:layout>
        <c:manualLayout>
          <c:xMode val="edge"/>
          <c:yMode val="edge"/>
          <c:x val="0.266125"/>
          <c:y val="0.924166666666667"/>
          <c:w val="0.551375"/>
          <c:h val="0.055833333333333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一般公共预算财政拨款支出决算总计变动情况</a:t>
            </a:r>
            <a:endParaRPr lang="zh-CN" altLang="en-US"/>
          </a:p>
        </c:rich>
      </c:tx>
      <c:layout>
        <c:manualLayout>
          <c:xMode val="edge"/>
          <c:yMode val="edge"/>
          <c:x val="0.16325"/>
          <c:y val="0.0375"/>
        </c:manualLayout>
      </c:layout>
      <c:overlay val="0"/>
      <c:spPr>
        <a:noFill/>
        <a:ln>
          <a:noFill/>
        </a:ln>
        <a:effectLst/>
      </c:spPr>
    </c:title>
    <c:autoTitleDeleted val="0"/>
    <c:plotArea>
      <c:layout>
        <c:manualLayout>
          <c:layoutTarget val="inner"/>
          <c:xMode val="edge"/>
          <c:yMode val="edge"/>
          <c:x val="0.0787"/>
          <c:y val="0.117"/>
          <c:w val="0.8938"/>
          <c:h val="0.716566666666667"/>
        </c:manualLayout>
      </c:layout>
      <c:barChart>
        <c:barDir val="col"/>
        <c:grouping val="clustered"/>
        <c:varyColors val="0"/>
        <c:ser>
          <c:idx val="0"/>
          <c:order val="0"/>
          <c:tx>
            <c:strRef>
              <c:f>Sheet1!$B$1</c:f>
              <c:strCache>
                <c:ptCount val="1"/>
                <c:pt idx="0">
                  <c:v>2021年一般财政公共预算拨款支出决算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Sheet1!$B$2</c:f>
              <c:numCache>
                <c:formatCode>General</c:formatCode>
                <c:ptCount val="1"/>
                <c:pt idx="0">
                  <c:v>709.69</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Lst>
        </c:ser>
        <c:ser>
          <c:idx val="1"/>
          <c:order val="1"/>
          <c:tx>
            <c:strRef>
              <c:f>Sheet1!$C$1</c:f>
              <c:strCache>
                <c:ptCount val="1"/>
                <c:pt idx="0">
                  <c:v>2020年一般财政公共预算拨款支出决算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Sheet1!$C$2</c:f>
              <c:numCache>
                <c:formatCode>General</c:formatCode>
                <c:ptCount val="1"/>
                <c:pt idx="0">
                  <c:v>680.14</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Lst>
        </c:ser>
        <c:dLbls>
          <c:showLegendKey val="0"/>
          <c:showVal val="0"/>
          <c:showCatName val="0"/>
          <c:showSerName val="0"/>
          <c:showPercent val="0"/>
          <c:showBubbleSize val="0"/>
        </c:dLbls>
        <c:gapWidth val="219"/>
        <c:overlap val="-27"/>
        <c:axId val="202441856"/>
        <c:axId val="202443392"/>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val>
                  <c:numRef>
                    <c:extLst>
                      <c:ext uri="{02D57815-91ED-43cb-92C2-25804820EDAC}">
                        <c15:formulaRef>
                          <c15:sqref>Sheet1!#REF!</c15:sqref>
                        </c15:formulaRef>
                      </c:ext>
                    </c:extLst>
                    <c:numCache>
                      <c:formatCode>General</c:formatCode>
                      <c:ptCount val="1"/>
                      <c:pt idx="0">
                        <c:v>1</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Lst>
              </c15:ser>
            </c15:filteredBarSeries>
          </c:ext>
        </c:extLst>
      </c:barChart>
      <c:catAx>
        <c:axId val="20244185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2443392"/>
        <c:crosses val="autoZero"/>
        <c:auto val="1"/>
        <c:lblAlgn val="ctr"/>
        <c:lblOffset val="100"/>
        <c:noMultiLvlLbl val="0"/>
      </c:catAx>
      <c:valAx>
        <c:axId val="2024433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2441856"/>
        <c:crosses val="autoZero"/>
        <c:crossBetween val="between"/>
      </c:valAx>
      <c:spPr>
        <a:noFill/>
        <a:ln>
          <a:noFill/>
        </a:ln>
        <a:effectLst/>
      </c:spPr>
    </c:plotArea>
    <c:legend>
      <c:legendPos val="b"/>
      <c:layout>
        <c:manualLayout>
          <c:xMode val="edge"/>
          <c:yMode val="edge"/>
          <c:x val="0.266125"/>
          <c:y val="0.924166666666667"/>
          <c:w val="0.551375"/>
          <c:h val="0.055833333333333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一般公共预算财政拨款支出结构图</a:t>
            </a:r>
            <a:endParaRPr lang="zh-CN" altLang="en-US"/>
          </a:p>
        </c:rich>
      </c:tx>
      <c:layout>
        <c:manualLayout>
          <c:xMode val="edge"/>
          <c:yMode val="edge"/>
          <c:x val="0.232375"/>
          <c:y val="0.0187661486612994"/>
        </c:manualLayout>
      </c:layout>
      <c:overlay val="0"/>
      <c:spPr>
        <a:noFill/>
        <a:ln>
          <a:noFill/>
        </a:ln>
        <a:effectLst/>
      </c:spPr>
    </c:title>
    <c:autoTitleDeleted val="0"/>
    <c:plotArea>
      <c:layout>
        <c:manualLayout>
          <c:layoutTarget val="inner"/>
          <c:xMode val="edge"/>
          <c:yMode val="edge"/>
          <c:x val="0.2165625"/>
          <c:y val="0.127"/>
          <c:w val="0.570625000000001"/>
          <c:h val="0.760833333333334"/>
        </c:manualLayout>
      </c:layout>
      <c:pieChart>
        <c:varyColors val="1"/>
        <c:ser>
          <c:idx val="0"/>
          <c:order val="0"/>
          <c:tx>
            <c:strRef>
              <c:f>Sheet1!$B$1</c:f>
              <c:strCache>
                <c:ptCount val="1"/>
                <c:pt idx="0">
                  <c:v>金额（元）</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166257027241219"/>
                  <c:y val="-0.18073216701719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sz="1200"/>
                      <a:t>79.94%</a:t>
                    </a:r>
                    <a:endParaRPr lang="en-US" altLang="zh-CN" sz="1200"/>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912827842383552"/>
                  <c:y val="0.073426228605753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sz="1200"/>
                      <a:t>8.35%</a:t>
                    </a:r>
                    <a:endParaRPr lang="en-US" altLang="zh-CN" sz="1200"/>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46176617369947"/>
                  <c:y val="0.10664837187692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sz="1200"/>
                      <a:t>4.98%</a:t>
                    </a:r>
                    <a:endParaRPr lang="en-US" altLang="zh-CN" sz="1200"/>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delete val="1"/>
            </c:dLbl>
            <c:dLbl>
              <c:idx val="4"/>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sz="1200"/>
                      <a:t>6.28%</a:t>
                    </a:r>
                    <a:endParaRPr lang="en-US" altLang="zh-CN" sz="1200"/>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教育支出</c:v>
                </c:pt>
                <c:pt idx="1">
                  <c:v>社会保障和就业支出</c:v>
                </c:pt>
                <c:pt idx="2">
                  <c:v>卫生健康支出</c:v>
                </c:pt>
                <c:pt idx="3">
                  <c:v>农林水支出</c:v>
                </c:pt>
                <c:pt idx="4">
                  <c:v>住房保障支出</c:v>
                </c:pt>
              </c:strCache>
            </c:strRef>
          </c:cat>
          <c:val>
            <c:numRef>
              <c:f>Sheet1!$B$2:$B$6</c:f>
              <c:numCache>
                <c:formatCode>General</c:formatCode>
                <c:ptCount val="5"/>
                <c:pt idx="0">
                  <c:v>633.52</c:v>
                </c:pt>
                <c:pt idx="1">
                  <c:v>66.21</c:v>
                </c:pt>
                <c:pt idx="2">
                  <c:v>39.47</c:v>
                </c:pt>
                <c:pt idx="3">
                  <c:v>3.6</c:v>
                </c:pt>
                <c:pt idx="4">
                  <c:v>49.66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10.xml><?xml version="1.0" encoding="utf-8"?>
<Properties xmlns:vt="http://schemas.openxmlformats.org/officeDocument/2006/docPropsVTypes" xmlns="http://schemas.openxmlformats.org/officeDocument/2006/extended-properties">
  <Template>Normal</Template>
  <TotalTime>11</TotalTime>
  <Pages>22</Pages>
  <Words>1409</Words>
  <Characters>8032</Characters>
  <Application>Microsoft Office Word</Application>
  <DocSecurity>0</DocSecurity>
  <Lines>66</Lines>
  <Paragraphs>18</Paragraphs>
  <Company>四川省财政厅</Company>
  <CharactersWithSpaces>9423</CharactersWithSpaces>
  <AppVersion>12.0000</AppVersion>
</Properties>
</file>

<file path=customXml/item11.xml><?xml version="1.0" encoding="utf-8"?>
<Properties xmlns="http://schemas.openxmlformats.org/officeDocument/2006/extended-properties" xmlns:vt="http://schemas.openxmlformats.org/officeDocument/2006/docPropsVTypes">
  <Template>Normal</Template>
  <TotalTime>11</TotalTime>
  <Pages>22</Pages>
  <Words>1409</Words>
  <Characters>8032</Characters>
  <Application>Microsoft Office Word</Application>
  <DocSecurity>0</DocSecurity>
  <Lines>66</Lines>
  <Paragraphs>18</Paragraphs>
  <ScaleCrop>false</ScaleCrop>
  <Company>四川省财政厅</Company>
  <LinksUpToDate>false</LinksUpToDate>
  <CharactersWithSpaces>9423</CharactersWithSpaces>
  <SharedDoc>false</SharedDoc>
  <HyperlinksChanged>false</HyperlinksChanged>
  <AppVersion>12.0000</AppVersion>
</Properties>
</file>

<file path=customXml/item12.xml><?xml version="1.0" encoding="utf-8"?>
<Properties xmlns="http://schemas.openxmlformats.org/officeDocument/2006/extended-properties" xmlns:vt="http://schemas.openxmlformats.org/officeDocument/2006/docPropsVTypes">
  <Template>Normal.dotm</Template>
  <Company>四川省财政厅</Company>
  <Pages>26</Pages>
  <Words>8013</Words>
  <Characters>9151</Characters>
  <Lines>61</Lines>
  <Paragraphs>17</Paragraphs>
  <TotalTime>5</TotalTime>
  <ScaleCrop>false</ScaleCrop>
  <LinksUpToDate>false</LinksUpToDate>
  <CharactersWithSpaces>9258</CharactersWithSpaces>
  <Application>WPS Office_11.1.0.9208_F1E327BC-269C-435d-A152-05C5408002CA</Application>
  <DocSecurity>0</DocSecurity>
</Properties>
</file>

<file path=customXml/item13.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CB0130EB506143AE81E12242FEBED072</vt:lpwstr>
  </proper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44</cp:revision>
  <cp:lastPrinted>2022-08-06T02:23:00Z</cp:lastPrinted>
  <dcterms:created xsi:type="dcterms:W3CDTF">2020-08-05T01:49:00Z</dcterms:created>
  <dcterms:modified xsi:type="dcterms:W3CDTF">2023-02-22T07:03:00Z</dcterms:modified>
</cp:core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CB0130EB506143AE81E12242FEBED072</vt:lp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asd</cp:lastModifiedBy>
  <cp:lastPrinted>2022-08-06T02:23:00Z</cp:lastPrinted>
  <dcterms:modified xsi:type="dcterms:W3CDTF">2022-11-11T08:25:25Z</dcterms:modified>
  <dc:title>四川省***</dc:title>
  <cp:revision>32</cp:revision>
</cp:core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CB0130EB506143AE81E12242FEBED072</vt:lpwstr>
  </property>
</Properties>
</file>

<file path=customXml/item6.xml><?xml version="1.0" encoding="utf-8"?>
<Properties xmlns:vt="http://schemas.openxmlformats.org/officeDocument/2006/docPropsVTypes" xmlns="http://schemas.openxmlformats.org/officeDocument/2006/extended-properties">
  <Template>Normal.dotm</Template>
  <TotalTime>5</TotalTime>
  <Pages>26</Pages>
  <Words>8013</Words>
  <Characters>9151</Characters>
  <Application>WPS Office_11.1.0.9208_F1E327BC-269C-435d-A152-05C5408002CA</Application>
  <DocSecurity>0</DocSecurity>
  <Lines>61</Lines>
  <Paragraphs>17</Paragraphs>
  <Company>四川省财政厅</Company>
  <CharactersWithSpaces>9258</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asd</cp:lastModifiedBy>
  <cp:revision>32</cp:revision>
  <cp:lastPrinted>2022-08-06T02:23:00Z</cp:lastPrinted>
  <dcterms:created xsi:type="dcterms:W3CDTF">2020-08-05T01:49:00Z</dcterms:created>
  <dcterms:modified xsi:type="dcterms:W3CDTF">2022-11-11T08:25:25Z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44</cp:revision>
  <cp:lastPrinted>2022-08-06T02:23:00Z</cp:lastPrinted>
  <dcterms:created xsi:type="dcterms:W3CDTF">2020-08-05T01:49:00Z</dcterms:created>
  <dcterms:modified xsi:type="dcterms:W3CDTF">2023-02-22T07:03:00Z</dcterms:modified>
</cp:coreProperties>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CB0130EB506143AE81E12242FEBED072</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F62E4FA-06CD-4170-A17A-E590ACA20EBC}">
  <ds:schemaRefs/>
</ds:datastoreItem>
</file>

<file path=customXml/itemProps11.xml><?xml version="1.0" encoding="utf-8"?>
<ds:datastoreItem xmlns:ds="http://schemas.openxmlformats.org/officeDocument/2006/customXml" ds:itemID="{95A1FC0A-14FA-46F0-87B5-463E23DE864B}">
  <ds:schemaRefs/>
</ds:datastoreItem>
</file>

<file path=customXml/itemProps12.xml><?xml version="1.0" encoding="utf-8"?>
<ds:datastoreItem xmlns:ds="http://schemas.openxmlformats.org/officeDocument/2006/customXml" ds:itemID="{E3A989F8-AAFA-4E93-B26B-CB343105B9AD}">
  <ds:schemaRefs/>
</ds:datastoreItem>
</file>

<file path=customXml/itemProps13.xml><?xml version="1.0" encoding="utf-8"?>
<ds:datastoreItem xmlns:ds="http://schemas.openxmlformats.org/officeDocument/2006/customXml" ds:itemID="{753BD86C-5A69-4D0D-AA31-69637DB11D66}">
  <ds:schemaRefs/>
</ds:datastoreItem>
</file>

<file path=customXml/itemProps2.xml><?xml version="1.0" encoding="utf-8"?>
<ds:datastoreItem xmlns:ds="http://schemas.openxmlformats.org/officeDocument/2006/customXml" ds:itemID="{CE70F7BF-895D-4381-9AD7-438515236334}">
  <ds:schemaRefs/>
</ds:datastoreItem>
</file>

<file path=customXml/itemProps3.xml><?xml version="1.0" encoding="utf-8"?>
<ds:datastoreItem xmlns:ds="http://schemas.openxmlformats.org/officeDocument/2006/customXml" ds:itemID="{D8EB3F2A-DABB-440F-A034-1FC1ED1CE245}">
  <ds:schemaRefs/>
</ds:datastoreItem>
</file>

<file path=customXml/itemProps4.xml><?xml version="1.0" encoding="utf-8"?>
<ds:datastoreItem xmlns:ds="http://schemas.openxmlformats.org/officeDocument/2006/customXml" ds:itemID="{49B5F598-8BE8-468C-9C6B-CAB4E06BACBC}">
  <ds:schemaRefs/>
</ds:datastoreItem>
</file>

<file path=customXml/itemProps5.xml><?xml version="1.0" encoding="utf-8"?>
<ds:datastoreItem xmlns:ds="http://schemas.openxmlformats.org/officeDocument/2006/customXml" ds:itemID="{18D14A43-640A-406D-854C-F2EFFC713865}">
  <ds:schemaRefs/>
</ds:datastoreItem>
</file>

<file path=customXml/itemProps6.xml><?xml version="1.0" encoding="utf-8"?>
<ds:datastoreItem xmlns:ds="http://schemas.openxmlformats.org/officeDocument/2006/customXml" ds:itemID="{80235972-2A00-47D8-AE55-F59ECAFA815A}">
  <ds:schemaRefs/>
</ds:datastoreItem>
</file>

<file path=customXml/itemProps7.xml><?xml version="1.0" encoding="utf-8"?>
<ds:datastoreItem xmlns:ds="http://schemas.openxmlformats.org/officeDocument/2006/customXml" ds:itemID="{BB861880-6FD6-402F-B4D8-536B2BEA49DF}">
  <ds:schemaRefs/>
</ds:datastoreItem>
</file>

<file path=customXml/itemProps8.xml><?xml version="1.0" encoding="utf-8"?>
<ds:datastoreItem xmlns:ds="http://schemas.openxmlformats.org/officeDocument/2006/customXml" ds:itemID="{5B999980-5A90-41CD-B696-C04A0E743ECD}">
  <ds:schemaRefs/>
</ds:datastoreItem>
</file>

<file path=customXml/itemProps9.xml><?xml version="1.0" encoding="utf-8"?>
<ds:datastoreItem xmlns:ds="http://schemas.openxmlformats.org/officeDocument/2006/customXml" ds:itemID="{39FD0437-50C6-458A-B86F-695DE47BFE68}">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Pages>
  <Words>1408</Words>
  <Characters>8029</Characters>
  <Lines>66</Lines>
  <Paragraphs>18</Paragraphs>
  <TotalTime>47</TotalTime>
  <ScaleCrop>false</ScaleCrop>
  <LinksUpToDate>false</LinksUpToDate>
  <CharactersWithSpaces>9419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2022-08-06T02:23:00Z</cp:lastPrinted>
  <dcterms:modified xsi:type="dcterms:W3CDTF">2023-09-11T01:09:33Z</dcterms:modified>
  <dc:title>四川省***</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CB0130EB506143AE81E12242FEBED072</vt:lpwstr>
  </property>
</Properties>
</file>