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360" w:lineRule="auto"/>
        <w:jc w:val="center"/>
        <w:rPr>
          <w:rFonts w:hint="eastAsia" w:ascii="方正小标宋简体" w:hAnsi="方正小标宋简体" w:eastAsia="方正小标宋简体"/>
          <w:kern w:val="2"/>
          <w:sz w:val="72"/>
          <w:szCs w:val="24"/>
          <w:lang w:val="zh-CN"/>
        </w:rPr>
      </w:pPr>
    </w:p>
    <w:p>
      <w:pPr>
        <w:spacing w:beforeLines="0" w:afterLines="0" w:line="360" w:lineRule="auto"/>
        <w:jc w:val="center"/>
        <w:rPr>
          <w:rFonts w:hint="eastAsia" w:ascii="方正小标宋简体" w:hAnsi="方正小标宋简体" w:eastAsia="方正小标宋简体"/>
          <w:kern w:val="2"/>
          <w:sz w:val="72"/>
          <w:szCs w:val="24"/>
          <w:lang w:val="zh-CN"/>
        </w:rPr>
      </w:pPr>
    </w:p>
    <w:p>
      <w:pPr>
        <w:spacing w:beforeLines="0" w:afterLines="0" w:line="360" w:lineRule="auto"/>
        <w:jc w:val="center"/>
        <w:rPr>
          <w:rFonts w:hint="eastAsia" w:ascii="方正小标宋简体" w:hAnsi="方正小标宋简体" w:eastAsia="方正小标宋简体"/>
          <w:kern w:val="2"/>
          <w:sz w:val="72"/>
          <w:szCs w:val="24"/>
          <w:lang w:val="zh-CN"/>
        </w:rPr>
      </w:pPr>
      <w:r>
        <w:rPr>
          <w:rFonts w:hint="eastAsia" w:ascii="方正小标宋简体" w:hAnsi="方正小标宋简体" w:eastAsia="方正小标宋简体"/>
          <w:kern w:val="2"/>
          <w:sz w:val="72"/>
          <w:szCs w:val="24"/>
          <w:lang w:val="zh-CN"/>
        </w:rPr>
        <w:t>2022年度</w:t>
      </w:r>
    </w:p>
    <w:p>
      <w:pPr>
        <w:spacing w:beforeLines="0" w:afterLines="0" w:line="360" w:lineRule="auto"/>
        <w:jc w:val="center"/>
        <w:rPr>
          <w:rFonts w:hint="eastAsia" w:ascii="方正小标宋简体" w:hAnsi="方正小标宋简体" w:eastAsia="方正小标宋简体"/>
          <w:kern w:val="2"/>
          <w:sz w:val="72"/>
          <w:szCs w:val="24"/>
          <w:lang w:val="zh-CN"/>
        </w:rPr>
      </w:pPr>
      <w:r>
        <w:rPr>
          <w:rFonts w:hint="eastAsia" w:ascii="方正小标宋简体" w:hAnsi="方正小标宋简体" w:eastAsia="方正小标宋简体"/>
          <w:kern w:val="2"/>
          <w:sz w:val="72"/>
          <w:szCs w:val="24"/>
          <w:lang w:val="zh-CN"/>
        </w:rPr>
        <w:t>通江县春在镇新建小学</w:t>
      </w:r>
    </w:p>
    <w:p>
      <w:pPr>
        <w:spacing w:beforeLines="0" w:afterLines="0" w:line="360" w:lineRule="auto"/>
        <w:jc w:val="center"/>
        <w:rPr>
          <w:rFonts w:hint="eastAsia" w:ascii="方正小标宋简体" w:hAnsi="方正小标宋简体" w:eastAsia="方正小标宋简体"/>
          <w:kern w:val="2"/>
          <w:sz w:val="72"/>
          <w:szCs w:val="24"/>
          <w:lang w:val="zh-CN"/>
        </w:rPr>
      </w:pPr>
      <w:r>
        <w:rPr>
          <w:rFonts w:hint="eastAsia" w:ascii="方正小标宋简体" w:hAnsi="方正小标宋简体" w:eastAsia="方正小标宋简体"/>
          <w:kern w:val="2"/>
          <w:sz w:val="72"/>
          <w:szCs w:val="24"/>
          <w:lang w:val="zh-CN"/>
        </w:rPr>
        <w:t>单位决算</w:t>
      </w:r>
    </w:p>
    <w:p>
      <w:pPr>
        <w:keepNext/>
        <w:keepLines/>
        <w:tabs>
          <w:tab w:val="right" w:leader="dot" w:pos="8296"/>
        </w:tabs>
        <w:spacing w:beforeLines="0" w:afterLines="0" w:line="576" w:lineRule="exact"/>
        <w:rPr>
          <w:rFonts w:hint="eastAsia" w:ascii="黑体" w:hAnsi="黑体" w:eastAsia="黑体"/>
          <w:b/>
          <w:color w:val="FF0000"/>
          <w:kern w:val="2"/>
          <w:sz w:val="48"/>
          <w:szCs w:val="24"/>
          <w:lang w:val="zh-CN"/>
        </w:rPr>
      </w:pPr>
    </w:p>
    <w:p>
      <w:pPr>
        <w:spacing w:beforeLines="0" w:afterLines="0"/>
        <w:jc w:val="center"/>
        <w:rPr>
          <w:rFonts w:hint="eastAsia" w:ascii="黑体" w:hAnsi="黑体" w:eastAsia="黑体"/>
          <w:color w:val="auto"/>
          <w:kern w:val="2"/>
          <w:sz w:val="48"/>
          <w:szCs w:val="24"/>
          <w:lang w:val="zh-CN"/>
        </w:rPr>
      </w:pPr>
    </w:p>
    <w:p>
      <w:pPr>
        <w:spacing w:beforeLines="0" w:afterLines="0"/>
        <w:jc w:val="center"/>
        <w:rPr>
          <w:rFonts w:hint="eastAsia" w:ascii="黑体" w:hAnsi="黑体" w:eastAsia="黑体"/>
          <w:color w:val="auto"/>
          <w:kern w:val="2"/>
          <w:sz w:val="48"/>
          <w:szCs w:val="24"/>
          <w:lang w:val="zh-CN"/>
        </w:rPr>
      </w:pPr>
    </w:p>
    <w:p>
      <w:pPr>
        <w:spacing w:beforeLines="0" w:afterLines="0"/>
        <w:jc w:val="center"/>
        <w:rPr>
          <w:rFonts w:hint="eastAsia" w:ascii="黑体" w:hAnsi="黑体" w:eastAsia="黑体"/>
          <w:color w:val="auto"/>
          <w:kern w:val="2"/>
          <w:sz w:val="48"/>
          <w:szCs w:val="24"/>
          <w:lang w:val="zh-CN"/>
        </w:rPr>
      </w:pPr>
    </w:p>
    <w:p>
      <w:pPr>
        <w:spacing w:beforeLines="0" w:afterLines="0"/>
        <w:jc w:val="center"/>
        <w:rPr>
          <w:rFonts w:hint="eastAsia" w:ascii="黑体" w:hAnsi="黑体" w:eastAsia="黑体"/>
          <w:color w:val="auto"/>
          <w:kern w:val="2"/>
          <w:sz w:val="48"/>
          <w:szCs w:val="24"/>
          <w:lang w:val="zh-CN"/>
        </w:rPr>
      </w:pPr>
    </w:p>
    <w:p>
      <w:pPr>
        <w:spacing w:beforeLines="0" w:afterLines="0"/>
        <w:jc w:val="center"/>
        <w:rPr>
          <w:rFonts w:hint="eastAsia" w:ascii="黑体" w:hAnsi="黑体" w:eastAsia="黑体"/>
          <w:color w:val="auto"/>
          <w:kern w:val="2"/>
          <w:sz w:val="48"/>
          <w:szCs w:val="24"/>
          <w:lang w:val="zh-CN"/>
        </w:rPr>
      </w:pPr>
    </w:p>
    <w:p>
      <w:pPr>
        <w:spacing w:beforeLines="0" w:afterLines="0"/>
        <w:jc w:val="center"/>
        <w:rPr>
          <w:rFonts w:hint="eastAsia" w:ascii="黑体" w:hAnsi="黑体" w:eastAsia="黑体"/>
          <w:color w:val="auto"/>
          <w:kern w:val="2"/>
          <w:sz w:val="48"/>
          <w:szCs w:val="24"/>
          <w:lang w:val="zh-CN"/>
        </w:rPr>
      </w:pPr>
    </w:p>
    <w:p>
      <w:pPr>
        <w:spacing w:beforeLines="0" w:afterLines="0"/>
        <w:jc w:val="center"/>
        <w:rPr>
          <w:rFonts w:hint="eastAsia" w:ascii="黑体" w:hAnsi="黑体" w:eastAsia="黑体"/>
          <w:color w:val="auto"/>
          <w:kern w:val="2"/>
          <w:sz w:val="48"/>
          <w:szCs w:val="24"/>
          <w:lang w:val="zh-CN"/>
        </w:rPr>
      </w:pPr>
      <w:r>
        <w:rPr>
          <w:rFonts w:hint="eastAsia" w:ascii="黑体" w:hAnsi="黑体" w:eastAsia="黑体"/>
          <w:color w:val="auto"/>
          <w:kern w:val="2"/>
          <w:sz w:val="48"/>
          <w:szCs w:val="24"/>
          <w:lang w:val="zh-CN"/>
        </w:rPr>
        <w:t>目录</w:t>
      </w:r>
    </w:p>
    <w:p>
      <w:pPr>
        <w:spacing w:beforeLines="0" w:afterLines="0"/>
        <w:jc w:val="center"/>
        <w:rPr>
          <w:rFonts w:hint="eastAsia" w:ascii="黑体" w:hAnsi="黑体" w:eastAsia="黑体"/>
          <w:color w:val="auto"/>
          <w:kern w:val="2"/>
          <w:sz w:val="28"/>
          <w:szCs w:val="24"/>
          <w:lang w:val="zh-CN"/>
        </w:rPr>
      </w:pPr>
    </w:p>
    <w:p>
      <w:pPr>
        <w:tabs>
          <w:tab w:val="right" w:leader="dot" w:pos="8296"/>
        </w:tabs>
        <w:spacing w:before="93" w:beforeLines="0" w:afterLines="0"/>
        <w:jc w:val="center"/>
        <w:rPr>
          <w:rFonts w:hint="eastAsia" w:ascii="仿宋" w:hAnsi="仿宋" w:eastAsia="仿宋"/>
          <w:color w:val="auto"/>
          <w:kern w:val="2"/>
          <w:sz w:val="28"/>
          <w:szCs w:val="24"/>
          <w:lang w:val="zh-CN"/>
        </w:rPr>
      </w:pPr>
      <w:r>
        <w:rPr>
          <w:rFonts w:hint="eastAsia" w:ascii="仿宋" w:hAnsi="仿宋" w:eastAsia="仿宋"/>
          <w:color w:val="auto"/>
          <w:kern w:val="2"/>
          <w:sz w:val="28"/>
          <w:szCs w:val="24"/>
          <w:lang w:val="zh-CN"/>
        </w:rPr>
        <w:t>公开时间：2023年</w:t>
      </w:r>
      <w:r>
        <w:rPr>
          <w:rFonts w:hint="eastAsia" w:ascii="仿宋" w:hAnsi="仿宋" w:eastAsia="仿宋"/>
          <w:color w:val="auto"/>
          <w:kern w:val="2"/>
          <w:sz w:val="28"/>
          <w:szCs w:val="24"/>
          <w:lang w:val="en-US" w:eastAsia="zh-CN"/>
        </w:rPr>
        <w:t>8</w:t>
      </w:r>
      <w:r>
        <w:rPr>
          <w:rFonts w:hint="eastAsia" w:ascii="仿宋" w:hAnsi="仿宋" w:eastAsia="仿宋"/>
          <w:color w:val="auto"/>
          <w:kern w:val="2"/>
          <w:sz w:val="28"/>
          <w:szCs w:val="24"/>
          <w:lang w:val="zh-CN"/>
        </w:rPr>
        <w:t>月</w:t>
      </w:r>
      <w:r>
        <w:rPr>
          <w:rFonts w:hint="eastAsia" w:ascii="仿宋" w:hAnsi="仿宋" w:eastAsia="仿宋"/>
          <w:color w:val="auto"/>
          <w:kern w:val="2"/>
          <w:sz w:val="28"/>
          <w:szCs w:val="24"/>
          <w:lang w:val="en-US" w:eastAsia="zh-CN"/>
        </w:rPr>
        <w:t>30</w:t>
      </w:r>
      <w:r>
        <w:rPr>
          <w:rFonts w:hint="eastAsia" w:ascii="仿宋" w:hAnsi="仿宋" w:eastAsia="仿宋"/>
          <w:color w:val="auto"/>
          <w:kern w:val="2"/>
          <w:sz w:val="28"/>
          <w:szCs w:val="24"/>
          <w:lang w:val="zh-CN"/>
        </w:rPr>
        <w:t>日</w:t>
      </w:r>
    </w:p>
    <w:p>
      <w:pPr>
        <w:spacing w:beforeLines="0" w:afterLines="0"/>
        <w:jc w:val="both"/>
        <w:rPr>
          <w:rFonts w:hint="eastAsia" w:ascii="Times New Roman" w:hAnsi="Times New Roman" w:eastAsia="Times New Roman"/>
          <w:color w:val="auto"/>
          <w:kern w:val="2"/>
          <w:sz w:val="21"/>
          <w:szCs w:val="24"/>
          <w:lang w:val="zh-CN"/>
        </w:rPr>
      </w:pPr>
    </w:p>
    <w:p>
      <w:pPr>
        <w:widowControl/>
        <w:tabs>
          <w:tab w:val="right" w:leader="dot" w:pos="8640"/>
        </w:tabs>
        <w:autoSpaceDE/>
        <w:autoSpaceDN/>
        <w:adjustRightInd/>
        <w:spacing w:beforeLines="0" w:afterLines="0"/>
        <w:rPr>
          <w:rFonts w:hint="eastAsia" w:ascii="仿宋_GB2312" w:hAnsi="仿宋_GB2312" w:eastAsia="仿宋_GB2312" w:cs="仿宋_GB2312"/>
          <w:b/>
          <w:sz w:val="28"/>
          <w:szCs w:val="21"/>
        </w:rPr>
      </w:pPr>
      <w:r>
        <w:rPr>
          <w:rFonts w:hint="eastAsia" w:ascii="仿宋_GB2312" w:hAnsi="仿宋_GB2312" w:eastAsia="仿宋_GB2312" w:cs="仿宋_GB2312"/>
          <w:sz w:val="28"/>
          <w:szCs w:val="21"/>
        </w:rPr>
        <w:fldChar w:fldCharType="begin"/>
      </w:r>
      <w:r>
        <w:rPr>
          <w:rFonts w:hint="eastAsia" w:ascii="仿宋_GB2312" w:hAnsi="仿宋_GB2312" w:eastAsia="仿宋_GB2312" w:cs="仿宋_GB2312"/>
          <w:sz w:val="28"/>
          <w:szCs w:val="21"/>
        </w:rPr>
        <w:instrText xml:space="preserve">TOC \o "1-2" \h \u </w:instrText>
      </w:r>
      <w:r>
        <w:rPr>
          <w:rFonts w:hint="eastAsia" w:ascii="仿宋_GB2312" w:hAnsi="仿宋_GB2312" w:eastAsia="仿宋_GB2312" w:cs="仿宋_GB2312"/>
          <w:sz w:val="28"/>
          <w:szCs w:val="21"/>
        </w:rPr>
        <w:fldChar w:fldCharType="separate"/>
      </w:r>
      <w:r>
        <w:rPr>
          <w:rFonts w:hint="eastAsia" w:ascii="仿宋_GB2312" w:hAnsi="仿宋_GB2312" w:eastAsia="仿宋_GB2312" w:cs="仿宋_GB2312"/>
          <w:b/>
          <w:sz w:val="28"/>
          <w:szCs w:val="21"/>
        </w:rPr>
        <w:fldChar w:fldCharType="begin"/>
      </w:r>
      <w:r>
        <w:rPr>
          <w:rFonts w:hint="eastAsia" w:ascii="仿宋_GB2312" w:hAnsi="仿宋_GB2312" w:eastAsia="仿宋_GB2312" w:cs="仿宋_GB2312"/>
          <w:b/>
          <w:sz w:val="28"/>
          <w:szCs w:val="21"/>
        </w:rPr>
        <w:instrText xml:space="preserve"> HYPERLINK \l _Toc3073 </w:instrText>
      </w:r>
      <w:r>
        <w:rPr>
          <w:rFonts w:hint="eastAsia" w:ascii="仿宋_GB2312" w:hAnsi="仿宋_GB2312" w:eastAsia="仿宋_GB2312" w:cs="仿宋_GB2312"/>
          <w:b/>
          <w:sz w:val="28"/>
          <w:szCs w:val="21"/>
        </w:rPr>
        <w:fldChar w:fldCharType="separate"/>
      </w:r>
      <w:r>
        <w:rPr>
          <w:rFonts w:hint="eastAsia" w:ascii="仿宋_GB2312" w:hAnsi="仿宋_GB2312" w:eastAsia="仿宋_GB2312" w:cs="仿宋_GB2312"/>
          <w:b/>
          <w:kern w:val="44"/>
          <w:sz w:val="28"/>
          <w:szCs w:val="48"/>
          <w:lang w:val="zh-CN"/>
        </w:rPr>
        <w:t>第一部分 单位概况</w:t>
      </w:r>
      <w:r>
        <w:rPr>
          <w:rFonts w:hint="eastAsia" w:ascii="仿宋_GB2312" w:hAnsi="仿宋_GB2312" w:eastAsia="仿宋_GB2312" w:cs="仿宋_GB2312"/>
          <w:b/>
          <w:sz w:val="28"/>
          <w:szCs w:val="21"/>
        </w:rPr>
        <w:tab/>
      </w:r>
      <w:r>
        <w:rPr>
          <w:rFonts w:hint="eastAsia" w:ascii="仿宋_GB2312" w:hAnsi="仿宋_GB2312" w:eastAsia="仿宋_GB2312" w:cs="仿宋_GB2312"/>
          <w:b/>
          <w:sz w:val="28"/>
          <w:szCs w:val="21"/>
        </w:rPr>
        <w:t>3</w:t>
      </w:r>
      <w:r>
        <w:rPr>
          <w:rFonts w:hint="eastAsia" w:ascii="仿宋_GB2312" w:hAnsi="仿宋_GB2312" w:eastAsia="仿宋_GB2312" w:cs="仿宋_GB2312"/>
          <w:b/>
          <w:sz w:val="28"/>
          <w:szCs w:val="21"/>
        </w:rPr>
        <w:fldChar w:fldCharType="end"/>
      </w:r>
    </w:p>
    <w:p>
      <w:pPr>
        <w:widowControl/>
        <w:tabs>
          <w:tab w:val="right" w:leader="dot" w:pos="8640"/>
        </w:tabs>
        <w:autoSpaceDE/>
        <w:autoSpaceDN/>
        <w:adjustRightInd/>
        <w:spacing w:beforeLines="0" w:afterLines="0"/>
        <w:ind w:left="480" w:leftChars="200"/>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fldChar w:fldCharType="begin"/>
      </w:r>
      <w:r>
        <w:rPr>
          <w:rFonts w:hint="eastAsia" w:ascii="仿宋_GB2312" w:hAnsi="仿宋_GB2312" w:eastAsia="仿宋_GB2312" w:cs="仿宋_GB2312"/>
          <w:sz w:val="28"/>
          <w:szCs w:val="21"/>
        </w:rPr>
        <w:instrText xml:space="preserve"> HYPERLINK \l _Toc18922 </w:instrText>
      </w:r>
      <w:r>
        <w:rPr>
          <w:rFonts w:hint="eastAsia" w:ascii="仿宋_GB2312" w:hAnsi="仿宋_GB2312" w:eastAsia="仿宋_GB2312" w:cs="仿宋_GB2312"/>
          <w:sz w:val="28"/>
          <w:szCs w:val="21"/>
        </w:rPr>
        <w:fldChar w:fldCharType="separate"/>
      </w:r>
      <w:r>
        <w:rPr>
          <w:rFonts w:hint="eastAsia" w:ascii="仿宋_GB2312" w:hAnsi="仿宋_GB2312" w:eastAsia="仿宋_GB2312" w:cs="仿宋_GB2312"/>
          <w:kern w:val="2"/>
          <w:sz w:val="28"/>
          <w:szCs w:val="36"/>
        </w:rPr>
        <w:t>一、</w:t>
      </w:r>
      <w:r>
        <w:rPr>
          <w:rFonts w:hint="eastAsia" w:ascii="仿宋_GB2312" w:hAnsi="仿宋_GB2312" w:eastAsia="仿宋_GB2312" w:cs="仿宋_GB2312"/>
          <w:kern w:val="2"/>
          <w:sz w:val="28"/>
          <w:szCs w:val="36"/>
          <w:lang w:val="zh-CN"/>
        </w:rPr>
        <w:t>主要职责</w:t>
      </w:r>
      <w:r>
        <w:rPr>
          <w:rFonts w:hint="eastAsia" w:ascii="仿宋_GB2312" w:hAnsi="仿宋_GB2312" w:eastAsia="仿宋_GB2312" w:cs="仿宋_GB2312"/>
          <w:sz w:val="28"/>
          <w:szCs w:val="21"/>
        </w:rPr>
        <w:tab/>
      </w:r>
      <w:r>
        <w:rPr>
          <w:rFonts w:hint="eastAsia" w:ascii="仿宋_GB2312" w:hAnsi="仿宋_GB2312" w:eastAsia="仿宋_GB2312" w:cs="仿宋_GB2312"/>
          <w:sz w:val="28"/>
          <w:szCs w:val="21"/>
        </w:rPr>
        <w:t>3</w:t>
      </w:r>
      <w:r>
        <w:rPr>
          <w:rFonts w:hint="eastAsia" w:ascii="仿宋_GB2312" w:hAnsi="仿宋_GB2312" w:eastAsia="仿宋_GB2312" w:cs="仿宋_GB2312"/>
          <w:sz w:val="28"/>
          <w:szCs w:val="21"/>
        </w:rPr>
        <w:fldChar w:fldCharType="end"/>
      </w:r>
    </w:p>
    <w:p>
      <w:pPr>
        <w:widowControl/>
        <w:tabs>
          <w:tab w:val="right" w:leader="dot" w:pos="8640"/>
        </w:tabs>
        <w:autoSpaceDE/>
        <w:autoSpaceDN/>
        <w:adjustRightInd/>
        <w:spacing w:beforeLines="0" w:afterLines="0"/>
        <w:ind w:left="480" w:leftChars="200"/>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fldChar w:fldCharType="begin"/>
      </w:r>
      <w:r>
        <w:rPr>
          <w:rFonts w:hint="eastAsia" w:ascii="仿宋_GB2312" w:hAnsi="仿宋_GB2312" w:eastAsia="仿宋_GB2312" w:cs="仿宋_GB2312"/>
          <w:sz w:val="28"/>
          <w:szCs w:val="21"/>
        </w:rPr>
        <w:instrText xml:space="preserve"> HYPERLINK \l _Toc4663 </w:instrText>
      </w:r>
      <w:r>
        <w:rPr>
          <w:rFonts w:hint="eastAsia" w:ascii="仿宋_GB2312" w:hAnsi="仿宋_GB2312" w:eastAsia="仿宋_GB2312" w:cs="仿宋_GB2312"/>
          <w:sz w:val="28"/>
          <w:szCs w:val="21"/>
        </w:rPr>
        <w:fldChar w:fldCharType="separate"/>
      </w:r>
      <w:r>
        <w:rPr>
          <w:rFonts w:hint="eastAsia" w:ascii="仿宋_GB2312" w:hAnsi="仿宋_GB2312" w:eastAsia="仿宋_GB2312" w:cs="仿宋_GB2312"/>
          <w:kern w:val="2"/>
          <w:sz w:val="28"/>
          <w:szCs w:val="36"/>
          <w:lang w:val="zh-CN"/>
        </w:rPr>
        <w:t>二、机构设置</w:t>
      </w:r>
      <w:r>
        <w:rPr>
          <w:rFonts w:hint="eastAsia" w:ascii="仿宋_GB2312" w:hAnsi="仿宋_GB2312" w:eastAsia="仿宋_GB2312" w:cs="仿宋_GB2312"/>
          <w:sz w:val="28"/>
          <w:szCs w:val="21"/>
        </w:rPr>
        <w:tab/>
      </w:r>
      <w:r>
        <w:rPr>
          <w:rFonts w:hint="eastAsia" w:ascii="仿宋_GB2312" w:hAnsi="仿宋_GB2312" w:eastAsia="仿宋_GB2312" w:cs="仿宋_GB2312"/>
          <w:sz w:val="28"/>
          <w:szCs w:val="21"/>
        </w:rPr>
        <w:t>3</w:t>
      </w:r>
      <w:r>
        <w:rPr>
          <w:rFonts w:hint="eastAsia" w:ascii="仿宋_GB2312" w:hAnsi="仿宋_GB2312" w:eastAsia="仿宋_GB2312" w:cs="仿宋_GB2312"/>
          <w:sz w:val="28"/>
          <w:szCs w:val="21"/>
        </w:rPr>
        <w:fldChar w:fldCharType="end"/>
      </w:r>
    </w:p>
    <w:p>
      <w:pPr>
        <w:widowControl/>
        <w:tabs>
          <w:tab w:val="right" w:leader="dot" w:pos="8640"/>
        </w:tabs>
        <w:autoSpaceDE/>
        <w:autoSpaceDN/>
        <w:adjustRightInd/>
        <w:spacing w:beforeLines="0" w:afterLines="0"/>
        <w:rPr>
          <w:rFonts w:hint="eastAsia" w:ascii="仿宋_GB2312" w:hAnsi="仿宋_GB2312" w:eastAsia="仿宋_GB2312" w:cs="仿宋_GB2312"/>
          <w:b/>
          <w:sz w:val="28"/>
          <w:szCs w:val="21"/>
        </w:rPr>
      </w:pPr>
      <w:r>
        <w:rPr>
          <w:rFonts w:hint="eastAsia" w:ascii="仿宋_GB2312" w:hAnsi="仿宋_GB2312" w:eastAsia="仿宋_GB2312" w:cs="仿宋_GB2312"/>
          <w:b/>
          <w:sz w:val="28"/>
          <w:szCs w:val="21"/>
        </w:rPr>
        <w:fldChar w:fldCharType="begin"/>
      </w:r>
      <w:r>
        <w:rPr>
          <w:rFonts w:hint="eastAsia" w:ascii="仿宋_GB2312" w:hAnsi="仿宋_GB2312" w:eastAsia="仿宋_GB2312" w:cs="仿宋_GB2312"/>
          <w:b/>
          <w:sz w:val="28"/>
          <w:szCs w:val="21"/>
        </w:rPr>
        <w:instrText xml:space="preserve"> HYPERLINK \l _Toc29348 </w:instrText>
      </w:r>
      <w:r>
        <w:rPr>
          <w:rFonts w:hint="eastAsia" w:ascii="仿宋_GB2312" w:hAnsi="仿宋_GB2312" w:eastAsia="仿宋_GB2312" w:cs="仿宋_GB2312"/>
          <w:b/>
          <w:sz w:val="28"/>
          <w:szCs w:val="21"/>
        </w:rPr>
        <w:fldChar w:fldCharType="separate"/>
      </w:r>
      <w:r>
        <w:rPr>
          <w:rFonts w:hint="eastAsia" w:ascii="仿宋_GB2312" w:hAnsi="仿宋_GB2312" w:eastAsia="仿宋_GB2312" w:cs="仿宋_GB2312"/>
          <w:b/>
          <w:kern w:val="44"/>
          <w:sz w:val="28"/>
          <w:szCs w:val="48"/>
          <w:lang w:val="zh-CN"/>
        </w:rPr>
        <w:t>第二部分 2022年度单位决算情况说明</w:t>
      </w:r>
      <w:r>
        <w:rPr>
          <w:rFonts w:hint="eastAsia" w:ascii="仿宋_GB2312" w:hAnsi="仿宋_GB2312" w:eastAsia="仿宋_GB2312" w:cs="仿宋_GB2312"/>
          <w:b/>
          <w:sz w:val="28"/>
          <w:szCs w:val="21"/>
        </w:rPr>
        <w:tab/>
      </w:r>
      <w:r>
        <w:rPr>
          <w:rFonts w:hint="eastAsia" w:ascii="仿宋_GB2312" w:hAnsi="仿宋_GB2312" w:eastAsia="仿宋_GB2312" w:cs="仿宋_GB2312"/>
          <w:b/>
          <w:sz w:val="28"/>
          <w:szCs w:val="21"/>
          <w:lang w:val="en-US" w:eastAsia="zh-CN"/>
        </w:rPr>
        <w:t>3</w:t>
      </w:r>
      <w:r>
        <w:rPr>
          <w:rFonts w:hint="eastAsia" w:ascii="仿宋_GB2312" w:hAnsi="仿宋_GB2312" w:eastAsia="仿宋_GB2312" w:cs="仿宋_GB2312"/>
          <w:b/>
          <w:sz w:val="28"/>
          <w:szCs w:val="21"/>
          <w:lang w:val="en-US" w:eastAsia="zh-CN"/>
        </w:rPr>
        <w:fldChar w:fldCharType="end"/>
      </w:r>
    </w:p>
    <w:p>
      <w:pPr>
        <w:widowControl/>
        <w:tabs>
          <w:tab w:val="right" w:leader="dot" w:pos="8640"/>
        </w:tabs>
        <w:autoSpaceDE/>
        <w:autoSpaceDN/>
        <w:adjustRightInd/>
        <w:spacing w:beforeLines="0" w:afterLines="0"/>
        <w:ind w:left="480" w:leftChars="200"/>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fldChar w:fldCharType="begin"/>
      </w:r>
      <w:r>
        <w:rPr>
          <w:rFonts w:hint="eastAsia" w:ascii="仿宋_GB2312" w:hAnsi="仿宋_GB2312" w:eastAsia="仿宋_GB2312" w:cs="仿宋_GB2312"/>
          <w:sz w:val="28"/>
          <w:szCs w:val="21"/>
        </w:rPr>
        <w:instrText xml:space="preserve"> HYPERLINK \l _Toc9998 </w:instrText>
      </w:r>
      <w:r>
        <w:rPr>
          <w:rFonts w:hint="eastAsia" w:ascii="仿宋_GB2312" w:hAnsi="仿宋_GB2312" w:eastAsia="仿宋_GB2312" w:cs="仿宋_GB2312"/>
          <w:sz w:val="28"/>
          <w:szCs w:val="21"/>
        </w:rPr>
        <w:fldChar w:fldCharType="separate"/>
      </w:r>
      <w:r>
        <w:rPr>
          <w:rFonts w:hint="eastAsia" w:ascii="仿宋_GB2312" w:hAnsi="仿宋_GB2312" w:eastAsia="仿宋_GB2312" w:cs="仿宋_GB2312"/>
          <w:kern w:val="2"/>
          <w:sz w:val="28"/>
          <w:szCs w:val="36"/>
          <w:lang w:val="zh-CN"/>
        </w:rPr>
        <w:t>一、收入支出决算总体情况说明</w:t>
      </w:r>
      <w:r>
        <w:rPr>
          <w:rFonts w:hint="eastAsia" w:ascii="仿宋_GB2312" w:hAnsi="仿宋_GB2312" w:eastAsia="仿宋_GB2312" w:cs="仿宋_GB2312"/>
          <w:sz w:val="28"/>
          <w:szCs w:val="21"/>
        </w:rPr>
        <w:tab/>
      </w:r>
      <w:r>
        <w:rPr>
          <w:rFonts w:hint="eastAsia" w:ascii="仿宋_GB2312" w:hAnsi="仿宋_GB2312" w:eastAsia="仿宋_GB2312" w:cs="仿宋_GB2312"/>
          <w:sz w:val="28"/>
          <w:szCs w:val="21"/>
          <w:lang w:val="en-US" w:eastAsia="zh-CN"/>
        </w:rPr>
        <w:t>3</w:t>
      </w:r>
      <w:r>
        <w:rPr>
          <w:rFonts w:hint="eastAsia" w:ascii="仿宋_GB2312" w:hAnsi="仿宋_GB2312" w:eastAsia="仿宋_GB2312" w:cs="仿宋_GB2312"/>
          <w:sz w:val="28"/>
          <w:szCs w:val="21"/>
          <w:lang w:val="en-US" w:eastAsia="zh-CN"/>
        </w:rPr>
        <w:fldChar w:fldCharType="end"/>
      </w:r>
    </w:p>
    <w:p>
      <w:pPr>
        <w:widowControl/>
        <w:tabs>
          <w:tab w:val="right" w:leader="dot" w:pos="8640"/>
        </w:tabs>
        <w:autoSpaceDE/>
        <w:autoSpaceDN/>
        <w:adjustRightInd/>
        <w:spacing w:beforeLines="0" w:afterLines="0"/>
        <w:ind w:left="480" w:leftChars="200"/>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fldChar w:fldCharType="begin"/>
      </w:r>
      <w:r>
        <w:rPr>
          <w:rFonts w:hint="eastAsia" w:ascii="仿宋_GB2312" w:hAnsi="仿宋_GB2312" w:eastAsia="仿宋_GB2312" w:cs="仿宋_GB2312"/>
          <w:sz w:val="28"/>
          <w:szCs w:val="21"/>
        </w:rPr>
        <w:instrText xml:space="preserve"> HYPERLINK \l _Toc17323 </w:instrText>
      </w:r>
      <w:r>
        <w:rPr>
          <w:rFonts w:hint="eastAsia" w:ascii="仿宋_GB2312" w:hAnsi="仿宋_GB2312" w:eastAsia="仿宋_GB2312" w:cs="仿宋_GB2312"/>
          <w:sz w:val="28"/>
          <w:szCs w:val="21"/>
        </w:rPr>
        <w:fldChar w:fldCharType="separate"/>
      </w:r>
      <w:r>
        <w:rPr>
          <w:rFonts w:hint="eastAsia" w:ascii="仿宋_GB2312" w:hAnsi="仿宋_GB2312" w:eastAsia="仿宋_GB2312" w:cs="仿宋_GB2312"/>
          <w:kern w:val="2"/>
          <w:sz w:val="28"/>
          <w:szCs w:val="36"/>
          <w:lang w:val="zh-CN"/>
        </w:rPr>
        <w:t>二、收入决算情况说明</w:t>
      </w:r>
      <w:r>
        <w:rPr>
          <w:rFonts w:hint="eastAsia" w:ascii="仿宋_GB2312" w:hAnsi="仿宋_GB2312" w:eastAsia="仿宋_GB2312" w:cs="仿宋_GB2312"/>
          <w:sz w:val="28"/>
          <w:szCs w:val="21"/>
        </w:rPr>
        <w:tab/>
      </w:r>
      <w:r>
        <w:rPr>
          <w:rFonts w:hint="eastAsia" w:ascii="仿宋_GB2312" w:hAnsi="仿宋_GB2312" w:eastAsia="仿宋_GB2312" w:cs="仿宋_GB2312"/>
          <w:sz w:val="28"/>
          <w:szCs w:val="21"/>
          <w:lang w:val="en-US" w:eastAsia="zh-CN"/>
        </w:rPr>
        <w:t>4</w:t>
      </w:r>
      <w:r>
        <w:rPr>
          <w:rFonts w:hint="eastAsia" w:ascii="仿宋_GB2312" w:hAnsi="仿宋_GB2312" w:eastAsia="仿宋_GB2312" w:cs="仿宋_GB2312"/>
          <w:sz w:val="28"/>
          <w:szCs w:val="21"/>
          <w:lang w:val="en-US" w:eastAsia="zh-CN"/>
        </w:rPr>
        <w:fldChar w:fldCharType="end"/>
      </w:r>
    </w:p>
    <w:p>
      <w:pPr>
        <w:widowControl/>
        <w:tabs>
          <w:tab w:val="right" w:leader="dot" w:pos="8640"/>
        </w:tabs>
        <w:autoSpaceDE/>
        <w:autoSpaceDN/>
        <w:adjustRightInd/>
        <w:spacing w:beforeLines="0" w:afterLines="0"/>
        <w:ind w:left="480" w:leftChars="200"/>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fldChar w:fldCharType="begin"/>
      </w:r>
      <w:r>
        <w:rPr>
          <w:rFonts w:hint="eastAsia" w:ascii="仿宋_GB2312" w:hAnsi="仿宋_GB2312" w:eastAsia="仿宋_GB2312" w:cs="仿宋_GB2312"/>
          <w:sz w:val="28"/>
          <w:szCs w:val="21"/>
        </w:rPr>
        <w:instrText xml:space="preserve"> HYPERLINK \l _Toc20342 </w:instrText>
      </w:r>
      <w:r>
        <w:rPr>
          <w:rFonts w:hint="eastAsia" w:ascii="仿宋_GB2312" w:hAnsi="仿宋_GB2312" w:eastAsia="仿宋_GB2312" w:cs="仿宋_GB2312"/>
          <w:sz w:val="28"/>
          <w:szCs w:val="21"/>
        </w:rPr>
        <w:fldChar w:fldCharType="separate"/>
      </w:r>
      <w:r>
        <w:rPr>
          <w:rFonts w:hint="eastAsia" w:ascii="仿宋_GB2312" w:hAnsi="仿宋_GB2312" w:eastAsia="仿宋_GB2312" w:cs="仿宋_GB2312"/>
          <w:kern w:val="2"/>
          <w:sz w:val="28"/>
          <w:szCs w:val="36"/>
          <w:lang w:val="zh-CN"/>
        </w:rPr>
        <w:t>三、支出决算情况说明</w:t>
      </w:r>
      <w:r>
        <w:rPr>
          <w:rFonts w:hint="eastAsia" w:ascii="仿宋_GB2312" w:hAnsi="仿宋_GB2312" w:eastAsia="仿宋_GB2312" w:cs="仿宋_GB2312"/>
          <w:sz w:val="28"/>
          <w:szCs w:val="21"/>
        </w:rPr>
        <w:tab/>
      </w:r>
      <w:r>
        <w:rPr>
          <w:rFonts w:hint="eastAsia" w:ascii="仿宋_GB2312" w:hAnsi="仿宋_GB2312" w:eastAsia="仿宋_GB2312" w:cs="仿宋_GB2312"/>
          <w:sz w:val="28"/>
          <w:szCs w:val="21"/>
        </w:rPr>
        <w:t>5</w:t>
      </w:r>
      <w:r>
        <w:rPr>
          <w:rFonts w:hint="eastAsia" w:ascii="仿宋_GB2312" w:hAnsi="仿宋_GB2312" w:eastAsia="仿宋_GB2312" w:cs="仿宋_GB2312"/>
          <w:sz w:val="28"/>
          <w:szCs w:val="21"/>
        </w:rPr>
        <w:fldChar w:fldCharType="end"/>
      </w:r>
    </w:p>
    <w:p>
      <w:pPr>
        <w:widowControl/>
        <w:tabs>
          <w:tab w:val="right" w:leader="dot" w:pos="8640"/>
        </w:tabs>
        <w:autoSpaceDE/>
        <w:autoSpaceDN/>
        <w:adjustRightInd/>
        <w:spacing w:beforeLines="0" w:afterLines="0"/>
        <w:ind w:left="480" w:leftChars="200"/>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fldChar w:fldCharType="begin"/>
      </w:r>
      <w:r>
        <w:rPr>
          <w:rFonts w:hint="eastAsia" w:ascii="仿宋_GB2312" w:hAnsi="仿宋_GB2312" w:eastAsia="仿宋_GB2312" w:cs="仿宋_GB2312"/>
          <w:sz w:val="28"/>
          <w:szCs w:val="21"/>
        </w:rPr>
        <w:instrText xml:space="preserve"> HYPERLINK \l _Toc6559 </w:instrText>
      </w:r>
      <w:r>
        <w:rPr>
          <w:rFonts w:hint="eastAsia" w:ascii="仿宋_GB2312" w:hAnsi="仿宋_GB2312" w:eastAsia="仿宋_GB2312" w:cs="仿宋_GB2312"/>
          <w:sz w:val="28"/>
          <w:szCs w:val="21"/>
        </w:rPr>
        <w:fldChar w:fldCharType="separate"/>
      </w:r>
      <w:r>
        <w:rPr>
          <w:rFonts w:hint="eastAsia" w:ascii="仿宋_GB2312" w:hAnsi="仿宋_GB2312" w:eastAsia="仿宋_GB2312" w:cs="仿宋_GB2312"/>
          <w:kern w:val="2"/>
          <w:sz w:val="28"/>
          <w:szCs w:val="36"/>
          <w:lang w:val="zh-CN"/>
        </w:rPr>
        <w:t>四、财政拨款收入支出决算总体情况说明</w:t>
      </w:r>
      <w:r>
        <w:rPr>
          <w:rFonts w:hint="eastAsia" w:ascii="仿宋_GB2312" w:hAnsi="仿宋_GB2312" w:eastAsia="仿宋_GB2312" w:cs="仿宋_GB2312"/>
          <w:sz w:val="28"/>
          <w:szCs w:val="21"/>
        </w:rPr>
        <w:tab/>
      </w:r>
      <w:r>
        <w:rPr>
          <w:rFonts w:hint="eastAsia" w:ascii="仿宋_GB2312" w:hAnsi="仿宋_GB2312" w:eastAsia="仿宋_GB2312" w:cs="仿宋_GB2312"/>
          <w:sz w:val="28"/>
          <w:szCs w:val="21"/>
        </w:rPr>
        <w:t>6</w:t>
      </w:r>
      <w:r>
        <w:rPr>
          <w:rFonts w:hint="eastAsia" w:ascii="仿宋_GB2312" w:hAnsi="仿宋_GB2312" w:eastAsia="仿宋_GB2312" w:cs="仿宋_GB2312"/>
          <w:sz w:val="28"/>
          <w:szCs w:val="21"/>
        </w:rPr>
        <w:fldChar w:fldCharType="end"/>
      </w:r>
    </w:p>
    <w:p>
      <w:pPr>
        <w:widowControl/>
        <w:tabs>
          <w:tab w:val="right" w:leader="dot" w:pos="8640"/>
        </w:tabs>
        <w:autoSpaceDE/>
        <w:autoSpaceDN/>
        <w:adjustRightInd/>
        <w:spacing w:beforeLines="0" w:afterLines="0"/>
        <w:ind w:left="480" w:leftChars="200"/>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fldChar w:fldCharType="begin"/>
      </w:r>
      <w:r>
        <w:rPr>
          <w:rFonts w:hint="eastAsia" w:ascii="仿宋_GB2312" w:hAnsi="仿宋_GB2312" w:eastAsia="仿宋_GB2312" w:cs="仿宋_GB2312"/>
          <w:sz w:val="28"/>
          <w:szCs w:val="21"/>
        </w:rPr>
        <w:instrText xml:space="preserve"> HYPERLINK \l _Toc31541 </w:instrText>
      </w:r>
      <w:r>
        <w:rPr>
          <w:rFonts w:hint="eastAsia" w:ascii="仿宋_GB2312" w:hAnsi="仿宋_GB2312" w:eastAsia="仿宋_GB2312" w:cs="仿宋_GB2312"/>
          <w:sz w:val="28"/>
          <w:szCs w:val="21"/>
        </w:rPr>
        <w:fldChar w:fldCharType="separate"/>
      </w:r>
      <w:r>
        <w:rPr>
          <w:rFonts w:hint="eastAsia" w:ascii="仿宋_GB2312" w:hAnsi="仿宋_GB2312" w:eastAsia="仿宋_GB2312" w:cs="仿宋_GB2312"/>
          <w:kern w:val="2"/>
          <w:sz w:val="28"/>
          <w:szCs w:val="36"/>
          <w:lang w:val="zh-CN"/>
        </w:rPr>
        <w:t>五、一般公共预算财政拨款支出决算情况说明</w:t>
      </w:r>
      <w:r>
        <w:rPr>
          <w:rFonts w:hint="eastAsia" w:ascii="仿宋_GB2312" w:hAnsi="仿宋_GB2312" w:eastAsia="仿宋_GB2312" w:cs="仿宋_GB2312"/>
          <w:sz w:val="28"/>
          <w:szCs w:val="21"/>
        </w:rPr>
        <w:tab/>
      </w:r>
      <w:r>
        <w:rPr>
          <w:rFonts w:hint="eastAsia" w:ascii="仿宋_GB2312" w:hAnsi="仿宋_GB2312" w:eastAsia="仿宋_GB2312" w:cs="仿宋_GB2312"/>
          <w:sz w:val="28"/>
          <w:szCs w:val="21"/>
        </w:rPr>
        <w:t>6</w:t>
      </w:r>
      <w:r>
        <w:rPr>
          <w:rFonts w:hint="eastAsia" w:ascii="仿宋_GB2312" w:hAnsi="仿宋_GB2312" w:eastAsia="仿宋_GB2312" w:cs="仿宋_GB2312"/>
          <w:sz w:val="28"/>
          <w:szCs w:val="21"/>
        </w:rPr>
        <w:fldChar w:fldCharType="end"/>
      </w:r>
    </w:p>
    <w:p>
      <w:pPr>
        <w:widowControl/>
        <w:tabs>
          <w:tab w:val="right" w:leader="dot" w:pos="8640"/>
        </w:tabs>
        <w:autoSpaceDE/>
        <w:autoSpaceDN/>
        <w:adjustRightInd/>
        <w:spacing w:beforeLines="0" w:afterLines="0"/>
        <w:ind w:left="480" w:leftChars="200"/>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fldChar w:fldCharType="begin"/>
      </w:r>
      <w:r>
        <w:rPr>
          <w:rFonts w:hint="eastAsia" w:ascii="仿宋_GB2312" w:hAnsi="仿宋_GB2312" w:eastAsia="仿宋_GB2312" w:cs="仿宋_GB2312"/>
          <w:sz w:val="28"/>
          <w:szCs w:val="21"/>
        </w:rPr>
        <w:instrText xml:space="preserve"> HYPERLINK \l _Toc15409 </w:instrText>
      </w:r>
      <w:r>
        <w:rPr>
          <w:rFonts w:hint="eastAsia" w:ascii="仿宋_GB2312" w:hAnsi="仿宋_GB2312" w:eastAsia="仿宋_GB2312" w:cs="仿宋_GB2312"/>
          <w:sz w:val="28"/>
          <w:szCs w:val="21"/>
        </w:rPr>
        <w:fldChar w:fldCharType="separate"/>
      </w:r>
      <w:r>
        <w:rPr>
          <w:rFonts w:hint="eastAsia" w:ascii="仿宋_GB2312" w:hAnsi="仿宋_GB2312" w:eastAsia="仿宋_GB2312" w:cs="仿宋_GB2312"/>
          <w:kern w:val="2"/>
          <w:sz w:val="28"/>
          <w:szCs w:val="36"/>
          <w:lang w:val="zh-CN"/>
        </w:rPr>
        <w:t>六、一般公共预算财政拨款基本支出决算情况说明</w:t>
      </w:r>
      <w:r>
        <w:rPr>
          <w:rFonts w:hint="eastAsia" w:ascii="仿宋_GB2312" w:hAnsi="仿宋_GB2312" w:eastAsia="仿宋_GB2312" w:cs="仿宋_GB2312"/>
          <w:sz w:val="28"/>
          <w:szCs w:val="21"/>
        </w:rPr>
        <w:tab/>
      </w:r>
      <w:r>
        <w:rPr>
          <w:rFonts w:hint="eastAsia" w:ascii="仿宋_GB2312" w:hAnsi="仿宋_GB2312" w:eastAsia="仿宋_GB2312" w:cs="仿宋_GB2312"/>
          <w:sz w:val="28"/>
          <w:szCs w:val="21"/>
        </w:rPr>
        <w:t>8</w:t>
      </w:r>
      <w:r>
        <w:rPr>
          <w:rFonts w:hint="eastAsia" w:ascii="仿宋_GB2312" w:hAnsi="仿宋_GB2312" w:eastAsia="仿宋_GB2312" w:cs="仿宋_GB2312"/>
          <w:sz w:val="28"/>
          <w:szCs w:val="21"/>
        </w:rPr>
        <w:fldChar w:fldCharType="end"/>
      </w:r>
    </w:p>
    <w:p>
      <w:pPr>
        <w:widowControl/>
        <w:tabs>
          <w:tab w:val="right" w:leader="dot" w:pos="8640"/>
        </w:tabs>
        <w:autoSpaceDE/>
        <w:autoSpaceDN/>
        <w:adjustRightInd/>
        <w:spacing w:beforeLines="0" w:afterLines="0"/>
        <w:ind w:left="480" w:leftChars="200"/>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fldChar w:fldCharType="begin"/>
      </w:r>
      <w:r>
        <w:rPr>
          <w:rFonts w:hint="eastAsia" w:ascii="仿宋_GB2312" w:hAnsi="仿宋_GB2312" w:eastAsia="仿宋_GB2312" w:cs="仿宋_GB2312"/>
          <w:sz w:val="28"/>
          <w:szCs w:val="21"/>
        </w:rPr>
        <w:instrText xml:space="preserve"> HYPERLINK \l _Toc5683 </w:instrText>
      </w:r>
      <w:r>
        <w:rPr>
          <w:rFonts w:hint="eastAsia" w:ascii="仿宋_GB2312" w:hAnsi="仿宋_GB2312" w:eastAsia="仿宋_GB2312" w:cs="仿宋_GB2312"/>
          <w:sz w:val="28"/>
          <w:szCs w:val="21"/>
        </w:rPr>
        <w:fldChar w:fldCharType="separate"/>
      </w:r>
      <w:r>
        <w:rPr>
          <w:rFonts w:hint="eastAsia" w:ascii="仿宋_GB2312" w:hAnsi="仿宋_GB2312" w:eastAsia="仿宋_GB2312" w:cs="仿宋_GB2312"/>
          <w:kern w:val="2"/>
          <w:sz w:val="28"/>
          <w:szCs w:val="36"/>
          <w:lang w:val="zh-CN"/>
        </w:rPr>
        <w:t>七、“三公”经费财政拨款支出决算情况说明</w:t>
      </w:r>
      <w:r>
        <w:rPr>
          <w:rFonts w:hint="eastAsia" w:ascii="仿宋_GB2312" w:hAnsi="仿宋_GB2312" w:eastAsia="仿宋_GB2312" w:cs="仿宋_GB2312"/>
          <w:sz w:val="28"/>
          <w:szCs w:val="21"/>
        </w:rPr>
        <w:tab/>
      </w:r>
      <w:r>
        <w:rPr>
          <w:rFonts w:hint="eastAsia" w:ascii="仿宋_GB2312" w:hAnsi="仿宋_GB2312" w:eastAsia="仿宋_GB2312" w:cs="仿宋_GB2312"/>
          <w:sz w:val="28"/>
          <w:szCs w:val="21"/>
        </w:rPr>
        <w:t>9</w:t>
      </w:r>
      <w:r>
        <w:rPr>
          <w:rFonts w:hint="eastAsia" w:ascii="仿宋_GB2312" w:hAnsi="仿宋_GB2312" w:eastAsia="仿宋_GB2312" w:cs="仿宋_GB2312"/>
          <w:sz w:val="28"/>
          <w:szCs w:val="21"/>
        </w:rPr>
        <w:fldChar w:fldCharType="end"/>
      </w:r>
    </w:p>
    <w:p>
      <w:pPr>
        <w:widowControl/>
        <w:tabs>
          <w:tab w:val="right" w:leader="dot" w:pos="8640"/>
        </w:tabs>
        <w:autoSpaceDE/>
        <w:autoSpaceDN/>
        <w:adjustRightInd/>
        <w:spacing w:beforeLines="0" w:afterLines="0"/>
        <w:ind w:left="480" w:leftChars="200"/>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fldChar w:fldCharType="begin"/>
      </w:r>
      <w:r>
        <w:rPr>
          <w:rFonts w:hint="eastAsia" w:ascii="仿宋_GB2312" w:hAnsi="仿宋_GB2312" w:eastAsia="仿宋_GB2312" w:cs="仿宋_GB2312"/>
          <w:sz w:val="28"/>
          <w:szCs w:val="21"/>
        </w:rPr>
        <w:instrText xml:space="preserve"> HYPERLINK \l _Toc1721 </w:instrText>
      </w:r>
      <w:r>
        <w:rPr>
          <w:rFonts w:hint="eastAsia" w:ascii="仿宋_GB2312" w:hAnsi="仿宋_GB2312" w:eastAsia="仿宋_GB2312" w:cs="仿宋_GB2312"/>
          <w:sz w:val="28"/>
          <w:szCs w:val="21"/>
        </w:rPr>
        <w:fldChar w:fldCharType="separate"/>
      </w:r>
      <w:r>
        <w:rPr>
          <w:rFonts w:hint="eastAsia" w:ascii="仿宋_GB2312" w:hAnsi="仿宋_GB2312" w:eastAsia="仿宋_GB2312" w:cs="仿宋_GB2312"/>
          <w:kern w:val="2"/>
          <w:sz w:val="28"/>
          <w:szCs w:val="36"/>
          <w:lang w:val="zh-CN"/>
        </w:rPr>
        <w:t>八、政府性基金预算支出决算情况说明</w:t>
      </w:r>
      <w:r>
        <w:rPr>
          <w:rFonts w:hint="eastAsia" w:ascii="仿宋_GB2312" w:hAnsi="仿宋_GB2312" w:eastAsia="仿宋_GB2312" w:cs="仿宋_GB2312"/>
          <w:sz w:val="28"/>
          <w:szCs w:val="21"/>
        </w:rPr>
        <w:tab/>
      </w:r>
      <w:r>
        <w:rPr>
          <w:rFonts w:hint="eastAsia" w:ascii="仿宋_GB2312" w:hAnsi="仿宋_GB2312" w:eastAsia="仿宋_GB2312" w:cs="仿宋_GB2312"/>
          <w:sz w:val="28"/>
          <w:szCs w:val="21"/>
        </w:rPr>
        <w:t>1</w:t>
      </w:r>
      <w:r>
        <w:rPr>
          <w:rFonts w:hint="eastAsia" w:ascii="仿宋_GB2312" w:hAnsi="仿宋_GB2312" w:eastAsia="仿宋_GB2312" w:cs="仿宋_GB2312"/>
          <w:sz w:val="28"/>
          <w:szCs w:val="21"/>
          <w:lang w:val="en-US" w:eastAsia="zh-CN"/>
        </w:rPr>
        <w:t>0</w:t>
      </w:r>
      <w:r>
        <w:rPr>
          <w:rFonts w:hint="eastAsia" w:ascii="仿宋_GB2312" w:hAnsi="仿宋_GB2312" w:eastAsia="仿宋_GB2312" w:cs="仿宋_GB2312"/>
          <w:sz w:val="28"/>
          <w:szCs w:val="21"/>
          <w:lang w:val="en-US" w:eastAsia="zh-CN"/>
        </w:rPr>
        <w:fldChar w:fldCharType="end"/>
      </w:r>
    </w:p>
    <w:p>
      <w:pPr>
        <w:widowControl/>
        <w:tabs>
          <w:tab w:val="right" w:leader="dot" w:pos="8640"/>
        </w:tabs>
        <w:autoSpaceDE/>
        <w:autoSpaceDN/>
        <w:adjustRightInd/>
        <w:spacing w:beforeLines="0" w:afterLines="0"/>
        <w:ind w:left="480" w:leftChars="200"/>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fldChar w:fldCharType="begin"/>
      </w:r>
      <w:r>
        <w:rPr>
          <w:rFonts w:hint="eastAsia" w:ascii="仿宋_GB2312" w:hAnsi="仿宋_GB2312" w:eastAsia="仿宋_GB2312" w:cs="仿宋_GB2312"/>
          <w:sz w:val="28"/>
          <w:szCs w:val="21"/>
        </w:rPr>
        <w:instrText xml:space="preserve"> HYPERLINK \l _Toc31026 </w:instrText>
      </w:r>
      <w:r>
        <w:rPr>
          <w:rFonts w:hint="eastAsia" w:ascii="仿宋_GB2312" w:hAnsi="仿宋_GB2312" w:eastAsia="仿宋_GB2312" w:cs="仿宋_GB2312"/>
          <w:sz w:val="28"/>
          <w:szCs w:val="21"/>
        </w:rPr>
        <w:fldChar w:fldCharType="separate"/>
      </w:r>
      <w:r>
        <w:rPr>
          <w:rFonts w:hint="eastAsia" w:ascii="仿宋_GB2312" w:hAnsi="仿宋_GB2312" w:eastAsia="仿宋_GB2312" w:cs="仿宋_GB2312"/>
          <w:kern w:val="2"/>
          <w:sz w:val="28"/>
          <w:szCs w:val="36"/>
          <w:lang w:val="zh-CN"/>
        </w:rPr>
        <w:t>九、国有资本经营预算支出决算情况说明</w:t>
      </w:r>
      <w:r>
        <w:rPr>
          <w:rFonts w:hint="eastAsia" w:ascii="仿宋_GB2312" w:hAnsi="仿宋_GB2312" w:eastAsia="仿宋_GB2312" w:cs="仿宋_GB2312"/>
          <w:sz w:val="28"/>
          <w:szCs w:val="21"/>
        </w:rPr>
        <w:tab/>
      </w:r>
      <w:r>
        <w:rPr>
          <w:rFonts w:hint="eastAsia" w:ascii="仿宋_GB2312" w:hAnsi="仿宋_GB2312" w:eastAsia="仿宋_GB2312" w:cs="仿宋_GB2312"/>
          <w:sz w:val="28"/>
          <w:szCs w:val="21"/>
        </w:rPr>
        <w:t>1</w:t>
      </w:r>
      <w:r>
        <w:rPr>
          <w:rFonts w:hint="eastAsia" w:ascii="仿宋_GB2312" w:hAnsi="仿宋_GB2312" w:eastAsia="仿宋_GB2312" w:cs="仿宋_GB2312"/>
          <w:sz w:val="28"/>
          <w:szCs w:val="21"/>
          <w:lang w:val="en-US" w:eastAsia="zh-CN"/>
        </w:rPr>
        <w:t>0</w:t>
      </w:r>
      <w:r>
        <w:rPr>
          <w:rFonts w:hint="eastAsia" w:ascii="仿宋_GB2312" w:hAnsi="仿宋_GB2312" w:eastAsia="仿宋_GB2312" w:cs="仿宋_GB2312"/>
          <w:sz w:val="28"/>
          <w:szCs w:val="21"/>
          <w:lang w:val="en-US" w:eastAsia="zh-CN"/>
        </w:rPr>
        <w:fldChar w:fldCharType="end"/>
      </w:r>
    </w:p>
    <w:p>
      <w:pPr>
        <w:widowControl/>
        <w:tabs>
          <w:tab w:val="right" w:leader="dot" w:pos="8640"/>
        </w:tabs>
        <w:autoSpaceDE/>
        <w:autoSpaceDN/>
        <w:adjustRightInd/>
        <w:spacing w:beforeLines="0" w:afterLines="0"/>
        <w:ind w:left="480" w:leftChars="200"/>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fldChar w:fldCharType="begin"/>
      </w:r>
      <w:r>
        <w:rPr>
          <w:rFonts w:hint="eastAsia" w:ascii="仿宋_GB2312" w:hAnsi="仿宋_GB2312" w:eastAsia="仿宋_GB2312" w:cs="仿宋_GB2312"/>
          <w:sz w:val="28"/>
          <w:szCs w:val="21"/>
        </w:rPr>
        <w:instrText xml:space="preserve"> HYPERLINK \l _Toc22165 </w:instrText>
      </w:r>
      <w:r>
        <w:rPr>
          <w:rFonts w:hint="eastAsia" w:ascii="仿宋_GB2312" w:hAnsi="仿宋_GB2312" w:eastAsia="仿宋_GB2312" w:cs="仿宋_GB2312"/>
          <w:sz w:val="28"/>
          <w:szCs w:val="21"/>
        </w:rPr>
        <w:fldChar w:fldCharType="separate"/>
      </w:r>
      <w:r>
        <w:rPr>
          <w:rFonts w:hint="eastAsia" w:ascii="仿宋_GB2312" w:hAnsi="仿宋_GB2312" w:eastAsia="仿宋_GB2312" w:cs="仿宋_GB2312"/>
          <w:kern w:val="2"/>
          <w:sz w:val="28"/>
          <w:szCs w:val="36"/>
          <w:lang w:val="zh-CN"/>
        </w:rPr>
        <w:t>十、其他重要事项的情况说明</w:t>
      </w:r>
      <w:r>
        <w:rPr>
          <w:rFonts w:hint="eastAsia" w:ascii="仿宋_GB2312" w:hAnsi="仿宋_GB2312" w:eastAsia="仿宋_GB2312" w:cs="仿宋_GB2312"/>
          <w:sz w:val="28"/>
          <w:szCs w:val="21"/>
        </w:rPr>
        <w:tab/>
      </w:r>
      <w:r>
        <w:rPr>
          <w:rFonts w:hint="eastAsia" w:ascii="仿宋_GB2312" w:hAnsi="仿宋_GB2312" w:eastAsia="仿宋_GB2312" w:cs="仿宋_GB2312"/>
          <w:sz w:val="28"/>
          <w:szCs w:val="21"/>
        </w:rPr>
        <w:t>1</w:t>
      </w:r>
      <w:r>
        <w:rPr>
          <w:rFonts w:hint="eastAsia" w:ascii="仿宋_GB2312" w:hAnsi="仿宋_GB2312" w:eastAsia="仿宋_GB2312" w:cs="仿宋_GB2312"/>
          <w:sz w:val="28"/>
          <w:szCs w:val="21"/>
          <w:lang w:val="en-US" w:eastAsia="zh-CN"/>
        </w:rPr>
        <w:t>0</w:t>
      </w:r>
      <w:r>
        <w:rPr>
          <w:rFonts w:hint="eastAsia" w:ascii="仿宋_GB2312" w:hAnsi="仿宋_GB2312" w:eastAsia="仿宋_GB2312" w:cs="仿宋_GB2312"/>
          <w:sz w:val="28"/>
          <w:szCs w:val="21"/>
          <w:lang w:val="en-US" w:eastAsia="zh-CN"/>
        </w:rPr>
        <w:fldChar w:fldCharType="end"/>
      </w:r>
    </w:p>
    <w:p>
      <w:pPr>
        <w:widowControl/>
        <w:tabs>
          <w:tab w:val="right" w:leader="dot" w:pos="8640"/>
        </w:tabs>
        <w:autoSpaceDE/>
        <w:autoSpaceDN/>
        <w:adjustRightInd/>
        <w:spacing w:beforeLines="0" w:afterLines="0"/>
        <w:rPr>
          <w:rFonts w:hint="eastAsia" w:ascii="仿宋_GB2312" w:hAnsi="仿宋_GB2312" w:eastAsia="仿宋_GB2312" w:cs="仿宋_GB2312"/>
          <w:b/>
          <w:sz w:val="28"/>
          <w:szCs w:val="21"/>
        </w:rPr>
      </w:pPr>
      <w:r>
        <w:rPr>
          <w:rFonts w:hint="eastAsia" w:ascii="仿宋_GB2312" w:hAnsi="仿宋_GB2312" w:eastAsia="仿宋_GB2312" w:cs="仿宋_GB2312"/>
          <w:b/>
          <w:sz w:val="28"/>
          <w:szCs w:val="21"/>
        </w:rPr>
        <w:fldChar w:fldCharType="begin"/>
      </w:r>
      <w:r>
        <w:rPr>
          <w:rFonts w:hint="eastAsia" w:ascii="仿宋_GB2312" w:hAnsi="仿宋_GB2312" w:eastAsia="仿宋_GB2312" w:cs="仿宋_GB2312"/>
          <w:b/>
          <w:sz w:val="28"/>
          <w:szCs w:val="21"/>
        </w:rPr>
        <w:instrText xml:space="preserve"> HYPERLINK \l _Toc23860 </w:instrText>
      </w:r>
      <w:r>
        <w:rPr>
          <w:rFonts w:hint="eastAsia" w:ascii="仿宋_GB2312" w:hAnsi="仿宋_GB2312" w:eastAsia="仿宋_GB2312" w:cs="仿宋_GB2312"/>
          <w:b/>
          <w:sz w:val="28"/>
          <w:szCs w:val="21"/>
        </w:rPr>
        <w:fldChar w:fldCharType="separate"/>
      </w:r>
      <w:r>
        <w:rPr>
          <w:rFonts w:hint="eastAsia" w:ascii="仿宋_GB2312" w:hAnsi="仿宋_GB2312" w:eastAsia="仿宋_GB2312" w:cs="仿宋_GB2312"/>
          <w:b/>
          <w:kern w:val="2"/>
          <w:sz w:val="28"/>
          <w:szCs w:val="48"/>
          <w:lang w:val="zh-CN"/>
        </w:rPr>
        <w:t>第三部分 名</w:t>
      </w:r>
      <w:r>
        <w:rPr>
          <w:rFonts w:hint="eastAsia" w:ascii="仿宋_GB2312" w:hAnsi="仿宋_GB2312" w:eastAsia="仿宋_GB2312" w:cs="仿宋_GB2312"/>
          <w:b/>
          <w:kern w:val="44"/>
          <w:sz w:val="28"/>
          <w:szCs w:val="48"/>
          <w:lang w:val="zh-CN"/>
        </w:rPr>
        <w:t>词解释</w:t>
      </w:r>
      <w:r>
        <w:rPr>
          <w:rFonts w:hint="eastAsia" w:ascii="仿宋_GB2312" w:hAnsi="仿宋_GB2312" w:eastAsia="仿宋_GB2312" w:cs="仿宋_GB2312"/>
          <w:b/>
          <w:sz w:val="28"/>
          <w:szCs w:val="21"/>
        </w:rPr>
        <w:tab/>
      </w:r>
      <w:r>
        <w:rPr>
          <w:rFonts w:hint="eastAsia" w:ascii="仿宋_GB2312" w:hAnsi="仿宋_GB2312" w:eastAsia="仿宋_GB2312" w:cs="仿宋_GB2312"/>
          <w:b/>
          <w:sz w:val="28"/>
          <w:szCs w:val="21"/>
        </w:rPr>
        <w:t>1</w:t>
      </w:r>
      <w:r>
        <w:rPr>
          <w:rFonts w:hint="eastAsia" w:ascii="仿宋_GB2312" w:hAnsi="仿宋_GB2312" w:eastAsia="仿宋_GB2312" w:cs="仿宋_GB2312"/>
          <w:b/>
          <w:sz w:val="28"/>
          <w:szCs w:val="21"/>
          <w:lang w:val="en-US" w:eastAsia="zh-CN"/>
        </w:rPr>
        <w:t>2</w:t>
      </w:r>
      <w:r>
        <w:rPr>
          <w:rFonts w:hint="eastAsia" w:ascii="仿宋_GB2312" w:hAnsi="仿宋_GB2312" w:eastAsia="仿宋_GB2312" w:cs="仿宋_GB2312"/>
          <w:b/>
          <w:sz w:val="28"/>
          <w:szCs w:val="21"/>
          <w:lang w:val="en-US" w:eastAsia="zh-CN"/>
        </w:rPr>
        <w:fldChar w:fldCharType="end"/>
      </w:r>
    </w:p>
    <w:p>
      <w:pPr>
        <w:widowControl/>
        <w:tabs>
          <w:tab w:val="right" w:leader="dot" w:pos="8640"/>
        </w:tabs>
        <w:autoSpaceDE/>
        <w:autoSpaceDN/>
        <w:adjustRightInd/>
        <w:spacing w:beforeLines="0" w:afterLines="0"/>
        <w:rPr>
          <w:rFonts w:hint="eastAsia" w:ascii="仿宋_GB2312" w:hAnsi="仿宋_GB2312" w:eastAsia="仿宋_GB2312" w:cs="仿宋_GB2312"/>
          <w:b/>
          <w:sz w:val="28"/>
          <w:szCs w:val="21"/>
        </w:rPr>
      </w:pPr>
      <w:r>
        <w:rPr>
          <w:rFonts w:hint="eastAsia" w:ascii="仿宋_GB2312" w:hAnsi="仿宋_GB2312" w:eastAsia="仿宋_GB2312" w:cs="仿宋_GB2312"/>
          <w:b/>
          <w:sz w:val="28"/>
          <w:szCs w:val="21"/>
        </w:rPr>
        <w:fldChar w:fldCharType="begin"/>
      </w:r>
      <w:r>
        <w:rPr>
          <w:rFonts w:hint="eastAsia" w:ascii="仿宋_GB2312" w:hAnsi="仿宋_GB2312" w:eastAsia="仿宋_GB2312" w:cs="仿宋_GB2312"/>
          <w:b/>
          <w:sz w:val="28"/>
          <w:szCs w:val="21"/>
        </w:rPr>
        <w:instrText xml:space="preserve"> HYPERLINK \l _Toc30066 </w:instrText>
      </w:r>
      <w:r>
        <w:rPr>
          <w:rFonts w:hint="eastAsia" w:ascii="仿宋_GB2312" w:hAnsi="仿宋_GB2312" w:eastAsia="仿宋_GB2312" w:cs="仿宋_GB2312"/>
          <w:b/>
          <w:sz w:val="28"/>
          <w:szCs w:val="21"/>
        </w:rPr>
        <w:fldChar w:fldCharType="separate"/>
      </w:r>
      <w:r>
        <w:rPr>
          <w:rFonts w:hint="eastAsia" w:ascii="仿宋_GB2312" w:hAnsi="仿宋_GB2312" w:eastAsia="仿宋_GB2312" w:cs="仿宋_GB2312"/>
          <w:b/>
          <w:kern w:val="2"/>
          <w:sz w:val="28"/>
          <w:szCs w:val="48"/>
        </w:rPr>
        <w:t>第</w:t>
      </w:r>
      <w:r>
        <w:rPr>
          <w:rFonts w:hint="eastAsia" w:ascii="仿宋_GB2312" w:hAnsi="仿宋_GB2312" w:eastAsia="仿宋_GB2312" w:cs="仿宋_GB2312"/>
          <w:b/>
          <w:kern w:val="44"/>
          <w:sz w:val="28"/>
          <w:szCs w:val="48"/>
        </w:rPr>
        <w:t>四部分 附件</w:t>
      </w:r>
      <w:r>
        <w:rPr>
          <w:rFonts w:hint="eastAsia" w:ascii="仿宋_GB2312" w:hAnsi="仿宋_GB2312" w:eastAsia="仿宋_GB2312" w:cs="仿宋_GB2312"/>
          <w:b/>
          <w:sz w:val="28"/>
          <w:szCs w:val="21"/>
        </w:rPr>
        <w:tab/>
      </w:r>
      <w:r>
        <w:rPr>
          <w:rFonts w:hint="eastAsia" w:ascii="仿宋_GB2312" w:hAnsi="仿宋_GB2312" w:eastAsia="仿宋_GB2312" w:cs="仿宋_GB2312"/>
          <w:b/>
          <w:sz w:val="28"/>
          <w:szCs w:val="21"/>
        </w:rPr>
        <w:t>1</w:t>
      </w:r>
      <w:r>
        <w:rPr>
          <w:rFonts w:hint="eastAsia" w:ascii="仿宋_GB2312" w:hAnsi="仿宋_GB2312" w:eastAsia="仿宋_GB2312" w:cs="仿宋_GB2312"/>
          <w:b/>
          <w:sz w:val="28"/>
          <w:szCs w:val="21"/>
          <w:lang w:val="en-US" w:eastAsia="zh-CN"/>
        </w:rPr>
        <w:t>4</w:t>
      </w:r>
      <w:r>
        <w:rPr>
          <w:rFonts w:hint="eastAsia" w:ascii="仿宋_GB2312" w:hAnsi="仿宋_GB2312" w:eastAsia="仿宋_GB2312" w:cs="仿宋_GB2312"/>
          <w:b/>
          <w:sz w:val="28"/>
          <w:szCs w:val="21"/>
          <w:lang w:val="en-US" w:eastAsia="zh-CN"/>
        </w:rPr>
        <w:fldChar w:fldCharType="end"/>
      </w:r>
    </w:p>
    <w:p>
      <w:pPr>
        <w:widowControl/>
        <w:tabs>
          <w:tab w:val="right" w:leader="dot" w:pos="8640"/>
        </w:tabs>
        <w:autoSpaceDE/>
        <w:autoSpaceDN/>
        <w:adjustRightInd/>
        <w:spacing w:beforeLines="0" w:afterLines="0"/>
        <w:rPr>
          <w:rFonts w:hint="eastAsia" w:ascii="仿宋_GB2312" w:hAnsi="仿宋_GB2312" w:eastAsia="仿宋_GB2312" w:cs="仿宋_GB2312"/>
          <w:b/>
          <w:sz w:val="28"/>
          <w:szCs w:val="21"/>
          <w:lang w:val="en-US" w:eastAsia="zh-CN"/>
        </w:rPr>
      </w:pPr>
      <w:r>
        <w:rPr>
          <w:rFonts w:hint="eastAsia" w:ascii="仿宋_GB2312" w:hAnsi="仿宋_GB2312" w:eastAsia="仿宋_GB2312" w:cs="仿宋_GB2312"/>
          <w:b/>
          <w:sz w:val="28"/>
          <w:szCs w:val="21"/>
        </w:rPr>
        <w:fldChar w:fldCharType="begin"/>
      </w:r>
      <w:r>
        <w:rPr>
          <w:rFonts w:hint="eastAsia" w:ascii="仿宋_GB2312" w:hAnsi="仿宋_GB2312" w:eastAsia="仿宋_GB2312" w:cs="仿宋_GB2312"/>
          <w:b/>
          <w:sz w:val="28"/>
          <w:szCs w:val="21"/>
        </w:rPr>
        <w:instrText xml:space="preserve"> HYPERLINK \l _Toc20249 </w:instrText>
      </w:r>
      <w:r>
        <w:rPr>
          <w:rFonts w:hint="eastAsia" w:ascii="仿宋_GB2312" w:hAnsi="仿宋_GB2312" w:eastAsia="仿宋_GB2312" w:cs="仿宋_GB2312"/>
          <w:b/>
          <w:sz w:val="28"/>
          <w:szCs w:val="21"/>
        </w:rPr>
        <w:fldChar w:fldCharType="separate"/>
      </w:r>
      <w:r>
        <w:rPr>
          <w:rFonts w:hint="eastAsia" w:ascii="仿宋_GB2312" w:hAnsi="仿宋_GB2312" w:eastAsia="仿宋_GB2312" w:cs="仿宋_GB2312"/>
          <w:b/>
          <w:kern w:val="2"/>
          <w:sz w:val="28"/>
          <w:szCs w:val="48"/>
        </w:rPr>
        <w:t>第</w:t>
      </w:r>
      <w:r>
        <w:rPr>
          <w:rFonts w:hint="eastAsia" w:ascii="仿宋_GB2312" w:hAnsi="仿宋_GB2312" w:eastAsia="仿宋_GB2312" w:cs="仿宋_GB2312"/>
          <w:b/>
          <w:kern w:val="44"/>
          <w:sz w:val="28"/>
          <w:szCs w:val="48"/>
        </w:rPr>
        <w:t>五部分 附表</w:t>
      </w:r>
      <w:r>
        <w:rPr>
          <w:rFonts w:hint="eastAsia" w:ascii="仿宋_GB2312" w:hAnsi="仿宋_GB2312" w:eastAsia="仿宋_GB2312" w:cs="仿宋_GB2312"/>
          <w:b/>
          <w:sz w:val="28"/>
          <w:szCs w:val="21"/>
        </w:rPr>
        <w:tab/>
      </w:r>
      <w:r>
        <w:rPr>
          <w:rFonts w:hint="eastAsia" w:ascii="仿宋_GB2312" w:hAnsi="仿宋_GB2312" w:eastAsia="仿宋_GB2312" w:cs="仿宋_GB2312"/>
          <w:b/>
          <w:sz w:val="28"/>
          <w:szCs w:val="21"/>
          <w:lang w:val="en-US" w:eastAsia="zh-CN"/>
        </w:rPr>
        <w:t>2</w:t>
      </w:r>
      <w:r>
        <w:rPr>
          <w:rFonts w:hint="eastAsia" w:ascii="仿宋_GB2312" w:hAnsi="仿宋_GB2312" w:eastAsia="仿宋_GB2312" w:cs="仿宋_GB2312"/>
          <w:b/>
          <w:sz w:val="28"/>
          <w:szCs w:val="21"/>
          <w:lang w:val="en-US" w:eastAsia="zh-CN"/>
        </w:rPr>
        <w:fldChar w:fldCharType="end"/>
      </w:r>
      <w:r>
        <w:rPr>
          <w:rFonts w:hint="eastAsia" w:ascii="仿宋_GB2312" w:hAnsi="仿宋_GB2312" w:eastAsia="仿宋_GB2312" w:cs="仿宋_GB2312"/>
          <w:b/>
          <w:sz w:val="28"/>
          <w:szCs w:val="21"/>
          <w:lang w:val="en-US" w:eastAsia="zh-CN"/>
        </w:rPr>
        <w:t>0</w:t>
      </w:r>
    </w:p>
    <w:p>
      <w:pPr>
        <w:widowControl/>
        <w:tabs>
          <w:tab w:val="right" w:leader="dot" w:pos="8640"/>
        </w:tabs>
        <w:autoSpaceDE/>
        <w:autoSpaceDN/>
        <w:adjustRightInd/>
        <w:spacing w:beforeLines="0" w:afterLines="0"/>
        <w:ind w:left="480" w:leftChars="200"/>
        <w:rPr>
          <w:rFonts w:hint="eastAsia" w:ascii="仿宋_GB2312" w:hAnsi="仿宋_GB2312" w:eastAsia="仿宋_GB2312" w:cs="仿宋_GB2312"/>
          <w:sz w:val="28"/>
          <w:szCs w:val="21"/>
          <w:lang w:val="en-US" w:eastAsia="zh-CN"/>
        </w:rPr>
      </w:pPr>
      <w:r>
        <w:rPr>
          <w:rFonts w:hint="eastAsia" w:ascii="仿宋_GB2312" w:hAnsi="仿宋_GB2312" w:eastAsia="仿宋_GB2312" w:cs="仿宋_GB2312"/>
          <w:sz w:val="28"/>
          <w:szCs w:val="21"/>
        </w:rPr>
        <w:fldChar w:fldCharType="begin"/>
      </w:r>
      <w:r>
        <w:rPr>
          <w:rFonts w:hint="eastAsia" w:ascii="仿宋_GB2312" w:hAnsi="仿宋_GB2312" w:eastAsia="仿宋_GB2312" w:cs="仿宋_GB2312"/>
          <w:sz w:val="28"/>
          <w:szCs w:val="21"/>
        </w:rPr>
        <w:instrText xml:space="preserve"> HYPERLINK \l _Toc9965 </w:instrText>
      </w:r>
      <w:r>
        <w:rPr>
          <w:rFonts w:hint="eastAsia" w:ascii="仿宋_GB2312" w:hAnsi="仿宋_GB2312" w:eastAsia="仿宋_GB2312" w:cs="仿宋_GB2312"/>
          <w:sz w:val="28"/>
          <w:szCs w:val="21"/>
        </w:rPr>
        <w:fldChar w:fldCharType="separate"/>
      </w:r>
      <w:r>
        <w:rPr>
          <w:rFonts w:hint="eastAsia" w:ascii="仿宋_GB2312" w:hAnsi="仿宋_GB2312" w:eastAsia="仿宋_GB2312" w:cs="仿宋_GB2312"/>
          <w:kern w:val="2"/>
          <w:sz w:val="28"/>
          <w:szCs w:val="36"/>
        </w:rPr>
        <w:t>一、收入支出决算总表</w:t>
      </w:r>
      <w:r>
        <w:rPr>
          <w:rFonts w:hint="eastAsia" w:ascii="仿宋_GB2312" w:hAnsi="仿宋_GB2312" w:eastAsia="仿宋_GB2312" w:cs="仿宋_GB2312"/>
          <w:sz w:val="28"/>
          <w:szCs w:val="21"/>
        </w:rPr>
        <w:tab/>
      </w:r>
      <w:r>
        <w:rPr>
          <w:rFonts w:hint="eastAsia" w:ascii="仿宋_GB2312" w:hAnsi="仿宋_GB2312" w:eastAsia="仿宋_GB2312" w:cs="仿宋_GB2312"/>
          <w:sz w:val="28"/>
          <w:szCs w:val="21"/>
          <w:lang w:val="en-US" w:eastAsia="zh-CN"/>
        </w:rPr>
        <w:t>2</w:t>
      </w:r>
      <w:r>
        <w:rPr>
          <w:rFonts w:hint="eastAsia" w:ascii="仿宋_GB2312" w:hAnsi="仿宋_GB2312" w:eastAsia="仿宋_GB2312" w:cs="仿宋_GB2312"/>
          <w:sz w:val="28"/>
          <w:szCs w:val="21"/>
          <w:lang w:val="en-US" w:eastAsia="zh-CN"/>
        </w:rPr>
        <w:fldChar w:fldCharType="end"/>
      </w:r>
      <w:r>
        <w:rPr>
          <w:rFonts w:hint="eastAsia" w:ascii="仿宋_GB2312" w:hAnsi="仿宋_GB2312" w:eastAsia="仿宋_GB2312" w:cs="仿宋_GB2312"/>
          <w:sz w:val="28"/>
          <w:szCs w:val="21"/>
          <w:lang w:val="en-US" w:eastAsia="zh-CN"/>
        </w:rPr>
        <w:t>0</w:t>
      </w:r>
    </w:p>
    <w:p>
      <w:pPr>
        <w:widowControl/>
        <w:tabs>
          <w:tab w:val="right" w:leader="dot" w:pos="8640"/>
        </w:tabs>
        <w:autoSpaceDE/>
        <w:autoSpaceDN/>
        <w:adjustRightInd/>
        <w:spacing w:beforeLines="0" w:afterLines="0"/>
        <w:ind w:left="480" w:leftChars="200"/>
        <w:rPr>
          <w:rFonts w:hint="eastAsia" w:ascii="仿宋_GB2312" w:hAnsi="仿宋_GB2312" w:eastAsia="仿宋_GB2312" w:cs="仿宋_GB2312"/>
          <w:sz w:val="28"/>
          <w:szCs w:val="21"/>
          <w:lang w:val="en-US" w:eastAsia="zh-CN"/>
        </w:rPr>
      </w:pPr>
      <w:r>
        <w:rPr>
          <w:rFonts w:hint="eastAsia" w:ascii="仿宋_GB2312" w:hAnsi="仿宋_GB2312" w:eastAsia="仿宋_GB2312" w:cs="仿宋_GB2312"/>
          <w:sz w:val="28"/>
          <w:szCs w:val="21"/>
        </w:rPr>
        <w:fldChar w:fldCharType="begin"/>
      </w:r>
      <w:r>
        <w:rPr>
          <w:rFonts w:hint="eastAsia" w:ascii="仿宋_GB2312" w:hAnsi="仿宋_GB2312" w:eastAsia="仿宋_GB2312" w:cs="仿宋_GB2312"/>
          <w:sz w:val="28"/>
          <w:szCs w:val="21"/>
        </w:rPr>
        <w:instrText xml:space="preserve"> HYPERLINK \l _Toc19782 </w:instrText>
      </w:r>
      <w:r>
        <w:rPr>
          <w:rFonts w:hint="eastAsia" w:ascii="仿宋_GB2312" w:hAnsi="仿宋_GB2312" w:eastAsia="仿宋_GB2312" w:cs="仿宋_GB2312"/>
          <w:sz w:val="28"/>
          <w:szCs w:val="21"/>
        </w:rPr>
        <w:fldChar w:fldCharType="separate"/>
      </w:r>
      <w:r>
        <w:rPr>
          <w:rFonts w:hint="eastAsia" w:ascii="仿宋_GB2312" w:hAnsi="仿宋_GB2312" w:eastAsia="仿宋_GB2312" w:cs="仿宋_GB2312"/>
          <w:kern w:val="2"/>
          <w:sz w:val="28"/>
          <w:szCs w:val="36"/>
        </w:rPr>
        <w:t>二、收入决算表</w:t>
      </w:r>
      <w:r>
        <w:rPr>
          <w:rFonts w:hint="eastAsia" w:ascii="仿宋_GB2312" w:hAnsi="仿宋_GB2312" w:eastAsia="仿宋_GB2312" w:cs="仿宋_GB2312"/>
          <w:sz w:val="28"/>
          <w:szCs w:val="21"/>
        </w:rPr>
        <w:tab/>
      </w:r>
      <w:r>
        <w:rPr>
          <w:rFonts w:hint="eastAsia" w:ascii="仿宋_GB2312" w:hAnsi="仿宋_GB2312" w:eastAsia="仿宋_GB2312" w:cs="仿宋_GB2312"/>
          <w:sz w:val="28"/>
          <w:szCs w:val="21"/>
          <w:lang w:val="en-US" w:eastAsia="zh-CN"/>
        </w:rPr>
        <w:t>2</w:t>
      </w:r>
      <w:r>
        <w:rPr>
          <w:rFonts w:hint="eastAsia" w:ascii="仿宋_GB2312" w:hAnsi="仿宋_GB2312" w:eastAsia="仿宋_GB2312" w:cs="仿宋_GB2312"/>
          <w:sz w:val="28"/>
          <w:szCs w:val="21"/>
          <w:lang w:val="en-US" w:eastAsia="zh-CN"/>
        </w:rPr>
        <w:fldChar w:fldCharType="end"/>
      </w:r>
      <w:r>
        <w:rPr>
          <w:rFonts w:hint="eastAsia" w:ascii="仿宋_GB2312" w:hAnsi="仿宋_GB2312" w:eastAsia="仿宋_GB2312" w:cs="仿宋_GB2312"/>
          <w:sz w:val="28"/>
          <w:szCs w:val="21"/>
          <w:lang w:val="en-US" w:eastAsia="zh-CN"/>
        </w:rPr>
        <w:t>0</w:t>
      </w:r>
    </w:p>
    <w:p>
      <w:pPr>
        <w:widowControl/>
        <w:tabs>
          <w:tab w:val="right" w:leader="dot" w:pos="8640"/>
        </w:tabs>
        <w:autoSpaceDE/>
        <w:autoSpaceDN/>
        <w:adjustRightInd/>
        <w:spacing w:beforeLines="0" w:afterLines="0"/>
        <w:ind w:left="480" w:leftChars="200"/>
        <w:rPr>
          <w:rFonts w:hint="eastAsia" w:ascii="仿宋_GB2312" w:hAnsi="仿宋_GB2312" w:eastAsia="仿宋_GB2312" w:cs="仿宋_GB2312"/>
          <w:sz w:val="28"/>
          <w:szCs w:val="21"/>
          <w:lang w:val="en-US" w:eastAsia="zh-CN"/>
        </w:rPr>
      </w:pPr>
      <w:r>
        <w:rPr>
          <w:rFonts w:hint="eastAsia" w:ascii="仿宋_GB2312" w:hAnsi="仿宋_GB2312" w:eastAsia="仿宋_GB2312" w:cs="仿宋_GB2312"/>
          <w:sz w:val="28"/>
          <w:szCs w:val="21"/>
        </w:rPr>
        <w:fldChar w:fldCharType="begin"/>
      </w:r>
      <w:r>
        <w:rPr>
          <w:rFonts w:hint="eastAsia" w:ascii="仿宋_GB2312" w:hAnsi="仿宋_GB2312" w:eastAsia="仿宋_GB2312" w:cs="仿宋_GB2312"/>
          <w:sz w:val="28"/>
          <w:szCs w:val="21"/>
        </w:rPr>
        <w:instrText xml:space="preserve"> HYPERLINK \l _Toc31791 </w:instrText>
      </w:r>
      <w:r>
        <w:rPr>
          <w:rFonts w:hint="eastAsia" w:ascii="仿宋_GB2312" w:hAnsi="仿宋_GB2312" w:eastAsia="仿宋_GB2312" w:cs="仿宋_GB2312"/>
          <w:sz w:val="28"/>
          <w:szCs w:val="21"/>
        </w:rPr>
        <w:fldChar w:fldCharType="separate"/>
      </w:r>
      <w:r>
        <w:rPr>
          <w:rFonts w:hint="eastAsia" w:ascii="仿宋_GB2312" w:hAnsi="仿宋_GB2312" w:eastAsia="仿宋_GB2312" w:cs="仿宋_GB2312"/>
          <w:kern w:val="2"/>
          <w:sz w:val="28"/>
          <w:szCs w:val="36"/>
        </w:rPr>
        <w:t>三、支出决算表</w:t>
      </w:r>
      <w:r>
        <w:rPr>
          <w:rFonts w:hint="eastAsia" w:ascii="仿宋_GB2312" w:hAnsi="仿宋_GB2312" w:eastAsia="仿宋_GB2312" w:cs="仿宋_GB2312"/>
          <w:sz w:val="28"/>
          <w:szCs w:val="21"/>
        </w:rPr>
        <w:tab/>
      </w:r>
      <w:r>
        <w:rPr>
          <w:rFonts w:hint="eastAsia" w:ascii="仿宋_GB2312" w:hAnsi="仿宋_GB2312" w:eastAsia="仿宋_GB2312" w:cs="仿宋_GB2312"/>
          <w:sz w:val="28"/>
          <w:szCs w:val="21"/>
          <w:lang w:val="en-US" w:eastAsia="zh-CN"/>
        </w:rPr>
        <w:t>2</w:t>
      </w:r>
      <w:r>
        <w:rPr>
          <w:rFonts w:hint="eastAsia" w:ascii="仿宋_GB2312" w:hAnsi="仿宋_GB2312" w:eastAsia="仿宋_GB2312" w:cs="仿宋_GB2312"/>
          <w:sz w:val="28"/>
          <w:szCs w:val="21"/>
          <w:lang w:val="en-US" w:eastAsia="zh-CN"/>
        </w:rPr>
        <w:fldChar w:fldCharType="end"/>
      </w:r>
      <w:r>
        <w:rPr>
          <w:rFonts w:hint="eastAsia" w:ascii="仿宋_GB2312" w:hAnsi="仿宋_GB2312" w:eastAsia="仿宋_GB2312" w:cs="仿宋_GB2312"/>
          <w:sz w:val="28"/>
          <w:szCs w:val="21"/>
          <w:lang w:val="en-US" w:eastAsia="zh-CN"/>
        </w:rPr>
        <w:t>0</w:t>
      </w:r>
    </w:p>
    <w:p>
      <w:pPr>
        <w:widowControl/>
        <w:tabs>
          <w:tab w:val="right" w:leader="dot" w:pos="8640"/>
        </w:tabs>
        <w:autoSpaceDE/>
        <w:autoSpaceDN/>
        <w:adjustRightInd/>
        <w:spacing w:beforeLines="0" w:afterLines="0"/>
        <w:ind w:left="480" w:leftChars="200"/>
        <w:rPr>
          <w:rFonts w:hint="eastAsia" w:ascii="仿宋_GB2312" w:hAnsi="仿宋_GB2312" w:eastAsia="仿宋_GB2312" w:cs="仿宋_GB2312"/>
          <w:sz w:val="28"/>
          <w:szCs w:val="21"/>
          <w:lang w:val="en-US" w:eastAsia="zh-CN"/>
        </w:rPr>
      </w:pPr>
      <w:r>
        <w:rPr>
          <w:rFonts w:hint="eastAsia" w:ascii="仿宋_GB2312" w:hAnsi="仿宋_GB2312" w:eastAsia="仿宋_GB2312" w:cs="仿宋_GB2312"/>
          <w:sz w:val="28"/>
          <w:szCs w:val="21"/>
        </w:rPr>
        <w:fldChar w:fldCharType="begin"/>
      </w:r>
      <w:r>
        <w:rPr>
          <w:rFonts w:hint="eastAsia" w:ascii="仿宋_GB2312" w:hAnsi="仿宋_GB2312" w:eastAsia="仿宋_GB2312" w:cs="仿宋_GB2312"/>
          <w:sz w:val="28"/>
          <w:szCs w:val="21"/>
        </w:rPr>
        <w:instrText xml:space="preserve"> HYPERLINK \l _Toc18248 </w:instrText>
      </w:r>
      <w:r>
        <w:rPr>
          <w:rFonts w:hint="eastAsia" w:ascii="仿宋_GB2312" w:hAnsi="仿宋_GB2312" w:eastAsia="仿宋_GB2312" w:cs="仿宋_GB2312"/>
          <w:sz w:val="28"/>
          <w:szCs w:val="21"/>
        </w:rPr>
        <w:fldChar w:fldCharType="separate"/>
      </w:r>
      <w:r>
        <w:rPr>
          <w:rFonts w:hint="eastAsia" w:ascii="仿宋_GB2312" w:hAnsi="仿宋_GB2312" w:eastAsia="仿宋_GB2312" w:cs="仿宋_GB2312"/>
          <w:kern w:val="2"/>
          <w:sz w:val="28"/>
          <w:szCs w:val="36"/>
        </w:rPr>
        <w:t>四、财政拨款收入支出决算总表</w:t>
      </w:r>
      <w:r>
        <w:rPr>
          <w:rFonts w:hint="eastAsia" w:ascii="仿宋_GB2312" w:hAnsi="仿宋_GB2312" w:eastAsia="仿宋_GB2312" w:cs="仿宋_GB2312"/>
          <w:sz w:val="28"/>
          <w:szCs w:val="21"/>
        </w:rPr>
        <w:tab/>
      </w:r>
      <w:r>
        <w:rPr>
          <w:rFonts w:hint="eastAsia" w:ascii="仿宋_GB2312" w:hAnsi="仿宋_GB2312" w:eastAsia="仿宋_GB2312" w:cs="仿宋_GB2312"/>
          <w:sz w:val="28"/>
          <w:szCs w:val="21"/>
          <w:lang w:val="en-US" w:eastAsia="zh-CN"/>
        </w:rPr>
        <w:t>2</w:t>
      </w:r>
      <w:r>
        <w:rPr>
          <w:rFonts w:hint="eastAsia" w:ascii="仿宋_GB2312" w:hAnsi="仿宋_GB2312" w:eastAsia="仿宋_GB2312" w:cs="仿宋_GB2312"/>
          <w:sz w:val="28"/>
          <w:szCs w:val="21"/>
          <w:lang w:val="en-US" w:eastAsia="zh-CN"/>
        </w:rPr>
        <w:fldChar w:fldCharType="end"/>
      </w:r>
      <w:r>
        <w:rPr>
          <w:rFonts w:hint="eastAsia" w:ascii="仿宋_GB2312" w:hAnsi="仿宋_GB2312" w:eastAsia="仿宋_GB2312" w:cs="仿宋_GB2312"/>
          <w:sz w:val="28"/>
          <w:szCs w:val="21"/>
          <w:lang w:val="en-US" w:eastAsia="zh-CN"/>
        </w:rPr>
        <w:t>0</w:t>
      </w:r>
    </w:p>
    <w:p>
      <w:pPr>
        <w:widowControl/>
        <w:tabs>
          <w:tab w:val="right" w:leader="dot" w:pos="8640"/>
        </w:tabs>
        <w:autoSpaceDE/>
        <w:autoSpaceDN/>
        <w:adjustRightInd/>
        <w:spacing w:beforeLines="0" w:afterLines="0"/>
        <w:ind w:left="480" w:leftChars="200"/>
        <w:rPr>
          <w:rFonts w:hint="eastAsia" w:ascii="仿宋_GB2312" w:hAnsi="仿宋_GB2312" w:eastAsia="仿宋_GB2312" w:cs="仿宋_GB2312"/>
          <w:sz w:val="28"/>
          <w:szCs w:val="21"/>
          <w:lang w:val="en-US" w:eastAsia="zh-CN"/>
        </w:rPr>
      </w:pPr>
      <w:r>
        <w:rPr>
          <w:rFonts w:hint="eastAsia" w:ascii="仿宋_GB2312" w:hAnsi="仿宋_GB2312" w:eastAsia="仿宋_GB2312" w:cs="仿宋_GB2312"/>
          <w:sz w:val="28"/>
          <w:szCs w:val="21"/>
        </w:rPr>
        <w:fldChar w:fldCharType="begin"/>
      </w:r>
      <w:r>
        <w:rPr>
          <w:rFonts w:hint="eastAsia" w:ascii="仿宋_GB2312" w:hAnsi="仿宋_GB2312" w:eastAsia="仿宋_GB2312" w:cs="仿宋_GB2312"/>
          <w:sz w:val="28"/>
          <w:szCs w:val="21"/>
        </w:rPr>
        <w:instrText xml:space="preserve"> HYPERLINK \l _Toc25968 </w:instrText>
      </w:r>
      <w:r>
        <w:rPr>
          <w:rFonts w:hint="eastAsia" w:ascii="仿宋_GB2312" w:hAnsi="仿宋_GB2312" w:eastAsia="仿宋_GB2312" w:cs="仿宋_GB2312"/>
          <w:sz w:val="28"/>
          <w:szCs w:val="21"/>
        </w:rPr>
        <w:fldChar w:fldCharType="separate"/>
      </w:r>
      <w:r>
        <w:rPr>
          <w:rFonts w:hint="eastAsia" w:ascii="仿宋_GB2312" w:hAnsi="仿宋_GB2312" w:eastAsia="仿宋_GB2312" w:cs="仿宋_GB2312"/>
          <w:kern w:val="2"/>
          <w:sz w:val="28"/>
          <w:szCs w:val="36"/>
        </w:rPr>
        <w:t>五、财政拨款支出决算明细表</w:t>
      </w:r>
      <w:r>
        <w:rPr>
          <w:rFonts w:hint="eastAsia" w:ascii="仿宋_GB2312" w:hAnsi="仿宋_GB2312" w:eastAsia="仿宋_GB2312" w:cs="仿宋_GB2312"/>
          <w:sz w:val="28"/>
          <w:szCs w:val="21"/>
        </w:rPr>
        <w:tab/>
      </w:r>
      <w:r>
        <w:rPr>
          <w:rFonts w:hint="eastAsia" w:ascii="仿宋_GB2312" w:hAnsi="仿宋_GB2312" w:eastAsia="仿宋_GB2312" w:cs="仿宋_GB2312"/>
          <w:sz w:val="28"/>
          <w:szCs w:val="21"/>
          <w:lang w:val="en-US" w:eastAsia="zh-CN"/>
        </w:rPr>
        <w:t>2</w:t>
      </w:r>
      <w:r>
        <w:rPr>
          <w:rFonts w:hint="eastAsia" w:ascii="仿宋_GB2312" w:hAnsi="仿宋_GB2312" w:eastAsia="仿宋_GB2312" w:cs="仿宋_GB2312"/>
          <w:sz w:val="28"/>
          <w:szCs w:val="21"/>
          <w:lang w:val="en-US" w:eastAsia="zh-CN"/>
        </w:rPr>
        <w:fldChar w:fldCharType="end"/>
      </w:r>
      <w:r>
        <w:rPr>
          <w:rFonts w:hint="eastAsia" w:ascii="仿宋_GB2312" w:hAnsi="仿宋_GB2312" w:eastAsia="仿宋_GB2312" w:cs="仿宋_GB2312"/>
          <w:sz w:val="28"/>
          <w:szCs w:val="21"/>
          <w:lang w:val="en-US" w:eastAsia="zh-CN"/>
        </w:rPr>
        <w:t>0</w:t>
      </w:r>
    </w:p>
    <w:p>
      <w:pPr>
        <w:widowControl/>
        <w:tabs>
          <w:tab w:val="right" w:leader="dot" w:pos="8640"/>
        </w:tabs>
        <w:autoSpaceDE/>
        <w:autoSpaceDN/>
        <w:adjustRightInd/>
        <w:spacing w:beforeLines="0" w:afterLines="0"/>
        <w:ind w:left="480" w:leftChars="200"/>
        <w:rPr>
          <w:rFonts w:hint="eastAsia" w:ascii="仿宋_GB2312" w:hAnsi="仿宋_GB2312" w:eastAsia="仿宋_GB2312" w:cs="仿宋_GB2312"/>
          <w:sz w:val="28"/>
          <w:szCs w:val="21"/>
          <w:lang w:val="en-US" w:eastAsia="zh-CN"/>
        </w:rPr>
      </w:pPr>
      <w:r>
        <w:rPr>
          <w:rFonts w:hint="eastAsia" w:ascii="仿宋_GB2312" w:hAnsi="仿宋_GB2312" w:eastAsia="仿宋_GB2312" w:cs="仿宋_GB2312"/>
          <w:sz w:val="28"/>
          <w:szCs w:val="21"/>
        </w:rPr>
        <w:fldChar w:fldCharType="begin"/>
      </w:r>
      <w:r>
        <w:rPr>
          <w:rFonts w:hint="eastAsia" w:ascii="仿宋_GB2312" w:hAnsi="仿宋_GB2312" w:eastAsia="仿宋_GB2312" w:cs="仿宋_GB2312"/>
          <w:sz w:val="28"/>
          <w:szCs w:val="21"/>
        </w:rPr>
        <w:instrText xml:space="preserve"> HYPERLINK \l _Toc14291 </w:instrText>
      </w:r>
      <w:r>
        <w:rPr>
          <w:rFonts w:hint="eastAsia" w:ascii="仿宋_GB2312" w:hAnsi="仿宋_GB2312" w:eastAsia="仿宋_GB2312" w:cs="仿宋_GB2312"/>
          <w:sz w:val="28"/>
          <w:szCs w:val="21"/>
        </w:rPr>
        <w:fldChar w:fldCharType="separate"/>
      </w:r>
      <w:r>
        <w:rPr>
          <w:rFonts w:hint="eastAsia" w:ascii="仿宋_GB2312" w:hAnsi="仿宋_GB2312" w:eastAsia="仿宋_GB2312" w:cs="仿宋_GB2312"/>
          <w:kern w:val="2"/>
          <w:sz w:val="28"/>
          <w:szCs w:val="36"/>
        </w:rPr>
        <w:t>六、一般公共预算财政拨款支出决算表</w:t>
      </w:r>
      <w:r>
        <w:rPr>
          <w:rFonts w:hint="eastAsia" w:ascii="仿宋_GB2312" w:hAnsi="仿宋_GB2312" w:eastAsia="仿宋_GB2312" w:cs="仿宋_GB2312"/>
          <w:sz w:val="28"/>
          <w:szCs w:val="21"/>
        </w:rPr>
        <w:tab/>
      </w:r>
      <w:r>
        <w:rPr>
          <w:rFonts w:hint="eastAsia" w:ascii="仿宋_GB2312" w:hAnsi="仿宋_GB2312" w:eastAsia="仿宋_GB2312" w:cs="仿宋_GB2312"/>
          <w:sz w:val="28"/>
          <w:szCs w:val="21"/>
          <w:lang w:val="en-US" w:eastAsia="zh-CN"/>
        </w:rPr>
        <w:t>2</w:t>
      </w:r>
      <w:r>
        <w:rPr>
          <w:rFonts w:hint="eastAsia" w:ascii="仿宋_GB2312" w:hAnsi="仿宋_GB2312" w:eastAsia="仿宋_GB2312" w:cs="仿宋_GB2312"/>
          <w:sz w:val="28"/>
          <w:szCs w:val="21"/>
          <w:lang w:val="en-US" w:eastAsia="zh-CN"/>
        </w:rPr>
        <w:fldChar w:fldCharType="end"/>
      </w:r>
      <w:r>
        <w:rPr>
          <w:rFonts w:hint="eastAsia" w:ascii="仿宋_GB2312" w:hAnsi="仿宋_GB2312" w:eastAsia="仿宋_GB2312" w:cs="仿宋_GB2312"/>
          <w:sz w:val="28"/>
          <w:szCs w:val="21"/>
          <w:lang w:val="en-US" w:eastAsia="zh-CN"/>
        </w:rPr>
        <w:t>0</w:t>
      </w:r>
    </w:p>
    <w:p>
      <w:pPr>
        <w:widowControl/>
        <w:tabs>
          <w:tab w:val="right" w:leader="dot" w:pos="8640"/>
        </w:tabs>
        <w:autoSpaceDE/>
        <w:autoSpaceDN/>
        <w:adjustRightInd/>
        <w:spacing w:beforeLines="0" w:afterLines="0"/>
        <w:ind w:left="480" w:leftChars="200"/>
        <w:rPr>
          <w:rFonts w:hint="eastAsia" w:ascii="仿宋_GB2312" w:hAnsi="仿宋_GB2312" w:eastAsia="仿宋_GB2312" w:cs="仿宋_GB2312"/>
          <w:sz w:val="28"/>
          <w:szCs w:val="21"/>
          <w:lang w:val="en-US" w:eastAsia="zh-CN"/>
        </w:rPr>
      </w:pPr>
      <w:r>
        <w:rPr>
          <w:rFonts w:hint="eastAsia" w:ascii="仿宋_GB2312" w:hAnsi="仿宋_GB2312" w:eastAsia="仿宋_GB2312" w:cs="仿宋_GB2312"/>
          <w:sz w:val="28"/>
          <w:szCs w:val="21"/>
        </w:rPr>
        <w:fldChar w:fldCharType="begin"/>
      </w:r>
      <w:r>
        <w:rPr>
          <w:rFonts w:hint="eastAsia" w:ascii="仿宋_GB2312" w:hAnsi="仿宋_GB2312" w:eastAsia="仿宋_GB2312" w:cs="仿宋_GB2312"/>
          <w:sz w:val="28"/>
          <w:szCs w:val="21"/>
        </w:rPr>
        <w:instrText xml:space="preserve"> HYPERLINK \l _Toc30851 </w:instrText>
      </w:r>
      <w:r>
        <w:rPr>
          <w:rFonts w:hint="eastAsia" w:ascii="仿宋_GB2312" w:hAnsi="仿宋_GB2312" w:eastAsia="仿宋_GB2312" w:cs="仿宋_GB2312"/>
          <w:sz w:val="28"/>
          <w:szCs w:val="21"/>
        </w:rPr>
        <w:fldChar w:fldCharType="separate"/>
      </w:r>
      <w:r>
        <w:rPr>
          <w:rFonts w:hint="eastAsia" w:ascii="仿宋_GB2312" w:hAnsi="仿宋_GB2312" w:eastAsia="仿宋_GB2312" w:cs="仿宋_GB2312"/>
          <w:kern w:val="2"/>
          <w:sz w:val="28"/>
          <w:szCs w:val="36"/>
        </w:rPr>
        <w:t>七、一般公共预算财政拨款支出决算明细表</w:t>
      </w:r>
      <w:r>
        <w:rPr>
          <w:rFonts w:hint="eastAsia" w:ascii="仿宋_GB2312" w:hAnsi="仿宋_GB2312" w:eastAsia="仿宋_GB2312" w:cs="仿宋_GB2312"/>
          <w:sz w:val="28"/>
          <w:szCs w:val="21"/>
        </w:rPr>
        <w:tab/>
      </w:r>
      <w:r>
        <w:rPr>
          <w:rFonts w:hint="eastAsia" w:ascii="仿宋_GB2312" w:hAnsi="仿宋_GB2312" w:eastAsia="仿宋_GB2312" w:cs="仿宋_GB2312"/>
          <w:sz w:val="28"/>
          <w:szCs w:val="21"/>
          <w:lang w:val="en-US" w:eastAsia="zh-CN"/>
        </w:rPr>
        <w:t>2</w:t>
      </w:r>
      <w:r>
        <w:rPr>
          <w:rFonts w:hint="eastAsia" w:ascii="仿宋_GB2312" w:hAnsi="仿宋_GB2312" w:eastAsia="仿宋_GB2312" w:cs="仿宋_GB2312"/>
          <w:sz w:val="28"/>
          <w:szCs w:val="21"/>
          <w:lang w:val="en-US" w:eastAsia="zh-CN"/>
        </w:rPr>
        <w:fldChar w:fldCharType="end"/>
      </w:r>
      <w:r>
        <w:rPr>
          <w:rFonts w:hint="eastAsia" w:ascii="仿宋_GB2312" w:hAnsi="仿宋_GB2312" w:eastAsia="仿宋_GB2312" w:cs="仿宋_GB2312"/>
          <w:sz w:val="28"/>
          <w:szCs w:val="21"/>
          <w:lang w:val="en-US" w:eastAsia="zh-CN"/>
        </w:rPr>
        <w:t>0</w:t>
      </w:r>
    </w:p>
    <w:p>
      <w:pPr>
        <w:widowControl/>
        <w:tabs>
          <w:tab w:val="right" w:leader="dot" w:pos="8640"/>
        </w:tabs>
        <w:autoSpaceDE/>
        <w:autoSpaceDN/>
        <w:adjustRightInd/>
        <w:spacing w:beforeLines="0" w:afterLines="0"/>
        <w:ind w:left="480" w:leftChars="200"/>
        <w:rPr>
          <w:rFonts w:hint="eastAsia" w:ascii="仿宋_GB2312" w:hAnsi="仿宋_GB2312" w:eastAsia="仿宋_GB2312" w:cs="仿宋_GB2312"/>
          <w:sz w:val="28"/>
          <w:szCs w:val="21"/>
          <w:lang w:val="en-US" w:eastAsia="zh-CN"/>
        </w:rPr>
      </w:pPr>
      <w:r>
        <w:rPr>
          <w:rFonts w:hint="eastAsia" w:ascii="仿宋_GB2312" w:hAnsi="仿宋_GB2312" w:eastAsia="仿宋_GB2312" w:cs="仿宋_GB2312"/>
          <w:sz w:val="28"/>
          <w:szCs w:val="21"/>
        </w:rPr>
        <w:fldChar w:fldCharType="begin"/>
      </w:r>
      <w:r>
        <w:rPr>
          <w:rFonts w:hint="eastAsia" w:ascii="仿宋_GB2312" w:hAnsi="仿宋_GB2312" w:eastAsia="仿宋_GB2312" w:cs="仿宋_GB2312"/>
          <w:sz w:val="28"/>
          <w:szCs w:val="21"/>
        </w:rPr>
        <w:instrText xml:space="preserve"> HYPERLINK \l _Toc5017 </w:instrText>
      </w:r>
      <w:r>
        <w:rPr>
          <w:rFonts w:hint="eastAsia" w:ascii="仿宋_GB2312" w:hAnsi="仿宋_GB2312" w:eastAsia="仿宋_GB2312" w:cs="仿宋_GB2312"/>
          <w:sz w:val="28"/>
          <w:szCs w:val="21"/>
        </w:rPr>
        <w:fldChar w:fldCharType="separate"/>
      </w:r>
      <w:r>
        <w:rPr>
          <w:rFonts w:hint="eastAsia" w:ascii="仿宋_GB2312" w:hAnsi="仿宋_GB2312" w:eastAsia="仿宋_GB2312" w:cs="仿宋_GB2312"/>
          <w:kern w:val="2"/>
          <w:sz w:val="28"/>
          <w:szCs w:val="36"/>
        </w:rPr>
        <w:t>八、一般公共预算财政拨款基本支出决算表</w:t>
      </w:r>
      <w:r>
        <w:rPr>
          <w:rFonts w:hint="eastAsia" w:ascii="仿宋_GB2312" w:hAnsi="仿宋_GB2312" w:eastAsia="仿宋_GB2312" w:cs="仿宋_GB2312"/>
          <w:sz w:val="28"/>
          <w:szCs w:val="21"/>
        </w:rPr>
        <w:tab/>
      </w:r>
      <w:r>
        <w:rPr>
          <w:rFonts w:hint="eastAsia" w:ascii="仿宋_GB2312" w:hAnsi="仿宋_GB2312" w:eastAsia="仿宋_GB2312" w:cs="仿宋_GB2312"/>
          <w:sz w:val="28"/>
          <w:szCs w:val="21"/>
          <w:lang w:val="en-US" w:eastAsia="zh-CN"/>
        </w:rPr>
        <w:t>2</w:t>
      </w:r>
      <w:r>
        <w:rPr>
          <w:rFonts w:hint="eastAsia" w:ascii="仿宋_GB2312" w:hAnsi="仿宋_GB2312" w:eastAsia="仿宋_GB2312" w:cs="仿宋_GB2312"/>
          <w:sz w:val="28"/>
          <w:szCs w:val="21"/>
          <w:lang w:val="en-US" w:eastAsia="zh-CN"/>
        </w:rPr>
        <w:fldChar w:fldCharType="end"/>
      </w:r>
      <w:r>
        <w:rPr>
          <w:rFonts w:hint="eastAsia" w:ascii="仿宋_GB2312" w:hAnsi="仿宋_GB2312" w:eastAsia="仿宋_GB2312" w:cs="仿宋_GB2312"/>
          <w:sz w:val="28"/>
          <w:szCs w:val="21"/>
          <w:lang w:val="en-US" w:eastAsia="zh-CN"/>
        </w:rPr>
        <w:t>0</w:t>
      </w:r>
    </w:p>
    <w:p>
      <w:pPr>
        <w:widowControl/>
        <w:tabs>
          <w:tab w:val="right" w:leader="dot" w:pos="8640"/>
        </w:tabs>
        <w:autoSpaceDE/>
        <w:autoSpaceDN/>
        <w:adjustRightInd/>
        <w:spacing w:beforeLines="0" w:afterLines="0"/>
        <w:ind w:left="480" w:leftChars="200"/>
        <w:rPr>
          <w:rFonts w:hint="eastAsia" w:ascii="仿宋_GB2312" w:hAnsi="仿宋_GB2312" w:eastAsia="仿宋_GB2312" w:cs="仿宋_GB2312"/>
          <w:sz w:val="28"/>
          <w:szCs w:val="21"/>
          <w:lang w:val="en-US" w:eastAsia="zh-CN"/>
        </w:rPr>
      </w:pPr>
      <w:r>
        <w:rPr>
          <w:rFonts w:hint="eastAsia" w:ascii="仿宋_GB2312" w:hAnsi="仿宋_GB2312" w:eastAsia="仿宋_GB2312" w:cs="仿宋_GB2312"/>
          <w:sz w:val="28"/>
          <w:szCs w:val="21"/>
        </w:rPr>
        <w:fldChar w:fldCharType="begin"/>
      </w:r>
      <w:r>
        <w:rPr>
          <w:rFonts w:hint="eastAsia" w:ascii="仿宋_GB2312" w:hAnsi="仿宋_GB2312" w:eastAsia="仿宋_GB2312" w:cs="仿宋_GB2312"/>
          <w:sz w:val="28"/>
          <w:szCs w:val="21"/>
        </w:rPr>
        <w:instrText xml:space="preserve"> HYPERLINK \l _Toc23771 </w:instrText>
      </w:r>
      <w:r>
        <w:rPr>
          <w:rFonts w:hint="eastAsia" w:ascii="仿宋_GB2312" w:hAnsi="仿宋_GB2312" w:eastAsia="仿宋_GB2312" w:cs="仿宋_GB2312"/>
          <w:sz w:val="28"/>
          <w:szCs w:val="21"/>
        </w:rPr>
        <w:fldChar w:fldCharType="separate"/>
      </w:r>
      <w:r>
        <w:rPr>
          <w:rFonts w:hint="eastAsia" w:ascii="仿宋_GB2312" w:hAnsi="仿宋_GB2312" w:eastAsia="仿宋_GB2312" w:cs="仿宋_GB2312"/>
          <w:kern w:val="2"/>
          <w:sz w:val="28"/>
          <w:szCs w:val="36"/>
        </w:rPr>
        <w:t>九、一般公共预算财政拨款项目支出决算表</w:t>
      </w:r>
      <w:r>
        <w:rPr>
          <w:rFonts w:hint="eastAsia" w:ascii="仿宋_GB2312" w:hAnsi="仿宋_GB2312" w:eastAsia="仿宋_GB2312" w:cs="仿宋_GB2312"/>
          <w:sz w:val="28"/>
          <w:szCs w:val="21"/>
        </w:rPr>
        <w:tab/>
      </w:r>
      <w:r>
        <w:rPr>
          <w:rFonts w:hint="eastAsia" w:ascii="仿宋_GB2312" w:hAnsi="仿宋_GB2312" w:eastAsia="仿宋_GB2312" w:cs="仿宋_GB2312"/>
          <w:sz w:val="28"/>
          <w:szCs w:val="21"/>
          <w:lang w:val="en-US" w:eastAsia="zh-CN"/>
        </w:rPr>
        <w:t>2</w:t>
      </w:r>
      <w:r>
        <w:rPr>
          <w:rFonts w:hint="eastAsia" w:ascii="仿宋_GB2312" w:hAnsi="仿宋_GB2312" w:eastAsia="仿宋_GB2312" w:cs="仿宋_GB2312"/>
          <w:sz w:val="28"/>
          <w:szCs w:val="21"/>
          <w:lang w:val="en-US" w:eastAsia="zh-CN"/>
        </w:rPr>
        <w:fldChar w:fldCharType="end"/>
      </w:r>
      <w:r>
        <w:rPr>
          <w:rFonts w:hint="eastAsia" w:ascii="仿宋_GB2312" w:hAnsi="仿宋_GB2312" w:eastAsia="仿宋_GB2312" w:cs="仿宋_GB2312"/>
          <w:sz w:val="28"/>
          <w:szCs w:val="21"/>
          <w:lang w:val="en-US" w:eastAsia="zh-CN"/>
        </w:rPr>
        <w:t>0</w:t>
      </w:r>
    </w:p>
    <w:p>
      <w:pPr>
        <w:widowControl/>
        <w:tabs>
          <w:tab w:val="right" w:leader="dot" w:pos="8640"/>
        </w:tabs>
        <w:autoSpaceDE/>
        <w:autoSpaceDN/>
        <w:adjustRightInd/>
        <w:spacing w:beforeLines="0" w:afterLines="0"/>
        <w:ind w:left="480" w:leftChars="200"/>
        <w:rPr>
          <w:rFonts w:hint="eastAsia" w:ascii="仿宋_GB2312" w:hAnsi="仿宋_GB2312" w:eastAsia="仿宋_GB2312" w:cs="仿宋_GB2312"/>
          <w:sz w:val="28"/>
          <w:szCs w:val="21"/>
          <w:lang w:val="en-US" w:eastAsia="zh-CN"/>
        </w:rPr>
      </w:pPr>
      <w:r>
        <w:rPr>
          <w:rFonts w:hint="eastAsia" w:ascii="仿宋_GB2312" w:hAnsi="仿宋_GB2312" w:eastAsia="仿宋_GB2312" w:cs="仿宋_GB2312"/>
          <w:sz w:val="28"/>
          <w:szCs w:val="21"/>
        </w:rPr>
        <w:fldChar w:fldCharType="begin"/>
      </w:r>
      <w:r>
        <w:rPr>
          <w:rFonts w:hint="eastAsia" w:ascii="仿宋_GB2312" w:hAnsi="仿宋_GB2312" w:eastAsia="仿宋_GB2312" w:cs="仿宋_GB2312"/>
          <w:sz w:val="28"/>
          <w:szCs w:val="21"/>
        </w:rPr>
        <w:instrText xml:space="preserve"> HYPERLINK \l _Toc23479 </w:instrText>
      </w:r>
      <w:r>
        <w:rPr>
          <w:rFonts w:hint="eastAsia" w:ascii="仿宋_GB2312" w:hAnsi="仿宋_GB2312" w:eastAsia="仿宋_GB2312" w:cs="仿宋_GB2312"/>
          <w:sz w:val="28"/>
          <w:szCs w:val="21"/>
        </w:rPr>
        <w:fldChar w:fldCharType="separate"/>
      </w:r>
      <w:r>
        <w:rPr>
          <w:rFonts w:hint="eastAsia" w:ascii="仿宋_GB2312" w:hAnsi="仿宋_GB2312" w:eastAsia="仿宋_GB2312" w:cs="仿宋_GB2312"/>
          <w:kern w:val="2"/>
          <w:sz w:val="28"/>
          <w:szCs w:val="36"/>
        </w:rPr>
        <w:t>十、政府性基金预算财政拨款收入支出决算表</w:t>
      </w:r>
      <w:r>
        <w:rPr>
          <w:rFonts w:hint="eastAsia" w:ascii="仿宋_GB2312" w:hAnsi="仿宋_GB2312" w:eastAsia="仿宋_GB2312" w:cs="仿宋_GB2312"/>
          <w:sz w:val="28"/>
          <w:szCs w:val="21"/>
        </w:rPr>
        <w:tab/>
      </w:r>
      <w:r>
        <w:rPr>
          <w:rFonts w:hint="eastAsia" w:ascii="仿宋_GB2312" w:hAnsi="仿宋_GB2312" w:eastAsia="仿宋_GB2312" w:cs="仿宋_GB2312"/>
          <w:sz w:val="28"/>
          <w:szCs w:val="21"/>
          <w:lang w:val="en-US" w:eastAsia="zh-CN"/>
        </w:rPr>
        <w:t>2</w:t>
      </w:r>
      <w:r>
        <w:rPr>
          <w:rFonts w:hint="eastAsia" w:ascii="仿宋_GB2312" w:hAnsi="仿宋_GB2312" w:eastAsia="仿宋_GB2312" w:cs="仿宋_GB2312"/>
          <w:sz w:val="28"/>
          <w:szCs w:val="21"/>
          <w:lang w:val="en-US" w:eastAsia="zh-CN"/>
        </w:rPr>
        <w:fldChar w:fldCharType="end"/>
      </w:r>
      <w:r>
        <w:rPr>
          <w:rFonts w:hint="eastAsia" w:ascii="仿宋_GB2312" w:hAnsi="仿宋_GB2312" w:eastAsia="仿宋_GB2312" w:cs="仿宋_GB2312"/>
          <w:sz w:val="28"/>
          <w:szCs w:val="21"/>
          <w:lang w:val="en-US" w:eastAsia="zh-CN"/>
        </w:rPr>
        <w:t>0</w:t>
      </w:r>
    </w:p>
    <w:p>
      <w:pPr>
        <w:widowControl/>
        <w:tabs>
          <w:tab w:val="right" w:leader="dot" w:pos="8640"/>
        </w:tabs>
        <w:autoSpaceDE/>
        <w:autoSpaceDN/>
        <w:adjustRightInd/>
        <w:spacing w:beforeLines="0" w:afterLines="0"/>
        <w:ind w:left="480" w:leftChars="200"/>
        <w:rPr>
          <w:rFonts w:hint="eastAsia" w:ascii="仿宋_GB2312" w:hAnsi="仿宋_GB2312" w:eastAsia="仿宋_GB2312" w:cs="仿宋_GB2312"/>
          <w:sz w:val="28"/>
          <w:szCs w:val="21"/>
          <w:lang w:val="en-US" w:eastAsia="zh-CN"/>
        </w:rPr>
      </w:pPr>
      <w:r>
        <w:rPr>
          <w:rFonts w:hint="eastAsia" w:ascii="仿宋_GB2312" w:hAnsi="仿宋_GB2312" w:eastAsia="仿宋_GB2312" w:cs="仿宋_GB2312"/>
          <w:sz w:val="28"/>
          <w:szCs w:val="21"/>
        </w:rPr>
        <w:fldChar w:fldCharType="begin"/>
      </w:r>
      <w:r>
        <w:rPr>
          <w:rFonts w:hint="eastAsia" w:ascii="仿宋_GB2312" w:hAnsi="仿宋_GB2312" w:eastAsia="仿宋_GB2312" w:cs="仿宋_GB2312"/>
          <w:sz w:val="28"/>
          <w:szCs w:val="21"/>
        </w:rPr>
        <w:instrText xml:space="preserve"> HYPERLINK \l _Toc4268 </w:instrText>
      </w:r>
      <w:r>
        <w:rPr>
          <w:rFonts w:hint="eastAsia" w:ascii="仿宋_GB2312" w:hAnsi="仿宋_GB2312" w:eastAsia="仿宋_GB2312" w:cs="仿宋_GB2312"/>
          <w:sz w:val="28"/>
          <w:szCs w:val="21"/>
        </w:rPr>
        <w:fldChar w:fldCharType="separate"/>
      </w:r>
      <w:r>
        <w:rPr>
          <w:rFonts w:hint="eastAsia" w:ascii="仿宋_GB2312" w:hAnsi="仿宋_GB2312" w:eastAsia="仿宋_GB2312" w:cs="仿宋_GB2312"/>
          <w:kern w:val="2"/>
          <w:sz w:val="28"/>
          <w:szCs w:val="36"/>
        </w:rPr>
        <w:t>十一、国有资本经营预算财政拨款收入支出决算表</w:t>
      </w:r>
      <w:r>
        <w:rPr>
          <w:rFonts w:hint="eastAsia" w:ascii="仿宋_GB2312" w:hAnsi="仿宋_GB2312" w:eastAsia="仿宋_GB2312" w:cs="仿宋_GB2312"/>
          <w:sz w:val="28"/>
          <w:szCs w:val="21"/>
        </w:rPr>
        <w:tab/>
      </w:r>
      <w:r>
        <w:rPr>
          <w:rFonts w:hint="eastAsia" w:ascii="仿宋_GB2312" w:hAnsi="仿宋_GB2312" w:eastAsia="仿宋_GB2312" w:cs="仿宋_GB2312"/>
          <w:sz w:val="28"/>
          <w:szCs w:val="21"/>
          <w:lang w:val="en-US" w:eastAsia="zh-CN"/>
        </w:rPr>
        <w:t>2</w:t>
      </w:r>
      <w:r>
        <w:rPr>
          <w:rFonts w:hint="eastAsia" w:ascii="仿宋_GB2312" w:hAnsi="仿宋_GB2312" w:eastAsia="仿宋_GB2312" w:cs="仿宋_GB2312"/>
          <w:sz w:val="28"/>
          <w:szCs w:val="21"/>
          <w:lang w:val="en-US" w:eastAsia="zh-CN"/>
        </w:rPr>
        <w:fldChar w:fldCharType="end"/>
      </w:r>
      <w:r>
        <w:rPr>
          <w:rFonts w:hint="eastAsia" w:ascii="仿宋_GB2312" w:hAnsi="仿宋_GB2312" w:eastAsia="仿宋_GB2312" w:cs="仿宋_GB2312"/>
          <w:sz w:val="28"/>
          <w:szCs w:val="21"/>
          <w:lang w:val="en-US" w:eastAsia="zh-CN"/>
        </w:rPr>
        <w:t>0</w:t>
      </w:r>
    </w:p>
    <w:p>
      <w:pPr>
        <w:widowControl/>
        <w:tabs>
          <w:tab w:val="right" w:leader="dot" w:pos="8640"/>
        </w:tabs>
        <w:autoSpaceDE/>
        <w:autoSpaceDN/>
        <w:adjustRightInd/>
        <w:spacing w:beforeLines="0" w:afterLines="0"/>
        <w:ind w:left="480" w:leftChars="200"/>
        <w:rPr>
          <w:rFonts w:hint="eastAsia" w:ascii="仿宋_GB2312" w:hAnsi="仿宋_GB2312" w:eastAsia="仿宋_GB2312" w:cs="仿宋_GB2312"/>
          <w:sz w:val="28"/>
          <w:szCs w:val="21"/>
          <w:lang w:val="en-US" w:eastAsia="zh-CN"/>
        </w:rPr>
      </w:pPr>
      <w:r>
        <w:rPr>
          <w:rFonts w:hint="eastAsia" w:ascii="仿宋_GB2312" w:hAnsi="仿宋_GB2312" w:eastAsia="仿宋_GB2312" w:cs="仿宋_GB2312"/>
          <w:sz w:val="28"/>
          <w:szCs w:val="21"/>
        </w:rPr>
        <w:fldChar w:fldCharType="begin"/>
      </w:r>
      <w:r>
        <w:rPr>
          <w:rFonts w:hint="eastAsia" w:ascii="仿宋_GB2312" w:hAnsi="仿宋_GB2312" w:eastAsia="仿宋_GB2312" w:cs="仿宋_GB2312"/>
          <w:sz w:val="28"/>
          <w:szCs w:val="21"/>
        </w:rPr>
        <w:instrText xml:space="preserve"> HYPERLINK \l _Toc22748 </w:instrText>
      </w:r>
      <w:r>
        <w:rPr>
          <w:rFonts w:hint="eastAsia" w:ascii="仿宋_GB2312" w:hAnsi="仿宋_GB2312" w:eastAsia="仿宋_GB2312" w:cs="仿宋_GB2312"/>
          <w:sz w:val="28"/>
          <w:szCs w:val="21"/>
        </w:rPr>
        <w:fldChar w:fldCharType="separate"/>
      </w:r>
      <w:r>
        <w:rPr>
          <w:rFonts w:hint="eastAsia" w:ascii="仿宋_GB2312" w:hAnsi="仿宋_GB2312" w:eastAsia="仿宋_GB2312" w:cs="仿宋_GB2312"/>
          <w:kern w:val="2"/>
          <w:sz w:val="28"/>
          <w:szCs w:val="36"/>
        </w:rPr>
        <w:t>十二、国有资本经营预算财政拨款支出决算表</w:t>
      </w:r>
      <w:r>
        <w:rPr>
          <w:rFonts w:hint="eastAsia" w:ascii="仿宋_GB2312" w:hAnsi="仿宋_GB2312" w:eastAsia="仿宋_GB2312" w:cs="仿宋_GB2312"/>
          <w:sz w:val="28"/>
          <w:szCs w:val="21"/>
        </w:rPr>
        <w:tab/>
      </w:r>
      <w:r>
        <w:rPr>
          <w:rFonts w:hint="eastAsia" w:ascii="仿宋_GB2312" w:hAnsi="仿宋_GB2312" w:eastAsia="仿宋_GB2312" w:cs="仿宋_GB2312"/>
          <w:sz w:val="28"/>
          <w:szCs w:val="21"/>
          <w:lang w:val="en-US" w:eastAsia="zh-CN"/>
        </w:rPr>
        <w:t>2</w:t>
      </w:r>
      <w:r>
        <w:rPr>
          <w:rFonts w:hint="eastAsia" w:ascii="仿宋_GB2312" w:hAnsi="仿宋_GB2312" w:eastAsia="仿宋_GB2312" w:cs="仿宋_GB2312"/>
          <w:sz w:val="28"/>
          <w:szCs w:val="21"/>
          <w:lang w:val="en-US" w:eastAsia="zh-CN"/>
        </w:rPr>
        <w:fldChar w:fldCharType="end"/>
      </w:r>
      <w:r>
        <w:rPr>
          <w:rFonts w:hint="eastAsia" w:ascii="仿宋_GB2312" w:hAnsi="仿宋_GB2312" w:eastAsia="仿宋_GB2312" w:cs="仿宋_GB2312"/>
          <w:sz w:val="28"/>
          <w:szCs w:val="21"/>
          <w:lang w:val="en-US" w:eastAsia="zh-CN"/>
        </w:rPr>
        <w:t>0</w:t>
      </w:r>
    </w:p>
    <w:p>
      <w:pPr>
        <w:widowControl/>
        <w:tabs>
          <w:tab w:val="right" w:leader="dot" w:pos="8640"/>
        </w:tabs>
        <w:autoSpaceDE/>
        <w:autoSpaceDN/>
        <w:adjustRightInd/>
        <w:spacing w:beforeLines="0" w:afterLines="0"/>
        <w:ind w:left="480" w:leftChars="200"/>
        <w:rPr>
          <w:rFonts w:hint="eastAsia" w:ascii="仿宋_GB2312" w:hAnsi="仿宋_GB2312" w:eastAsia="仿宋_GB2312" w:cs="仿宋_GB2312"/>
          <w:sz w:val="28"/>
          <w:szCs w:val="21"/>
          <w:lang w:val="en-US" w:eastAsia="zh-CN"/>
        </w:rPr>
      </w:pPr>
      <w:r>
        <w:rPr>
          <w:rFonts w:hint="eastAsia" w:ascii="仿宋_GB2312" w:hAnsi="仿宋_GB2312" w:eastAsia="仿宋_GB2312" w:cs="仿宋_GB2312"/>
          <w:sz w:val="28"/>
          <w:szCs w:val="21"/>
        </w:rPr>
        <w:fldChar w:fldCharType="begin"/>
      </w:r>
      <w:r>
        <w:rPr>
          <w:rFonts w:hint="eastAsia" w:ascii="仿宋_GB2312" w:hAnsi="仿宋_GB2312" w:eastAsia="仿宋_GB2312" w:cs="仿宋_GB2312"/>
          <w:sz w:val="28"/>
          <w:szCs w:val="21"/>
        </w:rPr>
        <w:instrText xml:space="preserve"> HYPERLINK \l _Toc6163 </w:instrText>
      </w:r>
      <w:r>
        <w:rPr>
          <w:rFonts w:hint="eastAsia" w:ascii="仿宋_GB2312" w:hAnsi="仿宋_GB2312" w:eastAsia="仿宋_GB2312" w:cs="仿宋_GB2312"/>
          <w:sz w:val="28"/>
          <w:szCs w:val="21"/>
        </w:rPr>
        <w:fldChar w:fldCharType="separate"/>
      </w:r>
      <w:r>
        <w:rPr>
          <w:rFonts w:hint="eastAsia" w:ascii="仿宋_GB2312" w:hAnsi="仿宋_GB2312" w:eastAsia="仿宋_GB2312" w:cs="仿宋_GB2312"/>
          <w:kern w:val="2"/>
          <w:sz w:val="28"/>
          <w:szCs w:val="36"/>
        </w:rPr>
        <w:t>十三</w:t>
      </w:r>
      <w:r>
        <w:rPr>
          <w:rFonts w:hint="eastAsia" w:ascii="仿宋_GB2312" w:hAnsi="仿宋_GB2312" w:eastAsia="仿宋_GB2312" w:cs="仿宋_GB2312"/>
          <w:kern w:val="2"/>
          <w:sz w:val="28"/>
          <w:szCs w:val="36"/>
          <w:u w:val="none" w:color="FFFFFF"/>
          <w:shd w:val="clear" w:fill="FFFFFF"/>
        </w:rPr>
        <w:t>、财</w:t>
      </w:r>
      <w:r>
        <w:rPr>
          <w:rFonts w:hint="eastAsia" w:ascii="仿宋_GB2312" w:hAnsi="仿宋_GB2312" w:eastAsia="仿宋_GB2312" w:cs="仿宋_GB2312"/>
          <w:kern w:val="2"/>
          <w:sz w:val="28"/>
          <w:szCs w:val="36"/>
        </w:rPr>
        <w:t>政拨款“三公”经费支出决算表</w:t>
      </w:r>
      <w:r>
        <w:rPr>
          <w:rFonts w:hint="eastAsia" w:ascii="仿宋_GB2312" w:hAnsi="仿宋_GB2312" w:eastAsia="仿宋_GB2312" w:cs="仿宋_GB2312"/>
          <w:sz w:val="28"/>
          <w:szCs w:val="21"/>
        </w:rPr>
        <w:tab/>
      </w:r>
      <w:r>
        <w:rPr>
          <w:rFonts w:hint="eastAsia" w:ascii="仿宋_GB2312" w:hAnsi="仿宋_GB2312" w:eastAsia="仿宋_GB2312" w:cs="仿宋_GB2312"/>
          <w:sz w:val="28"/>
          <w:szCs w:val="21"/>
          <w:lang w:val="en-US" w:eastAsia="zh-CN"/>
        </w:rPr>
        <w:t>2</w:t>
      </w:r>
      <w:r>
        <w:rPr>
          <w:rFonts w:hint="eastAsia" w:ascii="仿宋_GB2312" w:hAnsi="仿宋_GB2312" w:eastAsia="仿宋_GB2312" w:cs="仿宋_GB2312"/>
          <w:sz w:val="28"/>
          <w:szCs w:val="21"/>
          <w:lang w:val="en-US" w:eastAsia="zh-CN"/>
        </w:rPr>
        <w:fldChar w:fldCharType="end"/>
      </w:r>
      <w:r>
        <w:rPr>
          <w:rFonts w:hint="eastAsia" w:ascii="仿宋_GB2312" w:hAnsi="仿宋_GB2312" w:eastAsia="仿宋_GB2312" w:cs="仿宋_GB2312"/>
          <w:sz w:val="28"/>
          <w:szCs w:val="21"/>
          <w:lang w:val="en-US" w:eastAsia="zh-CN"/>
        </w:rPr>
        <w:t>0</w:t>
      </w:r>
    </w:p>
    <w:p>
      <w:pPr>
        <w:widowControl/>
        <w:tabs>
          <w:tab w:val="right" w:leader="dot" w:pos="8640"/>
        </w:tabs>
        <w:autoSpaceDE/>
        <w:autoSpaceDN/>
        <w:adjustRightInd/>
        <w:spacing w:beforeLines="0" w:afterLines="0"/>
        <w:jc w:val="center"/>
        <w:rPr>
          <w:rFonts w:hint="eastAsia" w:ascii="黑体" w:hAnsi="黑体" w:eastAsia="黑体"/>
          <w:b/>
          <w:color w:val="auto"/>
          <w:kern w:val="44"/>
          <w:sz w:val="44"/>
          <w:szCs w:val="24"/>
          <w:lang w:val="zh-CN"/>
        </w:rPr>
      </w:pPr>
      <w:r>
        <w:rPr>
          <w:rFonts w:hint="eastAsia" w:ascii="仿宋_GB2312" w:hAnsi="仿宋_GB2312" w:eastAsia="仿宋_GB2312" w:cs="仿宋_GB2312"/>
          <w:sz w:val="28"/>
          <w:szCs w:val="21"/>
          <w:lang w:val="en-US" w:eastAsia="zh-CN"/>
        </w:rPr>
        <w:fldChar w:fldCharType="end"/>
      </w:r>
      <w:r>
        <w:rPr>
          <w:rFonts w:hint="eastAsia" w:ascii="黑体" w:hAnsi="黑体" w:eastAsia="黑体"/>
          <w:color w:val="auto"/>
          <w:kern w:val="44"/>
          <w:sz w:val="44"/>
          <w:szCs w:val="24"/>
          <w:lang w:val="zh-CN"/>
        </w:rPr>
        <w:t>第一部分 单位概况</w:t>
      </w:r>
    </w:p>
    <w:p>
      <w:pPr>
        <w:keepNext/>
        <w:keepLines/>
        <w:spacing w:beforeLines="0" w:afterLines="0" w:line="576" w:lineRule="exact"/>
        <w:ind w:firstLine="640"/>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一、主要</w:t>
      </w:r>
      <w:r>
        <w:rPr>
          <w:rFonts w:hint="eastAsia" w:ascii="黑体" w:hAnsi="黑体" w:eastAsia="黑体"/>
          <w:color w:val="auto"/>
          <w:kern w:val="2"/>
          <w:sz w:val="32"/>
          <w:szCs w:val="24"/>
          <w:lang w:val="zh-CN"/>
        </w:rPr>
        <w:t>职责</w:t>
      </w:r>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 xml:space="preserve">认真贯彻落实党和国家的方针、政策，正确执行上级主管部门的决议和指示，全面实施素质教育，研究拟定学校年度计划，组织实施教育教学活动。承担春在镇区域的义务教育，科学管理学校教育经费，严格执行财务管理制度，保障学校教育教学活动正常开展，不断提高教育教学质量。 </w:t>
      </w:r>
    </w:p>
    <w:p>
      <w:pPr>
        <w:keepNext/>
        <w:keepLines/>
        <w:spacing w:beforeLines="0" w:afterLines="0" w:line="576" w:lineRule="exact"/>
        <w:ind w:firstLine="640"/>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二、机</w:t>
      </w:r>
      <w:r>
        <w:rPr>
          <w:rFonts w:hint="eastAsia" w:ascii="黑体" w:hAnsi="黑体" w:eastAsia="黑体"/>
          <w:color w:val="auto"/>
          <w:kern w:val="2"/>
          <w:sz w:val="32"/>
          <w:szCs w:val="24"/>
          <w:lang w:val="zh-CN"/>
        </w:rPr>
        <w:t>构设置</w:t>
      </w:r>
    </w:p>
    <w:p>
      <w:pPr>
        <w:keepNext/>
        <w:keepLines/>
        <w:spacing w:beforeLines="0" w:afterLines="0" w:line="576" w:lineRule="exact"/>
        <w:ind w:firstLine="640"/>
        <w:jc w:val="both"/>
        <w:rPr>
          <w:rFonts w:hint="eastAsia" w:ascii="黑体" w:hAnsi="黑体" w:eastAsia="黑体"/>
          <w:color w:val="auto"/>
          <w:kern w:val="2"/>
          <w:sz w:val="32"/>
          <w:szCs w:val="24"/>
          <w:lang w:val="zh-CN"/>
        </w:rPr>
      </w:pPr>
      <w:r>
        <w:rPr>
          <w:rFonts w:hint="eastAsia" w:ascii="仿宋_GB2312" w:hAnsi="仿宋_GB2312" w:eastAsia="仿宋_GB2312" w:cs="Times New Roman"/>
          <w:color w:val="000000"/>
          <w:kern w:val="2"/>
          <w:sz w:val="32"/>
          <w:szCs w:val="24"/>
          <w:lang w:val="zh-CN"/>
        </w:rPr>
        <w:t>通江县春在镇新建小学有1个预算管理单位</w:t>
      </w:r>
      <w:r>
        <w:rPr>
          <w:rFonts w:hint="eastAsia" w:ascii="仿宋_GB2312" w:hAnsi="仿宋_GB2312" w:eastAsia="仿宋_GB2312" w:cs="Times New Roman"/>
          <w:color w:val="000000"/>
          <w:kern w:val="2"/>
          <w:sz w:val="32"/>
          <w:szCs w:val="24"/>
          <w:u w:val="none" w:color="FFFFFF"/>
          <w:shd w:val="clear" w:fill="FFFFFF"/>
          <w:lang w:val="zh-CN"/>
        </w:rPr>
        <w:t>;</w:t>
      </w:r>
      <w:r>
        <w:rPr>
          <w:rFonts w:hint="eastAsia" w:ascii="仿宋_GB2312" w:hAnsi="仿宋_GB2312" w:eastAsia="仿宋_GB2312" w:cs="Times New Roman"/>
          <w:color w:val="000000"/>
          <w:kern w:val="2"/>
          <w:sz w:val="32"/>
          <w:szCs w:val="24"/>
          <w:lang w:val="zh-CN"/>
        </w:rPr>
        <w:t>编制数为</w:t>
      </w:r>
      <w:r>
        <w:rPr>
          <w:rFonts w:hint="eastAsia" w:ascii="仿宋_GB2312" w:hAnsi="仿宋_GB2312" w:eastAsia="仿宋_GB2312" w:cs="Times New Roman"/>
          <w:color w:val="000000"/>
          <w:kern w:val="2"/>
          <w:sz w:val="32"/>
          <w:szCs w:val="24"/>
          <w:lang w:val="en-US" w:eastAsia="zh-CN"/>
        </w:rPr>
        <w:t>11</w:t>
      </w:r>
      <w:r>
        <w:rPr>
          <w:rFonts w:hint="eastAsia" w:ascii="仿宋_GB2312" w:hAnsi="仿宋_GB2312" w:eastAsia="仿宋_GB2312" w:cs="Times New Roman"/>
          <w:color w:val="000000"/>
          <w:kern w:val="2"/>
          <w:sz w:val="32"/>
          <w:szCs w:val="24"/>
          <w:lang w:val="zh-CN"/>
        </w:rPr>
        <w:t>人</w:t>
      </w:r>
      <w:r>
        <w:rPr>
          <w:rFonts w:hint="eastAsia" w:ascii="仿宋_GB2312" w:hAnsi="仿宋_GB2312" w:eastAsia="仿宋_GB2312" w:cs="Times New Roman"/>
          <w:color w:val="000000"/>
          <w:kern w:val="2"/>
          <w:sz w:val="32"/>
          <w:szCs w:val="24"/>
          <w:u w:val="none" w:color="FFFFFF"/>
          <w:shd w:val="clear" w:fill="FFFFFF"/>
          <w:lang w:val="zh-CN"/>
        </w:rPr>
        <w:t>;</w:t>
      </w:r>
      <w:r>
        <w:rPr>
          <w:rFonts w:hint="eastAsia" w:ascii="仿宋_GB2312" w:hAnsi="仿宋_GB2312" w:eastAsia="仿宋_GB2312" w:cs="Times New Roman"/>
          <w:color w:val="000000"/>
          <w:kern w:val="2"/>
          <w:sz w:val="32"/>
          <w:szCs w:val="24"/>
          <w:lang w:val="zh-CN"/>
        </w:rPr>
        <w:t>岗位设置包括</w:t>
      </w:r>
      <w:r>
        <w:rPr>
          <w:rFonts w:hint="eastAsia" w:ascii="仿宋_GB2312" w:hAnsi="仿宋_GB2312" w:eastAsia="仿宋_GB2312" w:cs="Times New Roman"/>
          <w:color w:val="000000"/>
          <w:kern w:val="2"/>
          <w:sz w:val="32"/>
          <w:szCs w:val="24"/>
          <w:u w:val="none" w:color="FFFFFF"/>
          <w:shd w:val="clear" w:fill="FFFFFF"/>
          <w:lang w:val="zh-CN"/>
        </w:rPr>
        <w:t>:</w:t>
      </w:r>
      <w:r>
        <w:rPr>
          <w:rFonts w:hint="eastAsia" w:ascii="仿宋_GB2312" w:hAnsi="仿宋_GB2312" w:eastAsia="仿宋_GB2312" w:cs="Times New Roman"/>
          <w:color w:val="000000"/>
          <w:kern w:val="2"/>
          <w:sz w:val="32"/>
          <w:szCs w:val="24"/>
          <w:lang w:val="zh-CN"/>
        </w:rPr>
        <w:t>事业专技</w:t>
      </w:r>
      <w:r>
        <w:rPr>
          <w:rFonts w:hint="eastAsia" w:ascii="仿宋_GB2312" w:hAnsi="仿宋_GB2312" w:eastAsia="仿宋_GB2312" w:cs="Times New Roman"/>
          <w:color w:val="000000"/>
          <w:kern w:val="2"/>
          <w:sz w:val="32"/>
          <w:szCs w:val="24"/>
          <w:lang w:val="en-US" w:eastAsia="zh-CN"/>
        </w:rPr>
        <w:t>10</w:t>
      </w:r>
      <w:r>
        <w:rPr>
          <w:rFonts w:hint="eastAsia" w:ascii="仿宋_GB2312" w:hAnsi="仿宋_GB2312" w:eastAsia="仿宋_GB2312" w:cs="Times New Roman"/>
          <w:color w:val="000000"/>
          <w:kern w:val="2"/>
          <w:sz w:val="32"/>
          <w:szCs w:val="24"/>
          <w:lang w:val="zh-CN"/>
        </w:rPr>
        <w:t>人，事业工勤</w:t>
      </w:r>
      <w:r>
        <w:rPr>
          <w:rFonts w:hint="eastAsia" w:ascii="仿宋_GB2312" w:hAnsi="仿宋_GB2312" w:eastAsia="仿宋_GB2312" w:cs="Times New Roman"/>
          <w:color w:val="000000"/>
          <w:kern w:val="2"/>
          <w:sz w:val="32"/>
          <w:szCs w:val="24"/>
          <w:lang w:val="en-US" w:eastAsia="zh-CN"/>
        </w:rPr>
        <w:t>1人</w:t>
      </w:r>
      <w:r>
        <w:rPr>
          <w:rFonts w:hint="eastAsia" w:ascii="仿宋_GB2312" w:hAnsi="仿宋_GB2312" w:eastAsia="仿宋_GB2312" w:cs="Times New Roman"/>
          <w:color w:val="000000"/>
          <w:kern w:val="2"/>
          <w:sz w:val="32"/>
          <w:szCs w:val="24"/>
          <w:lang w:val="zh-CN"/>
        </w:rPr>
        <w:t>。2022年财政预算财政供给人员</w:t>
      </w:r>
      <w:r>
        <w:rPr>
          <w:rFonts w:hint="eastAsia" w:ascii="仿宋_GB2312" w:hAnsi="仿宋_GB2312" w:eastAsia="仿宋_GB2312" w:cs="Times New Roman"/>
          <w:color w:val="000000"/>
          <w:kern w:val="2"/>
          <w:sz w:val="32"/>
          <w:szCs w:val="24"/>
          <w:lang w:val="en-US" w:eastAsia="zh-CN"/>
        </w:rPr>
        <w:t>13</w:t>
      </w:r>
      <w:r>
        <w:rPr>
          <w:rFonts w:hint="eastAsia" w:ascii="仿宋_GB2312" w:hAnsi="仿宋_GB2312" w:eastAsia="仿宋_GB2312" w:cs="Times New Roman"/>
          <w:color w:val="000000"/>
          <w:kern w:val="2"/>
          <w:sz w:val="32"/>
          <w:szCs w:val="24"/>
          <w:lang w:val="zh-CN"/>
        </w:rPr>
        <w:t>人，事业人员</w:t>
      </w:r>
      <w:r>
        <w:rPr>
          <w:rFonts w:hint="eastAsia" w:ascii="仿宋_GB2312" w:hAnsi="仿宋_GB2312" w:eastAsia="仿宋_GB2312" w:cs="Times New Roman"/>
          <w:color w:val="000000"/>
          <w:kern w:val="2"/>
          <w:sz w:val="32"/>
          <w:szCs w:val="24"/>
          <w:lang w:val="en-US" w:eastAsia="zh-CN"/>
        </w:rPr>
        <w:t>13</w:t>
      </w:r>
      <w:r>
        <w:rPr>
          <w:rFonts w:hint="eastAsia" w:ascii="仿宋_GB2312" w:hAnsi="仿宋_GB2312" w:eastAsia="仿宋_GB2312" w:cs="Times New Roman"/>
          <w:color w:val="000000"/>
          <w:kern w:val="2"/>
          <w:sz w:val="32"/>
          <w:szCs w:val="24"/>
          <w:lang w:val="zh-CN"/>
        </w:rPr>
        <w:t>名，学生</w:t>
      </w:r>
      <w:r>
        <w:rPr>
          <w:rFonts w:hint="eastAsia" w:ascii="仿宋_GB2312" w:hAnsi="仿宋_GB2312" w:eastAsia="仿宋_GB2312" w:cs="Times New Roman"/>
          <w:color w:val="000000"/>
          <w:kern w:val="2"/>
          <w:sz w:val="32"/>
          <w:szCs w:val="24"/>
          <w:lang w:val="en-US" w:eastAsia="zh-CN"/>
        </w:rPr>
        <w:t>6</w:t>
      </w:r>
      <w:r>
        <w:rPr>
          <w:rFonts w:hint="eastAsia" w:ascii="仿宋_GB2312" w:hAnsi="仿宋_GB2312" w:eastAsia="仿宋_GB2312" w:cs="Times New Roman"/>
          <w:color w:val="000000"/>
          <w:kern w:val="2"/>
          <w:sz w:val="32"/>
          <w:szCs w:val="24"/>
          <w:lang w:val="zh-CN"/>
        </w:rPr>
        <w:t>人。学校设支部书记、校长1人</w:t>
      </w:r>
      <w:r>
        <w:rPr>
          <w:rFonts w:hint="eastAsia" w:ascii="仿宋_GB2312" w:hAnsi="仿宋_GB2312" w:eastAsia="仿宋_GB2312" w:cs="Times New Roman"/>
          <w:color w:val="000000"/>
          <w:kern w:val="2"/>
          <w:sz w:val="32"/>
          <w:szCs w:val="24"/>
          <w:lang w:val="en-US" w:eastAsia="zh-CN"/>
        </w:rPr>
        <w:t>、</w:t>
      </w:r>
      <w:r>
        <w:rPr>
          <w:rFonts w:hint="eastAsia" w:ascii="仿宋_GB2312" w:hAnsi="仿宋_GB2312" w:eastAsia="仿宋_GB2312" w:cs="Times New Roman"/>
          <w:color w:val="000000"/>
          <w:kern w:val="2"/>
          <w:sz w:val="32"/>
          <w:szCs w:val="24"/>
          <w:lang w:val="zh-CN"/>
        </w:rPr>
        <w:t>副校长</w:t>
      </w:r>
      <w:r>
        <w:rPr>
          <w:rFonts w:hint="eastAsia" w:ascii="仿宋_GB2312" w:hAnsi="仿宋_GB2312" w:eastAsia="仿宋_GB2312" w:cs="Times New Roman"/>
          <w:color w:val="000000"/>
          <w:kern w:val="2"/>
          <w:sz w:val="32"/>
          <w:szCs w:val="24"/>
          <w:lang w:val="en-US" w:eastAsia="zh-CN"/>
        </w:rPr>
        <w:t>1</w:t>
      </w:r>
      <w:r>
        <w:rPr>
          <w:rFonts w:hint="eastAsia" w:ascii="仿宋_GB2312" w:hAnsi="仿宋_GB2312" w:eastAsia="仿宋_GB2312" w:cs="Times New Roman"/>
          <w:color w:val="000000"/>
          <w:kern w:val="2"/>
          <w:sz w:val="32"/>
          <w:szCs w:val="24"/>
          <w:lang w:val="zh-CN"/>
        </w:rPr>
        <w:t>人，设办公室、教务处、总务处等处室。</w:t>
      </w:r>
    </w:p>
    <w:p>
      <w:pPr>
        <w:pStyle w:val="2"/>
        <w:keepNext/>
        <w:keepLines/>
        <w:spacing w:before="340" w:beforeLines="0" w:after="330" w:afterLines="0" w:line="576" w:lineRule="exact"/>
        <w:ind w:right="442" w:firstLine="880"/>
        <w:jc w:val="center"/>
        <w:rPr>
          <w:rFonts w:hint="eastAsia" w:ascii="Times New Roman" w:hAnsi="Times New Roman" w:eastAsia="Times New Roman"/>
          <w:b/>
          <w:color w:val="auto"/>
          <w:kern w:val="44"/>
          <w:sz w:val="44"/>
          <w:szCs w:val="24"/>
          <w:lang w:val="zh-CN"/>
        </w:rPr>
      </w:pPr>
      <w:r>
        <w:rPr>
          <w:rFonts w:hint="eastAsia" w:ascii="黑体" w:hAnsi="黑体" w:eastAsia="黑体"/>
          <w:color w:val="000000"/>
          <w:kern w:val="44"/>
          <w:sz w:val="44"/>
          <w:szCs w:val="24"/>
          <w:lang w:val="zh-CN"/>
        </w:rPr>
        <w:t>第二部分</w:t>
      </w:r>
      <w:r>
        <w:rPr>
          <w:rFonts w:hint="eastAsia" w:ascii="黑体" w:hAnsi="黑体" w:eastAsia="黑体"/>
          <w:b/>
          <w:color w:val="000000"/>
          <w:kern w:val="44"/>
          <w:sz w:val="44"/>
          <w:szCs w:val="24"/>
          <w:lang w:val="zh-CN"/>
        </w:rPr>
        <w:t xml:space="preserve"> </w:t>
      </w:r>
      <w:r>
        <w:rPr>
          <w:rFonts w:hint="eastAsia" w:ascii="黑体" w:hAnsi="黑体" w:eastAsia="黑体"/>
          <w:color w:val="auto"/>
          <w:kern w:val="44"/>
          <w:sz w:val="44"/>
          <w:szCs w:val="24"/>
          <w:lang w:val="zh-CN"/>
        </w:rPr>
        <w:t>2022年度单位决算情况说明</w:t>
      </w:r>
    </w:p>
    <w:p>
      <w:pPr>
        <w:keepNext/>
        <w:keepLines/>
        <w:spacing w:beforeLines="0" w:afterLines="0" w:line="576" w:lineRule="exact"/>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 xml:space="preserve">    一、收</w:t>
      </w:r>
      <w:r>
        <w:rPr>
          <w:rFonts w:hint="eastAsia" w:ascii="黑体" w:hAnsi="黑体" w:eastAsia="黑体"/>
          <w:color w:val="auto"/>
          <w:kern w:val="2"/>
          <w:sz w:val="32"/>
          <w:szCs w:val="24"/>
          <w:lang w:val="zh-CN"/>
        </w:rPr>
        <w:t>入支出决算总体情况说明</w:t>
      </w:r>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2022年度收、支总计</w:t>
      </w:r>
      <w:r>
        <w:rPr>
          <w:rFonts w:hint="eastAsia" w:ascii="仿宋_GB2312" w:hAnsi="仿宋_GB2312" w:eastAsia="仿宋_GB2312"/>
          <w:color w:val="000000"/>
          <w:kern w:val="2"/>
          <w:sz w:val="32"/>
          <w:szCs w:val="24"/>
          <w:lang w:val="en-US" w:eastAsia="zh-CN"/>
        </w:rPr>
        <w:t>247.09</w:t>
      </w:r>
      <w:r>
        <w:rPr>
          <w:rFonts w:hint="eastAsia" w:ascii="仿宋_GB2312" w:hAnsi="仿宋_GB2312" w:eastAsia="仿宋_GB2312"/>
          <w:color w:val="000000"/>
          <w:kern w:val="2"/>
          <w:sz w:val="32"/>
          <w:szCs w:val="24"/>
          <w:lang w:val="zh-CN"/>
        </w:rPr>
        <w:t>万元。与2021年相比，收、支</w:t>
      </w:r>
      <w:r>
        <w:rPr>
          <w:rFonts w:hint="eastAsia" w:ascii="仿宋_GB2312" w:hAnsi="仿宋_GB2312" w:eastAsia="仿宋_GB2312"/>
          <w:color w:val="000000"/>
          <w:kern w:val="2"/>
          <w:sz w:val="32"/>
          <w:szCs w:val="24"/>
          <w:u w:val="none" w:color="FFFFFF"/>
          <w:shd w:val="clear" w:fill="FFFFFF"/>
          <w:lang w:val="zh-CN"/>
        </w:rPr>
        <w:t>总计各</w:t>
      </w:r>
      <w:r>
        <w:rPr>
          <w:rFonts w:hint="eastAsia" w:ascii="仿宋_GB2312" w:hAnsi="仿宋_GB2312" w:eastAsia="仿宋_GB2312"/>
          <w:color w:val="000000"/>
          <w:kern w:val="2"/>
          <w:sz w:val="32"/>
          <w:szCs w:val="24"/>
          <w:lang w:val="zh-CN"/>
        </w:rPr>
        <w:t>增加</w:t>
      </w:r>
      <w:r>
        <w:rPr>
          <w:rFonts w:hint="eastAsia" w:ascii="仿宋_GB2312" w:hAnsi="仿宋_GB2312" w:eastAsia="仿宋_GB2312"/>
          <w:color w:val="000000"/>
          <w:kern w:val="2"/>
          <w:sz w:val="32"/>
          <w:szCs w:val="24"/>
          <w:lang w:val="en-US" w:eastAsia="zh-CN"/>
        </w:rPr>
        <w:t>7.89</w:t>
      </w:r>
      <w:r>
        <w:rPr>
          <w:rFonts w:hint="eastAsia" w:ascii="仿宋_GB2312" w:hAnsi="仿宋_GB2312" w:eastAsia="仿宋_GB2312"/>
          <w:color w:val="000000"/>
          <w:kern w:val="2"/>
          <w:sz w:val="32"/>
          <w:szCs w:val="24"/>
          <w:lang w:val="zh-CN"/>
        </w:rPr>
        <w:t>万元，增长</w:t>
      </w:r>
      <w:r>
        <w:rPr>
          <w:rFonts w:hint="eastAsia" w:ascii="仿宋_GB2312" w:hAnsi="仿宋_GB2312" w:eastAsia="仿宋_GB2312"/>
          <w:color w:val="000000"/>
          <w:kern w:val="2"/>
          <w:sz w:val="32"/>
          <w:szCs w:val="24"/>
          <w:lang w:val="en-US" w:eastAsia="zh-CN"/>
        </w:rPr>
        <w:t>3.19</w:t>
      </w:r>
      <w:r>
        <w:rPr>
          <w:rFonts w:hint="eastAsia" w:ascii="仿宋_GB2312" w:hAnsi="仿宋_GB2312" w:eastAsia="仿宋_GB2312"/>
          <w:color w:val="000000"/>
          <w:kern w:val="2"/>
          <w:sz w:val="32"/>
          <w:szCs w:val="24"/>
          <w:lang w:val="zh-CN"/>
        </w:rPr>
        <w:t>%。</w:t>
      </w:r>
      <w:r>
        <w:rPr>
          <w:rFonts w:hint="eastAsia" w:ascii="仿宋_GB2312" w:hAnsi="仿宋" w:eastAsia="仿宋_GB2312"/>
          <w:sz w:val="32"/>
          <w:szCs w:val="24"/>
          <w:lang w:val="en-US" w:eastAsia="zh-CN"/>
        </w:rPr>
        <w:t>主要是因为工资性支出及项目资金增加。</w:t>
      </w:r>
    </w:p>
    <w:p>
      <w:pPr>
        <w:spacing w:beforeLines="0" w:afterLines="0"/>
        <w:ind w:firstLine="641"/>
        <w:jc w:val="center"/>
        <w:rPr>
          <w:rFonts w:hint="eastAsia" w:ascii="Times New Roman" w:hAnsi="Times New Roman" w:eastAsia="宋体"/>
          <w:sz w:val="24"/>
          <w:szCs w:val="24"/>
          <w:lang w:eastAsia="zh-CN"/>
        </w:rPr>
      </w:pPr>
    </w:p>
    <w:p>
      <w:pPr>
        <w:spacing w:beforeLines="0" w:afterLines="0"/>
        <w:ind w:firstLine="641"/>
        <w:jc w:val="both"/>
        <w:rPr>
          <w:rFonts w:hint="eastAsia" w:ascii="仿宋" w:hAnsi="仿宋" w:eastAsia="仿宋"/>
          <w:color w:val="auto"/>
          <w:kern w:val="2"/>
          <w:sz w:val="32"/>
          <w:szCs w:val="24"/>
          <w:lang w:val="en-US"/>
        </w:rPr>
      </w:pPr>
      <w:r>
        <w:rPr>
          <w:rFonts w:hint="default"/>
          <w:sz w:val="24"/>
          <w:szCs w:val="24"/>
        </w:rPr>
        <w:drawing>
          <wp:inline distT="0" distB="0" distL="114300" distR="114300">
            <wp:extent cx="4591050" cy="2762250"/>
            <wp:effectExtent l="0" t="0" r="11430" b="11430"/>
            <wp:docPr id="1" name="图表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表 1"/>
                    <pic:cNvPicPr>
                      <a:picLocks noChangeAspect="1"/>
                    </pic:cNvPicPr>
                  </pic:nvPicPr>
                  <pic:blipFill>
                    <a:blip r:embed="rId5"/>
                    <a:stretch>
                      <a:fillRect/>
                    </a:stretch>
                  </pic:blipFill>
                  <pic:spPr>
                    <a:xfrm>
                      <a:off x="0" y="0"/>
                      <a:ext cx="4591050" cy="2762250"/>
                    </a:xfrm>
                    <a:prstGeom prst="rect">
                      <a:avLst/>
                    </a:prstGeom>
                    <a:noFill/>
                    <a:ln>
                      <a:noFill/>
                    </a:ln>
                  </pic:spPr>
                </pic:pic>
              </a:graphicData>
            </a:graphic>
          </wp:inline>
        </w:drawing>
      </w:r>
    </w:p>
    <w:p>
      <w:pPr>
        <w:spacing w:beforeLines="0" w:afterLines="0"/>
        <w:ind w:firstLine="641"/>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（图1：</w:t>
      </w:r>
      <w:r>
        <w:rPr>
          <w:rFonts w:hint="eastAsia" w:ascii="仿宋" w:hAnsi="仿宋" w:eastAsia="仿宋"/>
          <w:color w:val="auto"/>
          <w:kern w:val="2"/>
          <w:sz w:val="32"/>
          <w:szCs w:val="24"/>
          <w:u w:val="none" w:color="FFFFFF"/>
          <w:shd w:val="clear" w:fill="FFFFFF"/>
          <w:lang w:val="en-US"/>
        </w:rPr>
        <w:t>收、支</w:t>
      </w:r>
      <w:r>
        <w:rPr>
          <w:rFonts w:hint="eastAsia" w:ascii="仿宋" w:hAnsi="仿宋" w:eastAsia="仿宋"/>
          <w:color w:val="auto"/>
          <w:kern w:val="2"/>
          <w:sz w:val="32"/>
          <w:szCs w:val="24"/>
          <w:lang w:val="en-US"/>
        </w:rPr>
        <w:t>决算总计变动情况图</w:t>
      </w:r>
      <w:r>
        <w:rPr>
          <w:rFonts w:hint="eastAsia" w:ascii="仿宋" w:hAnsi="仿宋" w:eastAsia="仿宋"/>
          <w:color w:val="auto"/>
          <w:kern w:val="2"/>
          <w:sz w:val="32"/>
          <w:szCs w:val="24"/>
          <w:u w:val="none" w:color="FFFFFF"/>
          <w:shd w:val="clear" w:fill="FFFFFF"/>
          <w:lang w:val="en-US"/>
        </w:rPr>
        <w:t>）</w:t>
      </w:r>
    </w:p>
    <w:p>
      <w:pPr>
        <w:keepNext/>
        <w:keepLines/>
        <w:spacing w:beforeLines="0" w:afterLines="0"/>
        <w:ind w:firstLine="640"/>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二、收</w:t>
      </w:r>
      <w:r>
        <w:rPr>
          <w:rFonts w:hint="eastAsia" w:ascii="黑体" w:hAnsi="黑体" w:eastAsia="黑体"/>
          <w:color w:val="auto"/>
          <w:kern w:val="2"/>
          <w:sz w:val="32"/>
          <w:szCs w:val="24"/>
          <w:lang w:val="zh-CN"/>
        </w:rPr>
        <w:t>入决算情况说明</w:t>
      </w:r>
    </w:p>
    <w:p>
      <w:pPr>
        <w:keepNext/>
        <w:keepLines/>
        <w:spacing w:beforeLines="0" w:afterLines="0"/>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2022年本年收入合计</w:t>
      </w:r>
      <w:r>
        <w:rPr>
          <w:rFonts w:hint="eastAsia" w:ascii="仿宋_GB2312" w:hAnsi="仿宋_GB2312" w:eastAsia="仿宋_GB2312"/>
          <w:color w:val="000000"/>
          <w:kern w:val="2"/>
          <w:sz w:val="32"/>
          <w:szCs w:val="24"/>
          <w:lang w:val="en-US" w:eastAsia="zh-CN"/>
        </w:rPr>
        <w:t>247.09</w:t>
      </w:r>
      <w:r>
        <w:rPr>
          <w:rFonts w:hint="eastAsia" w:ascii="仿宋_GB2312" w:hAnsi="仿宋_GB2312" w:eastAsia="仿宋_GB2312"/>
          <w:color w:val="000000"/>
          <w:kern w:val="2"/>
          <w:sz w:val="32"/>
          <w:szCs w:val="24"/>
          <w:lang w:val="zh-CN"/>
        </w:rPr>
        <w:t>万元，其中：一般公共预算财政拨款收入</w:t>
      </w:r>
      <w:r>
        <w:rPr>
          <w:rFonts w:hint="eastAsia" w:ascii="仿宋_GB2312" w:hAnsi="仿宋_GB2312" w:eastAsia="仿宋_GB2312"/>
          <w:color w:val="000000"/>
          <w:kern w:val="2"/>
          <w:sz w:val="32"/>
          <w:szCs w:val="24"/>
          <w:lang w:val="en-US" w:eastAsia="zh-CN"/>
        </w:rPr>
        <w:t>247.09</w:t>
      </w:r>
      <w:r>
        <w:rPr>
          <w:rFonts w:hint="eastAsia" w:ascii="仿宋_GB2312" w:hAnsi="仿宋_GB2312" w:eastAsia="仿宋_GB2312"/>
          <w:color w:val="000000"/>
          <w:kern w:val="2"/>
          <w:sz w:val="32"/>
          <w:szCs w:val="24"/>
          <w:lang w:val="zh-CN"/>
        </w:rPr>
        <w:t>万元，占100%；政府性基金预算财政拨款收入0万元，占0%；国有资本经营预算财政拨款收入0万元，占0%；上级补助收入0万元，占0%；事业收入0万元，占0%；经营收入0万元，占0%；附属单位上缴收入0万元，占0%；其他收入0万元，占0%。</w:t>
      </w:r>
    </w:p>
    <w:p>
      <w:pPr>
        <w:spacing w:beforeLines="0" w:afterLines="0"/>
        <w:ind w:firstLine="640" w:firstLineChars="200"/>
        <w:jc w:val="both"/>
        <w:rPr>
          <w:rFonts w:hint="eastAsia" w:ascii="仿宋" w:hAnsi="仿宋" w:eastAsia="仿宋"/>
          <w:color w:val="auto"/>
          <w:kern w:val="2"/>
          <w:sz w:val="32"/>
          <w:szCs w:val="24"/>
          <w:lang w:val="en-US"/>
        </w:rPr>
      </w:pPr>
      <w:r>
        <w:rPr>
          <w:rFonts w:hint="default" w:ascii="仿宋" w:hAnsi="仿宋" w:eastAsia="仿宋"/>
          <w:color w:val="auto"/>
          <w:kern w:val="2"/>
          <w:sz w:val="32"/>
          <w:szCs w:val="24"/>
          <w:lang w:val="en-US"/>
        </w:rPr>
        <w:object>
          <v:shape id="_x0000_i1025" o:spt="75" type="#_x0000_t75" style="height:222.75pt;width:266.3pt;" o:ole="t" filled="f" o:preferrelative="t" stroked="f" coordsize="21600,21600">
            <v:path/>
            <v:fill on="f" focussize="0,0"/>
            <v:stroke on="f"/>
            <v:imagedata r:id="rId7" o:title=""/>
            <o:lock v:ext="edit" aspectratio="t"/>
            <w10:wrap type="none"/>
            <w10:anchorlock/>
          </v:shape>
          <o:OLEObject Type="Embed" ProgID="Excel.Chart.8" ShapeID="_x0000_i1025" DrawAspect="Content" ObjectID="_1468075725" r:id="rId6">
            <o:LockedField>false</o:LockedField>
          </o:OLEObject>
        </w:object>
      </w:r>
    </w:p>
    <w:p>
      <w:pPr>
        <w:spacing w:beforeLines="0" w:afterLines="0"/>
        <w:ind w:firstLine="640" w:firstLineChars="200"/>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（图2：收入决算结构</w:t>
      </w:r>
      <w:r>
        <w:rPr>
          <w:rFonts w:hint="eastAsia" w:ascii="仿宋" w:hAnsi="仿宋" w:eastAsia="仿宋"/>
          <w:color w:val="auto"/>
          <w:kern w:val="2"/>
          <w:sz w:val="32"/>
          <w:szCs w:val="24"/>
          <w:u w:val="none" w:color="FFFFFF"/>
          <w:shd w:val="clear" w:fill="FFFFFF"/>
          <w:lang w:val="en-US"/>
        </w:rPr>
        <w:t>图</w:t>
      </w:r>
      <w:r>
        <w:rPr>
          <w:rFonts w:hint="eastAsia" w:ascii="仿宋" w:hAnsi="仿宋" w:eastAsia="仿宋"/>
          <w:color w:val="auto"/>
          <w:kern w:val="2"/>
          <w:sz w:val="32"/>
          <w:szCs w:val="24"/>
          <w:lang w:val="en-US"/>
        </w:rPr>
        <w:t>）</w:t>
      </w:r>
    </w:p>
    <w:p>
      <w:pPr>
        <w:keepNext/>
        <w:keepLines/>
        <w:spacing w:beforeLines="0" w:afterLines="0" w:line="576" w:lineRule="exact"/>
        <w:ind w:firstLine="640"/>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三、支</w:t>
      </w:r>
      <w:r>
        <w:rPr>
          <w:rFonts w:hint="eastAsia" w:ascii="黑体" w:hAnsi="黑体" w:eastAsia="黑体"/>
          <w:color w:val="auto"/>
          <w:kern w:val="2"/>
          <w:sz w:val="32"/>
          <w:szCs w:val="24"/>
          <w:lang w:val="zh-CN"/>
        </w:rPr>
        <w:t>出决算情况说明</w:t>
      </w:r>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2022年本年支出合计</w:t>
      </w:r>
      <w:r>
        <w:rPr>
          <w:rFonts w:hint="eastAsia" w:ascii="仿宋_GB2312" w:hAnsi="仿宋_GB2312" w:eastAsia="仿宋_GB2312"/>
          <w:color w:val="000000"/>
          <w:kern w:val="2"/>
          <w:sz w:val="32"/>
          <w:szCs w:val="24"/>
          <w:lang w:val="en-US" w:eastAsia="zh-CN"/>
        </w:rPr>
        <w:t>247.09</w:t>
      </w:r>
      <w:r>
        <w:rPr>
          <w:rFonts w:hint="eastAsia" w:ascii="仿宋_GB2312" w:hAnsi="仿宋_GB2312" w:eastAsia="仿宋_GB2312"/>
          <w:color w:val="000000"/>
          <w:kern w:val="2"/>
          <w:sz w:val="32"/>
          <w:szCs w:val="24"/>
          <w:lang w:val="zh-CN"/>
        </w:rPr>
        <w:t>万元，其中：基本支出</w:t>
      </w:r>
      <w:r>
        <w:rPr>
          <w:rFonts w:hint="eastAsia" w:ascii="仿宋_GB2312" w:hAnsi="仿宋_GB2312" w:eastAsia="仿宋_GB2312"/>
          <w:color w:val="000000"/>
          <w:kern w:val="2"/>
          <w:sz w:val="32"/>
          <w:szCs w:val="24"/>
          <w:lang w:val="en-US" w:eastAsia="zh-CN"/>
        </w:rPr>
        <w:t>241.558</w:t>
      </w:r>
      <w:r>
        <w:rPr>
          <w:rFonts w:hint="eastAsia" w:ascii="仿宋_GB2312" w:hAnsi="仿宋_GB2312" w:eastAsia="仿宋_GB2312"/>
          <w:color w:val="000000"/>
          <w:kern w:val="2"/>
          <w:sz w:val="32"/>
          <w:szCs w:val="24"/>
          <w:lang w:val="zh-CN"/>
        </w:rPr>
        <w:t>万元，占</w:t>
      </w:r>
      <w:r>
        <w:rPr>
          <w:rFonts w:hint="eastAsia" w:ascii="仿宋_GB2312" w:hAnsi="仿宋_GB2312" w:eastAsia="仿宋_GB2312"/>
          <w:color w:val="000000"/>
          <w:kern w:val="2"/>
          <w:sz w:val="32"/>
          <w:szCs w:val="24"/>
          <w:lang w:val="en-US" w:eastAsia="zh-CN"/>
        </w:rPr>
        <w:t>97.8</w:t>
      </w:r>
      <w:r>
        <w:rPr>
          <w:rFonts w:hint="eastAsia" w:ascii="仿宋_GB2312" w:hAnsi="仿宋_GB2312" w:eastAsia="仿宋_GB2312"/>
          <w:color w:val="000000"/>
          <w:kern w:val="2"/>
          <w:sz w:val="32"/>
          <w:szCs w:val="24"/>
          <w:lang w:val="zh-CN"/>
        </w:rPr>
        <w:t>%；项目支出</w:t>
      </w:r>
      <w:r>
        <w:rPr>
          <w:rFonts w:hint="eastAsia" w:ascii="仿宋_GB2312" w:hAnsi="仿宋_GB2312" w:eastAsia="仿宋_GB2312"/>
          <w:color w:val="000000"/>
          <w:kern w:val="2"/>
          <w:sz w:val="32"/>
          <w:szCs w:val="24"/>
          <w:lang w:val="en-US" w:eastAsia="zh-CN"/>
        </w:rPr>
        <w:t>5.533</w:t>
      </w:r>
      <w:r>
        <w:rPr>
          <w:rFonts w:hint="eastAsia" w:ascii="仿宋_GB2312" w:hAnsi="仿宋_GB2312" w:eastAsia="仿宋_GB2312"/>
          <w:color w:val="000000"/>
          <w:kern w:val="2"/>
          <w:sz w:val="32"/>
          <w:szCs w:val="24"/>
          <w:lang w:val="zh-CN"/>
        </w:rPr>
        <w:t>万元，占</w:t>
      </w:r>
      <w:r>
        <w:rPr>
          <w:rFonts w:hint="eastAsia" w:ascii="仿宋_GB2312" w:hAnsi="仿宋_GB2312" w:eastAsia="仿宋_GB2312"/>
          <w:color w:val="000000"/>
          <w:kern w:val="2"/>
          <w:sz w:val="32"/>
          <w:szCs w:val="24"/>
          <w:lang w:val="en-US" w:eastAsia="zh-CN"/>
        </w:rPr>
        <w:t>2.2</w:t>
      </w:r>
      <w:r>
        <w:rPr>
          <w:rFonts w:hint="eastAsia" w:ascii="仿宋_GB2312" w:hAnsi="仿宋_GB2312" w:eastAsia="仿宋_GB2312"/>
          <w:color w:val="000000"/>
          <w:kern w:val="2"/>
          <w:sz w:val="32"/>
          <w:szCs w:val="24"/>
          <w:lang w:val="zh-CN"/>
        </w:rPr>
        <w:t>%；上缴上级支出0万元，占0%；经营支出0万元，占0%；对附属单位补助支出0万元，占0%。</w:t>
      </w:r>
    </w:p>
    <w:p>
      <w:pPr>
        <w:spacing w:beforeLines="0" w:afterLines="0"/>
        <w:ind w:firstLine="480" w:firstLineChars="200"/>
        <w:jc w:val="both"/>
        <w:rPr>
          <w:rFonts w:hint="eastAsia" w:ascii="仿宋" w:hAnsi="仿宋" w:eastAsia="仿宋"/>
          <w:color w:val="auto"/>
          <w:kern w:val="2"/>
          <w:sz w:val="32"/>
          <w:szCs w:val="24"/>
          <w:lang w:val="en-US"/>
        </w:rPr>
      </w:pPr>
      <w:r>
        <w:rPr>
          <w:rFonts w:hint="default"/>
          <w:sz w:val="24"/>
          <w:szCs w:val="24"/>
        </w:rPr>
        <w:drawing>
          <wp:inline distT="0" distB="0" distL="114300" distR="114300">
            <wp:extent cx="4591050" cy="2762250"/>
            <wp:effectExtent l="0" t="0" r="11430" b="11430"/>
            <wp:docPr id="2" name="图表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表 2"/>
                    <pic:cNvPicPr>
                      <a:picLocks noChangeAspect="1"/>
                    </pic:cNvPicPr>
                  </pic:nvPicPr>
                  <pic:blipFill>
                    <a:blip r:embed="rId8"/>
                    <a:stretch>
                      <a:fillRect/>
                    </a:stretch>
                  </pic:blipFill>
                  <pic:spPr>
                    <a:xfrm>
                      <a:off x="0" y="0"/>
                      <a:ext cx="4591050" cy="2762250"/>
                    </a:xfrm>
                    <a:prstGeom prst="rect">
                      <a:avLst/>
                    </a:prstGeom>
                    <a:noFill/>
                    <a:ln>
                      <a:noFill/>
                    </a:ln>
                  </pic:spPr>
                </pic:pic>
              </a:graphicData>
            </a:graphic>
          </wp:inline>
        </w:drawing>
      </w:r>
    </w:p>
    <w:p>
      <w:pPr>
        <w:spacing w:beforeLines="0" w:afterLines="0"/>
        <w:ind w:firstLine="640" w:firstLineChars="200"/>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（图3：支出决算结构图</w:t>
      </w:r>
      <w:r>
        <w:rPr>
          <w:rFonts w:hint="eastAsia" w:ascii="仿宋" w:hAnsi="仿宋" w:eastAsia="仿宋"/>
          <w:color w:val="auto"/>
          <w:kern w:val="2"/>
          <w:sz w:val="32"/>
          <w:szCs w:val="24"/>
          <w:u w:val="none" w:color="FFFFFF"/>
          <w:shd w:val="clear" w:fill="FFFFFF"/>
          <w:lang w:val="en-US"/>
        </w:rPr>
        <w:t>）</w:t>
      </w:r>
    </w:p>
    <w:p>
      <w:pPr>
        <w:keepNext/>
        <w:keepLines/>
        <w:spacing w:beforeLines="0" w:afterLines="0" w:line="576" w:lineRule="exact"/>
        <w:ind w:firstLine="640"/>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四、财</w:t>
      </w:r>
      <w:r>
        <w:rPr>
          <w:rFonts w:hint="eastAsia" w:ascii="黑体" w:hAnsi="黑体" w:eastAsia="黑体"/>
          <w:color w:val="auto"/>
          <w:kern w:val="2"/>
          <w:sz w:val="32"/>
          <w:szCs w:val="24"/>
          <w:lang w:val="zh-CN"/>
        </w:rPr>
        <w:t>政拨款收入支出决算总体情况说明</w:t>
      </w:r>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2022年度收、支总计</w:t>
      </w:r>
      <w:r>
        <w:rPr>
          <w:rFonts w:hint="eastAsia" w:ascii="仿宋_GB2312" w:hAnsi="仿宋_GB2312" w:eastAsia="仿宋_GB2312"/>
          <w:color w:val="000000"/>
          <w:kern w:val="2"/>
          <w:sz w:val="32"/>
          <w:szCs w:val="24"/>
          <w:lang w:val="en-US" w:eastAsia="zh-CN"/>
        </w:rPr>
        <w:t>247.09</w:t>
      </w:r>
      <w:r>
        <w:rPr>
          <w:rFonts w:hint="eastAsia" w:ascii="仿宋_GB2312" w:hAnsi="仿宋_GB2312" w:eastAsia="仿宋_GB2312"/>
          <w:color w:val="000000"/>
          <w:kern w:val="2"/>
          <w:sz w:val="32"/>
          <w:szCs w:val="24"/>
          <w:lang w:val="zh-CN"/>
        </w:rPr>
        <w:t>万元。与2021年相比，收、支</w:t>
      </w:r>
      <w:r>
        <w:rPr>
          <w:rFonts w:hint="eastAsia" w:ascii="仿宋_GB2312" w:hAnsi="仿宋_GB2312" w:eastAsia="仿宋_GB2312"/>
          <w:color w:val="000000"/>
          <w:kern w:val="2"/>
          <w:sz w:val="32"/>
          <w:szCs w:val="24"/>
          <w:u w:val="none" w:color="FFFFFF"/>
          <w:shd w:val="clear" w:fill="FFFFFF"/>
          <w:lang w:val="zh-CN"/>
        </w:rPr>
        <w:t>总计各</w:t>
      </w:r>
      <w:r>
        <w:rPr>
          <w:rFonts w:hint="eastAsia" w:ascii="仿宋_GB2312" w:hAnsi="仿宋_GB2312" w:eastAsia="仿宋_GB2312"/>
          <w:color w:val="000000"/>
          <w:kern w:val="2"/>
          <w:sz w:val="32"/>
          <w:szCs w:val="24"/>
          <w:lang w:val="zh-CN"/>
        </w:rPr>
        <w:t>增加</w:t>
      </w:r>
      <w:r>
        <w:rPr>
          <w:rFonts w:hint="eastAsia" w:ascii="仿宋_GB2312" w:hAnsi="仿宋_GB2312" w:eastAsia="仿宋_GB2312"/>
          <w:color w:val="000000"/>
          <w:kern w:val="2"/>
          <w:sz w:val="32"/>
          <w:szCs w:val="24"/>
          <w:lang w:val="en-US" w:eastAsia="zh-CN"/>
        </w:rPr>
        <w:t>7.89</w:t>
      </w:r>
      <w:r>
        <w:rPr>
          <w:rFonts w:hint="eastAsia" w:ascii="仿宋_GB2312" w:hAnsi="仿宋_GB2312" w:eastAsia="仿宋_GB2312"/>
          <w:color w:val="000000"/>
          <w:kern w:val="2"/>
          <w:sz w:val="32"/>
          <w:szCs w:val="24"/>
          <w:lang w:val="zh-CN"/>
        </w:rPr>
        <w:t>万元，增长</w:t>
      </w:r>
      <w:r>
        <w:rPr>
          <w:rFonts w:hint="eastAsia" w:ascii="仿宋_GB2312" w:hAnsi="仿宋_GB2312" w:eastAsia="仿宋_GB2312"/>
          <w:color w:val="000000"/>
          <w:kern w:val="2"/>
          <w:sz w:val="32"/>
          <w:szCs w:val="24"/>
          <w:lang w:val="en-US" w:eastAsia="zh-CN"/>
        </w:rPr>
        <w:t>3.19</w:t>
      </w:r>
      <w:r>
        <w:rPr>
          <w:rFonts w:hint="eastAsia" w:ascii="仿宋_GB2312" w:hAnsi="仿宋_GB2312" w:eastAsia="仿宋_GB2312"/>
          <w:color w:val="000000"/>
          <w:kern w:val="2"/>
          <w:sz w:val="32"/>
          <w:szCs w:val="24"/>
          <w:lang w:val="zh-CN"/>
        </w:rPr>
        <w:t>%。</w:t>
      </w:r>
      <w:r>
        <w:rPr>
          <w:rFonts w:hint="eastAsia" w:ascii="仿宋_GB2312" w:hAnsi="仿宋" w:eastAsia="仿宋_GB2312"/>
          <w:sz w:val="32"/>
          <w:szCs w:val="24"/>
          <w:lang w:val="en-US" w:eastAsia="zh-CN"/>
        </w:rPr>
        <w:t>主要是因为工资性支出及项目资金增加。</w:t>
      </w:r>
    </w:p>
    <w:p>
      <w:pPr>
        <w:spacing w:beforeLines="0" w:afterLines="0" w:line="576" w:lineRule="exact"/>
        <w:ind w:firstLine="640"/>
        <w:jc w:val="both"/>
        <w:rPr>
          <w:rFonts w:hint="eastAsia" w:ascii="仿宋_GB2312" w:hAnsi="仿宋_GB2312" w:eastAsia="仿宋_GB2312"/>
          <w:color w:val="000000"/>
          <w:kern w:val="2"/>
          <w:sz w:val="32"/>
          <w:szCs w:val="24"/>
          <w:lang w:val="zh-CN"/>
        </w:rPr>
      </w:pPr>
    </w:p>
    <w:p>
      <w:pPr>
        <w:spacing w:beforeLines="0" w:afterLines="0"/>
        <w:ind w:firstLine="641"/>
        <w:jc w:val="both"/>
        <w:rPr>
          <w:rFonts w:hint="eastAsia" w:ascii="仿宋" w:hAnsi="仿宋" w:eastAsia="仿宋"/>
          <w:color w:val="auto"/>
          <w:kern w:val="2"/>
          <w:sz w:val="32"/>
          <w:szCs w:val="24"/>
          <w:lang w:val="en-US"/>
        </w:rPr>
      </w:pPr>
      <w:r>
        <w:rPr>
          <w:rFonts w:hint="default"/>
          <w:sz w:val="24"/>
          <w:szCs w:val="24"/>
        </w:rPr>
        <w:drawing>
          <wp:inline distT="0" distB="0" distL="114300" distR="114300">
            <wp:extent cx="4591050" cy="2762250"/>
            <wp:effectExtent l="0" t="0" r="11430" b="11430"/>
            <wp:docPr id="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7"/>
                    <pic:cNvPicPr>
                      <a:picLocks noChangeAspect="1"/>
                    </pic:cNvPicPr>
                  </pic:nvPicPr>
                  <pic:blipFill>
                    <a:blip r:embed="rId5"/>
                    <a:stretch>
                      <a:fillRect/>
                    </a:stretch>
                  </pic:blipFill>
                  <pic:spPr>
                    <a:xfrm>
                      <a:off x="0" y="0"/>
                      <a:ext cx="4591050" cy="2762250"/>
                    </a:xfrm>
                    <a:prstGeom prst="rect">
                      <a:avLst/>
                    </a:prstGeom>
                    <a:noFill/>
                    <a:ln>
                      <a:noFill/>
                    </a:ln>
                  </pic:spPr>
                </pic:pic>
              </a:graphicData>
            </a:graphic>
          </wp:inline>
        </w:drawing>
      </w:r>
    </w:p>
    <w:p>
      <w:pPr>
        <w:spacing w:beforeLines="0" w:afterLines="0"/>
        <w:ind w:firstLine="641"/>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（图4：财政拨款</w:t>
      </w:r>
      <w:r>
        <w:rPr>
          <w:rFonts w:hint="eastAsia" w:ascii="仿宋" w:hAnsi="仿宋" w:eastAsia="仿宋"/>
          <w:color w:val="auto"/>
          <w:kern w:val="2"/>
          <w:sz w:val="32"/>
          <w:szCs w:val="24"/>
          <w:u w:val="none" w:color="FFFFFF"/>
          <w:shd w:val="clear" w:fill="FFFFFF"/>
          <w:lang w:val="en-US"/>
        </w:rPr>
        <w:t>收、支</w:t>
      </w:r>
      <w:r>
        <w:rPr>
          <w:rFonts w:hint="eastAsia" w:ascii="仿宋" w:hAnsi="仿宋" w:eastAsia="仿宋"/>
          <w:color w:val="auto"/>
          <w:kern w:val="2"/>
          <w:sz w:val="32"/>
          <w:szCs w:val="24"/>
          <w:lang w:val="en-US"/>
        </w:rPr>
        <w:t>决算总计变动情况</w:t>
      </w:r>
      <w:r>
        <w:rPr>
          <w:rFonts w:hint="eastAsia" w:ascii="仿宋" w:hAnsi="仿宋" w:eastAsia="仿宋"/>
          <w:color w:val="auto"/>
          <w:kern w:val="2"/>
          <w:sz w:val="32"/>
          <w:szCs w:val="24"/>
          <w:u w:val="none" w:color="FFFFFF"/>
          <w:shd w:val="clear" w:fill="FFFFFF"/>
          <w:lang w:val="en-US"/>
        </w:rPr>
        <w:t>）</w:t>
      </w:r>
    </w:p>
    <w:p>
      <w:pPr>
        <w:keepNext/>
        <w:keepLines/>
        <w:spacing w:beforeLines="0" w:afterLines="0" w:line="576" w:lineRule="exact"/>
        <w:ind w:firstLine="640"/>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五、</w:t>
      </w:r>
      <w:r>
        <w:rPr>
          <w:rFonts w:hint="eastAsia" w:ascii="黑体" w:hAnsi="黑体" w:eastAsia="黑体"/>
          <w:b/>
          <w:color w:val="000000"/>
          <w:kern w:val="2"/>
          <w:sz w:val="32"/>
          <w:szCs w:val="24"/>
          <w:lang w:val="zh-CN"/>
        </w:rPr>
        <w:t>一</w:t>
      </w:r>
      <w:r>
        <w:rPr>
          <w:rFonts w:hint="eastAsia" w:ascii="黑体" w:hAnsi="黑体" w:eastAsia="黑体"/>
          <w:color w:val="auto"/>
          <w:kern w:val="2"/>
          <w:sz w:val="32"/>
          <w:szCs w:val="24"/>
          <w:lang w:val="zh-CN"/>
        </w:rPr>
        <w:t>般公共预算财政拨款支出决算情况说明</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（一）一般公共预算财政拨款支出决算总体情况。</w:t>
      </w:r>
    </w:p>
    <w:p>
      <w:pPr>
        <w:keepNext/>
        <w:keepLines/>
        <w:spacing w:beforeLines="0" w:afterLines="0" w:line="576" w:lineRule="exact"/>
        <w:ind w:firstLine="640"/>
        <w:jc w:val="both"/>
        <w:rPr>
          <w:rFonts w:hint="eastAsia" w:ascii="仿宋_GB2312" w:hAnsi="仿宋_GB2312" w:eastAsia="仿宋_GB2312"/>
          <w:color w:val="000000"/>
          <w:kern w:val="2"/>
          <w:sz w:val="32"/>
          <w:szCs w:val="24"/>
          <w:lang w:val="en-US" w:eastAsia="zh-CN"/>
        </w:rPr>
      </w:pPr>
      <w:r>
        <w:rPr>
          <w:rFonts w:hint="eastAsia" w:ascii="仿宋_GB2312" w:hAnsi="仿宋_GB2312" w:eastAsia="仿宋_GB2312"/>
          <w:color w:val="000000"/>
          <w:kern w:val="2"/>
          <w:sz w:val="32"/>
          <w:szCs w:val="24"/>
          <w:lang w:val="zh-CN"/>
        </w:rPr>
        <w:t>2022</w:t>
      </w:r>
      <w:r>
        <w:rPr>
          <w:rFonts w:hint="eastAsia" w:ascii="仿宋_GB2312" w:hAnsi="仿宋_GB2312" w:eastAsia="仿宋_GB2312"/>
          <w:color w:val="000000"/>
          <w:kern w:val="2"/>
          <w:sz w:val="32"/>
          <w:szCs w:val="24"/>
          <w:u w:val="none" w:color="FFFFFF"/>
          <w:shd w:val="clear" w:fill="FFFFFF"/>
          <w:lang w:val="zh-CN"/>
        </w:rPr>
        <w:t>年</w:t>
      </w:r>
      <w:r>
        <w:rPr>
          <w:rFonts w:hint="eastAsia" w:ascii="仿宋_GB2312" w:hAnsi="仿宋_GB2312" w:eastAsia="仿宋_GB2312"/>
          <w:color w:val="000000"/>
          <w:kern w:val="2"/>
          <w:sz w:val="32"/>
          <w:szCs w:val="24"/>
          <w:lang w:val="zh-CN"/>
        </w:rPr>
        <w:t>一般公共预算财政拨款支出</w:t>
      </w:r>
      <w:r>
        <w:rPr>
          <w:rFonts w:hint="eastAsia" w:ascii="仿宋_GB2312" w:hAnsi="仿宋_GB2312" w:eastAsia="仿宋_GB2312"/>
          <w:color w:val="000000"/>
          <w:kern w:val="2"/>
          <w:sz w:val="32"/>
          <w:szCs w:val="24"/>
          <w:lang w:val="en-US" w:eastAsia="zh-CN"/>
        </w:rPr>
        <w:t>247.09</w:t>
      </w:r>
      <w:r>
        <w:rPr>
          <w:rFonts w:hint="eastAsia" w:ascii="仿宋_GB2312" w:hAnsi="仿宋_GB2312" w:eastAsia="仿宋_GB2312"/>
          <w:color w:val="000000"/>
          <w:kern w:val="2"/>
          <w:sz w:val="32"/>
          <w:szCs w:val="24"/>
          <w:lang w:val="zh-CN"/>
        </w:rPr>
        <w:t>万元，占本年支出合计的100%。与2021年相比，一般公共预算财政拨款支出增加</w:t>
      </w:r>
      <w:r>
        <w:rPr>
          <w:rFonts w:hint="eastAsia" w:ascii="仿宋_GB2312" w:hAnsi="仿宋_GB2312" w:eastAsia="仿宋_GB2312"/>
          <w:color w:val="000000"/>
          <w:kern w:val="2"/>
          <w:sz w:val="32"/>
          <w:szCs w:val="24"/>
          <w:lang w:val="en-US" w:eastAsia="zh-CN"/>
        </w:rPr>
        <w:t>7.89</w:t>
      </w:r>
      <w:r>
        <w:rPr>
          <w:rFonts w:hint="eastAsia" w:ascii="仿宋_GB2312" w:hAnsi="仿宋_GB2312" w:eastAsia="仿宋_GB2312"/>
          <w:color w:val="000000"/>
          <w:kern w:val="2"/>
          <w:sz w:val="32"/>
          <w:szCs w:val="24"/>
          <w:lang w:val="zh-CN"/>
        </w:rPr>
        <w:t>万元，增长</w:t>
      </w:r>
      <w:r>
        <w:rPr>
          <w:rFonts w:hint="eastAsia" w:ascii="仿宋_GB2312" w:hAnsi="仿宋_GB2312" w:eastAsia="仿宋_GB2312"/>
          <w:color w:val="000000"/>
          <w:kern w:val="2"/>
          <w:sz w:val="32"/>
          <w:szCs w:val="24"/>
          <w:lang w:val="en-US" w:eastAsia="zh-CN"/>
        </w:rPr>
        <w:t>3.19</w:t>
      </w:r>
      <w:r>
        <w:rPr>
          <w:rFonts w:hint="eastAsia" w:ascii="仿宋_GB2312" w:hAnsi="仿宋_GB2312" w:eastAsia="仿宋_GB2312"/>
          <w:color w:val="000000"/>
          <w:kern w:val="2"/>
          <w:sz w:val="32"/>
          <w:szCs w:val="24"/>
          <w:lang w:val="zh-CN"/>
        </w:rPr>
        <w:t>%。主要变动原因是工资性支出</w:t>
      </w:r>
      <w:r>
        <w:rPr>
          <w:rFonts w:hint="eastAsia" w:ascii="仿宋_GB2312" w:hAnsi="仿宋_GB2312" w:eastAsia="仿宋_GB2312"/>
          <w:color w:val="000000"/>
          <w:kern w:val="2"/>
          <w:sz w:val="32"/>
          <w:szCs w:val="24"/>
          <w:u w:val="none" w:color="FFFFFF"/>
          <w:shd w:val="clear" w:fill="FFFFFF"/>
          <w:lang w:val="en-US" w:eastAsia="zh-CN"/>
        </w:rPr>
        <w:t>.</w:t>
      </w:r>
    </w:p>
    <w:p>
      <w:pPr>
        <w:spacing w:beforeLines="0" w:afterLines="0"/>
        <w:ind w:firstLine="641"/>
        <w:jc w:val="both"/>
        <w:rPr>
          <w:rFonts w:hint="eastAsia" w:ascii="仿宋" w:hAnsi="仿宋" w:eastAsia="仿宋"/>
          <w:color w:val="auto"/>
          <w:kern w:val="2"/>
          <w:sz w:val="32"/>
          <w:szCs w:val="24"/>
          <w:lang w:val="en-US" w:eastAsia="zh-CN"/>
        </w:rPr>
      </w:pPr>
      <w:r>
        <w:rPr>
          <w:rFonts w:hint="default"/>
          <w:sz w:val="24"/>
          <w:szCs w:val="24"/>
        </w:rPr>
        <w:drawing>
          <wp:inline distT="0" distB="0" distL="114300" distR="114300">
            <wp:extent cx="4591050" cy="2762250"/>
            <wp:effectExtent l="0" t="0" r="11430" b="11430"/>
            <wp:docPr id="4" name="图表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表 3"/>
                    <pic:cNvPicPr>
                      <a:picLocks noChangeAspect="1"/>
                    </pic:cNvPicPr>
                  </pic:nvPicPr>
                  <pic:blipFill>
                    <a:blip r:embed="rId9"/>
                    <a:stretch>
                      <a:fillRect/>
                    </a:stretch>
                  </pic:blipFill>
                  <pic:spPr>
                    <a:xfrm>
                      <a:off x="0" y="0"/>
                      <a:ext cx="4591050" cy="2762250"/>
                    </a:xfrm>
                    <a:prstGeom prst="rect">
                      <a:avLst/>
                    </a:prstGeom>
                    <a:noFill/>
                    <a:ln>
                      <a:noFill/>
                    </a:ln>
                  </pic:spPr>
                </pic:pic>
              </a:graphicData>
            </a:graphic>
          </wp:inline>
        </w:drawing>
      </w:r>
    </w:p>
    <w:p>
      <w:pPr>
        <w:spacing w:beforeLines="0" w:afterLines="0" w:line="600" w:lineRule="exact"/>
        <w:ind w:firstLine="640"/>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（图5：一般公共预算财政拨款支出决算变动情况</w:t>
      </w:r>
      <w:r>
        <w:rPr>
          <w:rFonts w:hint="eastAsia" w:ascii="仿宋" w:hAnsi="仿宋" w:eastAsia="仿宋"/>
          <w:color w:val="auto"/>
          <w:kern w:val="2"/>
          <w:sz w:val="32"/>
          <w:szCs w:val="24"/>
          <w:u w:val="none" w:color="FFFFFF"/>
          <w:shd w:val="clear" w:fill="FFFFFF"/>
          <w:lang w:val="en-US"/>
        </w:rPr>
        <w:t>）</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（二）一般公共预算财政拨款支出决算结构情况。</w:t>
      </w:r>
    </w:p>
    <w:p>
      <w:pPr>
        <w:keepNext/>
        <w:keepLines/>
        <w:spacing w:beforeLines="0" w:afterLines="0" w:line="576" w:lineRule="exact"/>
        <w:ind w:firstLine="640"/>
        <w:jc w:val="both"/>
        <w:rPr>
          <w:rFonts w:hint="eastAsia" w:ascii="仿宋" w:hAnsi="仿宋" w:eastAsia="仿宋"/>
          <w:b/>
          <w:color w:val="auto"/>
          <w:kern w:val="2"/>
          <w:sz w:val="32"/>
          <w:szCs w:val="24"/>
          <w:lang w:val="en-US"/>
        </w:rPr>
      </w:pPr>
      <w:r>
        <w:rPr>
          <w:rFonts w:hint="eastAsia" w:ascii="仿宋_GB2312" w:hAnsi="仿宋_GB2312" w:eastAsia="仿宋_GB2312"/>
          <w:color w:val="000000"/>
          <w:kern w:val="2"/>
          <w:sz w:val="32"/>
          <w:szCs w:val="24"/>
          <w:lang w:val="zh-CN"/>
        </w:rPr>
        <w:t>2022年一般公共预算财政拨款支出</w:t>
      </w:r>
      <w:r>
        <w:rPr>
          <w:rFonts w:hint="eastAsia" w:ascii="仿宋_GB2312" w:hAnsi="仿宋_GB2312" w:eastAsia="仿宋_GB2312"/>
          <w:color w:val="000000"/>
          <w:kern w:val="2"/>
          <w:sz w:val="32"/>
          <w:szCs w:val="24"/>
          <w:lang w:val="en-US" w:eastAsia="zh-CN"/>
        </w:rPr>
        <w:t>247.09</w:t>
      </w:r>
      <w:r>
        <w:rPr>
          <w:rFonts w:hint="eastAsia" w:ascii="仿宋_GB2312" w:hAnsi="仿宋_GB2312" w:eastAsia="仿宋_GB2312"/>
          <w:color w:val="000000"/>
          <w:kern w:val="2"/>
          <w:sz w:val="32"/>
          <w:szCs w:val="24"/>
          <w:lang w:val="zh-CN"/>
        </w:rPr>
        <w:t>万元，主要用于以下方面</w:t>
      </w:r>
      <w:r>
        <w:rPr>
          <w:rFonts w:hint="eastAsia" w:ascii="仿宋_GB2312" w:hAnsi="仿宋_GB2312" w:eastAsia="仿宋_GB2312"/>
          <w:color w:val="000000"/>
          <w:kern w:val="2"/>
          <w:sz w:val="32"/>
          <w:szCs w:val="24"/>
          <w:u w:val="none" w:color="FFFFFF"/>
          <w:shd w:val="clear" w:fill="FFFFFF"/>
          <w:lang w:val="zh-CN"/>
        </w:rPr>
        <w:t xml:space="preserve">: </w:t>
      </w:r>
      <w:r>
        <w:rPr>
          <w:rFonts w:hint="eastAsia" w:ascii="仿宋_GB2312" w:hAnsi="仿宋_GB2312" w:eastAsia="仿宋_GB2312"/>
          <w:color w:val="000000"/>
          <w:kern w:val="2"/>
          <w:sz w:val="32"/>
          <w:szCs w:val="24"/>
          <w:lang w:val="zh-CN"/>
        </w:rPr>
        <w:t>教育支出</w:t>
      </w:r>
      <w:r>
        <w:rPr>
          <w:rFonts w:hint="eastAsia" w:ascii="仿宋_GB2312" w:hAnsi="仿宋_GB2312" w:eastAsia="仿宋_GB2312"/>
          <w:color w:val="000000"/>
          <w:kern w:val="2"/>
          <w:sz w:val="32"/>
          <w:szCs w:val="24"/>
          <w:lang w:val="en-US" w:eastAsia="zh-CN"/>
        </w:rPr>
        <w:t>189.42</w:t>
      </w:r>
      <w:r>
        <w:rPr>
          <w:rFonts w:hint="eastAsia" w:ascii="仿宋_GB2312" w:hAnsi="仿宋_GB2312" w:eastAsia="仿宋_GB2312"/>
          <w:color w:val="000000"/>
          <w:kern w:val="2"/>
          <w:sz w:val="32"/>
          <w:szCs w:val="24"/>
          <w:lang w:val="zh-CN"/>
        </w:rPr>
        <w:t>万元，占</w:t>
      </w:r>
      <w:r>
        <w:rPr>
          <w:rFonts w:hint="eastAsia" w:ascii="仿宋_GB2312" w:hAnsi="仿宋_GB2312" w:eastAsia="仿宋_GB2312"/>
          <w:color w:val="000000"/>
          <w:kern w:val="2"/>
          <w:sz w:val="32"/>
          <w:szCs w:val="24"/>
          <w:lang w:val="en-US" w:eastAsia="zh-CN"/>
        </w:rPr>
        <w:t>76.7</w:t>
      </w:r>
      <w:r>
        <w:rPr>
          <w:rFonts w:hint="eastAsia" w:ascii="仿宋_GB2312" w:hAnsi="仿宋_GB2312" w:eastAsia="仿宋_GB2312"/>
          <w:color w:val="000000"/>
          <w:kern w:val="2"/>
          <w:sz w:val="32"/>
          <w:szCs w:val="24"/>
          <w:lang w:val="zh-CN"/>
        </w:rPr>
        <w:t>%；社会保障和就业支出</w:t>
      </w:r>
      <w:r>
        <w:rPr>
          <w:rFonts w:hint="eastAsia" w:ascii="仿宋_GB2312" w:hAnsi="仿宋_GB2312" w:eastAsia="仿宋_GB2312"/>
          <w:color w:val="000000"/>
          <w:kern w:val="2"/>
          <w:sz w:val="32"/>
          <w:szCs w:val="24"/>
          <w:lang w:val="en-US" w:eastAsia="zh-CN"/>
        </w:rPr>
        <w:t>29.79</w:t>
      </w:r>
      <w:r>
        <w:rPr>
          <w:rFonts w:hint="eastAsia" w:ascii="仿宋_GB2312" w:hAnsi="仿宋_GB2312" w:eastAsia="仿宋_GB2312"/>
          <w:color w:val="000000"/>
          <w:kern w:val="2"/>
          <w:sz w:val="32"/>
          <w:szCs w:val="24"/>
          <w:lang w:val="zh-CN"/>
        </w:rPr>
        <w:t>万元，占</w:t>
      </w:r>
      <w:r>
        <w:rPr>
          <w:rFonts w:hint="eastAsia" w:ascii="仿宋_GB2312" w:hAnsi="仿宋_GB2312" w:eastAsia="仿宋_GB2312"/>
          <w:color w:val="000000"/>
          <w:kern w:val="2"/>
          <w:sz w:val="32"/>
          <w:szCs w:val="24"/>
          <w:lang w:val="en-US" w:eastAsia="zh-CN"/>
        </w:rPr>
        <w:t>12</w:t>
      </w:r>
      <w:r>
        <w:rPr>
          <w:rFonts w:hint="eastAsia" w:ascii="仿宋_GB2312" w:hAnsi="仿宋_GB2312" w:eastAsia="仿宋_GB2312"/>
          <w:color w:val="000000"/>
          <w:kern w:val="2"/>
          <w:sz w:val="32"/>
          <w:szCs w:val="24"/>
          <w:lang w:val="zh-CN"/>
        </w:rPr>
        <w:t>%；卫生健康支出</w:t>
      </w:r>
      <w:r>
        <w:rPr>
          <w:rFonts w:hint="eastAsia" w:ascii="仿宋_GB2312" w:hAnsi="仿宋_GB2312" w:eastAsia="仿宋_GB2312"/>
          <w:color w:val="000000"/>
          <w:kern w:val="2"/>
          <w:sz w:val="32"/>
          <w:szCs w:val="24"/>
          <w:lang w:val="en-US" w:eastAsia="zh-CN"/>
        </w:rPr>
        <w:t>13.8</w:t>
      </w:r>
      <w:r>
        <w:rPr>
          <w:rFonts w:hint="eastAsia" w:ascii="仿宋_GB2312" w:hAnsi="仿宋_GB2312" w:eastAsia="仿宋_GB2312"/>
          <w:color w:val="000000"/>
          <w:kern w:val="2"/>
          <w:sz w:val="32"/>
          <w:szCs w:val="24"/>
          <w:lang w:val="zh-CN"/>
        </w:rPr>
        <w:t>万元，占</w:t>
      </w:r>
      <w:r>
        <w:rPr>
          <w:rFonts w:hint="eastAsia" w:ascii="仿宋_GB2312" w:hAnsi="仿宋_GB2312" w:eastAsia="仿宋_GB2312"/>
          <w:color w:val="000000"/>
          <w:kern w:val="2"/>
          <w:sz w:val="32"/>
          <w:szCs w:val="24"/>
          <w:lang w:val="en-US" w:eastAsia="zh-CN"/>
        </w:rPr>
        <w:t>5.6</w:t>
      </w:r>
      <w:r>
        <w:rPr>
          <w:rFonts w:hint="eastAsia" w:ascii="仿宋_GB2312" w:hAnsi="仿宋_GB2312" w:eastAsia="仿宋_GB2312"/>
          <w:color w:val="000000"/>
          <w:kern w:val="2"/>
          <w:sz w:val="32"/>
          <w:szCs w:val="24"/>
          <w:lang w:val="zh-CN"/>
        </w:rPr>
        <w:t>%；农林水支出</w:t>
      </w:r>
      <w:r>
        <w:rPr>
          <w:rFonts w:hint="eastAsia" w:ascii="仿宋_GB2312" w:hAnsi="仿宋_GB2312" w:eastAsia="仿宋_GB2312"/>
          <w:color w:val="000000"/>
          <w:kern w:val="2"/>
          <w:sz w:val="32"/>
          <w:szCs w:val="24"/>
          <w:lang w:val="en-US" w:eastAsia="zh-CN"/>
        </w:rPr>
        <w:t>0.5</w:t>
      </w:r>
      <w:r>
        <w:rPr>
          <w:rFonts w:hint="eastAsia" w:ascii="仿宋_GB2312" w:hAnsi="仿宋_GB2312" w:eastAsia="仿宋_GB2312"/>
          <w:color w:val="000000"/>
          <w:kern w:val="2"/>
          <w:sz w:val="32"/>
          <w:szCs w:val="24"/>
          <w:lang w:val="zh-CN"/>
        </w:rPr>
        <w:t>万元，占0.</w:t>
      </w:r>
      <w:r>
        <w:rPr>
          <w:rFonts w:hint="eastAsia" w:ascii="仿宋_GB2312" w:hAnsi="仿宋_GB2312" w:eastAsia="仿宋_GB2312"/>
          <w:color w:val="000000"/>
          <w:kern w:val="2"/>
          <w:sz w:val="32"/>
          <w:szCs w:val="24"/>
          <w:lang w:val="en-US" w:eastAsia="zh-CN"/>
        </w:rPr>
        <w:t>2</w:t>
      </w:r>
      <w:r>
        <w:rPr>
          <w:rFonts w:hint="eastAsia" w:ascii="仿宋_GB2312" w:hAnsi="仿宋_GB2312" w:eastAsia="仿宋_GB2312"/>
          <w:color w:val="000000"/>
          <w:kern w:val="2"/>
          <w:sz w:val="32"/>
          <w:szCs w:val="24"/>
          <w:lang w:val="zh-CN"/>
        </w:rPr>
        <w:t>%；住房保障支出</w:t>
      </w:r>
      <w:r>
        <w:rPr>
          <w:rFonts w:hint="eastAsia" w:ascii="仿宋_GB2312" w:hAnsi="仿宋_GB2312" w:eastAsia="仿宋_GB2312"/>
          <w:color w:val="000000"/>
          <w:kern w:val="2"/>
          <w:sz w:val="32"/>
          <w:szCs w:val="24"/>
          <w:lang w:val="en-US" w:eastAsia="zh-CN"/>
        </w:rPr>
        <w:t>13.57</w:t>
      </w:r>
      <w:r>
        <w:rPr>
          <w:rFonts w:hint="eastAsia" w:ascii="仿宋_GB2312" w:hAnsi="仿宋_GB2312" w:eastAsia="仿宋_GB2312"/>
          <w:color w:val="000000"/>
          <w:kern w:val="2"/>
          <w:sz w:val="32"/>
          <w:szCs w:val="24"/>
          <w:lang w:val="zh-CN"/>
        </w:rPr>
        <w:t>万元，占</w:t>
      </w:r>
      <w:r>
        <w:rPr>
          <w:rFonts w:hint="eastAsia" w:ascii="仿宋_GB2312" w:hAnsi="仿宋_GB2312" w:eastAsia="仿宋_GB2312"/>
          <w:color w:val="000000"/>
          <w:kern w:val="2"/>
          <w:sz w:val="32"/>
          <w:szCs w:val="24"/>
          <w:lang w:val="en-US" w:eastAsia="zh-CN"/>
        </w:rPr>
        <w:t>5.5</w:t>
      </w:r>
      <w:r>
        <w:rPr>
          <w:rFonts w:hint="eastAsia" w:ascii="仿宋_GB2312" w:hAnsi="仿宋_GB2312" w:eastAsia="仿宋_GB2312"/>
          <w:color w:val="000000"/>
          <w:kern w:val="2"/>
          <w:sz w:val="32"/>
          <w:szCs w:val="24"/>
          <w:lang w:val="zh-CN"/>
        </w:rPr>
        <w:t>%。</w:t>
      </w:r>
    </w:p>
    <w:p>
      <w:pPr>
        <w:spacing w:beforeLines="0" w:afterLines="0"/>
        <w:ind w:firstLine="641"/>
        <w:jc w:val="both"/>
        <w:rPr>
          <w:rFonts w:hint="eastAsia" w:ascii="仿宋" w:hAnsi="仿宋" w:eastAsia="仿宋"/>
          <w:color w:val="auto"/>
          <w:kern w:val="2"/>
          <w:sz w:val="32"/>
          <w:szCs w:val="24"/>
          <w:lang w:val="en-US"/>
        </w:rPr>
      </w:pPr>
      <w:r>
        <w:rPr>
          <w:rFonts w:hint="default"/>
          <w:sz w:val="24"/>
          <w:szCs w:val="24"/>
        </w:rPr>
        <w:drawing>
          <wp:inline distT="0" distB="0" distL="114300" distR="114300">
            <wp:extent cx="4591050" cy="2762250"/>
            <wp:effectExtent l="0" t="0" r="11430" b="11430"/>
            <wp:docPr id="5" name="图表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表 6"/>
                    <pic:cNvPicPr>
                      <a:picLocks noChangeAspect="1"/>
                    </pic:cNvPicPr>
                  </pic:nvPicPr>
                  <pic:blipFill>
                    <a:blip r:embed="rId10"/>
                    <a:stretch>
                      <a:fillRect/>
                    </a:stretch>
                  </pic:blipFill>
                  <pic:spPr>
                    <a:xfrm>
                      <a:off x="0" y="0"/>
                      <a:ext cx="4591050" cy="2762250"/>
                    </a:xfrm>
                    <a:prstGeom prst="rect">
                      <a:avLst/>
                    </a:prstGeom>
                    <a:noFill/>
                    <a:ln>
                      <a:noFill/>
                    </a:ln>
                  </pic:spPr>
                </pic:pic>
              </a:graphicData>
            </a:graphic>
          </wp:inline>
        </w:drawing>
      </w:r>
    </w:p>
    <w:p>
      <w:pPr>
        <w:spacing w:beforeLines="0" w:afterLines="0"/>
        <w:ind w:firstLine="641"/>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（图6：一般公共预算财政拨款支出决算结构</w:t>
      </w:r>
      <w:r>
        <w:rPr>
          <w:rFonts w:hint="eastAsia" w:ascii="仿宋" w:hAnsi="仿宋" w:eastAsia="仿宋"/>
          <w:color w:val="auto"/>
          <w:kern w:val="2"/>
          <w:sz w:val="32"/>
          <w:szCs w:val="24"/>
          <w:u w:val="none" w:color="FFFFFF"/>
          <w:shd w:val="clear" w:fill="FFFFFF"/>
          <w:lang w:val="en-US"/>
        </w:rPr>
        <w:t>）</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（三）一般公共预算财政拨款支出决算具体情况。</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2022年一般公共预算支出决算数为</w:t>
      </w:r>
      <w:r>
        <w:rPr>
          <w:rFonts w:hint="eastAsia" w:ascii="仿宋_GB2312" w:hAnsi="仿宋_GB2312" w:eastAsia="仿宋_GB2312"/>
          <w:b/>
          <w:color w:val="000000"/>
          <w:kern w:val="2"/>
          <w:sz w:val="32"/>
          <w:szCs w:val="24"/>
          <w:lang w:val="en-US" w:eastAsia="zh-CN"/>
        </w:rPr>
        <w:t>247.09</w:t>
      </w:r>
      <w:r>
        <w:rPr>
          <w:rFonts w:hint="eastAsia" w:ascii="仿宋_GB2312" w:hAnsi="仿宋_GB2312" w:eastAsia="仿宋_GB2312"/>
          <w:b/>
          <w:color w:val="000000"/>
          <w:kern w:val="2"/>
          <w:sz w:val="32"/>
          <w:szCs w:val="24"/>
          <w:lang w:val="zh-CN"/>
        </w:rPr>
        <w:t>万元</w:t>
      </w:r>
      <w:r>
        <w:rPr>
          <w:rFonts w:hint="eastAsia" w:ascii="仿宋_GB2312" w:hAnsi="仿宋_GB2312" w:eastAsia="仿宋_GB2312"/>
          <w:color w:val="000000"/>
          <w:kern w:val="2"/>
          <w:sz w:val="32"/>
          <w:szCs w:val="24"/>
          <w:lang w:val="zh-CN"/>
        </w:rPr>
        <w:t>，</w:t>
      </w:r>
      <w:r>
        <w:rPr>
          <w:rFonts w:hint="eastAsia" w:ascii="仿宋_GB2312" w:hAnsi="仿宋_GB2312" w:eastAsia="仿宋_GB2312"/>
          <w:b/>
          <w:color w:val="000000"/>
          <w:kern w:val="2"/>
          <w:sz w:val="32"/>
          <w:szCs w:val="24"/>
          <w:lang w:val="zh-CN"/>
        </w:rPr>
        <w:t>完成预算100%。其中：</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eastAsia="zh-CN"/>
        </w:rPr>
        <w:t>1</w:t>
      </w:r>
      <w:r>
        <w:rPr>
          <w:rFonts w:hint="eastAsia" w:ascii="仿宋_GB2312" w:hAnsi="仿宋_GB2312" w:eastAsia="仿宋_GB2312"/>
          <w:b/>
          <w:color w:val="000000"/>
          <w:kern w:val="2"/>
          <w:sz w:val="32"/>
          <w:szCs w:val="24"/>
          <w:lang w:val="en-US"/>
        </w:rPr>
        <w:t>.教育支出</w:t>
      </w:r>
      <w:r>
        <w:rPr>
          <w:rFonts w:hint="eastAsia" w:ascii="仿宋_GB2312" w:hAnsi="仿宋_GB2312" w:eastAsia="仿宋_GB2312"/>
          <w:b/>
          <w:color w:val="000000"/>
          <w:kern w:val="2"/>
          <w:sz w:val="32"/>
          <w:szCs w:val="24"/>
          <w:u w:val="none" w:color="FFFFFF"/>
          <w:shd w:val="clear" w:fill="FFFFFF"/>
          <w:lang w:val="en-US"/>
        </w:rPr>
        <w:t>:</w:t>
      </w:r>
      <w:r>
        <w:rPr>
          <w:rFonts w:hint="eastAsia" w:ascii="仿宋" w:hAnsi="仿宋" w:eastAsia="仿宋"/>
          <w:color w:val="auto"/>
          <w:kern w:val="2"/>
          <w:sz w:val="32"/>
          <w:szCs w:val="24"/>
          <w:lang w:val="en-US"/>
        </w:rPr>
        <w:t>支出决算为</w:t>
      </w:r>
      <w:r>
        <w:rPr>
          <w:rFonts w:hint="eastAsia" w:ascii="仿宋_GB2312" w:hAnsi="仿宋_GB2312" w:eastAsia="仿宋_GB2312"/>
          <w:color w:val="000000"/>
          <w:kern w:val="2"/>
          <w:sz w:val="32"/>
          <w:szCs w:val="24"/>
          <w:lang w:val="en-US" w:eastAsia="zh-CN"/>
        </w:rPr>
        <w:t>189.42</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eastAsia="zh-CN"/>
        </w:rPr>
        <w:t>2</w:t>
      </w:r>
      <w:r>
        <w:rPr>
          <w:rFonts w:hint="eastAsia" w:ascii="仿宋_GB2312" w:hAnsi="仿宋_GB2312" w:eastAsia="仿宋_GB2312"/>
          <w:b/>
          <w:color w:val="000000"/>
          <w:kern w:val="2"/>
          <w:sz w:val="32"/>
          <w:szCs w:val="24"/>
          <w:lang w:val="en-US"/>
        </w:rPr>
        <w:t>.社会保障和就业支出</w:t>
      </w:r>
      <w:r>
        <w:rPr>
          <w:rFonts w:hint="eastAsia" w:ascii="仿宋_GB2312" w:hAnsi="仿宋_GB2312" w:eastAsia="仿宋_GB2312"/>
          <w:b/>
          <w:color w:val="000000"/>
          <w:kern w:val="2"/>
          <w:sz w:val="32"/>
          <w:szCs w:val="24"/>
          <w:u w:val="none" w:color="FFFFFF"/>
          <w:shd w:val="clear" w:fill="FFFFFF"/>
          <w:lang w:val="en-US"/>
        </w:rPr>
        <w:t>:</w:t>
      </w:r>
      <w:r>
        <w:rPr>
          <w:rFonts w:hint="eastAsia" w:ascii="仿宋" w:hAnsi="仿宋" w:eastAsia="仿宋"/>
          <w:color w:val="auto"/>
          <w:kern w:val="2"/>
          <w:sz w:val="32"/>
          <w:szCs w:val="24"/>
          <w:lang w:val="en-US"/>
        </w:rPr>
        <w:t>支出决算为</w:t>
      </w:r>
      <w:r>
        <w:rPr>
          <w:rFonts w:hint="eastAsia" w:ascii="仿宋_GB2312" w:hAnsi="仿宋_GB2312" w:eastAsia="仿宋_GB2312"/>
          <w:color w:val="000000"/>
          <w:kern w:val="2"/>
          <w:sz w:val="32"/>
          <w:szCs w:val="24"/>
          <w:lang w:val="en-US" w:eastAsia="zh-CN"/>
        </w:rPr>
        <w:t>29.79</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eastAsia="zh-CN"/>
        </w:rPr>
        <w:t>3</w:t>
      </w:r>
      <w:r>
        <w:rPr>
          <w:rFonts w:hint="eastAsia" w:ascii="仿宋_GB2312" w:hAnsi="仿宋_GB2312" w:eastAsia="仿宋_GB2312"/>
          <w:b/>
          <w:color w:val="000000"/>
          <w:kern w:val="2"/>
          <w:sz w:val="32"/>
          <w:szCs w:val="24"/>
          <w:lang w:val="en-US"/>
        </w:rPr>
        <w:t>.卫生健康支出</w:t>
      </w:r>
      <w:r>
        <w:rPr>
          <w:rFonts w:hint="eastAsia" w:ascii="仿宋_GB2312" w:hAnsi="仿宋_GB2312" w:eastAsia="仿宋_GB2312"/>
          <w:b/>
          <w:color w:val="000000"/>
          <w:kern w:val="2"/>
          <w:sz w:val="32"/>
          <w:szCs w:val="24"/>
          <w:u w:val="none" w:color="FFFFFF"/>
          <w:shd w:val="clear" w:fill="FFFFFF"/>
          <w:lang w:val="en-US"/>
        </w:rPr>
        <w:t>:</w:t>
      </w:r>
      <w:r>
        <w:rPr>
          <w:rFonts w:hint="eastAsia" w:ascii="仿宋" w:hAnsi="仿宋" w:eastAsia="仿宋"/>
          <w:color w:val="auto"/>
          <w:kern w:val="2"/>
          <w:sz w:val="32"/>
          <w:szCs w:val="24"/>
          <w:lang w:val="en-US"/>
        </w:rPr>
        <w:t>支出决算为</w:t>
      </w:r>
      <w:r>
        <w:rPr>
          <w:rFonts w:hint="eastAsia" w:ascii="仿宋_GB2312" w:hAnsi="仿宋_GB2312" w:eastAsia="仿宋_GB2312"/>
          <w:color w:val="000000"/>
          <w:kern w:val="2"/>
          <w:sz w:val="32"/>
          <w:szCs w:val="24"/>
          <w:lang w:val="en-US" w:eastAsia="zh-CN"/>
        </w:rPr>
        <w:t>13.8</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pPr>
        <w:keepNext/>
        <w:keepLines/>
        <w:spacing w:beforeLines="0" w:afterLines="0" w:line="576" w:lineRule="exact"/>
        <w:ind w:firstLine="640"/>
        <w:jc w:val="both"/>
        <w:rPr>
          <w:rFonts w:hint="eastAsia" w:ascii="仿宋" w:hAnsi="仿宋" w:eastAsia="仿宋" w:cs="仿宋"/>
          <w:kern w:val="2"/>
          <w:sz w:val="32"/>
          <w:szCs w:val="32"/>
        </w:rPr>
      </w:pPr>
      <w:r>
        <w:rPr>
          <w:rFonts w:hint="eastAsia" w:ascii="仿宋_GB2312" w:hAnsi="仿宋_GB2312" w:eastAsia="仿宋_GB2312" w:cs="仿宋_GB2312"/>
          <w:b/>
          <w:color w:val="000000"/>
          <w:kern w:val="2"/>
          <w:sz w:val="32"/>
          <w:szCs w:val="32"/>
        </w:rPr>
        <w:t>4.农林水支出</w:t>
      </w:r>
      <w:r>
        <w:rPr>
          <w:rFonts w:hint="eastAsia" w:ascii="仿宋_GB2312" w:hAnsi="仿宋_GB2312" w:eastAsia="仿宋_GB2312" w:cs="仿宋_GB2312"/>
          <w:b/>
          <w:color w:val="000000"/>
          <w:kern w:val="2"/>
          <w:sz w:val="32"/>
          <w:szCs w:val="32"/>
          <w:u w:val="none" w:color="FFFFFF"/>
          <w:shd w:val="clear" w:fill="FFFFFF"/>
        </w:rPr>
        <w:t>:</w:t>
      </w:r>
      <w:r>
        <w:rPr>
          <w:rFonts w:hint="eastAsia" w:ascii="仿宋" w:hAnsi="仿宋" w:eastAsia="仿宋" w:cs="仿宋"/>
          <w:kern w:val="2"/>
          <w:sz w:val="32"/>
          <w:szCs w:val="32"/>
        </w:rPr>
        <w:t>支出决算为</w:t>
      </w:r>
      <w:r>
        <w:rPr>
          <w:rFonts w:hint="eastAsia" w:ascii="仿宋_GB2312" w:hAnsi="仿宋_GB2312" w:eastAsia="仿宋_GB2312"/>
          <w:color w:val="000000"/>
          <w:kern w:val="2"/>
          <w:sz w:val="32"/>
          <w:szCs w:val="24"/>
          <w:lang w:val="en-US" w:eastAsia="zh-CN"/>
        </w:rPr>
        <w:t>0.5</w:t>
      </w:r>
      <w:r>
        <w:rPr>
          <w:rFonts w:hint="eastAsia" w:ascii="仿宋" w:hAnsi="仿宋" w:eastAsia="仿宋" w:cs="仿宋"/>
          <w:kern w:val="2"/>
          <w:sz w:val="32"/>
          <w:szCs w:val="32"/>
        </w:rPr>
        <w:t>万元，完成预算100%。</w:t>
      </w:r>
    </w:p>
    <w:p>
      <w:pPr>
        <w:spacing w:beforeLines="0" w:afterLines="0" w:line="600" w:lineRule="exact"/>
        <w:ind w:firstLine="643"/>
        <w:jc w:val="both"/>
        <w:rPr>
          <w:rFonts w:hint="eastAsia" w:ascii="仿宋" w:hAnsi="仿宋" w:eastAsia="仿宋"/>
          <w:b/>
          <w:color w:val="auto"/>
          <w:kern w:val="2"/>
          <w:sz w:val="32"/>
          <w:szCs w:val="24"/>
          <w:lang w:val="en-US"/>
        </w:rPr>
      </w:pPr>
      <w:r>
        <w:rPr>
          <w:rFonts w:hint="eastAsia" w:ascii="仿宋_GB2312" w:hAnsi="仿宋_GB2312" w:eastAsia="仿宋_GB2312" w:cs="仿宋_GB2312"/>
          <w:b/>
          <w:color w:val="000000"/>
          <w:kern w:val="2"/>
          <w:sz w:val="32"/>
          <w:szCs w:val="32"/>
        </w:rPr>
        <w:t>5.住房保障支出</w:t>
      </w:r>
      <w:r>
        <w:rPr>
          <w:rFonts w:hint="eastAsia" w:ascii="仿宋_GB2312" w:hAnsi="仿宋_GB2312" w:eastAsia="仿宋_GB2312" w:cs="仿宋_GB2312"/>
          <w:b/>
          <w:color w:val="000000"/>
          <w:kern w:val="2"/>
          <w:sz w:val="32"/>
          <w:szCs w:val="32"/>
          <w:u w:val="none" w:color="FFFFFF"/>
          <w:shd w:val="clear" w:fill="FFFFFF"/>
        </w:rPr>
        <w:t>:</w:t>
      </w:r>
      <w:r>
        <w:rPr>
          <w:rFonts w:hint="eastAsia" w:ascii="仿宋" w:hAnsi="仿宋" w:eastAsia="仿宋" w:cs="仿宋"/>
          <w:kern w:val="2"/>
          <w:sz w:val="32"/>
          <w:szCs w:val="32"/>
        </w:rPr>
        <w:t>支出决算为</w:t>
      </w:r>
      <w:r>
        <w:rPr>
          <w:rFonts w:hint="eastAsia" w:ascii="仿宋_GB2312" w:hAnsi="仿宋_GB2312" w:eastAsia="仿宋_GB2312"/>
          <w:color w:val="000000"/>
          <w:kern w:val="2"/>
          <w:sz w:val="32"/>
          <w:szCs w:val="24"/>
          <w:lang w:val="en-US" w:eastAsia="zh-CN"/>
        </w:rPr>
        <w:t>13.57</w:t>
      </w:r>
      <w:r>
        <w:rPr>
          <w:rFonts w:hint="eastAsia" w:ascii="仿宋" w:hAnsi="仿宋" w:eastAsia="仿宋" w:cs="仿宋"/>
          <w:kern w:val="2"/>
          <w:sz w:val="32"/>
          <w:szCs w:val="32"/>
        </w:rPr>
        <w:t>万元，完成预算100%。</w:t>
      </w:r>
    </w:p>
    <w:p>
      <w:pPr>
        <w:keepNext/>
        <w:keepLines/>
        <w:tabs>
          <w:tab w:val="right" w:pos="8306"/>
        </w:tabs>
        <w:spacing w:beforeLines="0" w:afterLines="0" w:line="576" w:lineRule="exact"/>
        <w:ind w:firstLine="640"/>
        <w:jc w:val="both"/>
        <w:rPr>
          <w:rFonts w:hint="default" w:ascii="Cambria" w:hAnsi="Cambria" w:eastAsia="Cambria"/>
          <w:b/>
          <w:color w:val="auto"/>
          <w:kern w:val="2"/>
          <w:sz w:val="32"/>
          <w:szCs w:val="24"/>
          <w:lang w:val="zh-CN"/>
        </w:rPr>
      </w:pPr>
      <w:r>
        <w:rPr>
          <w:rFonts w:hint="eastAsia" w:ascii="黑体" w:hAnsi="黑体" w:eastAsia="黑体"/>
          <w:color w:val="000000"/>
          <w:kern w:val="2"/>
          <w:sz w:val="32"/>
          <w:szCs w:val="24"/>
          <w:lang w:val="zh-CN"/>
        </w:rPr>
        <w:t>六</w:t>
      </w:r>
      <w:r>
        <w:rPr>
          <w:rFonts w:hint="eastAsia" w:ascii="黑体" w:hAnsi="黑体" w:eastAsia="黑体"/>
          <w:b/>
          <w:color w:val="000000"/>
          <w:kern w:val="2"/>
          <w:sz w:val="32"/>
          <w:szCs w:val="24"/>
          <w:lang w:val="zh-CN"/>
        </w:rPr>
        <w:t>、一</w:t>
      </w:r>
      <w:r>
        <w:rPr>
          <w:rFonts w:hint="eastAsia" w:ascii="黑体" w:hAnsi="黑体" w:eastAsia="黑体"/>
          <w:color w:val="auto"/>
          <w:kern w:val="2"/>
          <w:sz w:val="32"/>
          <w:szCs w:val="24"/>
          <w:lang w:val="zh-CN"/>
        </w:rPr>
        <w:t>般公共预算财政拨</w:t>
      </w:r>
      <w:r>
        <w:rPr>
          <w:rFonts w:hint="eastAsia" w:ascii="黑体" w:hAnsi="黑体" w:eastAsia="黑体"/>
          <w:color w:val="auto"/>
          <w:kern w:val="2"/>
          <w:sz w:val="32"/>
          <w:szCs w:val="24"/>
          <w:u w:val="none" w:color="FFFFFF"/>
          <w:shd w:val="clear" w:fill="FFFFFF"/>
          <w:lang w:val="zh-CN"/>
        </w:rPr>
        <w:t>款</w:t>
      </w:r>
      <w:r>
        <w:rPr>
          <w:rFonts w:hint="eastAsia" w:ascii="黑体" w:hAnsi="黑体" w:eastAsia="黑体"/>
          <w:color w:val="auto"/>
          <w:kern w:val="2"/>
          <w:sz w:val="32"/>
          <w:szCs w:val="24"/>
          <w:lang w:val="zh-CN"/>
        </w:rPr>
        <w:t>基本支出决算情况说明</w:t>
      </w:r>
      <w:r>
        <w:rPr>
          <w:rFonts w:hint="eastAsia" w:ascii="黑体" w:hAnsi="黑体" w:eastAsia="黑体"/>
          <w:color w:val="auto"/>
          <w:kern w:val="2"/>
          <w:sz w:val="32"/>
          <w:szCs w:val="24"/>
          <w:lang w:val="zh-CN"/>
        </w:rPr>
        <w:tab/>
      </w:r>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2022年一般公共预算财政拨款基本支出</w:t>
      </w:r>
      <w:r>
        <w:rPr>
          <w:rFonts w:hint="eastAsia" w:ascii="仿宋_GB2312" w:hAnsi="仿宋_GB2312" w:eastAsia="仿宋_GB2312" w:cs="Times New Roman"/>
          <w:color w:val="000000"/>
          <w:kern w:val="2"/>
          <w:sz w:val="32"/>
          <w:szCs w:val="24"/>
          <w:lang w:val="en-US" w:eastAsia="zh-CN"/>
        </w:rPr>
        <w:t>247.09</w:t>
      </w:r>
      <w:r>
        <w:rPr>
          <w:rFonts w:hint="eastAsia" w:ascii="仿宋_GB2312" w:hAnsi="仿宋_GB2312" w:eastAsia="仿宋_GB2312"/>
          <w:color w:val="000000"/>
          <w:kern w:val="2"/>
          <w:sz w:val="32"/>
          <w:szCs w:val="24"/>
          <w:lang w:val="zh-CN"/>
        </w:rPr>
        <w:t>万元，其中：</w:t>
      </w:r>
      <w:r>
        <w:rPr>
          <w:rFonts w:hint="eastAsia" w:ascii="仿宋_GB2312" w:hAnsi="仿宋_GB2312" w:eastAsia="仿宋_GB2312" w:cs="Times New Roman"/>
          <w:b/>
          <w:color w:val="000000"/>
          <w:kern w:val="2"/>
          <w:sz w:val="32"/>
          <w:szCs w:val="24"/>
          <w:lang w:val="zh-CN"/>
        </w:rPr>
        <w:t>人员经费</w:t>
      </w:r>
      <w:r>
        <w:rPr>
          <w:rFonts w:hint="eastAsia" w:ascii="仿宋_GB2312" w:hAnsi="仿宋_GB2312" w:eastAsia="仿宋_GB2312"/>
          <w:color w:val="000000"/>
          <w:kern w:val="2"/>
          <w:sz w:val="32"/>
          <w:szCs w:val="24"/>
          <w:lang w:val="en-US" w:eastAsia="zh-CN"/>
        </w:rPr>
        <w:t>219.6</w:t>
      </w:r>
      <w:r>
        <w:rPr>
          <w:rFonts w:hint="eastAsia" w:ascii="仿宋_GB2312" w:hAnsi="仿宋_GB2312" w:eastAsia="仿宋_GB2312"/>
          <w:color w:val="000000"/>
          <w:kern w:val="2"/>
          <w:sz w:val="32"/>
          <w:szCs w:val="24"/>
          <w:lang w:val="zh-CN"/>
        </w:rPr>
        <w:t>万元，主要包括：</w:t>
      </w:r>
      <w:r>
        <w:rPr>
          <w:rFonts w:hint="eastAsia" w:ascii="仿宋" w:hAnsi="仿宋" w:eastAsia="仿宋"/>
          <w:color w:val="auto"/>
          <w:kern w:val="2"/>
          <w:sz w:val="32"/>
          <w:szCs w:val="24"/>
          <w:lang w:val="en-US"/>
        </w:rPr>
        <w:t>基本工资</w:t>
      </w:r>
      <w:r>
        <w:rPr>
          <w:rFonts w:hint="eastAsia" w:ascii="仿宋" w:hAnsi="仿宋" w:eastAsia="仿宋"/>
          <w:color w:val="auto"/>
          <w:kern w:val="2"/>
          <w:sz w:val="32"/>
          <w:szCs w:val="24"/>
          <w:lang w:val="en-US" w:eastAsia="zh-CN"/>
        </w:rPr>
        <w:t>69.47万元</w:t>
      </w:r>
      <w:r>
        <w:rPr>
          <w:rFonts w:hint="eastAsia" w:ascii="仿宋" w:hAnsi="仿宋" w:eastAsia="仿宋"/>
          <w:color w:val="auto"/>
          <w:kern w:val="2"/>
          <w:sz w:val="32"/>
          <w:szCs w:val="24"/>
          <w:lang w:val="en-US"/>
        </w:rPr>
        <w:t>、津贴补贴</w:t>
      </w:r>
      <w:r>
        <w:rPr>
          <w:rFonts w:hint="eastAsia" w:ascii="仿宋" w:hAnsi="仿宋" w:eastAsia="仿宋"/>
          <w:color w:val="auto"/>
          <w:kern w:val="2"/>
          <w:sz w:val="32"/>
          <w:szCs w:val="24"/>
          <w:lang w:val="en-US" w:eastAsia="zh-CN"/>
        </w:rPr>
        <w:t>14.79万元</w:t>
      </w:r>
      <w:r>
        <w:rPr>
          <w:rFonts w:hint="eastAsia" w:ascii="仿宋" w:hAnsi="仿宋" w:eastAsia="仿宋"/>
          <w:color w:val="auto"/>
          <w:kern w:val="2"/>
          <w:sz w:val="32"/>
          <w:szCs w:val="24"/>
          <w:lang w:val="en-US"/>
        </w:rPr>
        <w:t>、绩效工资</w:t>
      </w:r>
      <w:r>
        <w:rPr>
          <w:rFonts w:hint="eastAsia" w:ascii="仿宋" w:hAnsi="仿宋" w:eastAsia="仿宋"/>
          <w:color w:val="auto"/>
          <w:kern w:val="2"/>
          <w:sz w:val="32"/>
          <w:szCs w:val="24"/>
          <w:lang w:val="en-US" w:eastAsia="zh-CN"/>
        </w:rPr>
        <w:t>67.5万元</w:t>
      </w:r>
      <w:r>
        <w:rPr>
          <w:rFonts w:hint="eastAsia" w:ascii="仿宋" w:hAnsi="仿宋" w:eastAsia="仿宋"/>
          <w:color w:val="auto"/>
          <w:kern w:val="2"/>
          <w:sz w:val="32"/>
          <w:szCs w:val="24"/>
          <w:lang w:val="en-US"/>
        </w:rPr>
        <w:t>、机关事业单位基本养老保险缴费</w:t>
      </w:r>
      <w:r>
        <w:rPr>
          <w:rFonts w:hint="eastAsia" w:ascii="仿宋" w:hAnsi="仿宋" w:eastAsia="仿宋"/>
          <w:color w:val="auto"/>
          <w:kern w:val="2"/>
          <w:sz w:val="32"/>
          <w:szCs w:val="24"/>
          <w:lang w:val="en-US" w:eastAsia="zh-CN"/>
        </w:rPr>
        <w:t>18万元</w:t>
      </w:r>
      <w:r>
        <w:rPr>
          <w:rFonts w:hint="eastAsia" w:ascii="仿宋" w:hAnsi="仿宋" w:eastAsia="仿宋"/>
          <w:color w:val="auto"/>
          <w:kern w:val="2"/>
          <w:sz w:val="32"/>
          <w:szCs w:val="24"/>
          <w:lang w:val="en-US"/>
        </w:rPr>
        <w:t>、职业年金缴费</w:t>
      </w:r>
      <w:r>
        <w:rPr>
          <w:rFonts w:hint="eastAsia" w:ascii="仿宋" w:hAnsi="仿宋" w:eastAsia="仿宋"/>
          <w:color w:val="auto"/>
          <w:kern w:val="2"/>
          <w:sz w:val="32"/>
          <w:szCs w:val="24"/>
          <w:lang w:val="en-US" w:eastAsia="zh-CN"/>
        </w:rPr>
        <w:t>11.69万元</w:t>
      </w:r>
      <w:r>
        <w:rPr>
          <w:rFonts w:hint="eastAsia" w:ascii="仿宋" w:hAnsi="仿宋" w:eastAsia="仿宋"/>
          <w:color w:val="auto"/>
          <w:kern w:val="2"/>
          <w:sz w:val="32"/>
          <w:szCs w:val="24"/>
          <w:lang w:val="en-US"/>
        </w:rPr>
        <w:t>、其他社会保障缴费</w:t>
      </w:r>
      <w:r>
        <w:rPr>
          <w:rFonts w:hint="eastAsia" w:ascii="仿宋" w:hAnsi="仿宋" w:eastAsia="仿宋"/>
          <w:color w:val="auto"/>
          <w:kern w:val="2"/>
          <w:sz w:val="32"/>
          <w:szCs w:val="24"/>
          <w:lang w:val="en-US" w:eastAsia="zh-CN"/>
        </w:rPr>
        <w:t>1.22万元</w:t>
      </w:r>
      <w:r>
        <w:rPr>
          <w:rFonts w:hint="eastAsia" w:ascii="仿宋" w:hAnsi="仿宋" w:eastAsia="仿宋"/>
          <w:color w:val="auto"/>
          <w:kern w:val="2"/>
          <w:sz w:val="32"/>
          <w:szCs w:val="24"/>
          <w:lang w:val="en-US"/>
        </w:rPr>
        <w:t>、生活补助</w:t>
      </w:r>
      <w:r>
        <w:rPr>
          <w:rFonts w:hint="eastAsia" w:ascii="仿宋" w:hAnsi="仿宋" w:eastAsia="仿宋"/>
          <w:color w:val="auto"/>
          <w:kern w:val="2"/>
          <w:sz w:val="32"/>
          <w:szCs w:val="24"/>
          <w:lang w:val="en-US" w:eastAsia="zh-CN"/>
        </w:rPr>
        <w:t>9.45万元</w:t>
      </w:r>
      <w:r>
        <w:rPr>
          <w:rFonts w:hint="eastAsia" w:ascii="仿宋" w:hAnsi="仿宋" w:eastAsia="仿宋"/>
          <w:color w:val="auto"/>
          <w:kern w:val="2"/>
          <w:sz w:val="32"/>
          <w:szCs w:val="24"/>
          <w:lang w:val="en-US"/>
        </w:rPr>
        <w:t>、</w:t>
      </w:r>
      <w:r>
        <w:rPr>
          <w:rFonts w:hint="eastAsia" w:ascii="仿宋" w:hAnsi="仿宋" w:eastAsia="仿宋"/>
          <w:color w:val="auto"/>
          <w:kern w:val="2"/>
          <w:sz w:val="32"/>
          <w:szCs w:val="24"/>
          <w:lang w:val="en-US" w:eastAsia="zh-CN"/>
        </w:rPr>
        <w:t>基本医疗保险缴费13.8万元</w:t>
      </w:r>
      <w:r>
        <w:rPr>
          <w:rFonts w:hint="eastAsia" w:ascii="仿宋" w:hAnsi="仿宋" w:eastAsia="仿宋"/>
          <w:color w:val="auto"/>
          <w:kern w:val="2"/>
          <w:sz w:val="32"/>
          <w:szCs w:val="24"/>
          <w:lang w:val="en-US"/>
        </w:rPr>
        <w:t>、住房公积金</w:t>
      </w:r>
      <w:r>
        <w:rPr>
          <w:rFonts w:hint="eastAsia" w:ascii="仿宋" w:hAnsi="仿宋" w:eastAsia="仿宋"/>
          <w:color w:val="auto"/>
          <w:kern w:val="2"/>
          <w:sz w:val="32"/>
          <w:szCs w:val="24"/>
          <w:lang w:val="en-US" w:eastAsia="zh-CN"/>
        </w:rPr>
        <w:t>13.57万元</w:t>
      </w:r>
      <w:r>
        <w:rPr>
          <w:rFonts w:hint="eastAsia" w:ascii="仿宋_GB2312" w:hAnsi="仿宋_GB2312" w:eastAsia="仿宋_GB2312"/>
          <w:color w:val="000000"/>
          <w:kern w:val="2"/>
          <w:sz w:val="32"/>
          <w:szCs w:val="24"/>
          <w:lang w:val="zh-CN"/>
        </w:rPr>
        <w:t>。</w:t>
      </w:r>
    </w:p>
    <w:p>
      <w:pPr>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公用经费</w:t>
      </w:r>
      <w:r>
        <w:rPr>
          <w:rFonts w:hint="eastAsia" w:ascii="仿宋_GB2312" w:hAnsi="仿宋_GB2312" w:eastAsia="仿宋_GB2312"/>
          <w:color w:val="000000"/>
          <w:kern w:val="2"/>
          <w:sz w:val="32"/>
          <w:szCs w:val="24"/>
          <w:lang w:val="en-US" w:eastAsia="zh-CN"/>
        </w:rPr>
        <w:t>21.95</w:t>
      </w:r>
      <w:r>
        <w:rPr>
          <w:rFonts w:hint="eastAsia" w:ascii="仿宋_GB2312" w:hAnsi="仿宋_GB2312" w:eastAsia="仿宋_GB2312"/>
          <w:color w:val="000000"/>
          <w:kern w:val="2"/>
          <w:sz w:val="32"/>
          <w:szCs w:val="24"/>
          <w:lang w:val="zh-CN"/>
        </w:rPr>
        <w:t>万元，主要包括：</w:t>
      </w:r>
      <w:r>
        <w:rPr>
          <w:rFonts w:hint="eastAsia" w:ascii="仿宋" w:hAnsi="仿宋" w:eastAsia="仿宋"/>
          <w:color w:val="auto"/>
          <w:kern w:val="2"/>
          <w:sz w:val="32"/>
          <w:szCs w:val="24"/>
          <w:lang w:val="en-US"/>
        </w:rPr>
        <w:t>办公费</w:t>
      </w:r>
      <w:r>
        <w:rPr>
          <w:rFonts w:hint="eastAsia" w:ascii="仿宋" w:hAnsi="仿宋" w:eastAsia="仿宋"/>
          <w:color w:val="auto"/>
          <w:kern w:val="2"/>
          <w:sz w:val="32"/>
          <w:szCs w:val="24"/>
          <w:lang w:val="en-US" w:eastAsia="zh-CN"/>
        </w:rPr>
        <w:t>3.6万元</w:t>
      </w:r>
      <w:r>
        <w:rPr>
          <w:rFonts w:hint="eastAsia" w:ascii="仿宋" w:hAnsi="仿宋" w:eastAsia="仿宋"/>
          <w:color w:val="auto"/>
          <w:kern w:val="2"/>
          <w:sz w:val="32"/>
          <w:szCs w:val="24"/>
          <w:lang w:val="en-US"/>
        </w:rPr>
        <w:t>、印刷费</w:t>
      </w:r>
      <w:r>
        <w:rPr>
          <w:rFonts w:hint="eastAsia" w:ascii="仿宋" w:hAnsi="仿宋" w:eastAsia="仿宋"/>
          <w:color w:val="auto"/>
          <w:kern w:val="2"/>
          <w:sz w:val="32"/>
          <w:szCs w:val="24"/>
          <w:lang w:val="en-US" w:eastAsia="zh-CN"/>
        </w:rPr>
        <w:t>0.5万元</w:t>
      </w:r>
      <w:r>
        <w:rPr>
          <w:rFonts w:hint="eastAsia" w:ascii="仿宋" w:hAnsi="仿宋" w:eastAsia="仿宋"/>
          <w:color w:val="auto"/>
          <w:kern w:val="2"/>
          <w:sz w:val="32"/>
          <w:szCs w:val="24"/>
          <w:lang w:val="en-US"/>
        </w:rPr>
        <w:t>、</w:t>
      </w:r>
      <w:r>
        <w:rPr>
          <w:rFonts w:hint="eastAsia" w:ascii="仿宋" w:hAnsi="仿宋" w:eastAsia="仿宋"/>
          <w:color w:val="auto"/>
          <w:kern w:val="2"/>
          <w:sz w:val="32"/>
          <w:szCs w:val="24"/>
          <w:lang w:val="en-US" w:eastAsia="zh-CN"/>
        </w:rPr>
        <w:t>手续费0.2万元、</w:t>
      </w:r>
      <w:r>
        <w:rPr>
          <w:rFonts w:hint="eastAsia" w:ascii="仿宋" w:hAnsi="仿宋" w:eastAsia="仿宋"/>
          <w:color w:val="auto"/>
          <w:kern w:val="2"/>
          <w:sz w:val="32"/>
          <w:szCs w:val="24"/>
          <w:lang w:val="en-US"/>
        </w:rPr>
        <w:t>水费</w:t>
      </w:r>
      <w:r>
        <w:rPr>
          <w:rFonts w:hint="eastAsia" w:ascii="仿宋" w:hAnsi="仿宋" w:eastAsia="仿宋"/>
          <w:color w:val="auto"/>
          <w:kern w:val="2"/>
          <w:sz w:val="32"/>
          <w:szCs w:val="24"/>
          <w:lang w:val="en-US" w:eastAsia="zh-CN"/>
        </w:rPr>
        <w:t>0.3万元</w:t>
      </w:r>
      <w:r>
        <w:rPr>
          <w:rFonts w:hint="eastAsia" w:ascii="仿宋" w:hAnsi="仿宋" w:eastAsia="仿宋"/>
          <w:color w:val="auto"/>
          <w:kern w:val="2"/>
          <w:sz w:val="32"/>
          <w:szCs w:val="24"/>
          <w:lang w:val="en-US"/>
        </w:rPr>
        <w:t>、电费</w:t>
      </w:r>
      <w:r>
        <w:rPr>
          <w:rFonts w:hint="eastAsia" w:ascii="仿宋" w:hAnsi="仿宋" w:eastAsia="仿宋"/>
          <w:color w:val="auto"/>
          <w:kern w:val="2"/>
          <w:sz w:val="32"/>
          <w:szCs w:val="24"/>
          <w:lang w:val="en-US" w:eastAsia="zh-CN"/>
        </w:rPr>
        <w:t>1.2万元</w:t>
      </w:r>
      <w:r>
        <w:rPr>
          <w:rFonts w:hint="eastAsia" w:ascii="仿宋" w:hAnsi="仿宋" w:eastAsia="仿宋"/>
          <w:color w:val="auto"/>
          <w:kern w:val="2"/>
          <w:sz w:val="32"/>
          <w:szCs w:val="24"/>
          <w:lang w:val="en-US"/>
        </w:rPr>
        <w:t>、邮电费</w:t>
      </w:r>
      <w:r>
        <w:rPr>
          <w:rFonts w:hint="eastAsia" w:ascii="仿宋" w:hAnsi="仿宋" w:eastAsia="仿宋"/>
          <w:color w:val="auto"/>
          <w:kern w:val="2"/>
          <w:sz w:val="32"/>
          <w:szCs w:val="24"/>
          <w:lang w:val="en-US" w:eastAsia="zh-CN"/>
        </w:rPr>
        <w:t>1.2万元</w:t>
      </w:r>
      <w:r>
        <w:rPr>
          <w:rFonts w:hint="eastAsia" w:ascii="仿宋" w:hAnsi="仿宋" w:eastAsia="仿宋"/>
          <w:color w:val="auto"/>
          <w:kern w:val="2"/>
          <w:sz w:val="32"/>
          <w:szCs w:val="24"/>
          <w:lang w:val="en-US"/>
        </w:rPr>
        <w:t>、</w:t>
      </w:r>
      <w:r>
        <w:rPr>
          <w:rFonts w:hint="eastAsia" w:ascii="仿宋" w:hAnsi="仿宋" w:eastAsia="仿宋"/>
          <w:color w:val="auto"/>
          <w:kern w:val="2"/>
          <w:sz w:val="32"/>
          <w:szCs w:val="24"/>
          <w:lang w:val="en-US" w:eastAsia="zh-CN"/>
        </w:rPr>
        <w:t>物业管理费2.4万元、</w:t>
      </w:r>
      <w:r>
        <w:rPr>
          <w:rFonts w:hint="eastAsia" w:ascii="仿宋" w:hAnsi="仿宋" w:eastAsia="仿宋"/>
          <w:color w:val="auto"/>
          <w:kern w:val="2"/>
          <w:sz w:val="32"/>
          <w:szCs w:val="24"/>
          <w:lang w:val="en-US"/>
        </w:rPr>
        <w:t>差旅费</w:t>
      </w:r>
      <w:r>
        <w:rPr>
          <w:rFonts w:hint="eastAsia" w:ascii="仿宋" w:hAnsi="仿宋" w:eastAsia="仿宋"/>
          <w:color w:val="auto"/>
          <w:kern w:val="2"/>
          <w:sz w:val="32"/>
          <w:szCs w:val="24"/>
          <w:lang w:val="en-US" w:eastAsia="zh-CN"/>
        </w:rPr>
        <w:t>3.5万元</w:t>
      </w:r>
      <w:r>
        <w:rPr>
          <w:rFonts w:hint="eastAsia" w:ascii="仿宋" w:hAnsi="仿宋" w:eastAsia="仿宋"/>
          <w:color w:val="auto"/>
          <w:kern w:val="2"/>
          <w:sz w:val="32"/>
          <w:szCs w:val="24"/>
          <w:lang w:val="en-US"/>
        </w:rPr>
        <w:t>、维修（护）费</w:t>
      </w:r>
      <w:r>
        <w:rPr>
          <w:rFonts w:hint="eastAsia" w:ascii="仿宋" w:hAnsi="仿宋" w:eastAsia="仿宋"/>
          <w:color w:val="auto"/>
          <w:kern w:val="2"/>
          <w:sz w:val="32"/>
          <w:szCs w:val="24"/>
          <w:lang w:val="en-US" w:eastAsia="zh-CN"/>
        </w:rPr>
        <w:t>2万元、</w:t>
      </w:r>
      <w:r>
        <w:rPr>
          <w:rFonts w:hint="eastAsia" w:ascii="仿宋" w:hAnsi="仿宋" w:eastAsia="仿宋"/>
          <w:color w:val="auto"/>
          <w:kern w:val="2"/>
          <w:sz w:val="32"/>
          <w:szCs w:val="24"/>
          <w:lang w:val="en-US"/>
        </w:rPr>
        <w:t>培训费</w:t>
      </w:r>
      <w:r>
        <w:rPr>
          <w:rFonts w:hint="eastAsia" w:ascii="仿宋" w:hAnsi="仿宋" w:eastAsia="仿宋"/>
          <w:color w:val="auto"/>
          <w:kern w:val="2"/>
          <w:sz w:val="32"/>
          <w:szCs w:val="24"/>
          <w:lang w:val="en-US" w:eastAsia="zh-CN"/>
        </w:rPr>
        <w:t>1万元</w:t>
      </w:r>
      <w:r>
        <w:rPr>
          <w:rFonts w:hint="eastAsia" w:ascii="仿宋" w:hAnsi="仿宋" w:eastAsia="仿宋"/>
          <w:color w:val="auto"/>
          <w:kern w:val="2"/>
          <w:sz w:val="32"/>
          <w:szCs w:val="24"/>
          <w:lang w:val="en-US"/>
        </w:rPr>
        <w:t>、劳务费</w:t>
      </w:r>
      <w:r>
        <w:rPr>
          <w:rFonts w:hint="eastAsia" w:ascii="仿宋" w:hAnsi="仿宋" w:eastAsia="仿宋"/>
          <w:color w:val="auto"/>
          <w:kern w:val="2"/>
          <w:sz w:val="32"/>
          <w:szCs w:val="24"/>
          <w:lang w:val="en-US" w:eastAsia="zh-CN"/>
        </w:rPr>
        <w:t>0.6万元</w:t>
      </w:r>
      <w:r>
        <w:rPr>
          <w:rFonts w:hint="eastAsia" w:ascii="仿宋" w:hAnsi="仿宋" w:eastAsia="仿宋"/>
          <w:color w:val="auto"/>
          <w:kern w:val="2"/>
          <w:sz w:val="32"/>
          <w:szCs w:val="24"/>
          <w:lang w:val="en-US"/>
        </w:rPr>
        <w:t>、工会经费</w:t>
      </w:r>
      <w:r>
        <w:rPr>
          <w:rFonts w:hint="eastAsia" w:ascii="仿宋" w:hAnsi="仿宋" w:eastAsia="仿宋"/>
          <w:color w:val="auto"/>
          <w:kern w:val="2"/>
          <w:sz w:val="32"/>
          <w:szCs w:val="24"/>
          <w:lang w:val="en-US" w:eastAsia="zh-CN"/>
        </w:rPr>
        <w:t>0.82万元</w:t>
      </w:r>
      <w:r>
        <w:rPr>
          <w:rFonts w:hint="eastAsia" w:ascii="仿宋" w:hAnsi="仿宋" w:eastAsia="仿宋"/>
          <w:color w:val="auto"/>
          <w:kern w:val="2"/>
          <w:sz w:val="32"/>
          <w:szCs w:val="24"/>
          <w:lang w:val="en-US"/>
        </w:rPr>
        <w:t>、福利费</w:t>
      </w:r>
      <w:r>
        <w:rPr>
          <w:rFonts w:hint="eastAsia" w:ascii="仿宋" w:hAnsi="仿宋" w:eastAsia="仿宋"/>
          <w:color w:val="auto"/>
          <w:kern w:val="2"/>
          <w:sz w:val="32"/>
          <w:szCs w:val="24"/>
          <w:lang w:val="en-US" w:eastAsia="zh-CN"/>
        </w:rPr>
        <w:t>1.13万元</w:t>
      </w:r>
      <w:r>
        <w:rPr>
          <w:rFonts w:hint="eastAsia" w:ascii="仿宋" w:hAnsi="仿宋" w:eastAsia="仿宋"/>
          <w:color w:val="auto"/>
          <w:kern w:val="2"/>
          <w:sz w:val="32"/>
          <w:szCs w:val="24"/>
          <w:lang w:val="en-US"/>
        </w:rPr>
        <w:t>、其他商品和服务支出</w:t>
      </w:r>
      <w:r>
        <w:rPr>
          <w:rFonts w:hint="eastAsia" w:ascii="仿宋" w:hAnsi="仿宋" w:eastAsia="仿宋"/>
          <w:color w:val="auto"/>
          <w:kern w:val="2"/>
          <w:sz w:val="32"/>
          <w:szCs w:val="24"/>
          <w:lang w:val="en-US" w:eastAsia="zh-CN"/>
        </w:rPr>
        <w:t>3万元、其他交通费用0.5万元</w:t>
      </w:r>
      <w:r>
        <w:rPr>
          <w:rFonts w:hint="eastAsia" w:ascii="仿宋_GB2312" w:hAnsi="仿宋_GB2312" w:eastAsia="仿宋_GB2312"/>
          <w:color w:val="000000"/>
          <w:kern w:val="2"/>
          <w:sz w:val="32"/>
          <w:szCs w:val="24"/>
          <w:lang w:val="zh-CN"/>
        </w:rPr>
        <w:t>。</w:t>
      </w:r>
    </w:p>
    <w:p>
      <w:pPr>
        <w:keepNext/>
        <w:keepLines/>
        <w:spacing w:beforeLines="0" w:afterLines="0" w:line="576" w:lineRule="exact"/>
        <w:ind w:firstLine="640"/>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七、</w:t>
      </w:r>
      <w:r>
        <w:rPr>
          <w:rFonts w:hint="eastAsia" w:ascii="黑体" w:hAnsi="黑体" w:eastAsia="黑体"/>
          <w:b/>
          <w:color w:val="auto"/>
          <w:kern w:val="2"/>
          <w:sz w:val="32"/>
          <w:szCs w:val="24"/>
          <w:lang w:val="zh-CN"/>
        </w:rPr>
        <w:t>“</w:t>
      </w:r>
      <w:r>
        <w:rPr>
          <w:rFonts w:hint="eastAsia" w:ascii="黑体" w:hAnsi="黑体" w:eastAsia="黑体"/>
          <w:color w:val="auto"/>
          <w:kern w:val="2"/>
          <w:sz w:val="32"/>
          <w:szCs w:val="24"/>
          <w:lang w:val="zh-CN"/>
        </w:rPr>
        <w:t>三公”经费财政拨款支出决算情况说明</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（一）“三公”经费财政拨款支出决算总体情况说明</w:t>
      </w:r>
    </w:p>
    <w:p>
      <w:pPr>
        <w:keepNext/>
        <w:keepLines/>
        <w:spacing w:beforeLines="0" w:afterLines="0" w:line="576" w:lineRule="exact"/>
        <w:ind w:firstLine="640"/>
        <w:jc w:val="both"/>
        <w:rPr>
          <w:rFonts w:hint="eastAsia" w:ascii="仿宋" w:hAnsi="仿宋" w:eastAsia="仿宋"/>
          <w:b/>
          <w:color w:val="auto"/>
          <w:kern w:val="2"/>
          <w:sz w:val="32"/>
          <w:szCs w:val="24"/>
          <w:lang w:val="en-US"/>
        </w:rPr>
      </w:pPr>
      <w:r>
        <w:rPr>
          <w:rFonts w:hint="eastAsia" w:ascii="仿宋_GB2312" w:hAnsi="仿宋_GB2312" w:eastAsia="仿宋_GB2312"/>
          <w:color w:val="000000"/>
          <w:kern w:val="2"/>
          <w:sz w:val="32"/>
          <w:szCs w:val="24"/>
          <w:lang w:val="zh-CN"/>
        </w:rPr>
        <w:t>2022年“三公”经费财政拨款支出决算为0.</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万元，完成预算100%</w:t>
      </w:r>
      <w:r>
        <w:rPr>
          <w:rFonts w:hint="eastAsia" w:ascii="仿宋_GB2312" w:hAnsi="仿宋_GB2312" w:eastAsia="仿宋_GB2312"/>
          <w:color w:val="000000"/>
          <w:kern w:val="2"/>
          <w:sz w:val="32"/>
          <w:szCs w:val="24"/>
          <w:u w:val="none" w:color="FFFFFF"/>
          <w:shd w:val="clear" w:fill="FFFFFF"/>
          <w:lang w:val="zh-CN"/>
        </w:rPr>
        <w:t>；</w:t>
      </w:r>
      <w:r>
        <w:rPr>
          <w:rFonts w:hint="eastAsia" w:ascii="仿宋_GB2312" w:hAnsi="仿宋_GB2312" w:eastAsia="仿宋_GB2312"/>
          <w:color w:val="000000"/>
          <w:kern w:val="2"/>
          <w:sz w:val="32"/>
          <w:szCs w:val="24"/>
          <w:lang w:val="zh-CN"/>
        </w:rPr>
        <w:t>较上年增加</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（二）“三公”经费财政拨款支出决算具体情况说明</w:t>
      </w:r>
    </w:p>
    <w:p>
      <w:pPr>
        <w:keepNext/>
        <w:keepLines/>
        <w:spacing w:beforeLines="0" w:afterLines="0" w:line="576" w:lineRule="exact"/>
        <w:ind w:firstLine="640"/>
        <w:jc w:val="both"/>
        <w:rPr>
          <w:rFonts w:hint="eastAsia" w:ascii="仿宋" w:hAnsi="仿宋" w:eastAsia="仿宋"/>
          <w:color w:val="auto"/>
          <w:kern w:val="2"/>
          <w:sz w:val="32"/>
          <w:szCs w:val="24"/>
          <w:lang w:val="en-US"/>
        </w:rPr>
      </w:pPr>
      <w:r>
        <w:rPr>
          <w:rFonts w:hint="eastAsia" w:ascii="仿宋_GB2312" w:hAnsi="仿宋_GB2312" w:eastAsia="仿宋_GB2312"/>
          <w:color w:val="000000"/>
          <w:kern w:val="2"/>
          <w:sz w:val="32"/>
          <w:szCs w:val="24"/>
          <w:lang w:val="zh-CN"/>
        </w:rPr>
        <w:t>2022年“三公”经费财政拨款支出决算中，因公出国（境）费支出决算0万元，占0%；公务用车购置及运行维护费支出决算0万元，占0%；公务接待费支出决算</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万元，占100%。具体情况如下：</w:t>
      </w:r>
    </w:p>
    <w:p>
      <w:pPr>
        <w:spacing w:beforeLines="0" w:afterLines="0"/>
        <w:ind w:firstLine="641"/>
        <w:jc w:val="both"/>
        <w:rPr>
          <w:rFonts w:hint="eastAsia" w:ascii="仿宋" w:hAnsi="仿宋" w:eastAsia="仿宋"/>
          <w:color w:val="auto"/>
          <w:kern w:val="2"/>
          <w:sz w:val="32"/>
          <w:szCs w:val="24"/>
          <w:lang w:val="en-US"/>
        </w:rPr>
      </w:pPr>
    </w:p>
    <w:p>
      <w:pPr>
        <w:spacing w:beforeLines="0" w:afterLines="0"/>
        <w:ind w:firstLine="641"/>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（图7：“三公”经费财政拨款支出结构</w:t>
      </w:r>
      <w:r>
        <w:rPr>
          <w:rFonts w:hint="eastAsia" w:ascii="仿宋" w:hAnsi="仿宋" w:eastAsia="仿宋"/>
          <w:color w:val="auto"/>
          <w:kern w:val="2"/>
          <w:sz w:val="32"/>
          <w:szCs w:val="24"/>
          <w:u w:val="none" w:color="FFFFFF"/>
          <w:shd w:val="clear" w:fill="FFFFFF"/>
          <w:lang w:val="en-US"/>
        </w:rPr>
        <w:t>）</w:t>
      </w:r>
    </w:p>
    <w:p>
      <w:pPr>
        <w:keepNext/>
        <w:keepLines/>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1.因公出国（境）经费</w:t>
      </w:r>
      <w:r>
        <w:rPr>
          <w:rFonts w:hint="eastAsia" w:ascii="仿宋_GB2312" w:hAnsi="仿宋_GB2312" w:eastAsia="仿宋_GB2312"/>
          <w:color w:val="000000"/>
          <w:kern w:val="2"/>
          <w:sz w:val="32"/>
          <w:szCs w:val="24"/>
          <w:lang w:val="zh-CN"/>
        </w:rPr>
        <w:t>支出0万元，完成预算0%。全年安排因公出国（境）团组0个，出国（境）0人。因公出国（境）支出决算与2021年</w:t>
      </w:r>
      <w:r>
        <w:rPr>
          <w:rFonts w:hint="eastAsia" w:ascii="仿宋_GB2312" w:hAnsi="仿宋_GB2312" w:eastAsia="仿宋_GB2312" w:cs="仿宋_GB2312"/>
          <w:color w:val="000000"/>
          <w:kern w:val="2"/>
          <w:sz w:val="32"/>
          <w:szCs w:val="32"/>
          <w:lang w:val="zh-CN"/>
        </w:rPr>
        <w:t>因公出国（境）支出决算持平</w:t>
      </w:r>
      <w:r>
        <w:rPr>
          <w:rFonts w:hint="eastAsia" w:ascii="仿宋_GB2312" w:hAnsi="仿宋_GB2312" w:eastAsia="仿宋_GB2312"/>
          <w:color w:val="000000"/>
          <w:kern w:val="2"/>
          <w:sz w:val="32"/>
          <w:szCs w:val="24"/>
          <w:lang w:val="zh-CN"/>
        </w:rPr>
        <w:t>。</w:t>
      </w:r>
    </w:p>
    <w:p>
      <w:pPr>
        <w:keepNext/>
        <w:keepLines/>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2.公务用车购置及运行维护费</w:t>
      </w:r>
      <w:r>
        <w:rPr>
          <w:rFonts w:hint="eastAsia" w:ascii="仿宋_GB2312" w:hAnsi="仿宋_GB2312" w:eastAsia="仿宋_GB2312"/>
          <w:color w:val="000000"/>
          <w:kern w:val="2"/>
          <w:sz w:val="32"/>
          <w:szCs w:val="24"/>
          <w:lang w:val="zh-CN"/>
        </w:rPr>
        <w:t>支出0万元，完成预算0%。公务用车购置及运行维护费支出决算与2021年公务用车购置及运行维护费持平。</w:t>
      </w:r>
    </w:p>
    <w:p>
      <w:pPr>
        <w:keepNext/>
        <w:keepLines/>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3.公务接待费</w:t>
      </w:r>
      <w:r>
        <w:rPr>
          <w:rFonts w:hint="eastAsia" w:ascii="仿宋_GB2312" w:hAnsi="仿宋_GB2312" w:eastAsia="仿宋_GB2312"/>
          <w:color w:val="000000"/>
          <w:kern w:val="2"/>
          <w:sz w:val="32"/>
          <w:szCs w:val="24"/>
          <w:lang w:val="zh-CN"/>
        </w:rPr>
        <w:t>支出</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万元，完成预算100%。公务接待费支出决算比2021年增加0万元。主要原因是接待次数增加。其中：</w:t>
      </w:r>
    </w:p>
    <w:p>
      <w:pPr>
        <w:keepNext/>
        <w:keepLines/>
        <w:spacing w:beforeLines="0" w:afterLines="0" w:line="576" w:lineRule="exact"/>
        <w:ind w:firstLine="643"/>
        <w:jc w:val="both"/>
        <w:rPr>
          <w:rFonts w:hint="eastAsia" w:ascii="仿宋_GB2312" w:hAnsi="仿宋_GB2312" w:eastAsia="仿宋_GB2312"/>
          <w:color w:val="000000"/>
          <w:kern w:val="2"/>
          <w:sz w:val="32"/>
          <w:szCs w:val="24"/>
          <w:lang w:val="en-US"/>
        </w:rPr>
      </w:pPr>
      <w:r>
        <w:rPr>
          <w:rFonts w:hint="eastAsia" w:ascii="仿宋_GB2312" w:hAnsi="仿宋_GB2312" w:eastAsia="仿宋_GB2312"/>
          <w:b/>
          <w:color w:val="000000"/>
          <w:kern w:val="2"/>
          <w:sz w:val="32"/>
          <w:szCs w:val="24"/>
          <w:lang w:val="zh-CN"/>
        </w:rPr>
        <w:t>国内公务接待</w:t>
      </w:r>
      <w:r>
        <w:rPr>
          <w:rFonts w:hint="eastAsia" w:ascii="仿宋_GB2312" w:hAnsi="仿宋_GB2312" w:eastAsia="仿宋_GB2312"/>
          <w:color w:val="000000"/>
          <w:kern w:val="2"/>
          <w:sz w:val="32"/>
          <w:szCs w:val="24"/>
          <w:lang w:val="zh-CN"/>
        </w:rPr>
        <w:t>支出</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万元。主要用于开展业务活动开支的交通费、住宿费、用</w:t>
      </w:r>
      <w:r>
        <w:rPr>
          <w:rFonts w:hint="eastAsia" w:ascii="仿宋_GB2312" w:hAnsi="仿宋_GB2312" w:eastAsia="仿宋_GB2312"/>
          <w:color w:val="000000"/>
          <w:kern w:val="2"/>
          <w:sz w:val="32"/>
          <w:szCs w:val="24"/>
          <w:u w:val="none" w:color="FFFFFF"/>
          <w:shd w:val="clear" w:fill="FFFFFF"/>
          <w:lang w:val="zh-CN"/>
        </w:rPr>
        <w:t>餐费</w:t>
      </w:r>
      <w:r>
        <w:rPr>
          <w:rFonts w:hint="eastAsia" w:ascii="仿宋_GB2312" w:hAnsi="仿宋_GB2312" w:eastAsia="仿宋_GB2312"/>
          <w:color w:val="000000"/>
          <w:kern w:val="2"/>
          <w:sz w:val="32"/>
          <w:szCs w:val="24"/>
          <w:highlight w:val="white"/>
          <w:lang w:val="en-US"/>
        </w:rPr>
        <w:t>。</w:t>
      </w:r>
      <w:r>
        <w:rPr>
          <w:rFonts w:hint="eastAsia" w:ascii="仿宋_GB2312" w:hAnsi="仿宋_GB2312" w:eastAsia="仿宋_GB2312"/>
          <w:b/>
          <w:color w:val="000000"/>
          <w:kern w:val="2"/>
          <w:sz w:val="32"/>
          <w:szCs w:val="24"/>
          <w:lang w:val="zh-CN"/>
        </w:rPr>
        <w:t>外事接待</w:t>
      </w:r>
      <w:r>
        <w:rPr>
          <w:rFonts w:hint="eastAsia" w:ascii="仿宋_GB2312" w:hAnsi="仿宋_GB2312" w:eastAsia="仿宋_GB2312"/>
          <w:color w:val="000000"/>
          <w:kern w:val="2"/>
          <w:sz w:val="32"/>
          <w:szCs w:val="24"/>
          <w:lang w:val="zh-CN"/>
        </w:rPr>
        <w:t>支出0万元。外事接待0批次，0人，共计支出0万元。</w:t>
      </w:r>
    </w:p>
    <w:p>
      <w:pPr>
        <w:keepNext/>
        <w:keepLines/>
        <w:spacing w:beforeLines="0" w:afterLines="0" w:line="576" w:lineRule="exact"/>
        <w:ind w:firstLine="640"/>
        <w:jc w:val="both"/>
        <w:rPr>
          <w:rFonts w:hint="eastAsia" w:ascii="黑体" w:hAnsi="黑体" w:eastAsia="黑体"/>
          <w:b/>
          <w:color w:val="auto"/>
          <w:kern w:val="2"/>
          <w:sz w:val="32"/>
          <w:szCs w:val="24"/>
          <w:lang w:val="zh-CN"/>
        </w:rPr>
      </w:pPr>
      <w:r>
        <w:rPr>
          <w:rFonts w:hint="eastAsia" w:ascii="黑体" w:hAnsi="黑体" w:eastAsia="黑体"/>
          <w:color w:val="000000"/>
          <w:kern w:val="2"/>
          <w:sz w:val="32"/>
          <w:szCs w:val="24"/>
          <w:lang w:val="zh-CN"/>
        </w:rPr>
        <w:t>八、</w:t>
      </w:r>
      <w:r>
        <w:rPr>
          <w:rFonts w:hint="eastAsia" w:ascii="黑体" w:hAnsi="黑体" w:eastAsia="黑体"/>
          <w:color w:val="auto"/>
          <w:kern w:val="2"/>
          <w:sz w:val="32"/>
          <w:szCs w:val="24"/>
          <w:lang w:val="zh-CN"/>
        </w:rPr>
        <w:t>政府性基金预算支出决算情况说明</w:t>
      </w:r>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2022年政府性基金预算拨款支出0万元。</w:t>
      </w:r>
    </w:p>
    <w:p>
      <w:pPr>
        <w:keepNext/>
        <w:keepLines/>
        <w:spacing w:beforeLines="0" w:afterLines="0" w:line="576" w:lineRule="exact"/>
        <w:ind w:firstLine="640"/>
        <w:jc w:val="both"/>
        <w:rPr>
          <w:rFonts w:hint="eastAsia" w:ascii="黑体" w:hAnsi="黑体" w:eastAsia="黑体"/>
          <w:color w:val="auto"/>
          <w:kern w:val="2"/>
          <w:sz w:val="32"/>
          <w:szCs w:val="24"/>
          <w:lang w:val="zh-CN"/>
        </w:rPr>
      </w:pPr>
      <w:r>
        <w:rPr>
          <w:rFonts w:hint="eastAsia" w:ascii="黑体" w:hAnsi="黑体" w:eastAsia="黑体"/>
          <w:color w:val="auto"/>
          <w:kern w:val="2"/>
          <w:sz w:val="32"/>
          <w:szCs w:val="24"/>
          <w:lang w:val="zh-CN"/>
        </w:rPr>
        <w:t>九、国有资本经营预算支出决算情况说明</w:t>
      </w:r>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2022年国有资本经营预算拨款支出0万元。</w:t>
      </w:r>
    </w:p>
    <w:p>
      <w:pPr>
        <w:keepNext/>
        <w:keepLines/>
        <w:spacing w:beforeLines="0" w:afterLines="0" w:line="576" w:lineRule="exact"/>
        <w:ind w:firstLine="640"/>
        <w:jc w:val="both"/>
        <w:rPr>
          <w:rFonts w:hint="eastAsia" w:ascii="黑体" w:hAnsi="黑体" w:eastAsia="黑体"/>
          <w:b/>
          <w:color w:val="auto"/>
          <w:kern w:val="2"/>
          <w:sz w:val="32"/>
          <w:szCs w:val="24"/>
          <w:lang w:val="zh-CN"/>
        </w:rPr>
      </w:pPr>
      <w:r>
        <w:rPr>
          <w:rFonts w:hint="eastAsia" w:ascii="黑体" w:hAnsi="黑体" w:eastAsia="黑体"/>
          <w:color w:val="000000"/>
          <w:kern w:val="2"/>
          <w:sz w:val="32"/>
          <w:szCs w:val="24"/>
          <w:lang w:val="zh-CN"/>
        </w:rPr>
        <w:t>十</w:t>
      </w:r>
      <w:r>
        <w:rPr>
          <w:rFonts w:hint="eastAsia" w:ascii="黑体" w:hAnsi="黑体" w:eastAsia="黑体"/>
          <w:b/>
          <w:color w:val="auto"/>
          <w:kern w:val="2"/>
          <w:sz w:val="32"/>
          <w:szCs w:val="24"/>
          <w:lang w:val="zh-CN"/>
        </w:rPr>
        <w:t>、</w:t>
      </w:r>
      <w:r>
        <w:rPr>
          <w:rFonts w:hint="eastAsia" w:ascii="黑体" w:hAnsi="黑体" w:eastAsia="黑体"/>
          <w:color w:val="auto"/>
          <w:kern w:val="2"/>
          <w:sz w:val="32"/>
          <w:szCs w:val="24"/>
          <w:lang w:val="zh-CN"/>
        </w:rPr>
        <w:t>其他重要事项的情况说明</w:t>
      </w:r>
    </w:p>
    <w:p>
      <w:pPr>
        <w:keepNext/>
        <w:keepLines/>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（一）机关运行经费支出情况</w:t>
      </w:r>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2022年，通江县春在镇新建小学机关运行经费支出0万元，</w:t>
      </w:r>
      <w:r>
        <w:rPr>
          <w:rFonts w:hint="eastAsia" w:ascii="仿宋_GB2312" w:hAnsi="仿宋_GB2312" w:eastAsia="仿宋_GB2312"/>
          <w:color w:val="auto"/>
          <w:kern w:val="2"/>
          <w:sz w:val="32"/>
          <w:szCs w:val="24"/>
          <w:lang w:val="en-US"/>
        </w:rPr>
        <w:t>与2021年决算数持平</w:t>
      </w:r>
      <w:r>
        <w:rPr>
          <w:rFonts w:hint="eastAsia" w:ascii="仿宋_GB2312" w:hAnsi="仿宋_GB2312" w:eastAsia="仿宋_GB2312"/>
          <w:color w:val="000000"/>
          <w:kern w:val="2"/>
          <w:sz w:val="32"/>
          <w:szCs w:val="24"/>
          <w:lang w:val="zh-CN"/>
        </w:rPr>
        <w:t>。</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（二）政府采购支出情况</w:t>
      </w:r>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2022年，通江县春在镇新建小学政府采购支出总额0万元，其中：政府采购货物支出0万元、政府采购工程支出0万元、政府采购服务支出0万元。授予中小</w:t>
      </w:r>
      <w:r>
        <w:rPr>
          <w:rFonts w:hint="eastAsia" w:ascii="仿宋_GB2312" w:hAnsi="仿宋_GB2312" w:eastAsia="仿宋_GB2312"/>
          <w:color w:val="000000"/>
          <w:kern w:val="2"/>
          <w:sz w:val="32"/>
          <w:szCs w:val="24"/>
          <w:u w:val="none" w:color="FFFFFF"/>
          <w:shd w:val="clear" w:fill="FFFFFF"/>
          <w:lang w:val="zh-CN"/>
        </w:rPr>
        <w:t>企业合同金额0万元，占政府采购支出总额的0%</w:t>
      </w:r>
      <w:r>
        <w:rPr>
          <w:rFonts w:hint="eastAsia" w:ascii="仿宋_GB2312" w:hAnsi="仿宋_GB2312" w:eastAsia="仿宋_GB2312"/>
          <w:color w:val="000000"/>
          <w:kern w:val="2"/>
          <w:sz w:val="32"/>
          <w:szCs w:val="24"/>
          <w:lang w:val="zh-CN"/>
        </w:rPr>
        <w:t>，其中：授予小微</w:t>
      </w:r>
      <w:r>
        <w:rPr>
          <w:rFonts w:hint="eastAsia" w:ascii="仿宋_GB2312" w:hAnsi="仿宋_GB2312" w:eastAsia="仿宋_GB2312"/>
          <w:color w:val="000000"/>
          <w:kern w:val="2"/>
          <w:sz w:val="32"/>
          <w:szCs w:val="24"/>
          <w:u w:val="none" w:color="FFFFFF"/>
          <w:shd w:val="clear" w:fill="FFFFFF"/>
          <w:lang w:val="zh-CN"/>
        </w:rPr>
        <w:t>企业合同金额0万元，</w:t>
      </w:r>
      <w:r>
        <w:rPr>
          <w:rFonts w:hint="eastAsia" w:ascii="仿宋_GB2312" w:hAnsi="仿宋_GB2312" w:eastAsia="仿宋_GB2312"/>
          <w:color w:val="auto"/>
          <w:kern w:val="2"/>
          <w:sz w:val="32"/>
          <w:szCs w:val="24"/>
          <w:u w:val="none" w:color="FFFFFF"/>
          <w:shd w:val="clear" w:fill="FFFFFF"/>
          <w:lang w:val="en-US"/>
        </w:rPr>
        <w:t>占政府采购支出总额的</w:t>
      </w:r>
      <w:r>
        <w:rPr>
          <w:rFonts w:hint="eastAsia" w:ascii="仿宋_GB2312" w:hAnsi="仿宋_GB2312" w:eastAsia="仿宋_GB2312"/>
          <w:color w:val="000000"/>
          <w:kern w:val="2"/>
          <w:sz w:val="32"/>
          <w:szCs w:val="24"/>
          <w:u w:val="none" w:color="FFFFFF"/>
          <w:shd w:val="clear" w:fill="FFFFFF"/>
          <w:lang w:val="zh-CN"/>
        </w:rPr>
        <w:t>0%</w:t>
      </w:r>
      <w:r>
        <w:rPr>
          <w:rFonts w:hint="eastAsia" w:ascii="仿宋_GB2312" w:hAnsi="仿宋_GB2312" w:eastAsia="仿宋_GB2312"/>
          <w:color w:val="000000"/>
          <w:kern w:val="2"/>
          <w:sz w:val="32"/>
          <w:szCs w:val="24"/>
          <w:lang w:val="zh-CN"/>
        </w:rPr>
        <w:t>。</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（三）国有资产占</w:t>
      </w:r>
      <w:r>
        <w:rPr>
          <w:rFonts w:hint="eastAsia" w:ascii="仿宋_GB2312" w:hAnsi="仿宋_GB2312" w:eastAsia="仿宋_GB2312"/>
          <w:b/>
          <w:color w:val="000000"/>
          <w:kern w:val="2"/>
          <w:sz w:val="32"/>
          <w:szCs w:val="24"/>
          <w:u w:val="none" w:color="FFFFFF"/>
          <w:shd w:val="clear" w:fill="FFFFFF"/>
          <w:lang w:val="zh-CN"/>
        </w:rPr>
        <w:t>有</w:t>
      </w:r>
      <w:r>
        <w:rPr>
          <w:rFonts w:hint="eastAsia" w:ascii="仿宋_GB2312" w:hAnsi="仿宋_GB2312" w:eastAsia="仿宋_GB2312"/>
          <w:b/>
          <w:color w:val="000000"/>
          <w:kern w:val="2"/>
          <w:sz w:val="32"/>
          <w:szCs w:val="24"/>
          <w:lang w:val="zh-CN"/>
        </w:rPr>
        <w:t>使用情况</w:t>
      </w:r>
    </w:p>
    <w:p>
      <w:pPr>
        <w:spacing w:beforeLines="0" w:afterLines="0" w:line="576" w:lineRule="exact"/>
        <w:ind w:firstLine="640"/>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截至2022年12月31日，通江县春在镇新建小学共有车辆0辆，其中：副部（省）级及以上领导用车0辆、主要领导干部用车0辆、机要通信用车0辆、应急保障用车0辆、执法执勤用车0辆、特种专业技术用车0辆、离退休干部用车0辆、其他用车0辆。单价100万元（含）以上设备0台（套</w:t>
      </w:r>
      <w:r>
        <w:rPr>
          <w:rFonts w:hint="eastAsia" w:ascii="仿宋_GB2312" w:hAnsi="仿宋_GB2312" w:eastAsia="仿宋_GB2312"/>
          <w:color w:val="000000"/>
          <w:kern w:val="2"/>
          <w:sz w:val="32"/>
          <w:szCs w:val="24"/>
          <w:u w:val="none" w:color="FFFFFF"/>
          <w:shd w:val="clear" w:fill="FFFFFF"/>
          <w:lang w:val="zh-CN"/>
        </w:rPr>
        <w:t>)</w:t>
      </w:r>
      <w:r>
        <w:rPr>
          <w:rFonts w:hint="eastAsia" w:ascii="仿宋_GB2312" w:hAnsi="仿宋_GB2312" w:eastAsia="仿宋_GB2312"/>
          <w:color w:val="000000"/>
          <w:kern w:val="2"/>
          <w:sz w:val="32"/>
          <w:szCs w:val="24"/>
          <w:lang w:val="zh-CN"/>
        </w:rPr>
        <w:t>。</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（四）预算绩效管理情况。</w:t>
      </w:r>
    </w:p>
    <w:p>
      <w:pPr>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color w:val="auto"/>
          <w:kern w:val="2"/>
          <w:sz w:val="32"/>
          <w:szCs w:val="24"/>
          <w:lang w:val="en-US"/>
        </w:rPr>
        <w:t>根据预算绩效管理要求，本单位在2022年度预算编制阶段，组织对</w:t>
      </w:r>
      <w:r>
        <w:rPr>
          <w:rFonts w:hint="eastAsia" w:ascii="仿宋_GB2312" w:hAnsi="仿宋_GB2312" w:eastAsia="仿宋_GB2312"/>
          <w:color w:val="auto"/>
          <w:kern w:val="2"/>
          <w:sz w:val="32"/>
          <w:szCs w:val="24"/>
          <w:lang w:val="en-US" w:eastAsia="zh-CN"/>
        </w:rPr>
        <w:t>驻村</w:t>
      </w:r>
      <w:r>
        <w:rPr>
          <w:rFonts w:hint="eastAsia" w:ascii="仿宋_GB2312" w:hAnsi="仿宋_GB2312" w:eastAsia="仿宋_GB2312"/>
          <w:color w:val="auto"/>
          <w:kern w:val="2"/>
          <w:sz w:val="32"/>
          <w:szCs w:val="24"/>
          <w:lang w:val="en-US"/>
        </w:rPr>
        <w:t>项目、</w:t>
      </w:r>
      <w:r>
        <w:rPr>
          <w:rFonts w:hint="eastAsia" w:ascii="仿宋_GB2312" w:hAnsi="仿宋_GB2312" w:eastAsia="仿宋_GB2312"/>
          <w:color w:val="auto"/>
          <w:kern w:val="2"/>
          <w:sz w:val="32"/>
          <w:szCs w:val="24"/>
          <w:lang w:val="en-US" w:eastAsia="zh-CN"/>
        </w:rPr>
        <w:t>免作业本费</w:t>
      </w:r>
      <w:r>
        <w:rPr>
          <w:rFonts w:hint="eastAsia" w:ascii="仿宋_GB2312" w:hAnsi="仿宋_GB2312" w:eastAsia="仿宋_GB2312"/>
          <w:color w:val="auto"/>
          <w:kern w:val="2"/>
          <w:sz w:val="32"/>
          <w:szCs w:val="24"/>
          <w:lang w:val="en-US"/>
        </w:rPr>
        <w:t>项目、校舍维修项目等</w:t>
      </w:r>
      <w:r>
        <w:rPr>
          <w:rFonts w:hint="eastAsia" w:ascii="仿宋_GB2312" w:hAnsi="仿宋_GB2312" w:eastAsia="仿宋_GB2312"/>
          <w:color w:val="auto"/>
          <w:kern w:val="2"/>
          <w:sz w:val="32"/>
          <w:szCs w:val="24"/>
          <w:lang w:val="en-US" w:eastAsia="zh-CN"/>
        </w:rPr>
        <w:t>3</w:t>
      </w:r>
      <w:r>
        <w:rPr>
          <w:rFonts w:hint="eastAsia" w:ascii="仿宋_GB2312" w:hAnsi="仿宋_GB2312" w:eastAsia="仿宋_GB2312"/>
          <w:color w:val="auto"/>
          <w:kern w:val="2"/>
          <w:sz w:val="32"/>
          <w:szCs w:val="24"/>
          <w:lang w:val="en-US"/>
        </w:rPr>
        <w:t>个项目开展了预算事前绩效评估，对</w:t>
      </w:r>
      <w:r>
        <w:rPr>
          <w:rFonts w:hint="eastAsia" w:ascii="仿宋_GB2312" w:hAnsi="仿宋_GB2312" w:eastAsia="仿宋_GB2312"/>
          <w:color w:val="auto"/>
          <w:kern w:val="2"/>
          <w:sz w:val="32"/>
          <w:szCs w:val="24"/>
          <w:lang w:val="en-US" w:eastAsia="zh-CN"/>
        </w:rPr>
        <w:t>3</w:t>
      </w:r>
      <w:r>
        <w:rPr>
          <w:rFonts w:hint="eastAsia" w:ascii="仿宋_GB2312" w:hAnsi="仿宋_GB2312" w:eastAsia="仿宋_GB2312"/>
          <w:color w:val="auto"/>
          <w:kern w:val="2"/>
          <w:sz w:val="32"/>
          <w:szCs w:val="24"/>
          <w:lang w:val="en-US"/>
        </w:rPr>
        <w:t>个项目编制了绩效目标，预算执行过程中，选取</w:t>
      </w:r>
      <w:r>
        <w:rPr>
          <w:rFonts w:hint="eastAsia" w:ascii="仿宋_GB2312" w:hAnsi="仿宋_GB2312" w:eastAsia="仿宋_GB2312"/>
          <w:color w:val="auto"/>
          <w:kern w:val="2"/>
          <w:sz w:val="32"/>
          <w:szCs w:val="24"/>
          <w:lang w:val="en-US" w:eastAsia="zh-CN"/>
        </w:rPr>
        <w:t>3</w:t>
      </w:r>
      <w:r>
        <w:rPr>
          <w:rFonts w:hint="eastAsia" w:ascii="仿宋_GB2312" w:hAnsi="仿宋_GB2312" w:eastAsia="仿宋_GB2312"/>
          <w:color w:val="auto"/>
          <w:kern w:val="2"/>
          <w:sz w:val="32"/>
          <w:szCs w:val="24"/>
          <w:lang w:val="en-US"/>
        </w:rPr>
        <w:t>个项目开展绩效监控，组织对</w:t>
      </w:r>
      <w:r>
        <w:rPr>
          <w:rFonts w:hint="eastAsia" w:ascii="仿宋_GB2312" w:hAnsi="仿宋_GB2312" w:eastAsia="仿宋_GB2312"/>
          <w:color w:val="auto"/>
          <w:kern w:val="2"/>
          <w:sz w:val="32"/>
          <w:szCs w:val="24"/>
          <w:lang w:val="en-US" w:eastAsia="zh-CN"/>
        </w:rPr>
        <w:t>3</w:t>
      </w:r>
      <w:r>
        <w:rPr>
          <w:rFonts w:hint="eastAsia" w:ascii="仿宋_GB2312" w:hAnsi="仿宋_GB2312" w:eastAsia="仿宋_GB2312"/>
          <w:color w:val="auto"/>
          <w:kern w:val="2"/>
          <w:sz w:val="32"/>
          <w:szCs w:val="24"/>
          <w:lang w:val="en-US"/>
        </w:rPr>
        <w:t>个项目开展绩效自评，绩效自评表详见第四部分附件。</w:t>
      </w:r>
    </w:p>
    <w:p>
      <w:pPr>
        <w:keepNext/>
        <w:keepLines/>
        <w:spacing w:beforeLines="0" w:afterLines="0" w:line="576" w:lineRule="exact"/>
        <w:jc w:val="center"/>
        <w:rPr>
          <w:rFonts w:hint="eastAsia" w:ascii="黑体" w:hAnsi="黑体" w:eastAsia="黑体"/>
          <w:color w:val="000000"/>
          <w:kern w:val="2"/>
          <w:sz w:val="44"/>
          <w:szCs w:val="24"/>
          <w:lang w:val="zh-CN"/>
        </w:rPr>
      </w:pPr>
    </w:p>
    <w:p>
      <w:pPr>
        <w:keepNext/>
        <w:keepLines/>
        <w:spacing w:beforeLines="0" w:afterLines="0" w:line="576" w:lineRule="exact"/>
        <w:jc w:val="center"/>
        <w:rPr>
          <w:rFonts w:hint="eastAsia" w:ascii="黑体" w:hAnsi="黑体" w:eastAsia="黑体"/>
          <w:color w:val="auto"/>
          <w:kern w:val="44"/>
          <w:sz w:val="44"/>
          <w:szCs w:val="24"/>
          <w:lang w:val="zh-CN"/>
        </w:rPr>
      </w:pPr>
      <w:r>
        <w:rPr>
          <w:rFonts w:hint="eastAsia" w:ascii="黑体" w:hAnsi="黑体" w:eastAsia="黑体"/>
          <w:color w:val="000000"/>
          <w:kern w:val="2"/>
          <w:sz w:val="44"/>
          <w:szCs w:val="24"/>
          <w:lang w:val="zh-CN"/>
        </w:rPr>
        <w:t>第三部</w:t>
      </w:r>
      <w:r>
        <w:rPr>
          <w:rFonts w:hint="eastAsia" w:ascii="黑体" w:hAnsi="黑体" w:eastAsia="黑体"/>
          <w:color w:val="000000"/>
          <w:kern w:val="2"/>
          <w:sz w:val="44"/>
          <w:szCs w:val="24"/>
          <w:u w:val="none" w:color="FFFFFF"/>
          <w:shd w:val="clear" w:fill="FFFFFF"/>
          <w:lang w:val="zh-CN"/>
        </w:rPr>
        <w:t xml:space="preserve">分 </w:t>
      </w:r>
      <w:r>
        <w:rPr>
          <w:rFonts w:hint="eastAsia" w:ascii="黑体" w:hAnsi="黑体" w:eastAsia="黑体"/>
          <w:color w:val="000000"/>
          <w:kern w:val="2"/>
          <w:sz w:val="44"/>
          <w:szCs w:val="24"/>
          <w:lang w:val="zh-CN"/>
        </w:rPr>
        <w:t>名</w:t>
      </w:r>
      <w:r>
        <w:rPr>
          <w:rFonts w:hint="eastAsia" w:ascii="黑体" w:hAnsi="黑体" w:eastAsia="黑体"/>
          <w:color w:val="auto"/>
          <w:kern w:val="44"/>
          <w:sz w:val="44"/>
          <w:szCs w:val="24"/>
          <w:lang w:val="zh-CN"/>
        </w:rPr>
        <w:t>词解释</w:t>
      </w:r>
    </w:p>
    <w:p>
      <w:pPr>
        <w:spacing w:beforeLines="0" w:afterLines="0" w:line="576"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财政拨款收入：指单位从同级财政部门取得的财政预算资金。</w:t>
      </w:r>
    </w:p>
    <w:p>
      <w:pPr>
        <w:spacing w:beforeLines="0" w:afterLines="0" w:line="576" w:lineRule="exact"/>
        <w:ind w:firstLine="64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2.教育支出（类）普通教育（款）初中教育（项）：指反映各部门举办的初中教育支出。</w:t>
      </w:r>
    </w:p>
    <w:p>
      <w:pPr>
        <w:spacing w:beforeLines="0" w:afterLines="0" w:line="576" w:lineRule="exact"/>
        <w:ind w:firstLine="64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3.</w:t>
      </w:r>
      <w:r>
        <w:rPr>
          <w:rFonts w:hint="default"/>
          <w:sz w:val="24"/>
          <w:szCs w:val="24"/>
        </w:rPr>
        <w:t xml:space="preserve"> </w:t>
      </w:r>
      <w:r>
        <w:rPr>
          <w:rFonts w:hint="eastAsia" w:ascii="仿宋_GB2312" w:hAnsi="仿宋_GB2312" w:eastAsia="仿宋_GB2312" w:cs="仿宋_GB2312"/>
          <w:color w:val="000000"/>
          <w:kern w:val="2"/>
          <w:sz w:val="32"/>
          <w:szCs w:val="32"/>
        </w:rPr>
        <w:t>社会保障和就业支出（类）行政事业单位养老支出（款）机关事业单位基本养老保险缴费支出、机关事业单位职业年金缴费支出（项）：指反映机关事业单位实施养老保险制度由单位缴纳的基本养老保险费和职业年金。</w:t>
      </w:r>
    </w:p>
    <w:p>
      <w:pPr>
        <w:spacing w:beforeLines="0" w:afterLines="0" w:line="576" w:lineRule="exact"/>
        <w:ind w:firstLine="64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4.</w:t>
      </w:r>
      <w:r>
        <w:rPr>
          <w:rFonts w:hint="default"/>
          <w:sz w:val="24"/>
          <w:szCs w:val="24"/>
        </w:rPr>
        <w:t xml:space="preserve"> </w:t>
      </w:r>
      <w:r>
        <w:rPr>
          <w:rFonts w:hint="eastAsia" w:ascii="仿宋_GB2312" w:hAnsi="仿宋_GB2312" w:eastAsia="仿宋_GB2312" w:cs="仿宋_GB2312"/>
          <w:color w:val="000000"/>
          <w:kern w:val="2"/>
          <w:sz w:val="32"/>
          <w:szCs w:val="32"/>
        </w:rPr>
        <w:t>卫生健康支出（类）行政事业单位医疗（款）事业单位医疗（项）：指反映财政部门安排的事业单位基本医疗保险缴费经费。</w:t>
      </w:r>
    </w:p>
    <w:p>
      <w:pPr>
        <w:spacing w:beforeLines="0" w:afterLines="0" w:line="576" w:lineRule="exact"/>
        <w:ind w:firstLine="64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5.</w:t>
      </w:r>
      <w:r>
        <w:rPr>
          <w:rFonts w:hint="default"/>
          <w:sz w:val="24"/>
          <w:szCs w:val="24"/>
        </w:rPr>
        <w:t xml:space="preserve"> </w:t>
      </w:r>
      <w:r>
        <w:rPr>
          <w:rFonts w:hint="eastAsia" w:ascii="仿宋_GB2312" w:hAnsi="仿宋_GB2312" w:eastAsia="仿宋_GB2312" w:cs="仿宋_GB2312"/>
          <w:color w:val="000000"/>
          <w:kern w:val="2"/>
          <w:sz w:val="32"/>
          <w:szCs w:val="32"/>
        </w:rPr>
        <w:t>农林水支出（类）巩固脱贫衔接乡村振兴（款）其他巩固脱贫衔接乡村振兴支出（项）：指反映用于巩固脱贫衔接乡村振兴方面的支出。</w:t>
      </w:r>
    </w:p>
    <w:p>
      <w:pPr>
        <w:spacing w:beforeLines="0" w:afterLines="0" w:line="576" w:lineRule="exact"/>
        <w:ind w:firstLine="64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6.</w:t>
      </w:r>
      <w:r>
        <w:rPr>
          <w:rFonts w:hint="default"/>
          <w:sz w:val="24"/>
          <w:szCs w:val="24"/>
        </w:rPr>
        <w:t xml:space="preserve"> </w:t>
      </w:r>
      <w:r>
        <w:rPr>
          <w:rFonts w:hint="eastAsia" w:ascii="仿宋_GB2312" w:hAnsi="仿宋_GB2312" w:eastAsia="仿宋_GB2312" w:cs="仿宋_GB2312"/>
          <w:color w:val="000000"/>
          <w:kern w:val="2"/>
          <w:sz w:val="32"/>
          <w:szCs w:val="32"/>
        </w:rPr>
        <w:t>住房保障支出（类）住房改革支出（款）住房公积金（项）：指反映行政事业单位按人力资源和社会保障部、财政部规定的基本工资和津</w:t>
      </w:r>
      <w:r>
        <w:rPr>
          <w:rFonts w:hint="eastAsia" w:ascii="仿宋_GB2312" w:hAnsi="仿宋_GB2312" w:eastAsia="仿宋_GB2312" w:cs="仿宋_GB2312"/>
          <w:color w:val="000000"/>
          <w:kern w:val="2"/>
          <w:sz w:val="32"/>
          <w:szCs w:val="32"/>
          <w:u w:val="none" w:color="FFFFFF"/>
          <w:shd w:val="clear" w:fill="FFFFFF"/>
        </w:rPr>
        <w:t>贴</w:t>
      </w:r>
      <w:r>
        <w:rPr>
          <w:rFonts w:hint="eastAsia" w:ascii="仿宋_GB2312" w:hAnsi="仿宋_GB2312" w:eastAsia="仿宋_GB2312" w:cs="仿宋_GB2312"/>
          <w:color w:val="000000"/>
          <w:kern w:val="2"/>
          <w:sz w:val="32"/>
          <w:szCs w:val="32"/>
        </w:rPr>
        <w:t>补贴以及比例为职工缴纳的住房公积金。</w:t>
      </w:r>
    </w:p>
    <w:p>
      <w:pPr>
        <w:spacing w:beforeLines="0" w:afterLines="0" w:line="576" w:lineRule="exact"/>
        <w:ind w:firstLine="64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7.基本支出：指为保障机构正常运转、完成日常工作任务而发生的人员支出和公用支出。</w:t>
      </w:r>
    </w:p>
    <w:p>
      <w:pPr>
        <w:spacing w:beforeLines="0" w:afterLines="0" w:line="576" w:lineRule="exact"/>
        <w:ind w:firstLine="64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8.项目支出：指在基本支出之</w:t>
      </w:r>
      <w:r>
        <w:rPr>
          <w:rFonts w:hint="eastAsia" w:ascii="仿宋_GB2312" w:hAnsi="仿宋_GB2312" w:eastAsia="仿宋_GB2312" w:cs="仿宋_GB2312"/>
          <w:color w:val="000000"/>
          <w:kern w:val="2"/>
          <w:sz w:val="32"/>
          <w:szCs w:val="32"/>
          <w:u w:val="none" w:color="FFFFFF"/>
          <w:shd w:val="clear" w:fill="FFFFFF"/>
        </w:rPr>
        <w:t>外</w:t>
      </w:r>
      <w:r>
        <w:rPr>
          <w:rFonts w:hint="eastAsia" w:ascii="仿宋_GB2312" w:hAnsi="仿宋_GB2312" w:eastAsia="仿宋_GB2312" w:cs="仿宋_GB2312"/>
          <w:color w:val="000000"/>
          <w:kern w:val="2"/>
          <w:sz w:val="32"/>
          <w:szCs w:val="32"/>
        </w:rPr>
        <w:t xml:space="preserve">为完成特定行政任务和事业发展目标所发生的支出。 </w:t>
      </w:r>
    </w:p>
    <w:p>
      <w:pPr>
        <w:spacing w:beforeLines="0" w:afterLines="0" w:line="576" w:lineRule="exact"/>
        <w:ind w:firstLine="640"/>
        <w:jc w:val="both"/>
        <w:rPr>
          <w:rFonts w:hint="eastAsia" w:ascii="黑体" w:hAnsi="黑体" w:eastAsia="黑体"/>
          <w:color w:val="auto"/>
          <w:kern w:val="44"/>
          <w:sz w:val="44"/>
          <w:szCs w:val="24"/>
          <w:lang w:val="zh-CN"/>
        </w:rPr>
      </w:pPr>
      <w:r>
        <w:rPr>
          <w:rFonts w:hint="eastAsia" w:ascii="仿宋_GB2312" w:hAnsi="仿宋_GB2312" w:eastAsia="仿宋_GB2312" w:cs="仿宋_GB2312"/>
          <w:color w:val="000000"/>
          <w:sz w:val="32"/>
          <w:szCs w:val="32"/>
        </w:rPr>
        <w:t>9.“三公”经费：指部门用财政拨款安排的因公出国（境）费、公务用车购置及运行费和公务接待费。</w:t>
      </w:r>
      <w:r>
        <w:rPr>
          <w:rFonts w:hint="eastAsia" w:ascii="仿宋_GB2312" w:hAnsi="仿宋_GB2312" w:eastAsia="仿宋_GB2312" w:cs="仿宋_GB2312"/>
          <w:color w:val="000000"/>
          <w:sz w:val="32"/>
          <w:szCs w:val="32"/>
          <w:u w:val="none" w:color="FFFFFF"/>
          <w:shd w:val="clear" w:fill="FFFFFF"/>
        </w:rPr>
        <w:t>其中，因公出国（境）费反映单位公务出国（境）的国际旅费、国外城市间交通费、住宿费、伙食费、培训费、公杂费等支出；</w:t>
      </w:r>
      <w:r>
        <w:rPr>
          <w:rFonts w:hint="eastAsia" w:ascii="仿宋_GB2312" w:hAnsi="仿宋_GB2312" w:eastAsia="仿宋_GB2312" w:cs="仿宋_GB2312"/>
          <w:color w:val="000000"/>
          <w:sz w:val="32"/>
          <w:szCs w:val="32"/>
        </w:rPr>
        <w:t>公务用车购置及运行费反映单位公务用车车辆购置支出（含车辆购置税）及租用费、燃料费、维修费、过路过桥费、保险费等支出；公务接待费反映单位按规定开支的各类公务接待（含外宾接待）支出。</w:t>
      </w: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both"/>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44"/>
          <w:sz w:val="44"/>
          <w:szCs w:val="24"/>
          <w:lang w:val="en-US"/>
        </w:rPr>
      </w:pPr>
      <w:r>
        <w:rPr>
          <w:rFonts w:hint="eastAsia" w:ascii="黑体" w:hAnsi="黑体" w:eastAsia="黑体"/>
          <w:color w:val="auto"/>
          <w:kern w:val="2"/>
          <w:sz w:val="44"/>
          <w:szCs w:val="24"/>
          <w:lang w:val="en-US"/>
        </w:rPr>
        <w:t>第</w:t>
      </w:r>
      <w:r>
        <w:rPr>
          <w:rFonts w:hint="eastAsia" w:ascii="黑体" w:hAnsi="黑体" w:eastAsia="黑体"/>
          <w:color w:val="auto"/>
          <w:kern w:val="44"/>
          <w:sz w:val="44"/>
          <w:szCs w:val="24"/>
          <w:lang w:val="en-US"/>
        </w:rPr>
        <w:t>四</w:t>
      </w:r>
      <w:bookmarkStart w:id="0" w:name="_GoBack"/>
      <w:r>
        <w:rPr>
          <w:rFonts w:hint="eastAsia" w:ascii="黑体" w:hAnsi="黑体" w:eastAsia="黑体"/>
          <w:color w:val="auto"/>
          <w:kern w:val="44"/>
          <w:sz w:val="44"/>
          <w:szCs w:val="24"/>
          <w:u w:val="none" w:color="FFFFFF"/>
          <w:shd w:val="clear" w:fill="FFFFFF"/>
          <w:lang w:val="en-US"/>
        </w:rPr>
        <w:t xml:space="preserve">部分 </w:t>
      </w:r>
      <w:bookmarkEnd w:id="0"/>
      <w:r>
        <w:rPr>
          <w:rFonts w:hint="eastAsia" w:ascii="黑体" w:hAnsi="黑体" w:eastAsia="黑体"/>
          <w:color w:val="auto"/>
          <w:kern w:val="44"/>
          <w:sz w:val="44"/>
          <w:szCs w:val="24"/>
          <w:lang w:val="en-US"/>
        </w:rPr>
        <w:t>附件</w:t>
      </w:r>
    </w:p>
    <w:p>
      <w:pPr>
        <w:keepNext/>
        <w:keepLines/>
        <w:spacing w:beforeLines="0" w:afterLines="0" w:line="572" w:lineRule="exact"/>
        <w:rPr>
          <w:rFonts w:hint="eastAsia" w:ascii="仿宋_GB2312" w:hAnsi="仿宋_GB2312" w:eastAsia="仿宋_GB2312"/>
          <w:color w:val="auto"/>
          <w:kern w:val="2"/>
          <w:sz w:val="32"/>
          <w:szCs w:val="24"/>
          <w:lang w:val="en-US"/>
        </w:rPr>
      </w:pPr>
    </w:p>
    <w:p>
      <w:pPr>
        <w:spacing w:beforeLines="0" w:afterLines="0"/>
        <w:jc w:val="both"/>
        <w:rPr>
          <w:rFonts w:hint="default"/>
          <w:sz w:val="24"/>
          <w:szCs w:val="24"/>
        </w:rPr>
      </w:pPr>
    </w:p>
    <w:p>
      <w:pPr>
        <w:spacing w:beforeLines="0" w:afterLines="0"/>
        <w:jc w:val="both"/>
        <w:rPr>
          <w:rFonts w:hint="default"/>
          <w:sz w:val="24"/>
          <w:szCs w:val="24"/>
        </w:rPr>
      </w:pPr>
    </w:p>
    <w:p>
      <w:pPr>
        <w:spacing w:beforeLines="0" w:afterLines="0"/>
        <w:jc w:val="both"/>
        <w:rPr>
          <w:rFonts w:hint="default"/>
          <w:sz w:val="24"/>
          <w:szCs w:val="24"/>
        </w:rPr>
      </w:pPr>
      <w:r>
        <w:rPr>
          <w:rFonts w:hint="default"/>
          <w:sz w:val="24"/>
          <w:szCs w:val="24"/>
        </w:rPr>
        <w:drawing>
          <wp:inline distT="0" distB="0" distL="114300" distR="114300">
            <wp:extent cx="5473065" cy="6467475"/>
            <wp:effectExtent l="0" t="0" r="13335" b="9525"/>
            <wp:docPr id="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9"/>
                    <pic:cNvPicPr>
                      <a:picLocks noChangeAspect="1"/>
                    </pic:cNvPicPr>
                  </pic:nvPicPr>
                  <pic:blipFill>
                    <a:blip r:embed="rId11"/>
                    <a:stretch>
                      <a:fillRect/>
                    </a:stretch>
                  </pic:blipFill>
                  <pic:spPr>
                    <a:xfrm>
                      <a:off x="0" y="0"/>
                      <a:ext cx="5473065" cy="6467475"/>
                    </a:xfrm>
                    <a:prstGeom prst="rect">
                      <a:avLst/>
                    </a:prstGeom>
                    <a:noFill/>
                    <a:ln>
                      <a:noFill/>
                    </a:ln>
                  </pic:spPr>
                </pic:pic>
              </a:graphicData>
            </a:graphic>
          </wp:inline>
        </w:drawing>
      </w:r>
    </w:p>
    <w:p>
      <w:pPr>
        <w:spacing w:beforeLines="0" w:afterLines="0"/>
        <w:jc w:val="both"/>
        <w:rPr>
          <w:rFonts w:hint="default"/>
          <w:sz w:val="24"/>
          <w:szCs w:val="24"/>
        </w:rPr>
      </w:pPr>
    </w:p>
    <w:p>
      <w:pPr>
        <w:spacing w:beforeLines="0" w:afterLines="0"/>
        <w:jc w:val="both"/>
        <w:rPr>
          <w:rFonts w:hint="default"/>
          <w:sz w:val="24"/>
          <w:szCs w:val="24"/>
        </w:rPr>
      </w:pPr>
      <w:r>
        <w:rPr>
          <w:rFonts w:hint="default"/>
          <w:sz w:val="24"/>
          <w:szCs w:val="24"/>
        </w:rPr>
        <w:drawing>
          <wp:inline distT="0" distB="0" distL="114300" distR="114300">
            <wp:extent cx="5508625" cy="7160260"/>
            <wp:effectExtent l="0" t="0" r="8255" b="2540"/>
            <wp:docPr id="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0"/>
                    <pic:cNvPicPr>
                      <a:picLocks noChangeAspect="1"/>
                    </pic:cNvPicPr>
                  </pic:nvPicPr>
                  <pic:blipFill>
                    <a:blip r:embed="rId12"/>
                    <a:stretch>
                      <a:fillRect/>
                    </a:stretch>
                  </pic:blipFill>
                  <pic:spPr>
                    <a:xfrm>
                      <a:off x="0" y="0"/>
                      <a:ext cx="5508625" cy="7160260"/>
                    </a:xfrm>
                    <a:prstGeom prst="rect">
                      <a:avLst/>
                    </a:prstGeom>
                    <a:noFill/>
                    <a:ln>
                      <a:noFill/>
                    </a:ln>
                  </pic:spPr>
                </pic:pic>
              </a:graphicData>
            </a:graphic>
          </wp:inline>
        </w:drawing>
      </w:r>
    </w:p>
    <w:p>
      <w:pPr>
        <w:spacing w:beforeLines="0" w:afterLines="0"/>
        <w:jc w:val="both"/>
        <w:rPr>
          <w:rFonts w:hint="default"/>
          <w:sz w:val="24"/>
          <w:szCs w:val="24"/>
        </w:rPr>
      </w:pPr>
      <w:r>
        <w:rPr>
          <w:rFonts w:hint="default"/>
          <w:sz w:val="24"/>
          <w:szCs w:val="24"/>
        </w:rPr>
        <w:drawing>
          <wp:inline distT="0" distB="0" distL="114300" distR="114300">
            <wp:extent cx="5493385" cy="7077710"/>
            <wp:effectExtent l="0" t="0" r="8255" b="8890"/>
            <wp:docPr id="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1"/>
                    <pic:cNvPicPr>
                      <a:picLocks noChangeAspect="1"/>
                    </pic:cNvPicPr>
                  </pic:nvPicPr>
                  <pic:blipFill>
                    <a:blip r:embed="rId13"/>
                    <a:stretch>
                      <a:fillRect/>
                    </a:stretch>
                  </pic:blipFill>
                  <pic:spPr>
                    <a:xfrm>
                      <a:off x="0" y="0"/>
                      <a:ext cx="5493385" cy="7077710"/>
                    </a:xfrm>
                    <a:prstGeom prst="rect">
                      <a:avLst/>
                    </a:prstGeom>
                    <a:noFill/>
                    <a:ln>
                      <a:noFill/>
                    </a:ln>
                  </pic:spPr>
                </pic:pic>
              </a:graphicData>
            </a:graphic>
          </wp:inline>
        </w:drawing>
      </w:r>
    </w:p>
    <w:p>
      <w:pPr>
        <w:spacing w:beforeLines="0" w:afterLines="0"/>
        <w:jc w:val="both"/>
        <w:rPr>
          <w:rFonts w:hint="default"/>
          <w:sz w:val="24"/>
          <w:szCs w:val="24"/>
        </w:rPr>
      </w:pPr>
    </w:p>
    <w:p>
      <w:pPr>
        <w:spacing w:beforeLines="0" w:afterLines="0"/>
        <w:jc w:val="both"/>
        <w:rPr>
          <w:rFonts w:hint="default"/>
          <w:sz w:val="24"/>
          <w:szCs w:val="24"/>
        </w:rPr>
      </w:pPr>
    </w:p>
    <w:p>
      <w:pPr>
        <w:spacing w:beforeLines="0" w:afterLines="0"/>
        <w:jc w:val="both"/>
        <w:rPr>
          <w:rFonts w:hint="default"/>
          <w:sz w:val="24"/>
          <w:szCs w:val="24"/>
        </w:rPr>
      </w:pPr>
      <w:r>
        <w:rPr>
          <w:rFonts w:hint="default"/>
          <w:sz w:val="24"/>
          <w:szCs w:val="24"/>
        </w:rPr>
        <w:drawing>
          <wp:inline distT="0" distB="0" distL="114300" distR="114300">
            <wp:extent cx="5507990" cy="7245985"/>
            <wp:effectExtent l="0" t="0" r="8890" b="8255"/>
            <wp:docPr id="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2"/>
                    <pic:cNvPicPr>
                      <a:picLocks noChangeAspect="1"/>
                    </pic:cNvPicPr>
                  </pic:nvPicPr>
                  <pic:blipFill>
                    <a:blip r:embed="rId14"/>
                    <a:stretch>
                      <a:fillRect/>
                    </a:stretch>
                  </pic:blipFill>
                  <pic:spPr>
                    <a:xfrm>
                      <a:off x="0" y="0"/>
                      <a:ext cx="5507990" cy="7245985"/>
                    </a:xfrm>
                    <a:prstGeom prst="rect">
                      <a:avLst/>
                    </a:prstGeom>
                    <a:noFill/>
                    <a:ln>
                      <a:noFill/>
                    </a:ln>
                  </pic:spPr>
                </pic:pic>
              </a:graphicData>
            </a:graphic>
          </wp:inline>
        </w:drawing>
      </w:r>
    </w:p>
    <w:p>
      <w:pPr>
        <w:spacing w:beforeLines="0" w:afterLines="0"/>
        <w:jc w:val="both"/>
        <w:rPr>
          <w:rFonts w:hint="default"/>
          <w:sz w:val="24"/>
          <w:szCs w:val="24"/>
        </w:rPr>
      </w:pPr>
    </w:p>
    <w:p>
      <w:pPr>
        <w:spacing w:beforeLines="0" w:afterLines="0"/>
        <w:jc w:val="both"/>
        <w:rPr>
          <w:rFonts w:hint="default"/>
          <w:sz w:val="24"/>
          <w:szCs w:val="24"/>
        </w:rPr>
      </w:pPr>
    </w:p>
    <w:p>
      <w:pPr>
        <w:spacing w:beforeLines="0" w:afterLines="0"/>
        <w:jc w:val="both"/>
        <w:rPr>
          <w:rFonts w:hint="default"/>
          <w:sz w:val="24"/>
          <w:szCs w:val="24"/>
        </w:rPr>
      </w:pPr>
    </w:p>
    <w:p>
      <w:pPr>
        <w:spacing w:beforeLines="0" w:afterLines="0"/>
        <w:jc w:val="both"/>
        <w:rPr>
          <w:rFonts w:hint="default"/>
          <w:sz w:val="24"/>
          <w:szCs w:val="24"/>
        </w:rPr>
      </w:pPr>
    </w:p>
    <w:p>
      <w:pPr>
        <w:spacing w:beforeLines="0" w:afterLines="0"/>
        <w:jc w:val="both"/>
        <w:rPr>
          <w:rFonts w:hint="default"/>
          <w:sz w:val="24"/>
          <w:szCs w:val="24"/>
          <w:lang w:val="en-US"/>
        </w:rPr>
      </w:pPr>
    </w:p>
    <w:p>
      <w:pPr>
        <w:spacing w:beforeLines="0" w:afterLines="0"/>
        <w:jc w:val="both"/>
        <w:rPr>
          <w:rFonts w:hint="default"/>
          <w:sz w:val="24"/>
          <w:szCs w:val="24"/>
        </w:rPr>
      </w:pPr>
    </w:p>
    <w:p>
      <w:pPr>
        <w:spacing w:beforeLines="0" w:afterLines="0"/>
        <w:jc w:val="both"/>
        <w:rPr>
          <w:rFonts w:hint="eastAsia" w:ascii="仿宋_GB2312" w:hAnsi="仿宋_GB2312" w:eastAsia="仿宋_GB2312"/>
          <w:color w:val="auto"/>
          <w:sz w:val="32"/>
          <w:szCs w:val="24"/>
          <w:lang w:val="en-US"/>
        </w:rPr>
      </w:pPr>
    </w:p>
    <w:p>
      <w:pPr>
        <w:spacing w:beforeLines="0" w:afterLines="0" w:line="600" w:lineRule="exact"/>
        <w:jc w:val="center"/>
        <w:rPr>
          <w:rFonts w:hint="eastAsia" w:ascii="仿宋" w:hAnsi="仿宋" w:eastAsia="仿宋"/>
          <w:color w:val="auto"/>
          <w:kern w:val="2"/>
          <w:sz w:val="21"/>
          <w:szCs w:val="24"/>
          <w:lang w:val="en-US"/>
        </w:rPr>
      </w:pPr>
      <w:r>
        <w:rPr>
          <w:rFonts w:hint="eastAsia" w:ascii="黑体" w:hAnsi="黑体" w:eastAsia="黑体"/>
          <w:color w:val="auto"/>
          <w:kern w:val="2"/>
          <w:sz w:val="44"/>
          <w:szCs w:val="24"/>
          <w:lang w:val="en-US"/>
        </w:rPr>
        <w:t>第</w:t>
      </w:r>
      <w:r>
        <w:rPr>
          <w:rFonts w:hint="eastAsia" w:ascii="黑体" w:hAnsi="黑体" w:eastAsia="黑体"/>
          <w:color w:val="auto"/>
          <w:kern w:val="44"/>
          <w:sz w:val="44"/>
          <w:szCs w:val="24"/>
          <w:lang w:val="en-US"/>
        </w:rPr>
        <w:t>五</w:t>
      </w:r>
      <w:r>
        <w:rPr>
          <w:rFonts w:hint="eastAsia" w:ascii="黑体" w:hAnsi="黑体" w:eastAsia="黑体"/>
          <w:color w:val="auto"/>
          <w:kern w:val="44"/>
          <w:sz w:val="44"/>
          <w:szCs w:val="24"/>
          <w:u w:val="none" w:color="FFFFFF"/>
          <w:shd w:val="clear" w:fill="FFFFFF"/>
          <w:lang w:val="en-US"/>
        </w:rPr>
        <w:t xml:space="preserve">部分 </w:t>
      </w:r>
      <w:r>
        <w:rPr>
          <w:rFonts w:hint="eastAsia" w:ascii="黑体" w:hAnsi="黑体" w:eastAsia="黑体"/>
          <w:color w:val="auto"/>
          <w:kern w:val="44"/>
          <w:sz w:val="44"/>
          <w:szCs w:val="24"/>
          <w:lang w:val="en-US"/>
        </w:rPr>
        <w:t>附表</w:t>
      </w:r>
    </w:p>
    <w:p>
      <w:pPr>
        <w:pStyle w:val="3"/>
        <w:keepNext/>
        <w:keepLines/>
        <w:spacing w:beforeLines="0" w:afterLines="0" w:line="560" w:lineRule="exact"/>
        <w:jc w:val="both"/>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一、收入支出决算总表</w:t>
      </w:r>
    </w:p>
    <w:p>
      <w:pPr>
        <w:pStyle w:val="3"/>
        <w:keepNext/>
        <w:keepLines/>
        <w:spacing w:beforeLines="0" w:afterLines="0" w:line="560" w:lineRule="exact"/>
        <w:jc w:val="both"/>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二、收入决算表</w:t>
      </w:r>
    </w:p>
    <w:p>
      <w:pPr>
        <w:pStyle w:val="3"/>
        <w:keepNext/>
        <w:keepLines/>
        <w:spacing w:beforeLines="0" w:afterLines="0" w:line="560" w:lineRule="exact"/>
        <w:jc w:val="both"/>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三、支出决算表</w:t>
      </w:r>
    </w:p>
    <w:p>
      <w:pPr>
        <w:pStyle w:val="3"/>
        <w:keepNext/>
        <w:keepLines/>
        <w:spacing w:beforeLines="0" w:afterLines="0" w:line="560" w:lineRule="exact"/>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四、财政拨款收入支出决算总表</w:t>
      </w:r>
    </w:p>
    <w:p>
      <w:pPr>
        <w:pStyle w:val="3"/>
        <w:keepNext/>
        <w:keepLines/>
        <w:spacing w:beforeLines="0" w:afterLines="0" w:line="560" w:lineRule="exact"/>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五、财政拨款支出决算明细表</w:t>
      </w:r>
    </w:p>
    <w:p>
      <w:pPr>
        <w:pStyle w:val="3"/>
        <w:keepNext/>
        <w:keepLines/>
        <w:spacing w:beforeLines="0" w:afterLines="0" w:line="560" w:lineRule="exact"/>
        <w:jc w:val="both"/>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六、一般公共预算财政拨款支出决算表</w:t>
      </w:r>
    </w:p>
    <w:p>
      <w:pPr>
        <w:pStyle w:val="3"/>
        <w:keepNext/>
        <w:keepLines/>
        <w:spacing w:beforeLines="0" w:afterLines="0" w:line="560" w:lineRule="exact"/>
        <w:jc w:val="both"/>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七、一般公共预算财政拨款支出决算明细表</w:t>
      </w:r>
    </w:p>
    <w:p>
      <w:pPr>
        <w:pStyle w:val="3"/>
        <w:keepNext/>
        <w:keepLines/>
        <w:spacing w:beforeLines="0" w:afterLines="0" w:line="560" w:lineRule="exact"/>
        <w:jc w:val="both"/>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八、一般公共预算财政拨款基本支出决算表</w:t>
      </w:r>
    </w:p>
    <w:p>
      <w:pPr>
        <w:pStyle w:val="3"/>
        <w:keepNext/>
        <w:keepLines/>
        <w:spacing w:beforeLines="0" w:afterLines="0" w:line="560" w:lineRule="exact"/>
        <w:jc w:val="both"/>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九、一般公共预算财政拨款项目支出决算表</w:t>
      </w:r>
    </w:p>
    <w:p>
      <w:pPr>
        <w:pStyle w:val="3"/>
        <w:keepNext/>
        <w:keepLines/>
        <w:spacing w:beforeLines="0" w:afterLines="0" w:line="560" w:lineRule="exact"/>
        <w:jc w:val="both"/>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十、政府性基金预</w:t>
      </w:r>
      <w:r>
        <w:rPr>
          <w:rFonts w:hint="eastAsia" w:ascii="仿宋" w:hAnsi="仿宋" w:eastAsia="仿宋"/>
          <w:color w:val="auto"/>
          <w:kern w:val="2"/>
          <w:sz w:val="32"/>
          <w:szCs w:val="24"/>
          <w:u w:val="none" w:color="FFFFFF"/>
          <w:shd w:val="clear" w:fill="FFFFFF"/>
          <w:lang w:val="en-US"/>
        </w:rPr>
        <w:t>算</w:t>
      </w:r>
      <w:r>
        <w:rPr>
          <w:rFonts w:hint="eastAsia" w:ascii="仿宋" w:hAnsi="仿宋" w:eastAsia="仿宋"/>
          <w:color w:val="auto"/>
          <w:kern w:val="2"/>
          <w:sz w:val="32"/>
          <w:szCs w:val="24"/>
          <w:lang w:val="en-US"/>
        </w:rPr>
        <w:t>财政拨款收入支出决算表</w:t>
      </w:r>
    </w:p>
    <w:p>
      <w:pPr>
        <w:pStyle w:val="3"/>
        <w:keepNext/>
        <w:keepLines/>
        <w:spacing w:beforeLines="0" w:afterLines="0" w:line="560" w:lineRule="exact"/>
        <w:jc w:val="both"/>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十一、国有资本经营预</w:t>
      </w:r>
      <w:r>
        <w:rPr>
          <w:rFonts w:hint="eastAsia" w:ascii="仿宋" w:hAnsi="仿宋" w:eastAsia="仿宋"/>
          <w:color w:val="auto"/>
          <w:kern w:val="2"/>
          <w:sz w:val="32"/>
          <w:szCs w:val="24"/>
          <w:u w:val="none" w:color="FFFFFF"/>
          <w:shd w:val="clear" w:fill="FFFFFF"/>
          <w:lang w:val="en-US"/>
        </w:rPr>
        <w:t>算</w:t>
      </w:r>
      <w:r>
        <w:rPr>
          <w:rFonts w:hint="eastAsia" w:ascii="仿宋" w:hAnsi="仿宋" w:eastAsia="仿宋"/>
          <w:color w:val="auto"/>
          <w:kern w:val="2"/>
          <w:sz w:val="32"/>
          <w:szCs w:val="24"/>
          <w:lang w:val="en-US"/>
        </w:rPr>
        <w:t>财政拨款收入支出决算表</w:t>
      </w:r>
    </w:p>
    <w:p>
      <w:pPr>
        <w:pStyle w:val="3"/>
        <w:keepNext/>
        <w:keepLines/>
        <w:spacing w:beforeLines="0" w:afterLines="0" w:line="560" w:lineRule="exact"/>
        <w:jc w:val="both"/>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十二、国有资本经营预算财政拨款支出决算表</w:t>
      </w:r>
    </w:p>
    <w:p>
      <w:pPr>
        <w:pStyle w:val="3"/>
        <w:keepNext/>
        <w:keepLines/>
        <w:spacing w:beforeLines="0" w:afterLines="0" w:line="560" w:lineRule="exact"/>
        <w:jc w:val="both"/>
        <w:rPr>
          <w:rFonts w:hint="eastAsia" w:ascii="华文中宋" w:hAnsi="华文中宋" w:eastAsia="华文中宋"/>
          <w:color w:val="auto"/>
          <w:kern w:val="2"/>
          <w:sz w:val="36"/>
          <w:szCs w:val="24"/>
          <w:lang w:val="en-US"/>
        </w:rPr>
      </w:pPr>
      <w:r>
        <w:rPr>
          <w:rFonts w:hint="eastAsia" w:ascii="仿宋" w:hAnsi="仿宋" w:eastAsia="仿宋"/>
          <w:color w:val="auto"/>
          <w:kern w:val="2"/>
          <w:sz w:val="32"/>
          <w:szCs w:val="24"/>
          <w:lang w:val="en-US"/>
        </w:rPr>
        <w:t>十三、财政拨款“三公”经费支出决算表</w:t>
      </w: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B65448E-B2FA-40E0-8CB5-9D7EA76FD0E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2" w:fontKey="{33F2C3B2-33A3-4B7B-8C3B-7F645A5CA4FA}"/>
  </w:font>
  <w:font w:name="仿宋">
    <w:altName w:val="微软雅黑"/>
    <w:panose1 w:val="02010609060101010101"/>
    <w:charset w:val="86"/>
    <w:family w:val="modern"/>
    <w:pitch w:val="default"/>
    <w:sig w:usb0="00000000" w:usb1="00000000" w:usb2="00000016" w:usb3="00000000" w:csb0="00040001" w:csb1="00000000"/>
    <w:embedRegular r:id="rId3" w:fontKey="{4A2B704E-13B9-4262-A4AD-E396479F97D9}"/>
  </w:font>
  <w:font w:name="仿宋_GB2312">
    <w:panose1 w:val="02010609030101010101"/>
    <w:charset w:val="86"/>
    <w:family w:val="modern"/>
    <w:pitch w:val="default"/>
    <w:sig w:usb0="00000001" w:usb1="080E0000" w:usb2="00000000" w:usb3="00000000" w:csb0="00040000" w:csb1="00000000"/>
    <w:embedRegular r:id="rId4" w:fontKey="{053FD47A-862F-42E2-B3CA-17594217E065}"/>
  </w:font>
  <w:font w:name="Cambria">
    <w:panose1 w:val="02040503050406030204"/>
    <w:charset w:val="00"/>
    <w:family w:val="roman"/>
    <w:pitch w:val="default"/>
    <w:sig w:usb0="E00002FF" w:usb1="400004FF" w:usb2="00000000" w:usb3="00000000" w:csb0="2000019F" w:csb1="00000000"/>
    <w:embedRegular r:id="rId5" w:fontKey="{C86A5FAB-E5B5-4371-AEA2-D4E01F8BF4A0}"/>
  </w:font>
  <w:font w:name="华文中宋">
    <w:altName w:val="宋体"/>
    <w:panose1 w:val="00000000000000000000"/>
    <w:charset w:val="86"/>
    <w:family w:val="auto"/>
    <w:pitch w:val="default"/>
    <w:sig w:usb0="00000000" w:usb1="00000000" w:usb2="00000000" w:usb3="00000000" w:csb0="00040000" w:csb1="00000000"/>
    <w:embedRegular r:id="rId6" w:fontKey="{FA71240F-8CBA-4947-9570-0D36983C59F9}"/>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lNmM5ZjQxMzIwMjQwNWMyODAyMThjMGY3Yzc2MzUifQ=="/>
  </w:docVars>
  <w:rsids>
    <w:rsidRoot w:val="00172A27"/>
    <w:rsid w:val="01473E59"/>
    <w:rsid w:val="61586FBF"/>
    <w:rsid w:val="76646B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uiPriority="99" w:semiHidden="0" w:name="heading 1"/>
    <w:lsdException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2">
    <w:name w:val="heading 1"/>
    <w:unhideWhenUsed/>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3">
    <w:name w:val="heading 2"/>
    <w:unhideWhenUsed/>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character" w:default="1" w:styleId="5">
    <w:name w:val="Default Paragraph Font"/>
    <w:unhideWhenUsed/>
    <w:uiPriority w:val="99"/>
    <w:rPr>
      <w:rFonts w:hint="default"/>
      <w:sz w:val="24"/>
      <w:szCs w:val="24"/>
    </w:rPr>
  </w:style>
  <w:style w:type="table" w:default="1" w:styleId="4">
    <w:name w:val="Normal Table"/>
    <w:qFormat/>
    <w:uiPriority w:val="99"/>
    <w:tblPr>
      <w:tblCellMar>
        <w:top w:w="0" w:type="dxa"/>
        <w:left w:w="108" w:type="dxa"/>
        <w:bottom w:w="0" w:type="dxa"/>
        <w:right w:w="108" w:type="dxa"/>
      </w:tblCellMar>
    </w:tblPr>
  </w:style>
  <w:style w:type="character" w:customStyle="1" w:styleId="6">
    <w:name w:val="font51"/>
    <w:basedOn w:val="5"/>
    <w:unhideWhenUsed/>
    <w:uiPriority w:val="0"/>
    <w:rPr>
      <w:rFonts w:hint="eastAsia" w:ascii="微软雅黑" w:hAnsi="微软雅黑" w:eastAsia="微软雅黑" w:cs="微软雅黑"/>
      <w:color w:val="000000"/>
      <w:sz w:val="16"/>
      <w:szCs w:val="16"/>
    </w:rPr>
  </w:style>
  <w:style w:type="character" w:customStyle="1" w:styleId="7">
    <w:name w:val="font71"/>
    <w:basedOn w:val="5"/>
    <w:unhideWhenUsed/>
    <w:uiPriority w:val="0"/>
    <w:rPr>
      <w:rFonts w:hint="eastAsia" w:ascii="微软雅黑" w:hAnsi="微软雅黑" w:eastAsia="微软雅黑" w:cs="微软雅黑"/>
      <w:color w:val="000000"/>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2023-10-08T02:59:00Z</dcterms:created>
  <dc:creator>李林骏</dc:creator>
  <cp:lastModifiedBy>HigherGang的cuz！</cp:lastModifiedBy>
  <dcterms:modified xsi:type="dcterms:W3CDTF">2023-11-27T01:59:47Z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F68B1E8012E844D38E6B2B231AACCE54_13</vt:lpwstr>
  </property>
</Properties>
</file>