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通江县水上应急救援中心</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en-US" w:eastAsia="zh-CN"/>
        </w:rPr>
        <w:t>单位</w:t>
      </w:r>
      <w:r>
        <w:rPr>
          <w:rFonts w:hint="eastAsia" w:ascii="方正小标宋简体" w:hAnsi="方正小标宋简体" w:eastAsia="方正小标宋简体"/>
          <w:kern w:val="2"/>
          <w:sz w:val="72"/>
          <w:szCs w:val="24"/>
          <w:lang w:val="zh-CN"/>
        </w:rPr>
        <w:t>决算</w:t>
      </w:r>
    </w:p>
    <w:p>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tabs>
          <w:tab w:val="right" w:leader="dot" w:pos="8296"/>
        </w:tabs>
        <w:spacing w:before="93" w:beforeLines="0" w:afterLines="0"/>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8</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30</w:t>
      </w:r>
      <w:r>
        <w:rPr>
          <w:rFonts w:hint="eastAsia" w:ascii="仿宋" w:hAnsi="仿宋" w:eastAsia="仿宋"/>
          <w:color w:val="auto"/>
          <w:kern w:val="2"/>
          <w:sz w:val="28"/>
          <w:szCs w:val="24"/>
          <w:lang w:val="zh-CN"/>
        </w:rPr>
        <w:t>日</w:t>
      </w:r>
    </w:p>
    <w:p>
      <w:pPr>
        <w:spacing w:beforeLines="0" w:afterLines="0"/>
        <w:jc w:val="both"/>
        <w:rPr>
          <w:rFonts w:hint="eastAsia" w:ascii="Times New Roman" w:hAnsi="Times New Roman" w:eastAsia="Times New Roman"/>
          <w:color w:val="auto"/>
          <w:kern w:val="2"/>
          <w:sz w:val="21"/>
          <w:szCs w:val="24"/>
          <w:lang w:val="zh-CN"/>
        </w:rPr>
      </w:pP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textAlignment w:val="auto"/>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t>第一部分 单位概况</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宋体" w:hAnsi="宋体" w:eastAsia="宋体" w:cs="宋体"/>
          <w:color w:val="auto"/>
          <w:kern w:val="2"/>
          <w:sz w:val="24"/>
          <w:szCs w:val="24"/>
          <w:lang w:val="en-US" w:eastAsia="zh-CN"/>
        </w:rPr>
      </w:pPr>
      <w:r>
        <w:rPr>
          <w:rFonts w:hint="eastAsia" w:ascii="宋体" w:hAnsi="宋体" w:eastAsia="宋体"/>
          <w:color w:val="auto"/>
          <w:kern w:val="2"/>
          <w:sz w:val="24"/>
          <w:szCs w:val="24"/>
          <w:lang w:val="zh-CN"/>
        </w:rPr>
        <w:t>一、部门职责</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4</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宋体" w:hAnsi="宋体" w:eastAsia="宋体" w:cs="宋体"/>
          <w:color w:val="auto"/>
          <w:kern w:val="2"/>
          <w:sz w:val="24"/>
          <w:szCs w:val="24"/>
          <w:lang w:val="en-US" w:eastAsia="zh-CN"/>
        </w:rPr>
      </w:pPr>
      <w:r>
        <w:rPr>
          <w:rFonts w:hint="eastAsia" w:ascii="宋体" w:hAnsi="宋体" w:eastAsia="宋体"/>
          <w:color w:val="auto"/>
          <w:kern w:val="2"/>
          <w:sz w:val="24"/>
          <w:szCs w:val="24"/>
          <w:lang w:val="zh-CN"/>
        </w:rPr>
        <w:t>二、机构设置</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5</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textAlignment w:val="auto"/>
        <w:rPr>
          <w:rFonts w:hint="eastAsia" w:ascii="仿宋" w:hAnsi="仿宋" w:eastAsia="仿宋"/>
          <w:color w:val="auto"/>
          <w:kern w:val="2"/>
          <w:sz w:val="24"/>
          <w:szCs w:val="24"/>
          <w:lang w:val="en-US" w:eastAsia="zh-CN"/>
        </w:rPr>
      </w:pPr>
      <w:r>
        <w:rPr>
          <w:rFonts w:hint="eastAsia" w:ascii="仿宋" w:hAnsi="仿宋" w:eastAsia="仿宋"/>
          <w:color w:val="auto"/>
          <w:kern w:val="2"/>
          <w:sz w:val="24"/>
          <w:szCs w:val="24"/>
          <w:lang w:val="zh-CN"/>
        </w:rPr>
        <w:t xml:space="preserve">第二部分 </w:t>
      </w:r>
      <w:r>
        <w:rPr>
          <w:rFonts w:hint="eastAsia" w:ascii="仿宋" w:hAnsi="仿宋" w:eastAsia="仿宋"/>
          <w:color w:val="auto"/>
          <w:w w:val="101"/>
          <w:kern w:val="2"/>
          <w:sz w:val="24"/>
          <w:szCs w:val="24"/>
          <w:lang w:val="zh-CN"/>
        </w:rPr>
        <w:t>2022年度单位决算情况说明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5</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仿宋" w:hAnsi="仿宋" w:eastAsia="宋体"/>
          <w:color w:val="auto"/>
          <w:kern w:val="2"/>
          <w:sz w:val="24"/>
          <w:szCs w:val="24"/>
          <w:lang w:val="en-US" w:eastAsia="zh-CN"/>
        </w:rPr>
      </w:pPr>
      <w:r>
        <w:rPr>
          <w:rFonts w:hint="eastAsia" w:ascii="宋体" w:hAnsi="宋体" w:eastAsia="宋体"/>
          <w:color w:val="auto"/>
          <w:kern w:val="2"/>
          <w:sz w:val="24"/>
          <w:szCs w:val="24"/>
          <w:lang w:val="zh-CN"/>
        </w:rPr>
        <w:t>一、收入支出决算总体情况说明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5</w:t>
      </w:r>
      <w:r>
        <w:rPr>
          <w:rFonts w:hint="eastAsia" w:ascii="宋体" w:hAnsi="宋体" w:eastAsia="宋体"/>
          <w:color w:val="auto"/>
          <w:kern w:val="2"/>
          <w:sz w:val="24"/>
          <w:szCs w:val="24"/>
          <w:lang w:val="zh-CN"/>
        </w:rPr>
        <w:t>二、收入决算情况说明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6</w:t>
      </w:r>
      <w:r>
        <w:rPr>
          <w:rFonts w:hint="eastAsia" w:ascii="宋体" w:hAnsi="宋体" w:eastAsia="宋体"/>
          <w:color w:val="auto"/>
          <w:kern w:val="2"/>
          <w:sz w:val="24"/>
          <w:szCs w:val="24"/>
          <w:lang w:val="zh-CN"/>
        </w:rPr>
        <w:t>三、支出决算情况说明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6</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四、财政拨款收入支出决算总体情况说明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7</w:t>
      </w:r>
      <w:r>
        <w:rPr>
          <w:rFonts w:hint="eastAsia" w:ascii="宋体" w:hAnsi="宋体" w:eastAsia="宋体"/>
          <w:color w:val="auto"/>
          <w:kern w:val="2"/>
          <w:sz w:val="24"/>
          <w:szCs w:val="24"/>
          <w:lang w:val="zh-CN"/>
        </w:rPr>
        <w:t>五、一般公共预算财政拨款支出决算情况说明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8</w:t>
      </w:r>
      <w:r>
        <w:rPr>
          <w:rFonts w:hint="eastAsia" w:ascii="宋体" w:hAnsi="宋体" w:eastAsia="宋体"/>
          <w:color w:val="auto"/>
          <w:kern w:val="2"/>
          <w:sz w:val="24"/>
          <w:szCs w:val="24"/>
          <w:lang w:val="zh-CN"/>
        </w:rPr>
        <w:t>六、一般公共预算财政拨款基本支出决算情况说明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10</w:t>
      </w:r>
      <w:r>
        <w:rPr>
          <w:rFonts w:hint="eastAsia" w:ascii="宋体" w:hAnsi="宋体" w:eastAsia="宋体"/>
          <w:color w:val="auto"/>
          <w:kern w:val="2"/>
          <w:sz w:val="24"/>
          <w:szCs w:val="24"/>
          <w:lang w:val="zh-CN"/>
        </w:rPr>
        <w:t>七、财政拨款“三公”经费支出决算情况说明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u w:val="none" w:color="FFFFFF"/>
          <w:shd w:val="clear" w:fill="FFFFFF"/>
          <w:lang w:val="en-US" w:eastAsia="zh-CN"/>
        </w:rPr>
        <w:t>1</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八、政府性基金预算支出决算情况说明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12</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九、国有资本经营预算支出决算情况说明</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12</w:t>
      </w:r>
    </w:p>
    <w:p>
      <w:pPr>
        <w:keepNext/>
        <w:keepLines/>
        <w:pageBreakBefore w:val="0"/>
        <w:widowControl w:val="0"/>
        <w:kinsoku/>
        <w:wordWrap/>
        <w:overflowPunct/>
        <w:topLinePunct w:val="0"/>
        <w:autoSpaceDE w:val="0"/>
        <w:autoSpaceDN w:val="0"/>
        <w:bidi w:val="0"/>
        <w:adjustRightInd w:val="0"/>
        <w:snapToGrid/>
        <w:spacing w:beforeLines="0" w:afterLines="0" w:line="360" w:lineRule="exact"/>
        <w:ind w:firstLine="420"/>
        <w:textAlignment w:val="auto"/>
        <w:rPr>
          <w:rFonts w:hint="eastAsia" w:ascii="宋体" w:hAnsi="宋体" w:eastAsia="宋体"/>
          <w:color w:val="auto"/>
          <w:kern w:val="2"/>
          <w:sz w:val="24"/>
          <w:szCs w:val="24"/>
          <w:lang w:val="en-US"/>
        </w:rPr>
      </w:pPr>
      <w:r>
        <w:rPr>
          <w:rFonts w:hint="eastAsia" w:ascii="宋体" w:hAnsi="宋体" w:eastAsia="宋体"/>
          <w:color w:val="auto"/>
          <w:kern w:val="2"/>
          <w:sz w:val="24"/>
          <w:szCs w:val="24"/>
          <w:lang w:val="zh-CN"/>
        </w:rPr>
        <w:t>十、其他重要事项的情况说明</w:t>
      </w:r>
      <w:r>
        <w:rPr>
          <w:rFonts w:hint="eastAsia" w:ascii="宋体" w:hAnsi="宋体" w:eastAsia="宋体"/>
          <w:color w:val="auto"/>
          <w:kern w:val="2"/>
          <w:sz w:val="24"/>
          <w:szCs w:val="24"/>
          <w:lang w:val="zh-CN"/>
        </w:rPr>
        <w:tab/>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12</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240" w:hanging="240" w:hangingChars="100"/>
        <w:textAlignment w:val="auto"/>
        <w:rPr>
          <w:rFonts w:hint="eastAsia" w:ascii="宋体" w:hAnsi="宋体" w:eastAsia="宋体" w:cs="宋体"/>
          <w:color w:val="auto"/>
          <w:kern w:val="2"/>
          <w:sz w:val="24"/>
          <w:szCs w:val="24"/>
          <w:lang w:val="en-US" w:eastAsia="zh-CN"/>
        </w:rPr>
      </w:pPr>
      <w:r>
        <w:rPr>
          <w:rFonts w:hint="eastAsia" w:ascii="仿宋" w:hAnsi="仿宋" w:eastAsia="仿宋"/>
          <w:color w:val="auto"/>
          <w:kern w:val="2"/>
          <w:sz w:val="24"/>
          <w:szCs w:val="24"/>
          <w:lang w:val="zh-CN"/>
        </w:rPr>
        <w:t>第三部分</w:t>
      </w:r>
      <w:r>
        <w:rPr>
          <w:rFonts w:hint="eastAsia" w:ascii="仿宋" w:hAnsi="仿宋" w:eastAsia="仿宋"/>
          <w:color w:val="auto"/>
          <w:kern w:val="2"/>
          <w:sz w:val="24"/>
          <w:szCs w:val="24"/>
          <w:lang w:val="en-US" w:eastAsia="zh-CN"/>
        </w:rPr>
        <w:t xml:space="preserve"> </w:t>
      </w:r>
      <w:r>
        <w:rPr>
          <w:rFonts w:hint="eastAsia" w:ascii="仿宋" w:hAnsi="仿宋" w:eastAsia="仿宋"/>
          <w:color w:val="auto"/>
          <w:kern w:val="2"/>
          <w:sz w:val="24"/>
          <w:szCs w:val="24"/>
          <w:lang w:val="zh-CN"/>
        </w:rPr>
        <w:t xml:space="preserve"> 名词解释</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13</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240" w:hanging="240" w:hangingChars="100"/>
        <w:textAlignment w:val="auto"/>
        <w:rPr>
          <w:rFonts w:hint="eastAsia" w:ascii="宋体" w:hAnsi="宋体" w:eastAsia="宋体" w:cs="宋体"/>
          <w:color w:val="auto"/>
          <w:kern w:val="2"/>
          <w:sz w:val="24"/>
          <w:szCs w:val="24"/>
          <w:lang w:val="en-US" w:eastAsia="zh-CN"/>
        </w:rPr>
      </w:pPr>
      <w:r>
        <w:rPr>
          <w:rFonts w:hint="eastAsia" w:ascii="仿宋" w:hAnsi="仿宋" w:eastAsia="仿宋"/>
          <w:color w:val="auto"/>
          <w:kern w:val="2"/>
          <w:sz w:val="24"/>
          <w:szCs w:val="24"/>
          <w:lang w:val="zh-CN"/>
        </w:rPr>
        <w:t>第四部分</w:t>
      </w:r>
      <w:r>
        <w:rPr>
          <w:rFonts w:hint="eastAsia" w:ascii="仿宋" w:hAnsi="仿宋" w:eastAsia="仿宋"/>
          <w:color w:val="auto"/>
          <w:kern w:val="2"/>
          <w:sz w:val="24"/>
          <w:szCs w:val="24"/>
          <w:lang w:val="en-US" w:eastAsia="zh-CN"/>
        </w:rPr>
        <w:t xml:space="preserve"> </w:t>
      </w:r>
      <w:r>
        <w:rPr>
          <w:rFonts w:hint="eastAsia" w:ascii="仿宋" w:hAnsi="仿宋" w:eastAsia="仿宋"/>
          <w:color w:val="auto"/>
          <w:kern w:val="2"/>
          <w:sz w:val="24"/>
          <w:szCs w:val="24"/>
          <w:lang w:val="zh-CN"/>
        </w:rPr>
        <w:t xml:space="preserve"> 附件</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16</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240" w:hanging="240" w:hangingChars="100"/>
        <w:textAlignment w:val="auto"/>
        <w:rPr>
          <w:rFonts w:hint="eastAsia" w:ascii="仿宋" w:hAnsi="仿宋" w:eastAsia="仿宋"/>
          <w:color w:val="auto"/>
          <w:kern w:val="2"/>
          <w:sz w:val="24"/>
          <w:szCs w:val="24"/>
          <w:lang w:val="en-US"/>
        </w:rPr>
      </w:pPr>
      <w:r>
        <w:rPr>
          <w:rFonts w:hint="eastAsia" w:ascii="仿宋" w:hAnsi="仿宋" w:eastAsia="仿宋"/>
          <w:color w:val="auto"/>
          <w:kern w:val="2"/>
          <w:sz w:val="24"/>
          <w:szCs w:val="24"/>
          <w:lang w:val="zh-CN"/>
        </w:rPr>
        <w:t>第五部分</w:t>
      </w:r>
      <w:r>
        <w:rPr>
          <w:rFonts w:hint="eastAsia" w:ascii="仿宋" w:hAnsi="仿宋" w:eastAsia="仿宋"/>
          <w:color w:val="auto"/>
          <w:kern w:val="2"/>
          <w:sz w:val="24"/>
          <w:szCs w:val="24"/>
          <w:lang w:val="en-US" w:eastAsia="zh-CN"/>
        </w:rPr>
        <w:t xml:space="preserve"> </w:t>
      </w:r>
      <w:r>
        <w:rPr>
          <w:rFonts w:hint="eastAsia" w:ascii="仿宋" w:hAnsi="仿宋" w:eastAsia="仿宋"/>
          <w:color w:val="auto"/>
          <w:kern w:val="2"/>
          <w:sz w:val="24"/>
          <w:szCs w:val="24"/>
          <w:lang w:val="zh-CN"/>
        </w:rPr>
        <w:t xml:space="preserve"> 附表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宋体" w:hAnsi="宋体" w:eastAsia="宋体"/>
          <w:color w:val="auto"/>
          <w:kern w:val="2"/>
          <w:sz w:val="24"/>
          <w:szCs w:val="24"/>
          <w:lang w:val="en-US"/>
        </w:rPr>
      </w:pPr>
      <w:r>
        <w:rPr>
          <w:rFonts w:hint="eastAsia" w:ascii="宋体" w:hAnsi="宋体" w:eastAsia="宋体"/>
          <w:color w:val="auto"/>
          <w:kern w:val="2"/>
          <w:sz w:val="24"/>
          <w:szCs w:val="24"/>
          <w:lang w:val="zh-CN"/>
        </w:rPr>
        <w:t>一、收入支出决算总表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二、收入决算表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宋体" w:hAnsi="宋体" w:eastAsia="宋体"/>
          <w:color w:val="auto"/>
          <w:kern w:val="2"/>
          <w:sz w:val="24"/>
          <w:szCs w:val="24"/>
          <w:lang w:val="en-US"/>
        </w:rPr>
      </w:pPr>
      <w:r>
        <w:rPr>
          <w:rFonts w:hint="eastAsia" w:ascii="宋体" w:hAnsi="宋体" w:eastAsia="宋体"/>
          <w:color w:val="auto"/>
          <w:kern w:val="2"/>
          <w:sz w:val="24"/>
          <w:szCs w:val="24"/>
          <w:u w:val="none" w:color="FFFFFF"/>
          <w:shd w:val="clear" w:fill="FFFFFF"/>
          <w:lang w:val="zh-CN"/>
        </w:rPr>
        <w:t>三、</w:t>
      </w:r>
      <w:r>
        <w:rPr>
          <w:rFonts w:hint="eastAsia" w:ascii="宋体" w:hAnsi="宋体" w:eastAsia="宋体"/>
          <w:color w:val="auto"/>
          <w:kern w:val="2"/>
          <w:sz w:val="24"/>
          <w:szCs w:val="24"/>
          <w:lang w:val="zh-CN"/>
        </w:rPr>
        <w:t>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四、财政拨款收入支出决算总表</w:t>
      </w:r>
      <w:r>
        <w:rPr>
          <w:rFonts w:hint="eastAsia" w:ascii="宋体" w:hAnsi="宋体" w:eastAsia="宋体"/>
          <w:color w:val="auto"/>
          <w:kern w:val="2"/>
          <w:sz w:val="24"/>
          <w:szCs w:val="24"/>
          <w:lang w:val="zh-CN"/>
        </w:rPr>
        <w:tab/>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p>
    <w:p>
      <w:pPr>
        <w:pageBreakBefore w:val="0"/>
        <w:widowControl w:val="0"/>
        <w:tabs>
          <w:tab w:val="right" w:leader="dot" w:pos="8296"/>
        </w:tabs>
        <w:kinsoku/>
        <w:wordWrap/>
        <w:overflowPunct/>
        <w:topLinePunct w:val="0"/>
        <w:autoSpaceDE w:val="0"/>
        <w:autoSpaceDN w:val="0"/>
        <w:bidi w:val="0"/>
        <w:adjustRightInd w:val="0"/>
        <w:snapToGrid/>
        <w:spacing w:beforeLines="0" w:afterLines="0" w:line="360" w:lineRule="exact"/>
        <w:ind w:left="420"/>
        <w:textAlignment w:val="auto"/>
        <w:rPr>
          <w:rFonts w:hint="eastAsia" w:ascii="黑体" w:hAnsi="黑体" w:eastAsia="黑体"/>
          <w:color w:val="auto"/>
          <w:kern w:val="44"/>
          <w:sz w:val="44"/>
          <w:szCs w:val="24"/>
          <w:lang w:val="en-US"/>
        </w:rPr>
      </w:pPr>
      <w:r>
        <w:rPr>
          <w:rFonts w:hint="eastAsia" w:ascii="宋体" w:hAnsi="宋体" w:eastAsia="宋体"/>
          <w:color w:val="auto"/>
          <w:kern w:val="2"/>
          <w:sz w:val="24"/>
          <w:szCs w:val="24"/>
          <w:lang w:val="zh-CN"/>
        </w:rPr>
        <w:t>五、财政拨款支出决算明细表</w:t>
      </w:r>
      <w:r>
        <w:rPr>
          <w:rFonts w:hint="eastAsia" w:ascii="宋体" w:hAnsi="宋体" w:eastAsia="宋体"/>
          <w:color w:val="auto"/>
          <w:kern w:val="2"/>
          <w:sz w:val="24"/>
          <w:szCs w:val="24"/>
          <w:lang w:val="zh-CN"/>
        </w:rPr>
        <w:tab/>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六、一般公共预算财政拨款支出决算表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七、一般公共预算财政拨款支出决算明细表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八、一般公共预算财政拨款基本支出决算明细表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九、一般公共预算财政拨款项目支出决算表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十、政府性基金预算财政拨款收入支出决算表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十一、国有资本经营预算财政拨款收入支出决算表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十二、国有资本经营预算财政拨款支出决算表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r>
        <w:rPr>
          <w:rFonts w:hint="eastAsia" w:ascii="宋体" w:hAnsi="宋体" w:eastAsia="宋体"/>
          <w:color w:val="auto"/>
          <w:kern w:val="2"/>
          <w:sz w:val="24"/>
          <w:szCs w:val="24"/>
          <w:lang w:val="zh-CN"/>
        </w:rPr>
        <w:t>十三、财政拨款“三公”经费支出决算表</w:t>
      </w:r>
      <w:r>
        <w:rPr>
          <w:rFonts w:hint="eastAsia" w:ascii="宋体" w:hAnsi="宋体" w:eastAsia="宋体" w:cs="宋体"/>
          <w:color w:val="auto"/>
          <w:kern w:val="2"/>
          <w:sz w:val="24"/>
          <w:szCs w:val="24"/>
          <w:lang w:val="zh-CN"/>
        </w:rPr>
        <w:t>………………………………………</w:t>
      </w:r>
      <w:r>
        <w:rPr>
          <w:rFonts w:hint="eastAsia" w:ascii="宋体" w:hAnsi="宋体" w:eastAsia="宋体" w:cs="宋体"/>
          <w:color w:val="auto"/>
          <w:kern w:val="2"/>
          <w:sz w:val="24"/>
          <w:szCs w:val="24"/>
          <w:lang w:val="en-US" w:eastAsia="zh-CN"/>
        </w:rPr>
        <w:t>21</w:t>
      </w:r>
    </w:p>
    <w:p>
      <w:pPr>
        <w:spacing w:beforeLines="0" w:afterLines="0" w:line="440" w:lineRule="exact"/>
        <w:rPr>
          <w:rFonts w:hint="eastAsia" w:ascii="仿宋" w:hAnsi="仿宋" w:eastAsia="仿宋"/>
          <w:color w:val="auto"/>
          <w:kern w:val="44"/>
          <w:sz w:val="24"/>
          <w:szCs w:val="24"/>
          <w:lang w:val="zh-CN"/>
        </w:rPr>
      </w:pPr>
    </w:p>
    <w:p>
      <w:pPr>
        <w:pStyle w:val="2"/>
        <w:keepNext/>
        <w:keepLines/>
        <w:spacing w:beforeLines="0" w:afterLines="0" w:line="520" w:lineRule="exact"/>
        <w:jc w:val="center"/>
        <w:rPr>
          <w:rFonts w:hint="eastAsia" w:ascii="黑体" w:hAnsi="黑体" w:eastAsia="黑体"/>
          <w:b/>
          <w:color w:val="auto"/>
          <w:kern w:val="44"/>
          <w:sz w:val="44"/>
          <w:szCs w:val="24"/>
          <w:lang w:val="zh-CN"/>
        </w:rPr>
      </w:pPr>
      <w:r>
        <w:rPr>
          <w:rFonts w:hint="eastAsia" w:ascii="黑体" w:hAnsi="黑体" w:eastAsia="黑体"/>
          <w:color w:val="auto"/>
          <w:kern w:val="44"/>
          <w:sz w:val="44"/>
          <w:szCs w:val="24"/>
          <w:lang w:val="zh-CN"/>
        </w:rPr>
        <w:t>第一部分 单位概况</w:t>
      </w:r>
    </w:p>
    <w:p>
      <w:pPr>
        <w:pStyle w:val="3"/>
        <w:keepNext/>
        <w:keepLines/>
        <w:spacing w:beforeLines="0" w:afterLines="0" w:line="520"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1.负责我县境内水域内禁航区、</w:t>
      </w:r>
      <w:r>
        <w:rPr>
          <w:rFonts w:hint="eastAsia" w:ascii="仿宋_GB2312" w:hAnsi="微软雅黑" w:eastAsia="仿宋_GB2312" w:cs="仿宋_GB2312"/>
          <w:sz w:val="32"/>
          <w:szCs w:val="32"/>
          <w:u w:val="none" w:color="FFFFFF"/>
          <w:shd w:val="clear" w:fill="FFFFFF"/>
        </w:rPr>
        <w:t>航道</w:t>
      </w:r>
      <w:r>
        <w:rPr>
          <w:rFonts w:hint="eastAsia" w:ascii="仿宋_GB2312" w:hAnsi="微软雅黑" w:eastAsia="仿宋_GB2312" w:cs="仿宋_GB2312"/>
          <w:sz w:val="32"/>
          <w:szCs w:val="32"/>
        </w:rPr>
        <w:t>、交通管制区、安全作业区、施工作业区等区域的现场安全监督和秩序管理。监督辖区内引航工作。</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2.检查辖区内码头、泊位安全状况，监督</w:t>
      </w:r>
      <w:r>
        <w:rPr>
          <w:rFonts w:hint="eastAsia" w:ascii="仿宋_GB2312" w:hAnsi="微软雅黑" w:eastAsia="仿宋_GB2312" w:cs="仿宋_GB2312"/>
          <w:sz w:val="32"/>
          <w:szCs w:val="32"/>
          <w:u w:val="none" w:color="FFFFFF"/>
          <w:shd w:val="clear" w:fill="FFFFFF"/>
          <w:lang w:eastAsia="zh-CN"/>
        </w:rPr>
        <w:t>辖区内</w:t>
      </w:r>
      <w:r>
        <w:rPr>
          <w:rFonts w:hint="eastAsia" w:ascii="仿宋_GB2312" w:hAnsi="微软雅黑" w:eastAsia="仿宋_GB2312" w:cs="仿宋_GB2312"/>
          <w:sz w:val="32"/>
          <w:szCs w:val="32"/>
        </w:rPr>
        <w:t>锚地、航道、调头区、泊位</w:t>
      </w:r>
      <w:r>
        <w:rPr>
          <w:rFonts w:hint="eastAsia" w:ascii="仿宋_GB2312" w:hAnsi="微软雅黑" w:eastAsia="仿宋_GB2312" w:cs="仿宋_GB2312"/>
          <w:sz w:val="32"/>
          <w:szCs w:val="32"/>
          <w:u w:val="none" w:color="FFFFFF"/>
          <w:shd w:val="clear" w:fill="FFFFFF"/>
          <w:lang w:eastAsia="zh-CN"/>
        </w:rPr>
        <w:t>水深等</w:t>
      </w:r>
      <w:r>
        <w:rPr>
          <w:rFonts w:hint="eastAsia" w:ascii="仿宋_GB2312" w:hAnsi="微软雅黑" w:eastAsia="仿宋_GB2312" w:cs="仿宋_GB2312"/>
          <w:sz w:val="32"/>
          <w:szCs w:val="32"/>
        </w:rPr>
        <w:t>情况。应急处理辖区水域内有碍通航秩序、影响通航环境的异常情况。</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3.现场监督检查辖区内船舶的船员配备、持证、适任、值班等情况；</w:t>
      </w:r>
      <w:r>
        <w:rPr>
          <w:rFonts w:hint="eastAsia" w:ascii="仿宋_GB2312" w:hAnsi="微软雅黑" w:eastAsia="仿宋_GB2312" w:cs="仿宋_GB2312"/>
          <w:sz w:val="32"/>
          <w:szCs w:val="32"/>
          <w:u w:val="none" w:color="FFFFFF"/>
          <w:shd w:val="clear" w:fill="FFFFFF"/>
        </w:rPr>
        <w:t>负责权限范围内内河船员五等适任证书的考试、发证工作。</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4.现场监督检查辖区内船舶、设施的航行、停泊和作业情况，处理辖区内船舶、设施的违法行为。</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5.对辖区内船舶拆修、主机、锚机、舵机、电台；船舶试航、试车；船舶放艇（筏）进行救生演习；船舶烧焊或者明火作业等港内安全作业实施报备制管理，并进行现场监督。</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6.调查处理辖区内非</w:t>
      </w:r>
      <w:r>
        <w:rPr>
          <w:rFonts w:hint="eastAsia" w:ascii="仿宋_GB2312" w:hAnsi="微软雅黑" w:eastAsia="仿宋_GB2312" w:cs="仿宋_GB2312"/>
          <w:sz w:val="32"/>
          <w:szCs w:val="32"/>
          <w:u w:val="none" w:color="FFFFFF"/>
          <w:shd w:val="clear" w:fill="FFFFFF"/>
        </w:rPr>
        <w:t>涉外</w:t>
      </w:r>
      <w:r>
        <w:rPr>
          <w:rFonts w:hint="eastAsia" w:ascii="仿宋_GB2312" w:hAnsi="微软雅黑" w:eastAsia="仿宋_GB2312" w:cs="仿宋_GB2312"/>
          <w:sz w:val="32"/>
          <w:szCs w:val="32"/>
        </w:rPr>
        <w:t>、一次死亡3人以下</w:t>
      </w:r>
      <w:r>
        <w:rPr>
          <w:rFonts w:hint="eastAsia" w:ascii="仿宋_GB2312" w:hAnsi="微软雅黑" w:eastAsia="仿宋_GB2312" w:cs="仿宋_GB2312"/>
          <w:sz w:val="32"/>
          <w:szCs w:val="32"/>
          <w:u w:val="none" w:color="FFFFFF"/>
          <w:shd w:val="clear" w:fill="FFFFFF"/>
          <w:lang w:eastAsia="zh-CN"/>
        </w:rPr>
        <w:t>（</w:t>
      </w:r>
      <w:r>
        <w:rPr>
          <w:rFonts w:hint="eastAsia" w:ascii="仿宋_GB2312" w:hAnsi="微软雅黑" w:eastAsia="仿宋_GB2312" w:cs="仿宋_GB2312"/>
          <w:sz w:val="32"/>
          <w:szCs w:val="32"/>
        </w:rPr>
        <w:t>不含3人</w:t>
      </w:r>
      <w:r>
        <w:rPr>
          <w:rFonts w:hint="eastAsia" w:ascii="仿宋_GB2312" w:hAnsi="微软雅黑" w:eastAsia="仿宋_GB2312" w:cs="仿宋_GB2312"/>
          <w:sz w:val="32"/>
          <w:szCs w:val="32"/>
          <w:u w:val="none" w:color="FFFFFF"/>
          <w:shd w:val="clear" w:fill="FFFFFF"/>
          <w:lang w:eastAsia="zh-CN"/>
        </w:rPr>
        <w:t>）</w:t>
      </w:r>
      <w:r>
        <w:rPr>
          <w:rFonts w:hint="eastAsia" w:ascii="仿宋_GB2312" w:hAnsi="微软雅黑" w:eastAsia="仿宋_GB2312" w:cs="仿宋_GB2312"/>
          <w:sz w:val="32"/>
          <w:szCs w:val="32"/>
        </w:rPr>
        <w:t>水上交通事故；配合辖区内所有水上交通事故的现场初步调查和取证工作。</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rPr>
        <w:t>7.负责辖区内港区、码头和船舶溢油应急计划的监督实施及港区水域</w:t>
      </w:r>
      <w:r>
        <w:rPr>
          <w:rFonts w:hint="eastAsia" w:ascii="仿宋_GB2312" w:hAnsi="微软雅黑" w:eastAsia="仿宋_GB2312" w:cs="仿宋_GB2312"/>
          <w:sz w:val="32"/>
          <w:szCs w:val="32"/>
          <w:u w:val="none" w:color="FFFFFF"/>
          <w:shd w:val="clear" w:fill="FFFFFF"/>
        </w:rPr>
        <w:t>污染</w:t>
      </w:r>
      <w:r>
        <w:rPr>
          <w:rFonts w:hint="eastAsia" w:ascii="仿宋_GB2312" w:hAnsi="微软雅黑" w:eastAsia="仿宋_GB2312" w:cs="仿宋_GB2312"/>
          <w:sz w:val="32"/>
          <w:szCs w:val="32"/>
          <w:u w:val="none" w:color="FFFFFF"/>
          <w:shd w:val="clear" w:fill="FFFFFF"/>
          <w:lang w:eastAsia="zh-CN"/>
        </w:rPr>
        <w:t>监测</w:t>
      </w:r>
      <w:r>
        <w:rPr>
          <w:rFonts w:hint="eastAsia" w:ascii="仿宋_GB2312" w:hAnsi="微软雅黑" w:eastAsia="仿宋_GB2312" w:cs="仿宋_GB2312"/>
          <w:sz w:val="32"/>
          <w:szCs w:val="32"/>
        </w:rPr>
        <w:t>，应急处理船舶污染事故；调查处理溢油（污染危害性物质）低于1吨的小规模船舶污染事故。</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u w:val="thick" w:color="98967F"/>
          <w:shd w:val="clear" w:fill="98967F"/>
        </w:rPr>
        <w:t>8.负责我县渡改桥、漫水桥、人行桥、</w:t>
      </w:r>
      <w:r>
        <w:rPr>
          <w:rFonts w:hint="eastAsia" w:ascii="仿宋_GB2312" w:hAnsi="微软雅黑" w:eastAsia="仿宋_GB2312" w:cs="仿宋_GB2312"/>
          <w:sz w:val="32"/>
          <w:szCs w:val="32"/>
          <w:u w:val="thick" w:color="98967F"/>
          <w:shd w:val="clear" w:fill="98967F"/>
        </w:rPr>
        <w:t>码头</w:t>
      </w:r>
      <w:r>
        <w:rPr>
          <w:rFonts w:hint="eastAsia" w:ascii="仿宋_GB2312" w:hAnsi="微软雅黑" w:eastAsia="仿宋_GB2312" w:cs="仿宋_GB2312"/>
          <w:sz w:val="32"/>
          <w:szCs w:val="32"/>
          <w:u w:val="thick" w:color="98967F"/>
          <w:shd w:val="clear" w:fill="98967F"/>
        </w:rPr>
        <w:t>等的建设。</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lang w:val="en-US" w:eastAsia="zh-CN"/>
        </w:rPr>
      </w:pPr>
      <w:r>
        <w:rPr>
          <w:rFonts w:hint="eastAsia" w:ascii="仿宋_GB2312" w:hAnsi="微软雅黑" w:eastAsia="仿宋_GB2312" w:cs="仿宋_GB2312"/>
          <w:sz w:val="32"/>
          <w:szCs w:val="32"/>
          <w:lang w:val="en-US" w:eastAsia="zh-CN"/>
        </w:rPr>
        <w:t>9.</w:t>
      </w:r>
      <w:r>
        <w:rPr>
          <w:rFonts w:hint="eastAsia" w:ascii="仿宋_GB2312" w:hAnsi="微软雅黑" w:eastAsia="仿宋_GB2312" w:cs="仿宋_GB2312"/>
          <w:sz w:val="32"/>
          <w:szCs w:val="32"/>
        </w:rPr>
        <w:t>负责拟定水上交通安全事故应急预案</w:t>
      </w:r>
      <w:r>
        <w:rPr>
          <w:rFonts w:hint="eastAsia" w:ascii="仿宋_GB2312" w:hAnsi="微软雅黑" w:eastAsia="仿宋_GB2312" w:cs="仿宋_GB2312"/>
          <w:sz w:val="32"/>
          <w:szCs w:val="32"/>
          <w:u w:val="none" w:color="FFFFFF"/>
          <w:shd w:val="clear" w:fill="FFFFFF"/>
          <w:lang w:val="en-US" w:eastAsia="zh-CN"/>
        </w:rPr>
        <w:t>；</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rPr>
      </w:pPr>
      <w:r>
        <w:rPr>
          <w:rFonts w:hint="eastAsia" w:ascii="仿宋_GB2312" w:hAnsi="微软雅黑" w:eastAsia="仿宋_GB2312" w:cs="仿宋_GB2312"/>
          <w:sz w:val="32"/>
          <w:szCs w:val="32"/>
          <w:lang w:val="en-US" w:eastAsia="zh-CN"/>
        </w:rPr>
        <w:t>10.</w:t>
      </w:r>
      <w:r>
        <w:rPr>
          <w:rFonts w:hint="eastAsia" w:ascii="仿宋_GB2312" w:hAnsi="微软雅黑" w:eastAsia="仿宋_GB2312" w:cs="仿宋_GB2312"/>
          <w:sz w:val="32"/>
          <w:szCs w:val="32"/>
        </w:rPr>
        <w:t>负责全县水上搜救和船舶污染事故应急反应信息系统建设；</w:t>
      </w:r>
    </w:p>
    <w:p>
      <w:pPr>
        <w:numPr>
          <w:ilvl w:val="0"/>
          <w:numId w:val="0"/>
        </w:numPr>
        <w:snapToGrid w:val="0"/>
        <w:spacing w:beforeLines="0" w:afterLines="0" w:line="520" w:lineRule="exact"/>
        <w:ind w:firstLine="640" w:firstLineChars="200"/>
        <w:rPr>
          <w:rFonts w:hint="eastAsia" w:ascii="仿宋_GB2312" w:hAnsi="微软雅黑" w:eastAsia="仿宋_GB2312" w:cs="仿宋_GB2312"/>
          <w:sz w:val="32"/>
          <w:szCs w:val="32"/>
          <w:lang w:val="en-US" w:eastAsia="zh-CN"/>
        </w:rPr>
      </w:pPr>
      <w:r>
        <w:rPr>
          <w:rFonts w:hint="eastAsia" w:ascii="仿宋_GB2312" w:hAnsi="微软雅黑" w:eastAsia="仿宋_GB2312" w:cs="仿宋_GB2312"/>
          <w:sz w:val="32"/>
          <w:szCs w:val="32"/>
          <w:lang w:val="en-US" w:eastAsia="zh-CN"/>
        </w:rPr>
        <w:t>11.</w:t>
      </w:r>
      <w:r>
        <w:rPr>
          <w:rFonts w:hint="eastAsia" w:ascii="仿宋_GB2312" w:hAnsi="微软雅黑" w:eastAsia="仿宋_GB2312" w:cs="仿宋_GB2312"/>
          <w:sz w:val="32"/>
          <w:szCs w:val="32"/>
        </w:rPr>
        <w:t>承担全县水上应急救援相关工作。</w:t>
      </w:r>
      <w:r>
        <w:rPr>
          <w:rFonts w:hint="eastAsia" w:ascii="仿宋_GB2312" w:hAnsi="微软雅黑" w:eastAsia="仿宋_GB2312" w:cs="仿宋_GB2312"/>
          <w:sz w:val="32"/>
          <w:szCs w:val="32"/>
          <w:lang w:val="en-US" w:eastAsia="zh-CN"/>
        </w:rPr>
        <w:t xml:space="preserve"> </w:t>
      </w:r>
    </w:p>
    <w:p>
      <w:pPr>
        <w:numPr>
          <w:ilvl w:val="0"/>
          <w:numId w:val="0"/>
        </w:numPr>
        <w:snapToGrid w:val="0"/>
        <w:spacing w:beforeLines="0" w:afterLines="0" w:line="520" w:lineRule="exact"/>
        <w:ind w:firstLine="640" w:firstLineChars="200"/>
        <w:rPr>
          <w:rFonts w:hint="eastAsia" w:ascii="仿宋" w:hAnsi="仿宋" w:eastAsia="仿宋"/>
          <w:b/>
          <w:sz w:val="32"/>
          <w:szCs w:val="24"/>
        </w:rPr>
      </w:pPr>
      <w:r>
        <w:rPr>
          <w:rFonts w:hint="eastAsia" w:ascii="仿宋_GB2312" w:hAnsi="微软雅黑" w:eastAsia="仿宋_GB2312" w:cs="仿宋_GB2312"/>
          <w:sz w:val="32"/>
          <w:szCs w:val="32"/>
          <w:lang w:val="en-US" w:eastAsia="zh-CN"/>
        </w:rPr>
        <w:t>12</w:t>
      </w:r>
      <w:r>
        <w:rPr>
          <w:rFonts w:hint="eastAsia" w:ascii="仿宋_GB2312" w:hAnsi="微软雅黑" w:eastAsia="仿宋_GB2312" w:cs="仿宋_GB2312"/>
          <w:sz w:val="32"/>
          <w:szCs w:val="32"/>
        </w:rPr>
        <w:t>.完成</w:t>
      </w:r>
      <w:r>
        <w:rPr>
          <w:rFonts w:hint="eastAsia" w:ascii="仿宋_GB2312" w:hAnsi="微软雅黑" w:eastAsia="仿宋_GB2312" w:cs="仿宋_GB2312"/>
          <w:sz w:val="32"/>
          <w:szCs w:val="32"/>
          <w:u w:val="none" w:color="FFFFFF"/>
          <w:shd w:val="clear" w:fill="FFFFFF"/>
          <w:lang w:eastAsia="zh-CN"/>
        </w:rPr>
        <w:t>县委、县政府</w:t>
      </w:r>
      <w:r>
        <w:rPr>
          <w:rFonts w:hint="eastAsia" w:ascii="仿宋_GB2312" w:hAnsi="微软雅黑" w:eastAsia="仿宋_GB2312" w:cs="仿宋_GB2312"/>
          <w:sz w:val="32"/>
          <w:szCs w:val="32"/>
        </w:rPr>
        <w:t>及上级部门交</w:t>
      </w:r>
      <w:r>
        <w:rPr>
          <w:rFonts w:hint="eastAsia" w:ascii="仿宋_GB2312" w:hAnsi="微软雅黑" w:eastAsia="仿宋_GB2312" w:cs="仿宋_GB2312"/>
          <w:sz w:val="32"/>
          <w:szCs w:val="32"/>
          <w:lang w:eastAsia="zh-CN"/>
        </w:rPr>
        <w:t>办</w:t>
      </w:r>
      <w:r>
        <w:rPr>
          <w:rFonts w:hint="eastAsia" w:ascii="仿宋_GB2312" w:hAnsi="微软雅黑" w:eastAsia="仿宋_GB2312" w:cs="仿宋_GB2312"/>
          <w:sz w:val="32"/>
          <w:szCs w:val="32"/>
        </w:rPr>
        <w:t>的各项任务。</w:t>
      </w:r>
    </w:p>
    <w:p>
      <w:pPr>
        <w:pStyle w:val="3"/>
        <w:keepNext/>
        <w:keepLines/>
        <w:spacing w:beforeLines="0" w:afterLines="0" w:line="520"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p>
    <w:p>
      <w:pPr>
        <w:spacing w:beforeLines="0" w:afterLines="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通江县水上应急救援中心</w:t>
      </w:r>
      <w:r>
        <w:rPr>
          <w:rFonts w:hint="eastAsia" w:ascii="仿宋_GB2312" w:hAnsi="仿宋_GB2312" w:eastAsia="仿宋_GB2312" w:cs="仿宋_GB2312"/>
          <w:sz w:val="32"/>
          <w:szCs w:val="32"/>
        </w:rPr>
        <w:t>是事业单位，实行独立核算。</w:t>
      </w:r>
    </w:p>
    <w:p>
      <w:pPr>
        <w:spacing w:beforeLines="0" w:afterLines="0" w:line="520" w:lineRule="exact"/>
        <w:ind w:firstLine="640" w:firstLineChars="200"/>
        <w:rPr>
          <w:rFonts w:hint="eastAsia" w:ascii="黑体" w:hAnsi="黑体" w:eastAsia="黑体"/>
          <w:color w:val="auto"/>
          <w:kern w:val="2"/>
          <w:sz w:val="32"/>
          <w:szCs w:val="24"/>
          <w:lang w:val="zh-CN"/>
        </w:rPr>
      </w:pPr>
      <w:r>
        <w:rPr>
          <w:rFonts w:hint="eastAsia" w:ascii="仿宋_GB2312" w:hAnsi="仿宋_GB2312" w:eastAsia="仿宋_GB2312" w:cs="仿宋_GB2312"/>
          <w:color w:val="auto"/>
          <w:kern w:val="2"/>
          <w:sz w:val="32"/>
          <w:szCs w:val="32"/>
          <w:lang w:val="en-US" w:eastAsia="zh-CN" w:bidi="ar-SA"/>
        </w:rPr>
        <w:t>2022年财政预算财政供给人员31人，其中公务员0名，参照公务员法管理的事业人员0名，工勤人员0名，事业人员31名。</w:t>
      </w:r>
      <w:r>
        <w:rPr>
          <w:rFonts w:hint="eastAsia" w:ascii="仿宋_GB2312" w:hAnsi="仿宋_GB2312" w:eastAsia="仿宋_GB2312" w:cs="仿宋_GB2312"/>
          <w:sz w:val="32"/>
          <w:szCs w:val="32"/>
        </w:rPr>
        <w:t>内设办</w:t>
      </w:r>
      <w:r>
        <w:rPr>
          <w:rFonts w:hint="eastAsia" w:ascii="仿宋_GB2312" w:hAnsi="仿宋_GB2312" w:eastAsia="仿宋_GB2312" w:cs="仿宋_GB2312"/>
          <w:color w:val="auto"/>
          <w:sz w:val="32"/>
          <w:szCs w:val="32"/>
        </w:rPr>
        <w:t>公室、财务室</w:t>
      </w:r>
      <w:r>
        <w:rPr>
          <w:rFonts w:hint="eastAsia" w:ascii="仿宋_GB2312" w:hAnsi="仿宋_GB2312" w:eastAsia="仿宋_GB2312" w:cs="仿宋_GB2312"/>
          <w:color w:val="auto"/>
          <w:sz w:val="32"/>
          <w:szCs w:val="32"/>
          <w:lang w:eastAsia="zh-CN"/>
        </w:rPr>
        <w:t>、项目发展股、安全生产股</w:t>
      </w:r>
      <w:r>
        <w:rPr>
          <w:rFonts w:hint="eastAsia" w:ascii="仿宋_GB2312" w:hAnsi="仿宋_GB2312" w:eastAsia="仿宋_GB2312" w:cs="仿宋_GB2312"/>
          <w:color w:val="auto"/>
          <w:sz w:val="32"/>
          <w:szCs w:val="32"/>
        </w:rPr>
        <w:t>等机构。</w:t>
      </w:r>
    </w:p>
    <w:p>
      <w:pPr>
        <w:pStyle w:val="2"/>
        <w:keepNext/>
        <w:keepLines/>
        <w:spacing w:beforeLines="0" w:afterLines="0" w:line="520" w:lineRule="exact"/>
        <w:ind w:right="442" w:firstLine="880"/>
        <w:jc w:val="center"/>
        <w:rPr>
          <w:rFonts w:hint="eastAsia" w:ascii="Times New Roman" w:hAnsi="Times New Roman" w:eastAsia="Times New Roman"/>
          <w:b/>
          <w:color w:val="auto"/>
          <w:kern w:val="44"/>
          <w:sz w:val="44"/>
          <w:szCs w:val="24"/>
          <w:lang w:val="zh-CN"/>
        </w:rPr>
      </w:pPr>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2022年度单位决算情况说明</w:t>
      </w:r>
    </w:p>
    <w:p>
      <w:pPr>
        <w:keepNext/>
        <w:keepLines/>
        <w:spacing w:beforeLines="0" w:afterLines="0" w:line="520" w:lineRule="exact"/>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 xml:space="preserve">    一、收</w:t>
      </w:r>
      <w:r>
        <w:rPr>
          <w:rFonts w:hint="eastAsia" w:ascii="黑体" w:hAnsi="黑体" w:eastAsia="黑体"/>
          <w:color w:val="auto"/>
          <w:kern w:val="2"/>
          <w:sz w:val="32"/>
          <w:szCs w:val="24"/>
          <w:lang w:val="zh-CN"/>
        </w:rPr>
        <w:t>入支出决算总体情况说明</w:t>
      </w:r>
    </w:p>
    <w:p>
      <w:pPr>
        <w:keepNext/>
        <w:keepLines/>
        <w:spacing w:beforeLines="0" w:afterLines="0" w:line="520"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2022年度收、支总计273.24万元。与2021年相比，收、支</w:t>
      </w:r>
      <w:r>
        <w:rPr>
          <w:rFonts w:hint="eastAsia" w:ascii="仿宋_GB2312" w:hAnsi="仿宋_GB2312" w:eastAsia="仿宋_GB2312"/>
          <w:color w:val="000000"/>
          <w:kern w:val="2"/>
          <w:sz w:val="32"/>
          <w:szCs w:val="24"/>
          <w:u w:val="none" w:color="FFFFFF"/>
          <w:shd w:val="clear" w:fill="FFFFFF"/>
          <w:lang w:val="zh-CN"/>
        </w:rPr>
        <w:t>总计各</w:t>
      </w:r>
      <w:r>
        <w:rPr>
          <w:rFonts w:hint="eastAsia" w:ascii="仿宋_GB2312" w:hAnsi="仿宋_GB2312" w:eastAsia="仿宋_GB2312"/>
          <w:color w:val="000000"/>
          <w:kern w:val="2"/>
          <w:sz w:val="32"/>
          <w:szCs w:val="24"/>
          <w:lang w:val="zh-CN"/>
        </w:rPr>
        <w:t>减少6.41万元，下降2.3%。主要变动原因是机构改革，人员调整。</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59264" behindDoc="0" locked="0" layoutInCell="1" allowOverlap="1">
            <wp:simplePos x="0" y="0"/>
            <wp:positionH relativeFrom="column">
              <wp:posOffset>881380</wp:posOffset>
            </wp:positionH>
            <wp:positionV relativeFrom="paragraph">
              <wp:posOffset>206375</wp:posOffset>
            </wp:positionV>
            <wp:extent cx="4591050" cy="2762250"/>
            <wp:effectExtent l="0" t="0" r="0" b="0"/>
            <wp:wrapSquare wrapText="bothSides"/>
            <wp:docPr id="1" name="图表 13"/>
            <wp:cNvGraphicFramePr/>
            <a:graphic xmlns:a="http://schemas.openxmlformats.org/drawingml/2006/main">
              <a:graphicData uri="http://schemas.openxmlformats.org/drawingml/2006/picture">
                <pic:pic xmlns:pic="http://schemas.openxmlformats.org/drawingml/2006/picture">
                  <pic:nvPicPr>
                    <pic:cNvPr id="1" name="图表 13"/>
                    <pic:cNvPicPr/>
                  </pic:nvPicPr>
                  <pic:blipFill>
                    <a:blip r:embed="rId5"/>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1171" w:firstLineChars="366"/>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u w:val="none" w:color="FFFFFF"/>
          <w:shd w:val="clear" w:fill="FFFFFF"/>
          <w:lang w:val="en-US"/>
        </w:rPr>
        <w:t>（图1：</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u w:val="none" w:color="FFFFFF"/>
          <w:shd w:val="clear" w:fill="FFFFFF"/>
          <w:lang w:val="en-US"/>
        </w:rPr>
        <w:t>决算总计变动情况图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273.24万元，其中：一般公共预算财政拨款收入273.24万元，占100%；政府性基金预算财政拨款收入0万元，占0%；国有资本经营预算财政拨款收入0万元，占0%；上级补助收入0万元，占0%；事业收入0万元，占0%；经营收入0万元，占0%；附属单位上缴收入0万元，占0%；其他收入0万元，占0%。</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0288" behindDoc="0" locked="0" layoutInCell="1" allowOverlap="1">
            <wp:simplePos x="0" y="0"/>
            <wp:positionH relativeFrom="column">
              <wp:posOffset>398145</wp:posOffset>
            </wp:positionH>
            <wp:positionV relativeFrom="paragraph">
              <wp:posOffset>111125</wp:posOffset>
            </wp:positionV>
            <wp:extent cx="4591050" cy="2762250"/>
            <wp:effectExtent l="0" t="0" r="0" b="0"/>
            <wp:wrapSquare wrapText="bothSides"/>
            <wp:docPr id="2" name="图表 14"/>
            <wp:cNvGraphicFramePr/>
            <a:graphic xmlns:a="http://schemas.openxmlformats.org/drawingml/2006/main">
              <a:graphicData uri="http://schemas.openxmlformats.org/drawingml/2006/picture">
                <pic:pic xmlns:pic="http://schemas.openxmlformats.org/drawingml/2006/picture">
                  <pic:nvPicPr>
                    <pic:cNvPr id="2" name="图表 14"/>
                    <pic:cNvPicPr/>
                  </pic:nvPicPr>
                  <pic:blipFill>
                    <a:blip r:embed="rId6"/>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1808" w:firstLineChars="5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2022年本年支出合计273.24万元，其中：基本支出270.74万元，占99.1%；项目支出2.5万元，占0.9%；上缴上级支出0万元，占0%；经营支出0万元，占0%；对附属单位补助支出0万元，占0%。</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1312" behindDoc="0" locked="0" layoutInCell="1" allowOverlap="1">
            <wp:simplePos x="0" y="0"/>
            <wp:positionH relativeFrom="column">
              <wp:posOffset>406400</wp:posOffset>
            </wp:positionH>
            <wp:positionV relativeFrom="paragraph">
              <wp:posOffset>-2457450</wp:posOffset>
            </wp:positionV>
            <wp:extent cx="4591050" cy="2762250"/>
            <wp:effectExtent l="0" t="0" r="0" b="0"/>
            <wp:wrapSquare wrapText="bothSides"/>
            <wp:docPr id="3" name="图表 15"/>
            <wp:cNvGraphicFramePr/>
            <a:graphic xmlns:a="http://schemas.openxmlformats.org/drawingml/2006/main">
              <a:graphicData uri="http://schemas.openxmlformats.org/drawingml/2006/picture">
                <pic:pic xmlns:pic="http://schemas.openxmlformats.org/drawingml/2006/picture">
                  <pic:nvPicPr>
                    <pic:cNvPr id="3" name="图表 15"/>
                    <pic:cNvPicPr/>
                  </pic:nvPicPr>
                  <pic:blipFill>
                    <a:blip r:embed="rId7"/>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1808" w:firstLineChars="5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总计273.24万元。</w:t>
      </w:r>
      <w:r>
        <w:rPr>
          <w:rFonts w:hint="eastAsia" w:ascii="仿宋_GB2312" w:hAnsi="仿宋_GB2312" w:eastAsia="仿宋_GB2312"/>
          <w:color w:val="000000"/>
          <w:kern w:val="2"/>
          <w:sz w:val="32"/>
          <w:szCs w:val="24"/>
          <w:u w:val="none" w:color="FFFFFF"/>
          <w:shd w:val="clear" w:fill="FFFFFF"/>
          <w:lang w:val="zh-CN"/>
        </w:rPr>
        <w:t>与2021年相比，财政拨款收、支总计各增加78.62万元，增长40.4%。</w:t>
      </w:r>
      <w:r>
        <w:rPr>
          <w:rFonts w:hint="eastAsia" w:ascii="仿宋_GB2312" w:hAnsi="仿宋_GB2312" w:eastAsia="仿宋_GB2312"/>
          <w:color w:val="000000"/>
          <w:kern w:val="2"/>
          <w:sz w:val="32"/>
          <w:szCs w:val="24"/>
          <w:lang w:val="zh-CN"/>
        </w:rPr>
        <w:t>主要变动原因是机构改革，人员调整。</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2336" behindDoc="0" locked="0" layoutInCell="1" allowOverlap="1">
            <wp:simplePos x="0" y="0"/>
            <wp:positionH relativeFrom="column">
              <wp:posOffset>432435</wp:posOffset>
            </wp:positionH>
            <wp:positionV relativeFrom="paragraph">
              <wp:posOffset>278765</wp:posOffset>
            </wp:positionV>
            <wp:extent cx="4591050" cy="2762250"/>
            <wp:effectExtent l="0" t="0" r="0" b="0"/>
            <wp:wrapSquare wrapText="bothSides"/>
            <wp:docPr id="4" name="图表 16"/>
            <wp:cNvGraphicFramePr/>
            <a:graphic xmlns:a="http://schemas.openxmlformats.org/drawingml/2006/main">
              <a:graphicData uri="http://schemas.openxmlformats.org/drawingml/2006/picture">
                <pic:pic xmlns:pic="http://schemas.openxmlformats.org/drawingml/2006/picture">
                  <pic:nvPicPr>
                    <pic:cNvPr id="4" name="图表 16"/>
                    <pic:cNvPicPr/>
                  </pic:nvPicPr>
                  <pic:blipFill>
                    <a:blip r:embed="rId8"/>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lang w:val="en-US"/>
        </w:rPr>
        <w:t>决算总计变动情况</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2022年一般公共预算财政拨款支出273.24万元，占本年支出合计的100%。与2021年相比，一般公共预算财政拨款支出增加78.62万元，增长40.4%。主要变动原因是机构改革，人员调整。</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3360" behindDoc="0" locked="0" layoutInCell="1" allowOverlap="1">
            <wp:simplePos x="0" y="0"/>
            <wp:positionH relativeFrom="column">
              <wp:posOffset>311150</wp:posOffset>
            </wp:positionH>
            <wp:positionV relativeFrom="paragraph">
              <wp:posOffset>13970</wp:posOffset>
            </wp:positionV>
            <wp:extent cx="4591050" cy="2762250"/>
            <wp:effectExtent l="0" t="0" r="0" b="0"/>
            <wp:wrapSquare wrapText="bothSides"/>
            <wp:docPr id="5" name="图表 16"/>
            <wp:cNvGraphicFramePr/>
            <a:graphic xmlns:a="http://schemas.openxmlformats.org/drawingml/2006/main">
              <a:graphicData uri="http://schemas.openxmlformats.org/drawingml/2006/picture">
                <pic:pic xmlns:pic="http://schemas.openxmlformats.org/drawingml/2006/picture">
                  <pic:nvPicPr>
                    <pic:cNvPr id="5" name="图表 16"/>
                    <pic:cNvPicPr/>
                  </pic:nvPicPr>
                  <pic:blipFill>
                    <a:blip r:embed="rId9"/>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u w:val="none" w:color="FFFFFF"/>
          <w:shd w:val="clear" w:fill="FFFFFF"/>
          <w:lang w:val="en-US"/>
        </w:rPr>
      </w:pPr>
    </w:p>
    <w:p>
      <w:pPr>
        <w:spacing w:beforeLines="0" w:afterLines="0" w:line="600" w:lineRule="exact"/>
        <w:ind w:firstLine="1171" w:firstLineChars="366"/>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u w:val="none" w:color="FFFFFF"/>
          <w:shd w:val="clear" w:fill="FFFFFF"/>
          <w:lang w:val="en-US"/>
        </w:rPr>
        <w:t>（图5：一般公共预算财政拨款支出决算变动情况</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2022年一般公共预算财政拨款支出273.24万元，主要用于以下方面</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社会保障和就业支出20.7万元，占7.6%；卫生健康支出12.07万元，占4.4%；交通运输支出226.48万元，占82.9%；住房保障支出13.99万元，占5.1%。</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4384" behindDoc="0" locked="0" layoutInCell="1" allowOverlap="1">
            <wp:simplePos x="0" y="0"/>
            <wp:positionH relativeFrom="column">
              <wp:posOffset>406400</wp:posOffset>
            </wp:positionH>
            <wp:positionV relativeFrom="paragraph">
              <wp:posOffset>-2457450</wp:posOffset>
            </wp:positionV>
            <wp:extent cx="4591050" cy="2762250"/>
            <wp:effectExtent l="0" t="0" r="0" b="0"/>
            <wp:wrapSquare wrapText="bothSides"/>
            <wp:docPr id="6" name="图表 17"/>
            <wp:cNvGraphicFramePr/>
            <a:graphic xmlns:a="http://schemas.openxmlformats.org/drawingml/2006/main">
              <a:graphicData uri="http://schemas.openxmlformats.org/drawingml/2006/picture">
                <pic:pic xmlns:pic="http://schemas.openxmlformats.org/drawingml/2006/picture">
                  <pic:nvPicPr>
                    <pic:cNvPr id="6" name="图表 17"/>
                    <pic:cNvPicPr/>
                  </pic:nvPicPr>
                  <pic:blipFill>
                    <a:blip r:embed="rId10"/>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w:t>
      </w:r>
      <w:r>
        <w:rPr>
          <w:rFonts w:hint="eastAsia" w:ascii="仿宋" w:hAnsi="仿宋" w:eastAsia="仿宋"/>
          <w:color w:val="auto"/>
          <w:kern w:val="2"/>
          <w:sz w:val="32"/>
          <w:szCs w:val="24"/>
          <w:u w:val="none" w:color="FFFFFF"/>
          <w:shd w:val="clear" w:fill="FFFFFF"/>
          <w:lang w:val="en-US"/>
        </w:rPr>
        <w:t>）</w:t>
      </w:r>
    </w:p>
    <w:p>
      <w:pPr>
        <w:numPr>
          <w:ilvl w:val="0"/>
          <w:numId w:val="1"/>
        </w:numPr>
        <w:spacing w:beforeLines="0" w:afterLines="0"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一般公共预算财政拨款支出决算具体情况。</w:t>
      </w:r>
    </w:p>
    <w:p>
      <w:pPr>
        <w:numPr>
          <w:ilvl w:val="0"/>
          <w:numId w:val="0"/>
        </w:numPr>
        <w:spacing w:beforeLines="0" w:afterLines="0" w:line="600" w:lineRule="exact"/>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en-US" w:eastAsia="zh-CN"/>
        </w:rPr>
        <w:t xml:space="preserve">    </w:t>
      </w:r>
      <w:r>
        <w:rPr>
          <w:rFonts w:hint="eastAsia" w:ascii="仿宋_GB2312" w:hAnsi="仿宋_GB2312" w:eastAsia="仿宋_GB2312"/>
          <w:b/>
          <w:color w:val="000000"/>
          <w:kern w:val="2"/>
          <w:sz w:val="32"/>
          <w:szCs w:val="24"/>
          <w:lang w:val="zh-CN"/>
        </w:rPr>
        <w:t>2022年一般公共预算支出决算数为273.24万元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1.社会保障和就业支出（类）</w:t>
      </w:r>
      <w:r>
        <w:rPr>
          <w:rFonts w:hint="eastAsia" w:ascii="仿宋_GB2312" w:hAnsi="仿宋_GB2312" w:eastAsia="仿宋_GB2312"/>
          <w:b/>
          <w:color w:val="000000"/>
          <w:kern w:val="2"/>
          <w:sz w:val="32"/>
          <w:szCs w:val="24"/>
          <w:lang w:val="en-US" w:eastAsia="zh-CN"/>
        </w:rPr>
        <w:t>行政事业单位养老保险</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机关事业单位养老保险缴费支出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20.7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.卫生健康支出（类）</w:t>
      </w:r>
      <w:r>
        <w:rPr>
          <w:rFonts w:hint="eastAsia" w:ascii="仿宋_GB2312" w:hAnsi="仿宋_GB2312" w:eastAsia="仿宋_GB2312"/>
          <w:b/>
          <w:color w:val="000000"/>
          <w:kern w:val="2"/>
          <w:sz w:val="32"/>
          <w:szCs w:val="24"/>
          <w:lang w:val="en-US" w:eastAsia="zh-CN"/>
        </w:rPr>
        <w:t>行政事业单位医疗</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事业单位医疗保险支出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12.07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cs="Times New Roman"/>
          <w:b/>
          <w:color w:val="000000"/>
          <w:kern w:val="2"/>
          <w:sz w:val="32"/>
          <w:szCs w:val="24"/>
          <w:lang w:val="en-US" w:eastAsia="zh-CN"/>
        </w:rPr>
        <w:t>3.</w:t>
      </w:r>
      <w:r>
        <w:rPr>
          <w:rFonts w:hint="eastAsia" w:ascii="仿宋_GB2312" w:hAnsi="仿宋_GB2312" w:eastAsia="仿宋_GB2312" w:cs="Times New Roman"/>
          <w:b/>
          <w:color w:val="000000"/>
          <w:kern w:val="2"/>
          <w:sz w:val="32"/>
          <w:szCs w:val="24"/>
          <w:lang w:val="en-US"/>
        </w:rPr>
        <w:t>交通运输支出（类）</w:t>
      </w:r>
      <w:r>
        <w:rPr>
          <w:rFonts w:hint="eastAsia" w:ascii="仿宋_GB2312" w:hAnsi="仿宋_GB2312" w:eastAsia="仿宋_GB2312" w:cs="Times New Roman"/>
          <w:b/>
          <w:color w:val="000000"/>
          <w:kern w:val="2"/>
          <w:sz w:val="32"/>
          <w:szCs w:val="24"/>
          <w:lang w:val="en-US" w:eastAsia="zh-CN"/>
        </w:rPr>
        <w:t>公路水路运输支出</w:t>
      </w:r>
      <w:r>
        <w:rPr>
          <w:rFonts w:hint="eastAsia" w:ascii="仿宋_GB2312" w:hAnsi="仿宋_GB2312" w:eastAsia="仿宋_GB2312" w:cs="Times New Roman"/>
          <w:b/>
          <w:color w:val="000000"/>
          <w:kern w:val="2"/>
          <w:sz w:val="32"/>
          <w:szCs w:val="24"/>
          <w:lang w:val="en-US"/>
        </w:rPr>
        <w:t>（款）</w:t>
      </w:r>
      <w:r>
        <w:rPr>
          <w:rFonts w:hint="eastAsia" w:ascii="仿宋_GB2312" w:hAnsi="仿宋_GB2312" w:eastAsia="仿宋_GB2312" w:cs="Times New Roman"/>
          <w:b/>
          <w:color w:val="000000"/>
          <w:kern w:val="2"/>
          <w:sz w:val="32"/>
          <w:szCs w:val="24"/>
          <w:lang w:val="en-US" w:eastAsia="zh-CN"/>
        </w:rPr>
        <w:t>海事管理</w:t>
      </w:r>
      <w:r>
        <w:rPr>
          <w:rFonts w:hint="eastAsia" w:ascii="仿宋_GB2312" w:hAnsi="仿宋_GB2312" w:eastAsia="仿宋_GB2312" w:cs="Times New Roman"/>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226.48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4.住房保障支出（类）住房改革支出（款</w:t>
      </w:r>
      <w:r>
        <w:rPr>
          <w:rFonts w:hint="eastAsia" w:ascii="仿宋_GB2312" w:hAnsi="仿宋_GB2312" w:eastAsia="仿宋_GB2312"/>
          <w:color w:val="000000"/>
          <w:kern w:val="2"/>
          <w:sz w:val="32"/>
          <w:szCs w:val="24"/>
          <w:lang w:val="en-US"/>
        </w:rPr>
        <w:t>）</w:t>
      </w:r>
      <w:r>
        <w:rPr>
          <w:rFonts w:hint="eastAsia" w:ascii="仿宋_GB2312" w:hAnsi="仿宋_GB2312" w:eastAsia="仿宋_GB2312" w:cs="Times New Roman"/>
          <w:b/>
          <w:color w:val="000000"/>
          <w:kern w:val="2"/>
          <w:sz w:val="32"/>
          <w:szCs w:val="24"/>
          <w:lang w:val="en-US" w:eastAsia="zh-CN"/>
        </w:rPr>
        <w:t>住房公积金（项）：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13.99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tabs>
          <w:tab w:val="right" w:pos="8306"/>
        </w:tabs>
        <w:spacing w:beforeLines="0" w:afterLines="0" w:line="576" w:lineRule="exact"/>
        <w:ind w:firstLine="64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w:t>
      </w:r>
      <w:r>
        <w:rPr>
          <w:rFonts w:hint="eastAsia" w:ascii="黑体" w:hAnsi="黑体" w:eastAsia="黑体"/>
          <w:color w:val="auto"/>
          <w:kern w:val="2"/>
          <w:sz w:val="32"/>
          <w:szCs w:val="24"/>
          <w:u w:val="none" w:color="FFFFFF"/>
          <w:shd w:val="clear" w:fill="FFFFFF"/>
          <w:lang w:val="zh-CN"/>
        </w:rPr>
        <w:t>款</w:t>
      </w:r>
      <w:r>
        <w:rPr>
          <w:rFonts w:hint="eastAsia" w:ascii="黑体" w:hAnsi="黑体" w:eastAsia="黑体"/>
          <w:color w:val="auto"/>
          <w:kern w:val="2"/>
          <w:sz w:val="32"/>
          <w:szCs w:val="24"/>
          <w:lang w:val="zh-CN"/>
        </w:rPr>
        <w:t>基本支出决算情况说明</w:t>
      </w:r>
      <w:r>
        <w:rPr>
          <w:rFonts w:hint="eastAsia" w:ascii="黑体" w:hAnsi="黑体" w:eastAsia="黑体"/>
          <w:color w:val="auto"/>
          <w:kern w:val="2"/>
          <w:sz w:val="32"/>
          <w:szCs w:val="24"/>
          <w:lang w:val="zh-CN"/>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2022年一般公共预算财政拨款基本支出270.74万元，其中：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216.14万元，主要包括：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54.6万元，主要包括：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2022年“三公”经费财政拨款支出决算为5.28万元，完成预算100%；较上年增加3.02万元，增长133.6%。增长的主要原因是公务活动增加。</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2022年“三公”经费财政拨款支出决算中，因公出国（境）费支出决算0万元，占0%；公务用车购置及运行维护费支出决算5万元，占94.7%；公务接待费支出决算0.28万元，占5.3%。具体情况如下：</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5408" behindDoc="0" locked="0" layoutInCell="1" allowOverlap="1">
            <wp:simplePos x="0" y="0"/>
            <wp:positionH relativeFrom="column">
              <wp:posOffset>415925</wp:posOffset>
            </wp:positionH>
            <wp:positionV relativeFrom="paragraph">
              <wp:posOffset>76200</wp:posOffset>
            </wp:positionV>
            <wp:extent cx="4591050" cy="2762250"/>
            <wp:effectExtent l="0" t="0" r="0" b="0"/>
            <wp:wrapSquare wrapText="bothSides"/>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1"/>
                    <a:stretch>
                      <a:fillRect/>
                    </a:stretch>
                  </pic:blipFill>
                  <pic:spPr>
                    <a:xfrm>
                      <a:off x="0" y="0"/>
                      <a:ext cx="4591050" cy="276225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w:t>
      </w:r>
      <w:r>
        <w:rPr>
          <w:rFonts w:hint="eastAsia" w:ascii="仿宋" w:hAnsi="仿宋" w:eastAsia="仿宋"/>
          <w:color w:val="auto"/>
          <w:kern w:val="2"/>
          <w:sz w:val="32"/>
          <w:szCs w:val="24"/>
          <w:u w:val="none" w:color="FFFFFF"/>
          <w:shd w:val="clear" w:fill="FFFFFF"/>
          <w:lang w:val="en-US"/>
        </w:rPr>
        <w:t>）</w:t>
      </w:r>
    </w:p>
    <w:p>
      <w:pPr>
        <w:spacing w:beforeLines="0" w:afterLines="0" w:line="600" w:lineRule="exact"/>
        <w:ind w:firstLine="640"/>
        <w:jc w:val="both"/>
        <w:rPr>
          <w:rFonts w:hint="eastAsia" w:ascii="仿宋_GB2312" w:hAnsi="仿宋_GB2312" w:eastAsia="仿宋_GB2312"/>
          <w:color w:val="auto"/>
          <w:kern w:val="2"/>
          <w:sz w:val="32"/>
          <w:szCs w:val="24"/>
          <w:lang w:val="en-US"/>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支出0万元，完成预算0%。</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支出5万元，完成预算100%。公务用车购置及运行维护费支出决算比2021年增加2.94万元，增长142.7%。主要原因是水上演练及水上安全检查次数增加。</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支出0万元。全年按规定更新购置公务用车0辆。截至2022年12月底，本部门共有公务用车1辆，其中：轿车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支出5万元。主要用于水上演练及水上安全检查次数增加等所需的公务用车燃料费、维修费、过路过桥费、保险费等支出。</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支出0.28万元，完成预算100%。公务接待费支出决算比2021年增加0.08万元，增长40%。主要原因是水上演练。其中：</w:t>
      </w:r>
    </w:p>
    <w:p>
      <w:pPr>
        <w:keepNext/>
        <w:keepLines/>
        <w:spacing w:beforeLines="0" w:afterLines="0" w:line="576" w:lineRule="exact"/>
        <w:ind w:firstLine="643"/>
        <w:jc w:val="both"/>
        <w:rPr>
          <w:rFonts w:hint="eastAsia" w:ascii="仿宋_GB2312" w:hAnsi="仿宋_GB2312" w:eastAsia="仿宋_GB2312" w:cs="Times New Roman"/>
          <w:color w:val="000000"/>
          <w:kern w:val="2"/>
          <w:sz w:val="32"/>
          <w:szCs w:val="24"/>
          <w:lang w:val="en-US"/>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支出0.28万元。主要用于</w:t>
      </w:r>
      <w:r>
        <w:rPr>
          <w:rFonts w:hint="eastAsia" w:ascii="仿宋_GB2312" w:hAnsi="仿宋_GB2312" w:eastAsia="仿宋_GB2312" w:cs="Times New Roman"/>
          <w:color w:val="000000"/>
          <w:kern w:val="2"/>
          <w:sz w:val="32"/>
          <w:szCs w:val="24"/>
          <w:lang w:val="en-US"/>
        </w:rPr>
        <w:t>执行公务开支的交通费、住宿费、用餐费等。</w:t>
      </w:r>
      <w:r>
        <w:rPr>
          <w:rFonts w:hint="eastAsia" w:ascii="仿宋_GB2312" w:hAnsi="仿宋_GB2312" w:eastAsia="仿宋_GB2312" w:cs="Times New Roman"/>
          <w:color w:val="000000"/>
          <w:kern w:val="2"/>
          <w:sz w:val="32"/>
          <w:szCs w:val="24"/>
          <w:lang w:val="zh-CN"/>
        </w:rPr>
        <w:t>国内公务接待11批次，26人次，共计支出0.28万元，具体内容包括接待水上演练及接待安全检查</w:t>
      </w:r>
      <w:r>
        <w:rPr>
          <w:rFonts w:hint="eastAsia" w:ascii="仿宋_GB2312" w:hAnsi="仿宋_GB2312" w:eastAsia="仿宋_GB2312" w:cs="Times New Roman"/>
          <w:color w:val="000000"/>
          <w:kern w:val="2"/>
          <w:sz w:val="32"/>
          <w:szCs w:val="24"/>
          <w:lang w:val="en-US"/>
        </w:rPr>
        <w:t>。</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2022年，通江县水上应急救援中心机关运行经费支出0万元，属事业单位。</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2022年，通江县水上应急救援中心政府采购支出总额0万元，其中：政府采购货物支出0万元、政府采购工程支出0万元、政府采购服务支出0万元。授予中小</w:t>
      </w:r>
      <w:r>
        <w:rPr>
          <w:rFonts w:hint="eastAsia" w:ascii="仿宋_GB2312" w:hAnsi="仿宋_GB2312" w:eastAsia="仿宋_GB2312"/>
          <w:color w:val="000000"/>
          <w:kern w:val="2"/>
          <w:sz w:val="32"/>
          <w:szCs w:val="24"/>
          <w:u w:val="none" w:color="FFFFFF"/>
          <w:shd w:val="clear" w:fill="FFFFFF"/>
          <w:lang w:val="zh-CN"/>
        </w:rPr>
        <w:t>企业合同金额0万元，占政府采购支出总额的0%</w:t>
      </w:r>
      <w:r>
        <w:rPr>
          <w:rFonts w:hint="eastAsia" w:ascii="仿宋_GB2312" w:hAnsi="仿宋_GB2312" w:eastAsia="仿宋_GB2312"/>
          <w:color w:val="000000"/>
          <w:kern w:val="2"/>
          <w:sz w:val="32"/>
          <w:szCs w:val="24"/>
          <w:lang w:val="zh-CN"/>
        </w:rPr>
        <w:t>，其中：授予小微</w:t>
      </w:r>
      <w:r>
        <w:rPr>
          <w:rFonts w:hint="eastAsia" w:ascii="仿宋_GB2312" w:hAnsi="仿宋_GB2312" w:eastAsia="仿宋_GB2312"/>
          <w:color w:val="000000"/>
          <w:kern w:val="2"/>
          <w:sz w:val="32"/>
          <w:szCs w:val="24"/>
          <w:u w:val="none" w:color="FFFFFF"/>
          <w:shd w:val="clear" w:fill="FFFFFF"/>
          <w:lang w:val="zh-CN"/>
        </w:rPr>
        <w:t>企业合同金额0万元，</w:t>
      </w:r>
      <w:r>
        <w:rPr>
          <w:rFonts w:hint="eastAsia" w:ascii="仿宋_GB2312" w:hAnsi="仿宋_GB2312" w:eastAsia="仿宋_GB2312"/>
          <w:color w:val="auto"/>
          <w:kern w:val="2"/>
          <w:sz w:val="32"/>
          <w:szCs w:val="24"/>
          <w:u w:val="none" w:color="FFFFFF"/>
          <w:shd w:val="clear" w:fill="FFFFFF"/>
          <w:lang w:val="en-US"/>
        </w:rPr>
        <w:t>占政府采购支出总额的</w:t>
      </w:r>
      <w:r>
        <w:rPr>
          <w:rFonts w:hint="eastAsia" w:ascii="仿宋_GB2312" w:hAnsi="仿宋_GB2312" w:eastAsia="仿宋_GB2312"/>
          <w:color w:val="000000"/>
          <w:kern w:val="2"/>
          <w:sz w:val="32"/>
          <w:szCs w:val="24"/>
          <w:u w:val="none" w:color="FFFFFF"/>
          <w:shd w:val="clear" w:fill="FFFFFF"/>
          <w:lang w:val="zh-CN"/>
        </w:rPr>
        <w:t>0%</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w:t>
      </w:r>
      <w:r>
        <w:rPr>
          <w:rFonts w:hint="eastAsia" w:ascii="仿宋_GB2312" w:hAnsi="仿宋_GB2312" w:eastAsia="仿宋_GB2312"/>
          <w:b/>
          <w:color w:val="000000"/>
          <w:kern w:val="2"/>
          <w:sz w:val="32"/>
          <w:szCs w:val="24"/>
          <w:u w:val="none" w:color="FFFFFF"/>
          <w:shd w:val="clear" w:fill="FFFFFF"/>
          <w:lang w:val="zh-CN"/>
        </w:rPr>
        <w:t>有</w:t>
      </w:r>
      <w:r>
        <w:rPr>
          <w:rFonts w:hint="eastAsia" w:ascii="仿宋_GB2312" w:hAnsi="仿宋_GB2312" w:eastAsia="仿宋_GB2312"/>
          <w:b/>
          <w:color w:val="000000"/>
          <w:kern w:val="2"/>
          <w:sz w:val="32"/>
          <w:szCs w:val="24"/>
          <w:lang w:val="zh-CN"/>
        </w:rPr>
        <w:t>使用情况</w:t>
      </w:r>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通江县水上应急救援中心共有车辆1辆，其中：副部（省）级及以上领导用车0辆、主要领导干部用车0辆、机要通信用车0辆、应急保障用车1辆、执法执勤用车0辆、特种专业技术用车0辆、离退休干部用车0辆、其他用车0辆。单价100万元（含）以上设备0台（套</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beforeLines="0" w:afterLines="0"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根据预算绩效管理要求，本单位在202</w:t>
      </w:r>
      <w:r>
        <w:rPr>
          <w:rFonts w:hint="eastAsia" w:ascii="宋体" w:hAnsi="宋体" w:eastAsia="宋体"/>
          <w:color w:val="auto"/>
          <w:kern w:val="2"/>
          <w:sz w:val="32"/>
          <w:szCs w:val="24"/>
          <w:lang w:val="en-US"/>
        </w:rPr>
        <w:t>2</w:t>
      </w:r>
      <w:r>
        <w:rPr>
          <w:rFonts w:hint="eastAsia" w:ascii="仿宋_GB2312" w:hAnsi="仿宋_GB2312" w:eastAsia="仿宋_GB2312"/>
          <w:color w:val="auto"/>
          <w:kern w:val="2"/>
          <w:sz w:val="32"/>
          <w:szCs w:val="24"/>
          <w:lang w:val="en-US"/>
        </w:rPr>
        <w:t>年度预算编制阶段，</w:t>
      </w:r>
      <w:r>
        <w:rPr>
          <w:rFonts w:hint="eastAsia" w:ascii="仿宋_GB2312" w:hAnsi="仿宋_GB2312" w:eastAsia="仿宋_GB2312"/>
          <w:color w:val="auto"/>
          <w:kern w:val="2"/>
          <w:sz w:val="32"/>
          <w:szCs w:val="24"/>
          <w:u w:val="none" w:color="FFFFFF"/>
          <w:shd w:val="clear" w:fill="FFFFFF"/>
          <w:lang w:val="en-US" w:eastAsia="zh-CN"/>
        </w:rPr>
        <w:t>无</w:t>
      </w:r>
      <w:r>
        <w:rPr>
          <w:rFonts w:hint="eastAsia" w:ascii="仿宋_GB2312" w:hAnsi="仿宋_GB2312" w:eastAsia="仿宋_GB2312"/>
          <w:color w:val="auto"/>
          <w:kern w:val="2"/>
          <w:sz w:val="32"/>
          <w:szCs w:val="24"/>
          <w:lang w:val="en-US" w:eastAsia="zh-CN"/>
        </w:rPr>
        <w:t>项目。</w:t>
      </w:r>
    </w:p>
    <w:p>
      <w:pPr>
        <w:spacing w:beforeLines="0" w:afterLines="0" w:line="576" w:lineRule="exact"/>
        <w:ind w:firstLine="643"/>
        <w:jc w:val="both"/>
        <w:rPr>
          <w:rFonts w:hint="eastAsia" w:ascii="仿宋_GB2312" w:hAnsi="仿宋_GB2312" w:eastAsia="仿宋_GB2312"/>
          <w:b/>
          <w:color w:val="000000"/>
          <w:kern w:val="2"/>
          <w:sz w:val="32"/>
          <w:szCs w:val="24"/>
          <w:lang w:val="zh-CN"/>
        </w:rPr>
      </w:pPr>
    </w:p>
    <w:p>
      <w:pPr>
        <w:keepNext/>
        <w:keepLines/>
        <w:spacing w:beforeLines="0" w:afterLines="0" w:line="576" w:lineRule="exact"/>
        <w:jc w:val="center"/>
        <w:rPr>
          <w:rFonts w:hint="eastAsia" w:ascii="黑体" w:hAnsi="黑体" w:eastAsia="黑体"/>
          <w:color w:val="auto"/>
          <w:kern w:val="44"/>
          <w:sz w:val="44"/>
          <w:szCs w:val="24"/>
          <w:lang w:val="zh-CN"/>
        </w:rPr>
      </w:pPr>
      <w:r>
        <w:rPr>
          <w:rFonts w:hint="eastAsia" w:ascii="黑体" w:hAnsi="黑体" w:eastAsia="黑体"/>
          <w:color w:val="000000"/>
          <w:kern w:val="2"/>
          <w:sz w:val="44"/>
          <w:szCs w:val="24"/>
          <w:lang w:val="zh-CN"/>
        </w:rPr>
        <w:t>第三部</w:t>
      </w:r>
      <w:r>
        <w:rPr>
          <w:rFonts w:hint="eastAsia" w:ascii="黑体" w:hAnsi="黑体" w:eastAsia="黑体"/>
          <w:color w:val="000000"/>
          <w:kern w:val="2"/>
          <w:sz w:val="44"/>
          <w:szCs w:val="24"/>
          <w:u w:val="none" w:color="FFFFFF"/>
          <w:shd w:val="clear" w:fill="FFFFFF"/>
          <w:lang w:val="zh-CN"/>
        </w:rPr>
        <w:t xml:space="preserve">分 </w:t>
      </w:r>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1.财政拨款收入：指单位从同级财政部门取得的财政预算资金。</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2.事业收入：指事业单位开展专业业务活动及辅助活动取得的收入。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3.经营收入：指事业单位在专业业务活动及其辅助活动之外开展非独立核算经营活动取得的收入。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4.其他收入：指单位取得的除上述收入以外的各项收入。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6.年初结转和结余：指以前年度尚未完成、结转到</w:t>
      </w:r>
      <w:r>
        <w:rPr>
          <w:rFonts w:hint="eastAsia" w:ascii="仿宋_GB2312" w:hAnsi="仿宋_GB2312" w:eastAsia="仿宋_GB2312"/>
          <w:color w:val="000000"/>
          <w:sz w:val="32"/>
          <w:szCs w:val="24"/>
          <w:u w:val="none" w:color="FFFFFF"/>
          <w:shd w:val="clear" w:fill="FFFFFF"/>
          <w:lang w:val="en-US"/>
        </w:rPr>
        <w:t>本年</w:t>
      </w:r>
      <w:r>
        <w:rPr>
          <w:rFonts w:hint="eastAsia" w:ascii="仿宋_GB2312" w:hAnsi="仿宋_GB2312" w:eastAsia="仿宋_GB2312"/>
          <w:color w:val="000000"/>
          <w:sz w:val="32"/>
          <w:szCs w:val="24"/>
          <w:lang w:val="en-US"/>
        </w:rPr>
        <w:t xml:space="preserve">按有关规定继续使用的资金。 </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7.结余分配：指事业单位按照会计制度规定缴纳的所得税、提取的专用结余以及转入非财政拨款结余的金额等。</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8.年末结转和结余：指单位按有关规定结转到下年或以后年度继续使用的资金。</w:t>
      </w:r>
    </w:p>
    <w:p>
      <w:pPr>
        <w:pStyle w:val="4"/>
        <w:widowControl/>
        <w:autoSpaceDE/>
        <w:autoSpaceDN/>
        <w:adjustRightInd/>
        <w:spacing w:beforeLines="0" w:afterLines="0" w:line="560" w:lineRule="exact"/>
        <w:ind w:firstLine="640" w:firstLineChars="200"/>
        <w:rPr>
          <w:rFonts w:hint="eastAsia"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9.机关事业单位基本养老保险缴费：指部门实施养老保险制度由单位缴纳的养老保险费的支出。</w:t>
      </w:r>
    </w:p>
    <w:p>
      <w:pPr>
        <w:spacing w:beforeLines="0" w:afterLines="0" w:line="576" w:lineRule="exact"/>
        <w:ind w:firstLine="640"/>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bidi="ar"/>
        </w:rPr>
        <w:t>10.事业单位医</w:t>
      </w:r>
      <w:r>
        <w:rPr>
          <w:rFonts w:hint="eastAsia" w:ascii="仿宋_GB2312" w:hAnsi="仿宋_GB2312" w:eastAsia="仿宋_GB2312" w:cs="Times New Roman"/>
          <w:color w:val="000000"/>
          <w:sz w:val="32"/>
          <w:szCs w:val="24"/>
          <w:lang w:val="en-US" w:eastAsia="zh-CN"/>
        </w:rPr>
        <w:t>疗：指事业单位用于缴纳单位基本医疗保险支出。</w:t>
      </w:r>
    </w:p>
    <w:p>
      <w:pPr>
        <w:spacing w:beforeLines="0" w:afterLines="0" w:line="576" w:lineRule="exact"/>
        <w:ind w:firstLine="640"/>
        <w:rPr>
          <w:rFonts w:hint="eastAsia" w:ascii="仿宋_GB2312" w:hAnsi="仿宋_GB2312" w:eastAsia="仿宋_GB2312" w:cs="Times New Roman"/>
          <w:color w:val="000000"/>
          <w:sz w:val="32"/>
          <w:szCs w:val="24"/>
          <w:lang w:val="en-US"/>
        </w:rPr>
      </w:pPr>
      <w:r>
        <w:rPr>
          <w:rFonts w:hint="eastAsia" w:ascii="仿宋_GB2312" w:hAnsi="仿宋_GB2312" w:eastAsia="仿宋_GB2312" w:cs="Times New Roman"/>
          <w:color w:val="000000"/>
          <w:sz w:val="32"/>
          <w:szCs w:val="24"/>
          <w:lang w:val="en-US" w:eastAsia="zh-CN"/>
        </w:rPr>
        <w:t>11</w:t>
      </w:r>
      <w:r>
        <w:rPr>
          <w:rFonts w:hint="eastAsia" w:ascii="仿宋_GB2312" w:hAnsi="仿宋_GB2312" w:eastAsia="仿宋_GB2312" w:cs="Times New Roman"/>
          <w:color w:val="000000"/>
          <w:sz w:val="32"/>
          <w:szCs w:val="24"/>
          <w:lang w:val="en-US"/>
        </w:rPr>
        <w:t>.</w:t>
      </w:r>
      <w:r>
        <w:rPr>
          <w:rFonts w:hint="eastAsia" w:ascii="仿宋_GB2312" w:hAnsi="仿宋_GB2312" w:eastAsia="仿宋_GB2312" w:cs="Times New Roman"/>
          <w:color w:val="000000"/>
          <w:sz w:val="32"/>
          <w:szCs w:val="24"/>
          <w:lang w:val="en-US" w:eastAsia="zh-CN"/>
        </w:rPr>
        <w:t>农林水支出（类）巩固脱贫衔接乡村</w:t>
      </w:r>
      <w:r>
        <w:rPr>
          <w:rFonts w:hint="eastAsia" w:ascii="仿宋_GB2312" w:hAnsi="仿宋_GB2312" w:eastAsia="仿宋_GB2312" w:cs="Times New Roman"/>
          <w:color w:val="000000"/>
          <w:sz w:val="32"/>
          <w:szCs w:val="24"/>
          <w:u w:val="none" w:color="FFFFFF"/>
          <w:shd w:val="clear" w:fill="FFFFFF"/>
          <w:lang w:val="en-US" w:eastAsia="zh-CN"/>
        </w:rPr>
        <w:t>振兴</w:t>
      </w:r>
      <w:r>
        <w:rPr>
          <w:rFonts w:hint="eastAsia" w:ascii="仿宋_GB2312" w:hAnsi="仿宋_GB2312" w:eastAsia="仿宋_GB2312" w:cs="Times New Roman"/>
          <w:color w:val="000000"/>
          <w:sz w:val="32"/>
          <w:szCs w:val="24"/>
          <w:lang w:val="en-US" w:eastAsia="zh-CN"/>
        </w:rPr>
        <w:t>（款）其他巩固脱贫衔接乡村振兴支出（项）</w:t>
      </w:r>
      <w:r>
        <w:rPr>
          <w:rFonts w:hint="eastAsia" w:ascii="仿宋_GB2312" w:hAnsi="仿宋_GB2312" w:eastAsia="仿宋_GB2312" w:cs="Times New Roman"/>
          <w:color w:val="000000"/>
          <w:sz w:val="32"/>
          <w:szCs w:val="24"/>
          <w:lang w:val="en-US"/>
        </w:rPr>
        <w:t>。</w:t>
      </w:r>
    </w:p>
    <w:p>
      <w:pPr>
        <w:spacing w:beforeLines="0" w:afterLines="0" w:line="576" w:lineRule="exact"/>
        <w:ind w:firstLine="640"/>
        <w:rPr>
          <w:rFonts w:hint="eastAsia" w:ascii="仿宋_GB2312" w:hAnsi="仿宋_GB2312" w:eastAsia="仿宋_GB2312" w:cs="Times New Roman"/>
          <w:color w:val="000000"/>
          <w:sz w:val="32"/>
          <w:szCs w:val="24"/>
          <w:lang w:val="en-US"/>
        </w:rPr>
      </w:pPr>
      <w:r>
        <w:rPr>
          <w:rFonts w:hint="eastAsia" w:ascii="仿宋_GB2312" w:hAnsi="仿宋_GB2312" w:eastAsia="仿宋_GB2312" w:cs="Times New Roman"/>
          <w:color w:val="000000"/>
          <w:sz w:val="32"/>
          <w:szCs w:val="24"/>
          <w:lang w:val="en-US" w:eastAsia="zh-CN"/>
        </w:rPr>
        <w:t>12</w:t>
      </w:r>
      <w:r>
        <w:rPr>
          <w:rFonts w:hint="eastAsia" w:ascii="仿宋_GB2312" w:hAnsi="仿宋_GB2312" w:eastAsia="仿宋_GB2312" w:cs="Times New Roman"/>
          <w:color w:val="000000"/>
          <w:sz w:val="32"/>
          <w:szCs w:val="24"/>
          <w:lang w:val="en-US"/>
        </w:rPr>
        <w:t>.</w:t>
      </w:r>
      <w:r>
        <w:rPr>
          <w:rFonts w:hint="eastAsia" w:ascii="仿宋_GB2312" w:hAnsi="仿宋_GB2312" w:eastAsia="仿宋_GB2312" w:cs="Times New Roman"/>
          <w:color w:val="000000"/>
          <w:sz w:val="32"/>
          <w:szCs w:val="24"/>
          <w:lang w:val="en-US" w:eastAsia="zh-CN"/>
        </w:rPr>
        <w:t>资源</w:t>
      </w:r>
      <w:r>
        <w:rPr>
          <w:rFonts w:hint="eastAsia" w:ascii="仿宋_GB2312" w:hAnsi="仿宋_GB2312" w:eastAsia="仿宋_GB2312" w:cs="Times New Roman"/>
          <w:color w:val="000000"/>
          <w:sz w:val="32"/>
          <w:szCs w:val="24"/>
          <w:u w:val="none" w:color="FFFFFF"/>
          <w:shd w:val="clear" w:fill="FFFFFF"/>
          <w:lang w:val="en-US" w:eastAsia="zh-CN"/>
        </w:rPr>
        <w:t>勘探和</w:t>
      </w:r>
      <w:r>
        <w:rPr>
          <w:rFonts w:hint="eastAsia" w:ascii="仿宋_GB2312" w:hAnsi="仿宋_GB2312" w:eastAsia="仿宋_GB2312" w:cs="Times New Roman"/>
          <w:color w:val="000000"/>
          <w:sz w:val="32"/>
          <w:szCs w:val="24"/>
          <w:u w:val="none" w:color="FFFFFF"/>
          <w:shd w:val="clear" w:fill="FFFFFF"/>
          <w:lang w:val="en-US" w:eastAsia="zh-CN"/>
        </w:rPr>
        <w:t>工业</w:t>
      </w:r>
      <w:r>
        <w:rPr>
          <w:rFonts w:hint="eastAsia" w:ascii="仿宋_GB2312" w:hAnsi="仿宋_GB2312" w:eastAsia="仿宋_GB2312" w:cs="Times New Roman"/>
          <w:color w:val="000000"/>
          <w:sz w:val="32"/>
          <w:szCs w:val="24"/>
          <w:lang w:val="en-US" w:eastAsia="zh-CN"/>
        </w:rPr>
        <w:t>信息等支出（类）工业和</w:t>
      </w:r>
      <w:r>
        <w:rPr>
          <w:rFonts w:hint="eastAsia" w:ascii="仿宋_GB2312" w:hAnsi="仿宋_GB2312" w:eastAsia="仿宋_GB2312" w:cs="Times New Roman"/>
          <w:color w:val="000000"/>
          <w:sz w:val="32"/>
          <w:szCs w:val="24"/>
          <w:u w:val="none" w:color="FFFFFF"/>
          <w:shd w:val="clear" w:fill="FFFFFF"/>
          <w:lang w:val="en-US" w:eastAsia="zh-CN"/>
        </w:rPr>
        <w:t>信息</w:t>
      </w:r>
      <w:r>
        <w:rPr>
          <w:rFonts w:hint="eastAsia" w:ascii="仿宋_GB2312" w:hAnsi="仿宋_GB2312" w:eastAsia="仿宋_GB2312" w:cs="Times New Roman"/>
          <w:color w:val="000000"/>
          <w:sz w:val="32"/>
          <w:szCs w:val="24"/>
          <w:lang w:val="en-US" w:eastAsia="zh-CN"/>
        </w:rPr>
        <w:t>监管（款</w:t>
      </w:r>
      <w:r>
        <w:rPr>
          <w:rFonts w:hint="eastAsia" w:ascii="仿宋_GB2312" w:hAnsi="仿宋_GB2312" w:eastAsia="仿宋_GB2312" w:cs="Times New Roman"/>
          <w:color w:val="000000"/>
          <w:sz w:val="32"/>
          <w:szCs w:val="24"/>
          <w:lang w:val="en-US"/>
        </w:rPr>
        <w:t>）</w:t>
      </w:r>
      <w:r>
        <w:rPr>
          <w:rFonts w:hint="eastAsia" w:ascii="仿宋_GB2312" w:hAnsi="仿宋_GB2312" w:eastAsia="仿宋_GB2312" w:cs="Times New Roman"/>
          <w:color w:val="000000"/>
          <w:sz w:val="32"/>
          <w:szCs w:val="24"/>
          <w:lang w:val="en-US" w:eastAsia="zh-CN"/>
        </w:rPr>
        <w:t>事业运行（项）反映事业单位的基本支出，不包括行政单位（包括实行公务员管理的事业单位</w:t>
      </w:r>
      <w:r>
        <w:rPr>
          <w:rFonts w:hint="eastAsia" w:ascii="仿宋_GB2312" w:hAnsi="仿宋_GB2312" w:eastAsia="仿宋_GB2312" w:cs="Times New Roman"/>
          <w:color w:val="000000"/>
          <w:sz w:val="32"/>
          <w:szCs w:val="24"/>
          <w:u w:val="none" w:color="FFFFFF"/>
          <w:shd w:val="clear" w:fill="FFFFFF"/>
          <w:lang w:val="en-US" w:eastAsia="zh-CN"/>
        </w:rPr>
        <w:t>）</w:t>
      </w:r>
      <w:r>
        <w:rPr>
          <w:rFonts w:hint="eastAsia" w:ascii="仿宋_GB2312" w:hAnsi="仿宋_GB2312" w:eastAsia="仿宋_GB2312" w:cs="Times New Roman"/>
          <w:color w:val="000000"/>
          <w:sz w:val="32"/>
          <w:szCs w:val="24"/>
          <w:lang w:val="en-US" w:eastAsia="zh-CN"/>
        </w:rPr>
        <w:t>后勤服务中心、医务室等附属事业单位。</w:t>
      </w:r>
    </w:p>
    <w:p>
      <w:pPr>
        <w:spacing w:beforeLines="0" w:afterLines="0" w:line="576" w:lineRule="exact"/>
        <w:ind w:firstLine="640"/>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13.交通运输支出（类）公路水路运输支出（款）海事管理（项）反映海事管理方面的支出。</w:t>
      </w:r>
    </w:p>
    <w:p>
      <w:pPr>
        <w:spacing w:beforeLines="0" w:afterLines="0" w:line="576" w:lineRule="exact"/>
        <w:ind w:firstLine="640"/>
        <w:rPr>
          <w:rFonts w:hint="eastAsia" w:ascii="仿宋_GB2312" w:hAnsi="仿宋_GB2312" w:eastAsia="仿宋_GB2312" w:cs="仿宋_GB2312"/>
          <w:b/>
          <w:color w:val="auto"/>
          <w:kern w:val="2"/>
          <w:sz w:val="32"/>
          <w:szCs w:val="32"/>
          <w:shd w:val="clear" w:color="auto" w:fill="FFFFFF"/>
        </w:rPr>
      </w:pPr>
      <w:r>
        <w:rPr>
          <w:rFonts w:hint="eastAsia" w:ascii="仿宋_GB2312" w:hAnsi="仿宋_GB2312" w:eastAsia="仿宋_GB2312" w:cs="Times New Roman"/>
          <w:color w:val="000000"/>
          <w:sz w:val="32"/>
          <w:szCs w:val="24"/>
          <w:lang w:val="en-US" w:eastAsia="zh-CN"/>
        </w:rPr>
        <w:t>14</w:t>
      </w:r>
      <w:r>
        <w:rPr>
          <w:rFonts w:hint="eastAsia" w:ascii="仿宋_GB2312" w:hAnsi="仿宋_GB2312" w:eastAsia="仿宋_GB2312" w:cs="Times New Roman"/>
          <w:color w:val="000000"/>
          <w:sz w:val="32"/>
          <w:szCs w:val="24"/>
          <w:lang w:val="en-US"/>
        </w:rPr>
        <w:t>.住房保障支出（类）</w:t>
      </w:r>
      <w:r>
        <w:rPr>
          <w:rFonts w:hint="eastAsia" w:ascii="仿宋_GB2312" w:hAnsi="仿宋_GB2312" w:eastAsia="仿宋_GB2312" w:cs="Times New Roman"/>
          <w:color w:val="000000"/>
          <w:sz w:val="32"/>
          <w:szCs w:val="24"/>
          <w:lang w:val="en-US" w:eastAsia="zh-CN"/>
        </w:rPr>
        <w:t>住房改革支出</w:t>
      </w:r>
      <w:r>
        <w:rPr>
          <w:rFonts w:hint="eastAsia" w:ascii="仿宋_GB2312" w:hAnsi="仿宋_GB2312" w:eastAsia="仿宋_GB2312" w:cs="Times New Roman"/>
          <w:color w:val="000000"/>
          <w:sz w:val="32"/>
          <w:szCs w:val="24"/>
          <w:lang w:val="en-US"/>
        </w:rPr>
        <w:t>（款）</w:t>
      </w:r>
      <w:r>
        <w:rPr>
          <w:rFonts w:hint="eastAsia" w:ascii="仿宋_GB2312" w:hAnsi="仿宋_GB2312" w:eastAsia="仿宋_GB2312" w:cs="Times New Roman"/>
          <w:color w:val="000000"/>
          <w:sz w:val="32"/>
          <w:szCs w:val="24"/>
          <w:lang w:val="en-US" w:eastAsia="zh-CN"/>
        </w:rPr>
        <w:t xml:space="preserve"> 住房</w:t>
      </w:r>
      <w:r>
        <w:rPr>
          <w:rFonts w:hint="eastAsia" w:ascii="仿宋_GB2312" w:hAnsi="仿宋_GB2312" w:eastAsia="仿宋_GB2312" w:cs="Times New Roman"/>
          <w:color w:val="000000"/>
          <w:kern w:val="2"/>
          <w:sz w:val="32"/>
          <w:szCs w:val="24"/>
          <w:lang w:val="en-US" w:eastAsia="zh-CN"/>
        </w:rPr>
        <w:t>公积金（项）：</w:t>
      </w:r>
      <w:r>
        <w:rPr>
          <w:rFonts w:hint="eastAsia" w:ascii="仿宋_GB2312" w:hAnsi="仿宋_GB2312" w:eastAsia="仿宋_GB2312" w:cs="Times New Roman"/>
          <w:color w:val="000000"/>
          <w:kern w:val="2"/>
          <w:sz w:val="32"/>
          <w:szCs w:val="24"/>
          <w:lang w:val="en-US"/>
        </w:rPr>
        <w:t>指按照《住房公积金管理条例》规定，由单位及其在</w:t>
      </w:r>
      <w:r>
        <w:rPr>
          <w:rFonts w:hint="eastAsia" w:ascii="仿宋_GB2312" w:hAnsi="仿宋_GB2312" w:eastAsia="仿宋_GB2312" w:cs="仿宋_GB2312"/>
          <w:color w:val="auto"/>
          <w:kern w:val="2"/>
          <w:sz w:val="32"/>
          <w:szCs w:val="32"/>
          <w:shd w:val="clear" w:color="auto" w:fill="FFFFFF"/>
        </w:rPr>
        <w:t>职职工缴存的长期住房储金。</w:t>
      </w:r>
      <w:r>
        <w:rPr>
          <w:rFonts w:hint="eastAsia" w:ascii="仿宋_GB2312" w:hAnsi="仿宋_GB2312" w:eastAsia="仿宋_GB2312" w:cs="仿宋_GB2312"/>
          <w:b/>
          <w:color w:val="auto"/>
          <w:kern w:val="2"/>
          <w:sz w:val="32"/>
          <w:szCs w:val="32"/>
          <w:shd w:val="clear" w:color="auto" w:fill="FFFFFF"/>
        </w:rPr>
        <w:t xml:space="preserve">   </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15</w:t>
      </w:r>
      <w:r>
        <w:rPr>
          <w:rFonts w:hint="eastAsia" w:ascii="仿宋_GB2312" w:hAnsi="仿宋_GB2312" w:eastAsia="仿宋_GB2312"/>
          <w:color w:val="000000"/>
          <w:kern w:val="2"/>
          <w:sz w:val="32"/>
          <w:szCs w:val="24"/>
          <w:lang w:val="en-US"/>
        </w:rPr>
        <w:t>.基本支出：指为保障机构正常运转、完成日常工作任务而发生的人员支出和公用支出。</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16</w:t>
      </w:r>
      <w:r>
        <w:rPr>
          <w:rFonts w:hint="eastAsia" w:ascii="仿宋_GB2312" w:hAnsi="仿宋_GB2312" w:eastAsia="仿宋_GB2312"/>
          <w:color w:val="000000"/>
          <w:kern w:val="2"/>
          <w:sz w:val="32"/>
          <w:szCs w:val="24"/>
          <w:lang w:val="en-US"/>
        </w:rPr>
        <w:t>.项目支出：指在基本支出之</w:t>
      </w:r>
      <w:r>
        <w:rPr>
          <w:rFonts w:hint="eastAsia" w:ascii="仿宋_GB2312" w:hAnsi="仿宋_GB2312" w:eastAsia="仿宋_GB2312"/>
          <w:color w:val="000000"/>
          <w:kern w:val="2"/>
          <w:sz w:val="32"/>
          <w:szCs w:val="24"/>
          <w:u w:val="none" w:color="FFFFFF"/>
          <w:shd w:val="clear" w:fill="FFFFFF"/>
          <w:lang w:val="en-US"/>
        </w:rPr>
        <w:t>外</w:t>
      </w:r>
      <w:r>
        <w:rPr>
          <w:rFonts w:hint="eastAsia" w:ascii="仿宋_GB2312" w:hAnsi="仿宋_GB2312" w:eastAsia="仿宋_GB2312"/>
          <w:color w:val="000000"/>
          <w:kern w:val="2"/>
          <w:sz w:val="32"/>
          <w:szCs w:val="24"/>
          <w:lang w:val="en-US"/>
        </w:rPr>
        <w:t xml:space="preserve">为完成特定行政任务和事业发展目标所发生的支出。 </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17</w:t>
      </w:r>
      <w:r>
        <w:rPr>
          <w:rFonts w:hint="eastAsia" w:ascii="仿宋_GB2312" w:hAnsi="仿宋_GB2312" w:eastAsia="仿宋_GB2312"/>
          <w:color w:val="000000"/>
          <w:kern w:val="2"/>
          <w:sz w:val="32"/>
          <w:szCs w:val="24"/>
          <w:lang w:val="en-US"/>
        </w:rPr>
        <w:t>.经营支出：指事业单位在专业业务活动及其辅助活动之外开展非独立核算经营活动发生的支出。</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18</w:t>
      </w:r>
      <w:r>
        <w:rPr>
          <w:rFonts w:hint="eastAsia" w:ascii="仿宋_GB2312" w:hAnsi="仿宋_GB2312" w:eastAsia="仿宋_GB2312"/>
          <w:color w:val="000000"/>
          <w:sz w:val="32"/>
          <w:szCs w:val="24"/>
          <w:lang w:val="en-US"/>
        </w:rPr>
        <w:t>.“三公”经费：指部门用财政拨款安排的因公出国（境）费、公务用车购置及运行费和公务接待费。</w:t>
      </w:r>
      <w:r>
        <w:rPr>
          <w:rFonts w:hint="eastAsia" w:ascii="仿宋_GB2312" w:hAnsi="仿宋_GB2312" w:eastAsia="仿宋_GB2312"/>
          <w:color w:val="000000"/>
          <w:sz w:val="32"/>
          <w:szCs w:val="24"/>
          <w:u w:val="thick" w:color="98967F"/>
          <w:shd w:val="clear" w:fill="98967F"/>
          <w:lang w:val="en-US"/>
        </w:rPr>
        <w:t>其中，因公出国（境）费反映单位公务出国（境）的国际</w:t>
      </w:r>
      <w:r>
        <w:rPr>
          <w:rFonts w:hint="eastAsia" w:ascii="仿宋_GB2312" w:hAnsi="仿宋_GB2312" w:eastAsia="仿宋_GB2312"/>
          <w:color w:val="000000"/>
          <w:sz w:val="32"/>
          <w:szCs w:val="24"/>
          <w:u w:val="thick" w:color="98967F"/>
          <w:shd w:val="clear" w:fill="98967F"/>
          <w:lang w:val="en-US"/>
        </w:rPr>
        <w:t>旅费</w:t>
      </w:r>
      <w:r>
        <w:rPr>
          <w:rFonts w:hint="eastAsia" w:ascii="仿宋_GB2312" w:hAnsi="仿宋_GB2312" w:eastAsia="仿宋_GB2312"/>
          <w:color w:val="000000"/>
          <w:sz w:val="32"/>
          <w:szCs w:val="24"/>
          <w:u w:val="thick" w:color="98967F"/>
          <w:shd w:val="clear" w:fill="98967F"/>
          <w:lang w:val="en-US"/>
        </w:rPr>
        <w:t>、国外城市间交通费、住宿费、伙食费、培训费、公杂费等支出；</w:t>
      </w:r>
      <w:r>
        <w:rPr>
          <w:rFonts w:hint="eastAsia" w:ascii="仿宋_GB2312" w:hAnsi="仿宋_GB2312" w:eastAsia="仿宋_GB2312"/>
          <w:color w:val="000000"/>
          <w:sz w:val="32"/>
          <w:szCs w:val="24"/>
          <w:lang w:val="en-US"/>
        </w:rPr>
        <w:t>公务用车购置及运行费反映单位公务用车车辆购置支出（含车辆购置税）及租用费、燃料费、维修费、过路过桥费、保险费等支出；公务接待费反映单位按规定开支的各类公务接待（含外宾接待）支出。</w:t>
      </w:r>
    </w:p>
    <w:p>
      <w:pPr>
        <w:keepNext/>
        <w:keepLines/>
        <w:spacing w:beforeLines="0" w:afterLines="0" w:line="576" w:lineRule="exact"/>
        <w:jc w:val="center"/>
        <w:rPr>
          <w:rFonts w:hint="eastAsia" w:ascii="黑体" w:hAnsi="黑体" w:eastAsia="黑体"/>
          <w:color w:val="auto"/>
          <w:kern w:val="44"/>
          <w:sz w:val="44"/>
          <w:szCs w:val="24"/>
          <w:lang w:val="zh-CN"/>
        </w:rPr>
      </w:pPr>
      <w:r>
        <w:rPr>
          <w:rFonts w:hint="eastAsia" w:ascii="仿宋_GB2312" w:hAnsi="仿宋_GB2312" w:eastAsia="仿宋_GB2312"/>
          <w:color w:val="000000"/>
          <w:sz w:val="32"/>
          <w:szCs w:val="24"/>
          <w:lang w:val="en-US" w:eastAsia="zh-CN"/>
        </w:rPr>
        <w:t xml:space="preserve">   19</w:t>
      </w:r>
      <w:r>
        <w:rPr>
          <w:rFonts w:hint="eastAsia" w:ascii="仿宋_GB2312" w:hAnsi="仿宋_GB2312" w:eastAsia="仿宋_GB2312"/>
          <w:color w:val="000000"/>
          <w:sz w:val="32"/>
          <w:szCs w:val="24"/>
          <w:lang w:val="en-US"/>
        </w:rPr>
        <w:t>.机关运行经费：</w:t>
      </w:r>
      <w:r>
        <w:rPr>
          <w:rFonts w:hint="eastAsia"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sectPr>
          <w:pgSz w:w="12240" w:h="15840"/>
          <w:pgMar w:top="1440" w:right="1800" w:bottom="1440" w:left="1800" w:header="720" w:footer="720" w:gutter="0"/>
          <w:lnNumType w:countBy="0" w:distance="360"/>
          <w:cols w:space="720" w:num="1"/>
        </w:sectPr>
      </w:pPr>
    </w:p>
    <w:p>
      <w:pPr>
        <w:spacing w:beforeLines="0" w:afterLines="0" w:line="600" w:lineRule="exact"/>
        <w:jc w:val="center"/>
        <w:rPr>
          <w:rFonts w:hint="eastAsia" w:ascii="黑体" w:hAnsi="黑体" w:eastAsia="黑体"/>
          <w:color w:val="auto"/>
          <w:kern w:val="44"/>
          <w:sz w:val="44"/>
          <w:szCs w:val="24"/>
          <w:lang w:val="en-US"/>
        </w:rPr>
      </w:pPr>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w:t>
      </w:r>
      <w:bookmarkStart w:id="0" w:name="_GoBack"/>
      <w:r>
        <w:rPr>
          <w:rFonts w:hint="eastAsia" w:ascii="黑体" w:hAnsi="黑体" w:eastAsia="黑体"/>
          <w:color w:val="auto"/>
          <w:kern w:val="44"/>
          <w:sz w:val="44"/>
          <w:szCs w:val="24"/>
          <w:u w:val="none" w:color="FFFFFF"/>
          <w:shd w:val="clear" w:fill="FFFFFF"/>
          <w:lang w:val="en-US"/>
        </w:rPr>
        <w:t xml:space="preserve">部分 </w:t>
      </w:r>
      <w:bookmarkEnd w:id="0"/>
      <w:r>
        <w:rPr>
          <w:rFonts w:hint="eastAsia" w:ascii="黑体" w:hAnsi="黑体" w:eastAsia="黑体"/>
          <w:color w:val="auto"/>
          <w:kern w:val="44"/>
          <w:sz w:val="44"/>
          <w:szCs w:val="24"/>
          <w:u w:val="none" w:color="FFFFFF"/>
          <w:shd w:val="clear" w:fill="FFFFFF"/>
          <w:lang w:val="en-US"/>
        </w:rPr>
        <w:t>附件</w:t>
      </w:r>
    </w:p>
    <w:p>
      <w:pPr>
        <w:keepNext/>
        <w:keepLines/>
        <w:spacing w:beforeLines="0" w:afterLines="0" w:line="572" w:lineRule="exact"/>
        <w:rPr>
          <w:rFonts w:hint="eastAsia" w:ascii="仿宋_GB2312" w:hAnsi="仿宋_GB2312" w:eastAsia="仿宋_GB2312"/>
          <w:color w:val="auto"/>
          <w:kern w:val="2"/>
          <w:sz w:val="32"/>
          <w:szCs w:val="24"/>
          <w:lang w:val="en-US"/>
        </w:rPr>
      </w:pPr>
    </w:p>
    <w:p>
      <w:pPr>
        <w:spacing w:beforeLines="0" w:afterLines="0" w:line="600" w:lineRule="exact"/>
        <w:jc w:val="center"/>
        <w:rPr>
          <w:rFonts w:hint="default" w:ascii="宋体" w:hAnsi="宋体" w:eastAsia="宋体"/>
          <w:color w:val="auto"/>
          <w:sz w:val="32"/>
          <w:szCs w:val="24"/>
          <w:lang w:val="en-US" w:eastAsia="zh-CN"/>
        </w:rPr>
      </w:pPr>
      <w:r>
        <w:rPr>
          <w:rFonts w:hint="eastAsia" w:ascii="宋体" w:hAnsi="宋体" w:eastAsia="宋体"/>
          <w:color w:val="auto"/>
          <w:sz w:val="32"/>
          <w:szCs w:val="24"/>
          <w:lang w:val="en-US"/>
        </w:rPr>
        <w:t>部门预算项目支出绩效自评表</w:t>
      </w:r>
      <w:r>
        <w:rPr>
          <w:rFonts w:hint="eastAsia" w:ascii="宋体" w:hAnsi="宋体"/>
          <w:color w:val="auto"/>
          <w:sz w:val="32"/>
          <w:szCs w:val="24"/>
          <w:lang w:val="en-US" w:eastAsia="zh-CN"/>
        </w:rPr>
        <w:t>：无</w:t>
      </w:r>
    </w:p>
    <w:p>
      <w:pPr>
        <w:spacing w:beforeLines="0" w:afterLines="0" w:line="600" w:lineRule="exact"/>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pPr>
    </w:p>
    <w:p>
      <w:pPr>
        <w:spacing w:beforeLines="0" w:afterLines="0"/>
        <w:jc w:val="both"/>
        <w:rPr>
          <w:rFonts w:hint="eastAsia" w:ascii="仿宋_GB2312" w:hAnsi="仿宋_GB2312" w:eastAsia="仿宋_GB2312"/>
          <w:color w:val="auto"/>
          <w:sz w:val="32"/>
          <w:szCs w:val="24"/>
          <w:lang w:val="en-US"/>
        </w:rPr>
        <w:sectPr>
          <w:pgSz w:w="12240" w:h="15840"/>
          <w:pgMar w:top="1440" w:right="1803" w:bottom="1440" w:left="1803" w:header="720" w:footer="720" w:gutter="0"/>
          <w:lnNumType w:countBy="0" w:distance="360"/>
          <w:cols w:space="720" w:num="1"/>
        </w:sectPr>
      </w:pPr>
    </w:p>
    <w:p>
      <w:pPr>
        <w:numPr>
          <w:ilvl w:val="0"/>
          <w:numId w:val="2"/>
        </w:numPr>
        <w:spacing w:beforeLines="0" w:afterLines="0" w:line="600" w:lineRule="exact"/>
        <w:jc w:val="center"/>
        <w:rPr>
          <w:rFonts w:hint="eastAsia" w:ascii="黑体" w:hAnsi="黑体" w:eastAsia="黑体"/>
          <w:color w:val="auto"/>
          <w:kern w:val="44"/>
          <w:sz w:val="44"/>
          <w:szCs w:val="24"/>
          <w:lang w:val="en-US"/>
        </w:rPr>
      </w:pPr>
      <w:r>
        <w:rPr>
          <w:rFonts w:hint="eastAsia" w:ascii="黑体" w:hAnsi="黑体" w:eastAsia="黑体"/>
          <w:color w:val="auto"/>
          <w:kern w:val="44"/>
          <w:sz w:val="44"/>
          <w:szCs w:val="24"/>
          <w:lang w:val="en-US"/>
        </w:rPr>
        <w:t>附表</w:t>
      </w:r>
    </w:p>
    <w:p>
      <w:pPr>
        <w:numPr>
          <w:ilvl w:val="0"/>
          <w:numId w:val="3"/>
        </w:numPr>
        <w:spacing w:beforeLines="0" w:afterLines="0" w:line="52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收入支出决算总表</w:t>
      </w:r>
    </w:p>
    <w:p>
      <w:pPr>
        <w:numPr>
          <w:ilvl w:val="0"/>
          <w:numId w:val="3"/>
        </w:numPr>
        <w:spacing w:beforeLines="0" w:afterLines="0" w:line="52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收入决算表</w:t>
      </w:r>
    </w:p>
    <w:p>
      <w:pPr>
        <w:numPr>
          <w:ilvl w:val="0"/>
          <w:numId w:val="3"/>
        </w:numPr>
        <w:spacing w:beforeLines="0" w:afterLines="0" w:line="52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支出决算表</w:t>
      </w:r>
    </w:p>
    <w:p>
      <w:pPr>
        <w:numPr>
          <w:ilvl w:val="0"/>
          <w:numId w:val="0"/>
        </w:numPr>
        <w:spacing w:beforeLines="0" w:afterLines="0" w:line="52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四、财政拨款收入支出决算总表</w:t>
      </w:r>
    </w:p>
    <w:p>
      <w:pPr>
        <w:pStyle w:val="3"/>
        <w:keepNext/>
        <w:keepLines/>
        <w:spacing w:beforeLines="0" w:afterLines="0" w:line="52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五、财政拨款支出决算明细表</w:t>
      </w:r>
    </w:p>
    <w:p>
      <w:pPr>
        <w:pStyle w:val="3"/>
        <w:keepNext/>
        <w:keepLines/>
        <w:spacing w:beforeLines="0" w:afterLines="0" w:line="52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六、一般公共预算财政拨款支出决算表</w:t>
      </w:r>
    </w:p>
    <w:p>
      <w:pPr>
        <w:pStyle w:val="3"/>
        <w:keepNext/>
        <w:keepLines/>
        <w:spacing w:beforeLines="0" w:afterLines="0" w:line="52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七、一般公共预算财政拨款支出决算明细表</w:t>
      </w:r>
    </w:p>
    <w:p>
      <w:pPr>
        <w:pStyle w:val="3"/>
        <w:keepNext/>
        <w:keepLines/>
        <w:spacing w:beforeLines="0" w:afterLines="0" w:line="52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八、一般公共预算财政拨款基本支出决算表</w:t>
      </w:r>
    </w:p>
    <w:p>
      <w:pPr>
        <w:pStyle w:val="3"/>
        <w:keepNext/>
        <w:keepLines/>
        <w:spacing w:beforeLines="0" w:afterLines="0" w:line="52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九、一般公共预算财政拨款项目支出决算表</w:t>
      </w:r>
    </w:p>
    <w:p>
      <w:pPr>
        <w:pStyle w:val="3"/>
        <w:keepNext/>
        <w:keepLines/>
        <w:spacing w:beforeLines="0" w:afterLines="0" w:line="52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十、政府性基金预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p>
    <w:p>
      <w:pPr>
        <w:pStyle w:val="3"/>
        <w:keepNext/>
        <w:keepLines/>
        <w:spacing w:beforeLines="0" w:afterLines="0" w:line="52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十一、国有资本经营预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p>
    <w:p>
      <w:pPr>
        <w:pStyle w:val="3"/>
        <w:keepNext/>
        <w:keepLines/>
        <w:spacing w:beforeLines="0" w:afterLines="0" w:line="52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十二、国有资本经营预算财政拨款支出决算表</w:t>
      </w:r>
    </w:p>
    <w:p>
      <w:pPr>
        <w:pStyle w:val="3"/>
        <w:keepNext/>
        <w:keepLines/>
        <w:spacing w:beforeLines="0" w:afterLines="0" w:line="520" w:lineRule="exact"/>
        <w:jc w:val="both"/>
        <w:rPr>
          <w:rFonts w:hint="eastAsia" w:ascii="仿宋" w:hAnsi="仿宋" w:eastAsia="仿宋"/>
          <w:b/>
          <w:color w:val="auto"/>
          <w:kern w:val="2"/>
          <w:sz w:val="32"/>
          <w:szCs w:val="24"/>
          <w:lang w:val="en-US"/>
        </w:rPr>
      </w:pPr>
      <w:r>
        <w:rPr>
          <w:rFonts w:hint="eastAsia" w:ascii="仿宋" w:hAnsi="仿宋" w:eastAsia="仿宋"/>
          <w:color w:val="auto"/>
          <w:kern w:val="2"/>
          <w:sz w:val="32"/>
          <w:szCs w:val="24"/>
          <w:lang w:val="en-US"/>
        </w:rPr>
        <w:t>十三、财政拨款“三公”经费支出决算表</w:t>
      </w:r>
    </w:p>
    <w:p>
      <w:pPr>
        <w:spacing w:beforeLines="0" w:afterLines="0" w:line="520" w:lineRule="exact"/>
        <w:rPr>
          <w:rFonts w:hint="eastAsia" w:ascii="华文中宋" w:hAnsi="华文中宋" w:eastAsia="华文中宋"/>
          <w:color w:val="auto"/>
          <w:kern w:val="2"/>
          <w:sz w:val="36"/>
          <w:szCs w:val="24"/>
          <w:lang w:val="en-US"/>
        </w:rPr>
      </w:pPr>
    </w:p>
    <w:p>
      <w:pPr>
        <w:numPr>
          <w:ilvl w:val="0"/>
          <w:numId w:val="0"/>
        </w:numPr>
        <w:spacing w:beforeLines="0" w:afterLines="0" w:line="520" w:lineRule="exact"/>
        <w:jc w:val="both"/>
        <w:rPr>
          <w:rFonts w:hint="eastAsia" w:ascii="仿宋" w:hAnsi="仿宋" w:eastAsia="仿宋"/>
          <w:color w:val="auto"/>
          <w:kern w:val="2"/>
          <w:sz w:val="32"/>
          <w:szCs w:val="24"/>
          <w:lang w:val="en-US"/>
        </w:rPr>
      </w:pPr>
    </w:p>
    <w:p>
      <w:pPr>
        <w:spacing w:beforeLines="0" w:afterLines="0" w:line="520" w:lineRule="exact"/>
        <w:rPr>
          <w:rFonts w:hint="eastAsia" w:ascii="华文中宋" w:hAnsi="华文中宋" w:eastAsia="华文中宋"/>
          <w:color w:val="auto"/>
          <w:kern w:val="2"/>
          <w:sz w:val="36"/>
          <w:szCs w:val="24"/>
          <w:lang w:val="en-US"/>
        </w:rPr>
      </w:pPr>
    </w:p>
    <w:sectPr>
      <w:pgSz w:w="12240" w:h="15840"/>
      <w:pgMar w:top="1440" w:right="1803" w:bottom="1440" w:left="1803"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934921-5237-4EE2-A40D-E458158332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65E7FFD3-2F96-4295-986A-40E146844E4D}"/>
  </w:font>
  <w:font w:name="仿宋">
    <w:panose1 w:val="02010609060101010101"/>
    <w:charset w:val="86"/>
    <w:family w:val="modern"/>
    <w:pitch w:val="default"/>
    <w:sig w:usb0="800002BF" w:usb1="38CF7CFA" w:usb2="00000016" w:usb3="00000000" w:csb0="00040001" w:csb1="00000000"/>
    <w:embedRegular r:id="rId3" w:fontKey="{F4972994-1752-455D-9F87-D8D2E437A412}"/>
  </w:font>
  <w:font w:name="仿宋_GB2312">
    <w:panose1 w:val="02010609030101010101"/>
    <w:charset w:val="86"/>
    <w:family w:val="modern"/>
    <w:pitch w:val="default"/>
    <w:sig w:usb0="00000001" w:usb1="080E0000" w:usb2="00000000" w:usb3="00000000" w:csb0="00040000" w:csb1="00000000"/>
    <w:embedRegular r:id="rId4" w:fontKey="{77845165-888C-4F9C-92E0-10F071BC30DC}"/>
  </w:font>
  <w:font w:name="微软雅黑">
    <w:panose1 w:val="020B0503020204020204"/>
    <w:charset w:val="86"/>
    <w:family w:val="auto"/>
    <w:pitch w:val="default"/>
    <w:sig w:usb0="80000287" w:usb1="280F3C52" w:usb2="00000016" w:usb3="00000000" w:csb0="0004001F" w:csb1="00000000"/>
    <w:embedRegular r:id="rId5" w:fontKey="{84C96F11-0757-4BD1-8BB2-55D969089DB9}"/>
  </w:font>
  <w:font w:name="Cambria">
    <w:panose1 w:val="02040503050406030204"/>
    <w:charset w:val="00"/>
    <w:family w:val="roman"/>
    <w:pitch w:val="default"/>
    <w:sig w:usb0="E00002FF" w:usb1="400004FF" w:usb2="00000000" w:usb3="00000000" w:csb0="2000019F" w:csb1="00000000"/>
    <w:embedRegular r:id="rId6" w:fontKey="{5D4297FD-A456-4337-8721-6C5E06FCB50E}"/>
  </w:font>
  <w:font w:name="华文中宋">
    <w:panose1 w:val="02010600040101010101"/>
    <w:charset w:val="86"/>
    <w:family w:val="auto"/>
    <w:pitch w:val="default"/>
    <w:sig w:usb0="00000287" w:usb1="080F0000" w:usb2="00000000" w:usb3="00000000" w:csb0="0004009F" w:csb1="DFD70000"/>
    <w:embedRegular r:id="rId7" w:fontKey="{F6D937C0-7BB2-463D-BF8D-FA826DCDA71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1BBB9"/>
    <w:multiLevelType w:val="multilevel"/>
    <w:tmpl w:val="8DE1BBB9"/>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FA0DDDBF"/>
    <w:multiLevelType w:val="multilevel"/>
    <w:tmpl w:val="FA0DDDBF"/>
    <w:lvl w:ilvl="0" w:tentative="0">
      <w:start w:val="5"/>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230EE4F1"/>
    <w:multiLevelType w:val="multilevel"/>
    <w:tmpl w:val="230EE4F1"/>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NmM5ZjQxMzIwMjQwNWMyODAyMThjMGY3Yzc2MzUifQ=="/>
  </w:docVars>
  <w:rsids>
    <w:rsidRoot w:val="00172A27"/>
    <w:rsid w:val="1F7E196B"/>
    <w:rsid w:val="303657C8"/>
    <w:rsid w:val="37346BF5"/>
    <w:rsid w:val="4FD30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6">
    <w:name w:val="Default Paragraph Font"/>
    <w:unhideWhenUsed/>
    <w:qFormat/>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4">
    <w:name w:val="Normal (Web)"/>
    <w:basedOn w:val="1"/>
    <w:unhideWhenUsed/>
    <w:qFormat/>
    <w:uiPriority w:val="0"/>
    <w:pPr>
      <w:spacing w:beforeLines="0" w:afterLines="0"/>
    </w:pPr>
    <w:rPr>
      <w:rFonts w:hint="default"/>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2023-11-16T07:46:00Z</dcterms:created>
  <dc:creator>Administrator</dc:creator>
  <cp:lastModifiedBy>HigherGang的cuz！</cp:lastModifiedBy>
  <dcterms:modified xsi:type="dcterms:W3CDTF">2023-11-27T03:19:55Z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1660880316A0422DBBE1D67BA1781CA8_13</vt:lpwstr>
  </property>
</Properties>
</file>