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360" w:lineRule="auto"/>
        <w:jc w:val="center"/>
        <w:rPr>
          <w:rFonts w:hint="eastAsia" w:ascii="方正小标宋简体" w:hAnsi="方正小标宋简体" w:eastAsia="方正小标宋简体"/>
          <w:kern w:val="2"/>
          <w:sz w:val="72"/>
          <w:szCs w:val="24"/>
          <w:lang w:val="zh-CN"/>
        </w:rPr>
      </w:pPr>
    </w:p>
    <w:p>
      <w:pPr>
        <w:spacing w:beforeLines="0" w:afterLines="0" w:line="360" w:lineRule="auto"/>
        <w:jc w:val="center"/>
        <w:rPr>
          <w:rFonts w:hint="eastAsia" w:ascii="方正小标宋简体" w:hAnsi="方正小标宋简体" w:eastAsia="方正小标宋简体"/>
          <w:kern w:val="2"/>
          <w:sz w:val="72"/>
          <w:szCs w:val="24"/>
          <w:lang w:val="zh-CN"/>
        </w:rPr>
      </w:pPr>
    </w:p>
    <w:p>
      <w:pPr>
        <w:spacing w:beforeLines="0" w:afterLines="0" w:line="360" w:lineRule="auto"/>
        <w:jc w:val="center"/>
        <w:rPr>
          <w:rFonts w:hint="eastAsia" w:ascii="方正小标宋简体" w:hAnsi="方正小标宋简体" w:eastAsia="方正小标宋简体"/>
          <w:kern w:val="2"/>
          <w:sz w:val="72"/>
          <w:szCs w:val="24"/>
          <w:lang w:val="zh-CN"/>
        </w:rPr>
      </w:pP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通江县</w:t>
      </w:r>
      <w:r>
        <w:rPr>
          <w:rFonts w:hint="eastAsia" w:ascii="方正小标宋简体" w:hAnsi="方正小标宋简体" w:eastAsia="方正小标宋简体"/>
          <w:kern w:val="2"/>
          <w:sz w:val="72"/>
          <w:szCs w:val="24"/>
          <w:lang w:val="en-US" w:eastAsia="zh-CN"/>
        </w:rPr>
        <w:t>广纳镇梓潼</w:t>
      </w:r>
      <w:r>
        <w:rPr>
          <w:rFonts w:hint="eastAsia" w:ascii="方正小标宋简体" w:hAnsi="方正小标宋简体" w:eastAsia="方正小标宋简体"/>
          <w:kern w:val="2"/>
          <w:sz w:val="72"/>
          <w:szCs w:val="24"/>
          <w:lang w:val="zh-CN"/>
        </w:rPr>
        <w:t>小学</w:t>
      </w: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单位决算</w:t>
      </w:r>
    </w:p>
    <w:p>
      <w:pPr>
        <w:keepNext/>
        <w:keepLines/>
        <w:tabs>
          <w:tab w:val="right" w:leader="dot" w:pos="8296"/>
        </w:tabs>
        <w:spacing w:beforeLines="0" w:afterLines="0" w:line="576" w:lineRule="exact"/>
        <w:rPr>
          <w:rFonts w:hint="eastAsia" w:ascii="黑体" w:hAnsi="黑体" w:eastAsia="黑体"/>
          <w:b/>
          <w:color w:val="FF0000"/>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pStyle w:val="2"/>
        <w:rPr>
          <w:rFonts w:hint="eastAsia" w:ascii="黑体" w:hAnsi="黑体" w:eastAsia="黑体"/>
          <w:color w:val="auto"/>
          <w:kern w:val="2"/>
          <w:sz w:val="48"/>
          <w:szCs w:val="24"/>
          <w:lang w:val="zh-CN"/>
        </w:rPr>
      </w:pPr>
    </w:p>
    <w:p>
      <w:pPr>
        <w:pStyle w:val="2"/>
        <w:rPr>
          <w:rFonts w:hint="eastAsia" w:ascii="黑体" w:hAnsi="黑体" w:eastAsia="黑体"/>
          <w:color w:val="auto"/>
          <w:kern w:val="2"/>
          <w:sz w:val="48"/>
          <w:szCs w:val="24"/>
          <w:lang w:val="zh-CN"/>
        </w:rPr>
      </w:pPr>
    </w:p>
    <w:p>
      <w:pPr>
        <w:spacing w:beforeLines="0" w:afterLines="0" w:line="360" w:lineRule="exact"/>
        <w:jc w:val="center"/>
        <w:rPr>
          <w:rFonts w:hint="eastAsia" w:ascii="黑体" w:hAnsi="黑体" w:eastAsia="黑体"/>
          <w:color w:val="auto"/>
          <w:kern w:val="2"/>
          <w:sz w:val="32"/>
          <w:szCs w:val="24"/>
          <w:lang w:val="zh-CN"/>
        </w:rPr>
      </w:pPr>
    </w:p>
    <w:p>
      <w:pPr>
        <w:spacing w:beforeLines="0" w:afterLines="0" w:line="360" w:lineRule="exact"/>
        <w:jc w:val="center"/>
        <w:rPr>
          <w:rFonts w:hint="eastAsia" w:ascii="黑体" w:hAnsi="黑体" w:eastAsia="黑体"/>
          <w:color w:val="auto"/>
          <w:kern w:val="2"/>
          <w:sz w:val="32"/>
          <w:szCs w:val="24"/>
          <w:lang w:val="zh-CN"/>
        </w:rPr>
      </w:pPr>
      <w:r>
        <w:rPr>
          <w:rFonts w:hint="eastAsia" w:ascii="黑体" w:hAnsi="黑体" w:eastAsia="黑体"/>
          <w:color w:val="auto"/>
          <w:kern w:val="2"/>
          <w:sz w:val="32"/>
          <w:szCs w:val="24"/>
          <w:lang w:val="zh-CN"/>
        </w:rPr>
        <w:t>目</w:t>
      </w:r>
      <w:r>
        <w:rPr>
          <w:rFonts w:hint="eastAsia" w:ascii="黑体" w:hAnsi="黑体" w:eastAsia="黑体"/>
          <w:color w:val="auto"/>
          <w:kern w:val="2"/>
          <w:sz w:val="32"/>
          <w:szCs w:val="24"/>
          <w:lang w:val="en-US" w:eastAsia="zh-CN"/>
        </w:rPr>
        <w:t xml:space="preserve">   </w:t>
      </w:r>
      <w:r>
        <w:rPr>
          <w:rFonts w:hint="eastAsia" w:ascii="黑体" w:hAnsi="黑体" w:eastAsia="黑体"/>
          <w:color w:val="auto"/>
          <w:kern w:val="2"/>
          <w:sz w:val="32"/>
          <w:szCs w:val="24"/>
          <w:lang w:val="zh-CN"/>
        </w:rPr>
        <w:t>录</w:t>
      </w:r>
    </w:p>
    <w:p>
      <w:pPr>
        <w:spacing w:beforeLines="0" w:afterLines="0" w:line="360" w:lineRule="exact"/>
        <w:jc w:val="center"/>
        <w:rPr>
          <w:rFonts w:hint="eastAsia" w:ascii="黑体" w:hAnsi="黑体" w:eastAsia="黑体"/>
          <w:color w:val="auto"/>
          <w:kern w:val="2"/>
          <w:sz w:val="20"/>
          <w:szCs w:val="24"/>
          <w:lang w:val="zh-CN"/>
        </w:rPr>
      </w:pPr>
    </w:p>
    <w:p>
      <w:pPr>
        <w:tabs>
          <w:tab w:val="right" w:leader="dot" w:pos="8296"/>
        </w:tabs>
        <w:spacing w:before="93" w:beforeLines="0" w:afterLines="0" w:line="360" w:lineRule="exact"/>
        <w:jc w:val="center"/>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公开时间：2023年</w:t>
      </w:r>
      <w:r>
        <w:rPr>
          <w:rFonts w:hint="eastAsia" w:ascii="仿宋" w:hAnsi="仿宋" w:eastAsia="仿宋" w:cs="仿宋"/>
          <w:color w:val="auto"/>
          <w:kern w:val="2"/>
          <w:sz w:val="28"/>
          <w:szCs w:val="28"/>
          <w:lang w:val="en-US" w:eastAsia="zh-CN"/>
        </w:rPr>
        <w:t>8</w:t>
      </w:r>
      <w:r>
        <w:rPr>
          <w:rFonts w:hint="eastAsia" w:ascii="仿宋" w:hAnsi="仿宋" w:eastAsia="仿宋" w:cs="仿宋"/>
          <w:color w:val="auto"/>
          <w:kern w:val="2"/>
          <w:sz w:val="28"/>
          <w:szCs w:val="28"/>
          <w:lang w:val="zh-CN"/>
        </w:rPr>
        <w:t>月</w:t>
      </w:r>
      <w:r>
        <w:rPr>
          <w:rFonts w:hint="eastAsia" w:ascii="仿宋" w:hAnsi="仿宋" w:eastAsia="仿宋" w:cs="仿宋"/>
          <w:color w:val="auto"/>
          <w:kern w:val="2"/>
          <w:sz w:val="28"/>
          <w:szCs w:val="28"/>
          <w:lang w:val="en-US" w:eastAsia="zh-CN"/>
        </w:rPr>
        <w:t>30</w:t>
      </w:r>
      <w:r>
        <w:rPr>
          <w:rFonts w:hint="eastAsia" w:ascii="仿宋" w:hAnsi="仿宋" w:eastAsia="仿宋" w:cs="仿宋"/>
          <w:color w:val="auto"/>
          <w:kern w:val="2"/>
          <w:sz w:val="28"/>
          <w:szCs w:val="28"/>
          <w:lang w:val="zh-CN"/>
        </w:rPr>
        <w:t>日</w:t>
      </w:r>
    </w:p>
    <w:p>
      <w:pPr>
        <w:spacing w:beforeLines="0" w:afterLines="0" w:line="360" w:lineRule="exact"/>
        <w:jc w:val="both"/>
        <w:rPr>
          <w:rFonts w:hint="eastAsia" w:ascii="仿宋" w:hAnsi="仿宋" w:eastAsia="仿宋" w:cs="仿宋"/>
          <w:color w:val="auto"/>
          <w:kern w:val="2"/>
          <w:sz w:val="20"/>
          <w:szCs w:val="20"/>
          <w:lang w:val="zh-CN"/>
        </w:rPr>
      </w:pP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jc w:val="left"/>
        <w:textAlignment w:val="auto"/>
        <w:rPr>
          <w:rFonts w:hint="eastAsia" w:cs="仿宋"/>
          <w:color w:val="auto"/>
          <w:kern w:val="2"/>
          <w:sz w:val="20"/>
          <w:szCs w:val="20"/>
          <w:lang w:val="en-US"/>
        </w:rPr>
      </w:pPr>
      <w:r>
        <w:rPr>
          <w:rFonts w:hint="eastAsia" w:cs="仿宋"/>
          <w:color w:val="auto"/>
          <w:kern w:val="2"/>
          <w:sz w:val="20"/>
          <w:szCs w:val="20"/>
          <w:lang w:val="zh-CN"/>
        </w:rPr>
        <w:t>第一部分 单位概况</w:t>
      </w:r>
      <w:r>
        <w:rPr>
          <w:rFonts w:hint="eastAsia" w:cs="仿宋"/>
          <w:color w:val="auto"/>
          <w:sz w:val="20"/>
          <w:szCs w:val="20"/>
          <w:lang w:val="en-US" w:eastAsia="zh-CN"/>
        </w:rPr>
        <w:t>-----------------------------------------------------------------3</w:t>
      </w:r>
    </w:p>
    <w:p>
      <w:pPr>
        <w:pStyle w:val="6"/>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kern w:val="2"/>
          <w:sz w:val="20"/>
          <w:szCs w:val="20"/>
          <w:lang w:val="zh-CN"/>
        </w:rPr>
        <w:t>一、部门职责</w:t>
      </w:r>
      <w:r>
        <w:rPr>
          <w:rFonts w:hint="eastAsia" w:ascii="仿宋" w:hAnsi="仿宋" w:eastAsia="仿宋" w:cs="仿宋"/>
          <w:color w:val="auto"/>
          <w:sz w:val="20"/>
          <w:szCs w:val="20"/>
          <w:lang w:val="en-US" w:eastAsia="zh-CN"/>
        </w:rPr>
        <w:t>-----------------------------------------------------------------3</w:t>
      </w:r>
    </w:p>
    <w:p>
      <w:pPr>
        <w:pStyle w:val="6"/>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textAlignment w:val="auto"/>
        <w:rPr>
          <w:rFonts w:hint="eastAsia" w:ascii="仿宋" w:hAnsi="仿宋" w:eastAsia="仿宋" w:cs="仿宋"/>
          <w:color w:val="auto"/>
          <w:kern w:val="2"/>
          <w:sz w:val="20"/>
          <w:szCs w:val="20"/>
          <w:lang w:val="en-US"/>
        </w:rPr>
      </w:pPr>
      <w:r>
        <w:rPr>
          <w:rFonts w:hint="eastAsia" w:ascii="仿宋" w:hAnsi="仿宋" w:eastAsia="仿宋" w:cs="仿宋"/>
          <w:color w:val="auto"/>
          <w:kern w:val="2"/>
          <w:sz w:val="20"/>
          <w:szCs w:val="20"/>
          <w:lang w:val="zh-CN"/>
        </w:rPr>
        <w:t>二、机构设置</w:t>
      </w:r>
      <w:r>
        <w:rPr>
          <w:rFonts w:hint="eastAsia" w:ascii="仿宋" w:hAnsi="仿宋" w:eastAsia="仿宋" w:cs="仿宋"/>
          <w:color w:val="auto"/>
          <w:sz w:val="20"/>
          <w:szCs w:val="20"/>
          <w:lang w:val="en-US" w:eastAsia="zh-CN"/>
        </w:rPr>
        <w:t>-----------------------------------------------------------------3</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jc w:val="left"/>
        <w:textAlignment w:val="auto"/>
        <w:rPr>
          <w:rFonts w:hint="eastAsia" w:cs="仿宋"/>
          <w:color w:val="auto"/>
          <w:kern w:val="2"/>
          <w:sz w:val="20"/>
          <w:szCs w:val="20"/>
          <w:lang w:val="zh-CN"/>
        </w:rPr>
      </w:pPr>
      <w:r>
        <w:rPr>
          <w:rFonts w:hint="eastAsia" w:cs="仿宋"/>
          <w:color w:val="auto"/>
          <w:kern w:val="2"/>
          <w:sz w:val="20"/>
          <w:szCs w:val="20"/>
          <w:lang w:val="zh-CN"/>
        </w:rPr>
        <w:t>第二部分 2022年度单位决算情况说明</w:t>
      </w:r>
      <w:r>
        <w:rPr>
          <w:rFonts w:hint="eastAsia" w:cs="仿宋"/>
          <w:color w:val="auto"/>
          <w:sz w:val="20"/>
          <w:szCs w:val="20"/>
          <w:lang w:val="en-US" w:eastAsia="zh-CN"/>
        </w:rPr>
        <w:t>-------------------------------------------------3</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ind w:firstLine="400" w:firstLineChars="200"/>
        <w:jc w:val="left"/>
        <w:textAlignment w:val="auto"/>
        <w:rPr>
          <w:rFonts w:hint="eastAsia" w:cs="仿宋"/>
          <w:color w:val="auto"/>
          <w:sz w:val="20"/>
          <w:szCs w:val="20"/>
          <w:lang w:val="en-US" w:eastAsia="zh-CN"/>
        </w:rPr>
      </w:pPr>
      <w:r>
        <w:rPr>
          <w:rFonts w:hint="eastAsia" w:cs="仿宋"/>
          <w:color w:val="auto"/>
          <w:kern w:val="2"/>
          <w:sz w:val="20"/>
          <w:szCs w:val="20"/>
          <w:lang w:val="zh-CN"/>
        </w:rPr>
        <w:t>一、收入支出决算总体情况说明</w:t>
      </w:r>
      <w:r>
        <w:rPr>
          <w:rFonts w:hint="eastAsia" w:cs="仿宋"/>
          <w:color w:val="auto"/>
          <w:sz w:val="20"/>
          <w:szCs w:val="20"/>
          <w:lang w:val="en-US" w:eastAsia="zh-CN"/>
        </w:rPr>
        <w:t>--------------------------------------------------3</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ind w:firstLine="400" w:firstLineChars="200"/>
        <w:jc w:val="left"/>
        <w:textAlignment w:val="auto"/>
        <w:rPr>
          <w:rFonts w:hint="eastAsia" w:cs="仿宋"/>
          <w:color w:val="auto"/>
          <w:kern w:val="2"/>
          <w:sz w:val="20"/>
          <w:szCs w:val="20"/>
          <w:lang w:val="zh-CN"/>
        </w:rPr>
      </w:pPr>
      <w:r>
        <w:rPr>
          <w:rFonts w:hint="eastAsia" w:cs="仿宋"/>
          <w:color w:val="auto"/>
          <w:kern w:val="2"/>
          <w:sz w:val="20"/>
          <w:szCs w:val="20"/>
          <w:lang w:val="zh-CN"/>
        </w:rPr>
        <w:t>二、收入决算情况说明</w:t>
      </w:r>
      <w:r>
        <w:rPr>
          <w:rFonts w:hint="eastAsia" w:cs="仿宋"/>
          <w:color w:val="auto"/>
          <w:sz w:val="20"/>
          <w:szCs w:val="20"/>
          <w:lang w:val="en-US" w:eastAsia="zh-CN"/>
        </w:rPr>
        <w:t>----------------------------------------------------------4</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ind w:firstLine="400" w:firstLineChars="200"/>
        <w:jc w:val="left"/>
        <w:textAlignment w:val="auto"/>
        <w:rPr>
          <w:rFonts w:hint="eastAsia" w:cs="仿宋"/>
          <w:color w:val="auto"/>
          <w:kern w:val="2"/>
          <w:sz w:val="20"/>
          <w:szCs w:val="20"/>
          <w:lang w:val="zh-CN"/>
        </w:rPr>
      </w:pPr>
      <w:r>
        <w:rPr>
          <w:rFonts w:hint="eastAsia" w:cs="仿宋"/>
          <w:color w:val="auto"/>
          <w:kern w:val="2"/>
          <w:sz w:val="20"/>
          <w:szCs w:val="20"/>
          <w:lang w:val="zh-CN"/>
        </w:rPr>
        <w:t>三、支出决算情况说明</w:t>
      </w:r>
      <w:r>
        <w:rPr>
          <w:rFonts w:hint="eastAsia" w:cs="仿宋"/>
          <w:color w:val="auto"/>
          <w:sz w:val="20"/>
          <w:szCs w:val="20"/>
          <w:lang w:val="en-US" w:eastAsia="zh-CN"/>
        </w:rPr>
        <w:t>----------------------------------------------------------5</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ind w:firstLine="400" w:firstLineChars="200"/>
        <w:jc w:val="left"/>
        <w:textAlignment w:val="auto"/>
        <w:rPr>
          <w:rFonts w:hint="eastAsia" w:cs="仿宋"/>
          <w:color w:val="auto"/>
          <w:kern w:val="2"/>
          <w:sz w:val="20"/>
          <w:szCs w:val="20"/>
          <w:lang w:val="zh-CN"/>
        </w:rPr>
      </w:pPr>
      <w:r>
        <w:rPr>
          <w:rFonts w:hint="eastAsia" w:cs="仿宋"/>
          <w:color w:val="auto"/>
          <w:kern w:val="2"/>
          <w:sz w:val="20"/>
          <w:szCs w:val="20"/>
          <w:lang w:val="zh-CN"/>
        </w:rPr>
        <w:t>四、财政拨款收入支出决算总体情况说明</w:t>
      </w:r>
      <w:r>
        <w:rPr>
          <w:rFonts w:hint="eastAsia" w:cs="仿宋"/>
          <w:color w:val="auto"/>
          <w:sz w:val="20"/>
          <w:szCs w:val="20"/>
          <w:lang w:val="en-US" w:eastAsia="zh-CN"/>
        </w:rPr>
        <w:t>------------------------------------------6</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ind w:firstLine="400" w:firstLineChars="200"/>
        <w:jc w:val="left"/>
        <w:textAlignment w:val="auto"/>
        <w:rPr>
          <w:rFonts w:hint="eastAsia" w:cs="仿宋"/>
          <w:color w:val="auto"/>
          <w:kern w:val="2"/>
          <w:sz w:val="20"/>
          <w:szCs w:val="20"/>
          <w:lang w:val="zh-CN"/>
        </w:rPr>
      </w:pPr>
      <w:r>
        <w:rPr>
          <w:rFonts w:hint="eastAsia" w:cs="仿宋"/>
          <w:color w:val="auto"/>
          <w:kern w:val="2"/>
          <w:sz w:val="20"/>
          <w:szCs w:val="20"/>
          <w:lang w:val="zh-CN"/>
        </w:rPr>
        <w:t>五、一般公共预算财政拨款支出决算情况说明</w:t>
      </w:r>
      <w:r>
        <w:rPr>
          <w:rFonts w:hint="eastAsia" w:cs="仿宋"/>
          <w:color w:val="auto"/>
          <w:sz w:val="20"/>
          <w:szCs w:val="20"/>
          <w:lang w:val="en-US" w:eastAsia="zh-CN"/>
        </w:rPr>
        <w:t>--------------------------------------6</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ind w:firstLine="400" w:firstLineChars="200"/>
        <w:jc w:val="left"/>
        <w:textAlignment w:val="auto"/>
        <w:rPr>
          <w:rFonts w:hint="eastAsia" w:cs="仿宋"/>
          <w:color w:val="auto"/>
          <w:kern w:val="2"/>
          <w:sz w:val="20"/>
          <w:szCs w:val="20"/>
          <w:lang w:val="zh-CN"/>
        </w:rPr>
      </w:pPr>
      <w:r>
        <w:rPr>
          <w:rFonts w:hint="eastAsia" w:cs="仿宋"/>
          <w:color w:val="auto"/>
          <w:kern w:val="2"/>
          <w:sz w:val="20"/>
          <w:szCs w:val="20"/>
          <w:lang w:val="zh-CN"/>
        </w:rPr>
        <w:t>六、一般公共预算财政拨款基本支出决算情况说明</w:t>
      </w:r>
      <w:r>
        <w:rPr>
          <w:rFonts w:hint="eastAsia" w:cs="仿宋"/>
          <w:color w:val="auto"/>
          <w:sz w:val="20"/>
          <w:szCs w:val="20"/>
          <w:lang w:val="en-US" w:eastAsia="zh-CN"/>
        </w:rPr>
        <w:t>----------------------------------9</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ind w:firstLine="400" w:firstLineChars="200"/>
        <w:jc w:val="left"/>
        <w:textAlignment w:val="auto"/>
        <w:rPr>
          <w:rFonts w:hint="eastAsia" w:cs="仿宋"/>
          <w:color w:val="auto"/>
          <w:kern w:val="2"/>
          <w:sz w:val="20"/>
          <w:szCs w:val="20"/>
          <w:lang w:val="en-US"/>
        </w:rPr>
      </w:pPr>
      <w:r>
        <w:rPr>
          <w:rFonts w:hint="eastAsia" w:cs="仿宋"/>
          <w:color w:val="auto"/>
          <w:kern w:val="2"/>
          <w:sz w:val="20"/>
          <w:szCs w:val="20"/>
          <w:lang w:val="zh-CN"/>
        </w:rPr>
        <w:t>七、财政拨款“三公”经费支出决算情况说明</w:t>
      </w:r>
      <w:r>
        <w:rPr>
          <w:rFonts w:hint="eastAsia" w:cs="仿宋"/>
          <w:color w:val="auto"/>
          <w:sz w:val="20"/>
          <w:szCs w:val="20"/>
          <w:lang w:val="en-US" w:eastAsia="zh-CN"/>
        </w:rPr>
        <w:t>-------------------------------------10</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ind w:firstLine="400" w:firstLineChars="200"/>
        <w:jc w:val="left"/>
        <w:textAlignment w:val="auto"/>
        <w:rPr>
          <w:rFonts w:hint="eastAsia" w:cs="仿宋"/>
          <w:color w:val="auto"/>
          <w:kern w:val="2"/>
          <w:sz w:val="20"/>
          <w:szCs w:val="20"/>
          <w:lang w:val="en-US"/>
        </w:rPr>
      </w:pPr>
      <w:r>
        <w:rPr>
          <w:rFonts w:hint="eastAsia" w:cs="仿宋"/>
          <w:color w:val="auto"/>
          <w:kern w:val="2"/>
          <w:sz w:val="20"/>
          <w:szCs w:val="20"/>
          <w:lang w:val="zh-CN"/>
        </w:rPr>
        <w:t>八、政府性基金预算支出决算情况说明</w:t>
      </w:r>
      <w:r>
        <w:rPr>
          <w:rFonts w:hint="eastAsia" w:cs="仿宋"/>
          <w:color w:val="auto"/>
          <w:sz w:val="20"/>
          <w:szCs w:val="20"/>
          <w:lang w:val="en-US" w:eastAsia="zh-CN"/>
        </w:rPr>
        <w:t>-------------------------------------------12</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ind w:firstLine="400" w:firstLineChars="200"/>
        <w:jc w:val="left"/>
        <w:textAlignment w:val="auto"/>
        <w:rPr>
          <w:rFonts w:hint="eastAsia" w:cs="仿宋"/>
          <w:color w:val="auto"/>
          <w:kern w:val="2"/>
          <w:sz w:val="20"/>
          <w:szCs w:val="20"/>
          <w:lang w:val="en-US"/>
        </w:rPr>
      </w:pPr>
      <w:r>
        <w:rPr>
          <w:rFonts w:hint="eastAsia" w:cs="仿宋"/>
          <w:color w:val="auto"/>
          <w:kern w:val="2"/>
          <w:sz w:val="20"/>
          <w:szCs w:val="20"/>
          <w:lang w:val="zh-CN"/>
        </w:rPr>
        <w:t>九、国有资本经营预算支出决算情况说明</w:t>
      </w:r>
      <w:r>
        <w:rPr>
          <w:rFonts w:hint="eastAsia" w:cs="仿宋"/>
          <w:color w:val="auto"/>
          <w:sz w:val="20"/>
          <w:szCs w:val="20"/>
          <w:lang w:val="en-US" w:eastAsia="zh-CN"/>
        </w:rPr>
        <w:t>-----------------------------------------12</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ind w:firstLine="400" w:firstLineChars="200"/>
        <w:jc w:val="left"/>
        <w:textAlignment w:val="auto"/>
        <w:rPr>
          <w:rFonts w:hint="eastAsia" w:cs="仿宋"/>
          <w:color w:val="auto"/>
          <w:kern w:val="2"/>
          <w:sz w:val="20"/>
          <w:szCs w:val="20"/>
          <w:lang w:val="en-US"/>
        </w:rPr>
      </w:pPr>
      <w:r>
        <w:rPr>
          <w:rFonts w:hint="eastAsia" w:cs="仿宋"/>
          <w:color w:val="auto"/>
          <w:kern w:val="2"/>
          <w:sz w:val="20"/>
          <w:szCs w:val="20"/>
          <w:lang w:val="zh-CN"/>
        </w:rPr>
        <w:t>十、其他重要事项的情况说明</w:t>
      </w:r>
      <w:r>
        <w:rPr>
          <w:rFonts w:hint="eastAsia" w:cs="仿宋"/>
          <w:color w:val="auto"/>
          <w:sz w:val="20"/>
          <w:szCs w:val="20"/>
          <w:lang w:val="en-US" w:eastAsia="zh-CN"/>
        </w:rPr>
        <w:t>---------------------------------------------------12</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jc w:val="left"/>
        <w:textAlignment w:val="auto"/>
        <w:rPr>
          <w:rFonts w:hint="eastAsia" w:cs="仿宋"/>
          <w:color w:val="auto"/>
          <w:sz w:val="20"/>
          <w:szCs w:val="20"/>
          <w:lang w:val="en-US" w:eastAsia="zh-CN"/>
        </w:rPr>
      </w:pPr>
      <w:r>
        <w:rPr>
          <w:rFonts w:hint="eastAsia" w:cs="仿宋"/>
          <w:color w:val="auto"/>
          <w:kern w:val="2"/>
          <w:sz w:val="20"/>
          <w:szCs w:val="20"/>
          <w:lang w:val="zh-CN"/>
        </w:rPr>
        <w:t>第三部分 名词解释</w:t>
      </w:r>
      <w:r>
        <w:rPr>
          <w:rFonts w:hint="eastAsia" w:cs="仿宋"/>
          <w:color w:val="auto"/>
          <w:sz w:val="20"/>
          <w:szCs w:val="20"/>
          <w:lang w:val="en-US" w:eastAsia="zh-CN"/>
        </w:rPr>
        <w:t>----------------------------------------------------------------13</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jc w:val="left"/>
        <w:textAlignment w:val="auto"/>
        <w:rPr>
          <w:rFonts w:hint="eastAsia" w:cs="仿宋"/>
          <w:color w:val="auto"/>
          <w:sz w:val="20"/>
          <w:szCs w:val="20"/>
          <w:lang w:val="en-US" w:eastAsia="zh-CN"/>
        </w:rPr>
      </w:pPr>
      <w:r>
        <w:rPr>
          <w:rFonts w:hint="eastAsia" w:cs="仿宋"/>
          <w:color w:val="auto"/>
          <w:kern w:val="2"/>
          <w:sz w:val="20"/>
          <w:szCs w:val="20"/>
          <w:lang w:val="zh-CN"/>
        </w:rPr>
        <w:t>第四部分 附件</w:t>
      </w:r>
      <w:r>
        <w:rPr>
          <w:rFonts w:hint="eastAsia" w:cs="仿宋"/>
          <w:color w:val="auto"/>
          <w:sz w:val="20"/>
          <w:szCs w:val="20"/>
          <w:lang w:val="en-US" w:eastAsia="zh-CN"/>
        </w:rPr>
        <w:t>--------------------------------------------------------------------15</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jc w:val="left"/>
        <w:textAlignment w:val="auto"/>
        <w:rPr>
          <w:rFonts w:hint="eastAsia" w:cs="仿宋"/>
          <w:color w:val="auto"/>
          <w:kern w:val="2"/>
          <w:sz w:val="20"/>
          <w:szCs w:val="20"/>
          <w:lang w:val="en-US"/>
        </w:rPr>
      </w:pPr>
      <w:r>
        <w:rPr>
          <w:rFonts w:hint="eastAsia" w:cs="仿宋"/>
          <w:color w:val="auto"/>
          <w:kern w:val="2"/>
          <w:sz w:val="20"/>
          <w:szCs w:val="20"/>
          <w:lang w:val="zh-CN"/>
        </w:rPr>
        <w:t>第五部分 附表</w:t>
      </w:r>
      <w:r>
        <w:rPr>
          <w:rFonts w:hint="eastAsia" w:cs="仿宋"/>
          <w:color w:val="auto"/>
          <w:sz w:val="20"/>
          <w:szCs w:val="20"/>
          <w:lang w:val="en-US" w:eastAsia="zh-CN"/>
        </w:rPr>
        <w:t>--------------------------------------------------------------------18</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ind w:firstLine="400" w:firstLineChars="200"/>
        <w:jc w:val="left"/>
        <w:textAlignment w:val="auto"/>
        <w:rPr>
          <w:rFonts w:hint="eastAsia" w:cs="仿宋"/>
          <w:color w:val="auto"/>
          <w:kern w:val="2"/>
          <w:sz w:val="20"/>
          <w:szCs w:val="20"/>
          <w:lang w:val="en-US"/>
        </w:rPr>
      </w:pPr>
      <w:r>
        <w:rPr>
          <w:rFonts w:hint="eastAsia" w:cs="仿宋"/>
          <w:color w:val="auto"/>
          <w:kern w:val="2"/>
          <w:sz w:val="20"/>
          <w:szCs w:val="20"/>
          <w:lang w:val="zh-CN"/>
        </w:rPr>
        <w:t>一、收入支出决算总表</w:t>
      </w:r>
      <w:r>
        <w:rPr>
          <w:rFonts w:hint="eastAsia" w:cs="仿宋"/>
          <w:color w:val="auto"/>
          <w:sz w:val="20"/>
          <w:szCs w:val="20"/>
          <w:lang w:val="en-US" w:eastAsia="zh-CN"/>
        </w:rPr>
        <w:t>---------------------------------------------------------18</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ind w:firstLine="400" w:firstLineChars="200"/>
        <w:jc w:val="left"/>
        <w:textAlignment w:val="auto"/>
        <w:rPr>
          <w:rFonts w:hint="eastAsia" w:cs="仿宋"/>
          <w:color w:val="auto"/>
          <w:kern w:val="2"/>
          <w:sz w:val="20"/>
          <w:szCs w:val="20"/>
          <w:lang w:val="en-US"/>
        </w:rPr>
      </w:pPr>
      <w:r>
        <w:rPr>
          <w:rFonts w:hint="eastAsia" w:cs="仿宋"/>
          <w:color w:val="auto"/>
          <w:kern w:val="2"/>
          <w:sz w:val="20"/>
          <w:szCs w:val="20"/>
          <w:lang w:val="zh-CN"/>
        </w:rPr>
        <w:t>二、收入决算表</w:t>
      </w:r>
      <w:r>
        <w:rPr>
          <w:rFonts w:hint="eastAsia" w:cs="仿宋"/>
          <w:color w:val="auto"/>
          <w:sz w:val="20"/>
          <w:szCs w:val="20"/>
          <w:lang w:val="en-US" w:eastAsia="zh-CN"/>
        </w:rPr>
        <w:t>---------------------------------------------------------------18</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ind w:firstLine="400" w:firstLineChars="200"/>
        <w:jc w:val="left"/>
        <w:textAlignment w:val="auto"/>
        <w:rPr>
          <w:rFonts w:hint="eastAsia" w:cs="仿宋"/>
          <w:color w:val="auto"/>
          <w:kern w:val="2"/>
          <w:sz w:val="20"/>
          <w:szCs w:val="20"/>
          <w:lang w:val="en-US"/>
        </w:rPr>
      </w:pPr>
      <w:r>
        <w:rPr>
          <w:rFonts w:hint="eastAsia" w:cs="仿宋"/>
          <w:color w:val="auto"/>
          <w:kern w:val="2"/>
          <w:sz w:val="20"/>
          <w:szCs w:val="20"/>
          <w:lang w:val="zh-CN"/>
        </w:rPr>
        <w:t>三、支出决算表</w:t>
      </w:r>
      <w:r>
        <w:rPr>
          <w:rFonts w:hint="eastAsia" w:cs="仿宋"/>
          <w:color w:val="auto"/>
          <w:sz w:val="20"/>
          <w:szCs w:val="20"/>
          <w:lang w:val="en-US" w:eastAsia="zh-CN"/>
        </w:rPr>
        <w:t>---------------------------------------------------------------18</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afterLines="0" w:line="360" w:lineRule="exact"/>
        <w:ind w:firstLine="400" w:firstLineChars="200"/>
        <w:jc w:val="left"/>
        <w:textAlignment w:val="auto"/>
        <w:rPr>
          <w:rFonts w:hint="eastAsia" w:cs="仿宋"/>
          <w:color w:val="auto"/>
          <w:kern w:val="2"/>
          <w:sz w:val="20"/>
          <w:szCs w:val="20"/>
          <w:lang w:val="en-US"/>
        </w:rPr>
      </w:pPr>
      <w:r>
        <w:rPr>
          <w:rFonts w:hint="eastAsia" w:cs="仿宋"/>
          <w:color w:val="auto"/>
          <w:kern w:val="2"/>
          <w:sz w:val="20"/>
          <w:szCs w:val="20"/>
          <w:lang w:val="zh-CN"/>
        </w:rPr>
        <w:t>四、财政拨款收入支出决算总</w:t>
      </w:r>
      <w:r>
        <w:rPr>
          <w:rFonts w:hint="eastAsia" w:cs="仿宋"/>
          <w:color w:val="auto"/>
          <w:sz w:val="20"/>
          <w:szCs w:val="20"/>
          <w:lang w:val="en-US" w:eastAsia="zh-CN"/>
        </w:rPr>
        <w:t>---------------------------------------------------18</w:t>
      </w:r>
    </w:p>
    <w:p>
      <w:pPr>
        <w:keepNext w:val="0"/>
        <w:keepLines w:val="0"/>
        <w:pageBreakBefore w:val="0"/>
        <w:widowControl w:val="0"/>
        <w:tabs>
          <w:tab w:val="right" w:leader="dot" w:pos="8296"/>
        </w:tabs>
        <w:kinsoku/>
        <w:wordWrap/>
        <w:overflowPunct/>
        <w:topLinePunct w:val="0"/>
        <w:autoSpaceDE w:val="0"/>
        <w:autoSpaceDN w:val="0"/>
        <w:bidi w:val="0"/>
        <w:adjustRightInd w:val="0"/>
        <w:spacing w:beforeLines="0" w:afterLines="0" w:line="360" w:lineRule="exact"/>
        <w:ind w:firstLine="400" w:firstLineChars="200"/>
        <w:textAlignment w:val="auto"/>
        <w:rPr>
          <w:rFonts w:hint="eastAsia" w:ascii="仿宋" w:hAnsi="仿宋" w:eastAsia="仿宋" w:cs="仿宋"/>
          <w:color w:val="auto"/>
          <w:kern w:val="2"/>
          <w:sz w:val="20"/>
          <w:szCs w:val="20"/>
          <w:lang w:val="en-US"/>
        </w:rPr>
      </w:pPr>
      <w:r>
        <w:rPr>
          <w:rFonts w:hint="eastAsia" w:ascii="仿宋" w:hAnsi="仿宋" w:eastAsia="仿宋" w:cs="仿宋"/>
          <w:color w:val="auto"/>
          <w:kern w:val="2"/>
          <w:sz w:val="20"/>
          <w:szCs w:val="20"/>
          <w:lang w:val="zh-CN"/>
        </w:rPr>
        <w:t>五、财政拨款支出决算明细表</w:t>
      </w:r>
      <w:r>
        <w:rPr>
          <w:rFonts w:hint="eastAsia" w:ascii="仿宋" w:hAnsi="仿宋" w:eastAsia="仿宋" w:cs="仿宋"/>
          <w:color w:val="auto"/>
          <w:sz w:val="20"/>
          <w:szCs w:val="20"/>
          <w:lang w:val="en-US" w:eastAsia="zh-CN"/>
        </w:rPr>
        <w:t>---------------------------------------------------18</w:t>
      </w:r>
    </w:p>
    <w:p>
      <w:pPr>
        <w:keepNext w:val="0"/>
        <w:keepLines w:val="0"/>
        <w:pageBreakBefore w:val="0"/>
        <w:widowControl w:val="0"/>
        <w:tabs>
          <w:tab w:val="right" w:leader="dot" w:pos="8296"/>
        </w:tabs>
        <w:kinsoku/>
        <w:wordWrap/>
        <w:overflowPunct/>
        <w:topLinePunct w:val="0"/>
        <w:autoSpaceDE w:val="0"/>
        <w:autoSpaceDN w:val="0"/>
        <w:bidi w:val="0"/>
        <w:adjustRightInd w:val="0"/>
        <w:spacing w:beforeLines="0" w:afterLines="0" w:line="360" w:lineRule="exact"/>
        <w:ind w:firstLine="400" w:firstLineChars="200"/>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kern w:val="2"/>
          <w:sz w:val="20"/>
          <w:szCs w:val="20"/>
          <w:lang w:val="zh-CN"/>
        </w:rPr>
        <w:t>六、一般公共预算财政拨款支出决算表</w:t>
      </w:r>
      <w:r>
        <w:rPr>
          <w:rFonts w:hint="eastAsia" w:ascii="仿宋" w:hAnsi="仿宋" w:eastAsia="仿宋" w:cs="仿宋"/>
          <w:color w:val="auto"/>
          <w:sz w:val="20"/>
          <w:szCs w:val="20"/>
          <w:lang w:val="en-US" w:eastAsia="zh-CN"/>
        </w:rPr>
        <w:t>-------------------------------------------18</w:t>
      </w:r>
    </w:p>
    <w:p>
      <w:pPr>
        <w:keepNext w:val="0"/>
        <w:keepLines w:val="0"/>
        <w:pageBreakBefore w:val="0"/>
        <w:widowControl w:val="0"/>
        <w:tabs>
          <w:tab w:val="right" w:leader="dot" w:pos="8296"/>
        </w:tabs>
        <w:kinsoku/>
        <w:wordWrap/>
        <w:overflowPunct/>
        <w:topLinePunct w:val="0"/>
        <w:autoSpaceDE w:val="0"/>
        <w:autoSpaceDN w:val="0"/>
        <w:bidi w:val="0"/>
        <w:adjustRightInd w:val="0"/>
        <w:spacing w:beforeLines="0" w:afterLines="0" w:line="360" w:lineRule="exact"/>
        <w:ind w:firstLine="400" w:firstLineChars="200"/>
        <w:textAlignment w:val="auto"/>
        <w:rPr>
          <w:rFonts w:hint="eastAsia" w:ascii="仿宋" w:hAnsi="仿宋" w:eastAsia="仿宋" w:cs="仿宋"/>
          <w:color w:val="auto"/>
          <w:kern w:val="2"/>
          <w:sz w:val="20"/>
          <w:szCs w:val="20"/>
          <w:lang w:val="en-US"/>
        </w:rPr>
      </w:pPr>
      <w:r>
        <w:rPr>
          <w:rFonts w:hint="eastAsia" w:ascii="仿宋" w:hAnsi="仿宋" w:eastAsia="仿宋" w:cs="仿宋"/>
          <w:color w:val="auto"/>
          <w:kern w:val="2"/>
          <w:sz w:val="20"/>
          <w:szCs w:val="20"/>
          <w:lang w:val="zh-CN"/>
        </w:rPr>
        <w:t>七、一般公共预算财政拨款支出决算明细表</w:t>
      </w:r>
      <w:r>
        <w:rPr>
          <w:rFonts w:hint="eastAsia" w:ascii="仿宋" w:hAnsi="仿宋" w:eastAsia="仿宋" w:cs="仿宋"/>
          <w:color w:val="auto"/>
          <w:sz w:val="20"/>
          <w:szCs w:val="20"/>
          <w:lang w:val="en-US" w:eastAsia="zh-CN"/>
        </w:rPr>
        <w:t>---------------------------------------18</w:t>
      </w:r>
    </w:p>
    <w:p>
      <w:pPr>
        <w:keepNext w:val="0"/>
        <w:keepLines w:val="0"/>
        <w:pageBreakBefore w:val="0"/>
        <w:widowControl w:val="0"/>
        <w:tabs>
          <w:tab w:val="right" w:leader="dot" w:pos="8296"/>
        </w:tabs>
        <w:kinsoku/>
        <w:wordWrap/>
        <w:overflowPunct/>
        <w:topLinePunct w:val="0"/>
        <w:autoSpaceDE w:val="0"/>
        <w:autoSpaceDN w:val="0"/>
        <w:bidi w:val="0"/>
        <w:adjustRightInd w:val="0"/>
        <w:spacing w:beforeLines="0" w:afterLines="0" w:line="360" w:lineRule="exact"/>
        <w:ind w:firstLine="400" w:firstLineChars="200"/>
        <w:textAlignment w:val="auto"/>
        <w:rPr>
          <w:rFonts w:hint="eastAsia" w:ascii="仿宋" w:hAnsi="仿宋" w:eastAsia="仿宋" w:cs="仿宋"/>
          <w:color w:val="auto"/>
          <w:kern w:val="2"/>
          <w:sz w:val="20"/>
          <w:szCs w:val="20"/>
          <w:lang w:val="en-US"/>
        </w:rPr>
      </w:pPr>
      <w:r>
        <w:rPr>
          <w:rFonts w:hint="eastAsia" w:ascii="仿宋" w:hAnsi="仿宋" w:eastAsia="仿宋" w:cs="仿宋"/>
          <w:color w:val="auto"/>
          <w:kern w:val="2"/>
          <w:sz w:val="20"/>
          <w:szCs w:val="20"/>
          <w:lang w:val="zh-CN"/>
        </w:rPr>
        <w:t>八、一般公共预算财政拨款基本支出决算明细表</w:t>
      </w:r>
      <w:r>
        <w:rPr>
          <w:rFonts w:hint="eastAsia" w:ascii="仿宋" w:hAnsi="仿宋" w:eastAsia="仿宋" w:cs="仿宋"/>
          <w:color w:val="auto"/>
          <w:sz w:val="20"/>
          <w:szCs w:val="20"/>
          <w:lang w:val="en-US" w:eastAsia="zh-CN"/>
        </w:rPr>
        <w:t>-----------------------------------18</w:t>
      </w:r>
    </w:p>
    <w:p>
      <w:pPr>
        <w:keepNext w:val="0"/>
        <w:keepLines w:val="0"/>
        <w:pageBreakBefore w:val="0"/>
        <w:widowControl w:val="0"/>
        <w:tabs>
          <w:tab w:val="right" w:leader="dot" w:pos="8296"/>
        </w:tabs>
        <w:kinsoku/>
        <w:wordWrap/>
        <w:overflowPunct/>
        <w:topLinePunct w:val="0"/>
        <w:autoSpaceDE w:val="0"/>
        <w:autoSpaceDN w:val="0"/>
        <w:bidi w:val="0"/>
        <w:adjustRightInd w:val="0"/>
        <w:spacing w:beforeLines="0" w:afterLines="0" w:line="360" w:lineRule="exact"/>
        <w:ind w:firstLine="400" w:firstLineChars="200"/>
        <w:textAlignment w:val="auto"/>
        <w:rPr>
          <w:rFonts w:hint="eastAsia" w:ascii="仿宋" w:hAnsi="仿宋" w:eastAsia="仿宋" w:cs="仿宋"/>
          <w:color w:val="auto"/>
          <w:kern w:val="2"/>
          <w:sz w:val="20"/>
          <w:szCs w:val="20"/>
          <w:lang w:val="en-US"/>
        </w:rPr>
      </w:pPr>
      <w:r>
        <w:rPr>
          <w:rFonts w:hint="eastAsia" w:ascii="仿宋" w:hAnsi="仿宋" w:eastAsia="仿宋" w:cs="仿宋"/>
          <w:color w:val="auto"/>
          <w:kern w:val="2"/>
          <w:sz w:val="20"/>
          <w:szCs w:val="20"/>
          <w:lang w:val="zh-CN"/>
        </w:rPr>
        <w:t>九、一般公共预算财政拨款项目支出决算表</w:t>
      </w:r>
      <w:r>
        <w:rPr>
          <w:rFonts w:hint="eastAsia" w:ascii="仿宋" w:hAnsi="仿宋" w:eastAsia="仿宋" w:cs="仿宋"/>
          <w:color w:val="auto"/>
          <w:sz w:val="20"/>
          <w:szCs w:val="20"/>
          <w:lang w:val="en-US" w:eastAsia="zh-CN"/>
        </w:rPr>
        <w:t>---------------------------------------19</w:t>
      </w:r>
    </w:p>
    <w:p>
      <w:pPr>
        <w:keepNext w:val="0"/>
        <w:keepLines w:val="0"/>
        <w:pageBreakBefore w:val="0"/>
        <w:widowControl w:val="0"/>
        <w:tabs>
          <w:tab w:val="right" w:leader="dot" w:pos="8296"/>
        </w:tabs>
        <w:kinsoku/>
        <w:wordWrap/>
        <w:overflowPunct/>
        <w:topLinePunct w:val="0"/>
        <w:autoSpaceDE w:val="0"/>
        <w:autoSpaceDN w:val="0"/>
        <w:bidi w:val="0"/>
        <w:adjustRightInd w:val="0"/>
        <w:spacing w:beforeLines="0" w:afterLines="0" w:line="360" w:lineRule="exact"/>
        <w:ind w:firstLine="400" w:firstLineChars="200"/>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kern w:val="2"/>
          <w:sz w:val="20"/>
          <w:szCs w:val="20"/>
          <w:lang w:val="zh-CN"/>
        </w:rPr>
        <w:t>十、政府性基金预算财政拨款收入支出决算表</w:t>
      </w:r>
      <w:r>
        <w:rPr>
          <w:rFonts w:hint="eastAsia" w:ascii="仿宋" w:hAnsi="仿宋" w:eastAsia="仿宋" w:cs="仿宋"/>
          <w:color w:val="auto"/>
          <w:sz w:val="20"/>
          <w:szCs w:val="20"/>
          <w:lang w:val="en-US" w:eastAsia="zh-CN"/>
        </w:rPr>
        <w:t>-------------------------------------19</w:t>
      </w:r>
    </w:p>
    <w:p>
      <w:pPr>
        <w:keepNext w:val="0"/>
        <w:keepLines w:val="0"/>
        <w:pageBreakBefore w:val="0"/>
        <w:widowControl w:val="0"/>
        <w:tabs>
          <w:tab w:val="right" w:leader="dot" w:pos="8296"/>
        </w:tabs>
        <w:kinsoku/>
        <w:wordWrap/>
        <w:overflowPunct/>
        <w:topLinePunct w:val="0"/>
        <w:autoSpaceDE w:val="0"/>
        <w:autoSpaceDN w:val="0"/>
        <w:bidi w:val="0"/>
        <w:adjustRightInd w:val="0"/>
        <w:spacing w:beforeLines="0" w:afterLines="0" w:line="360" w:lineRule="exact"/>
        <w:ind w:firstLine="400" w:firstLineChars="200"/>
        <w:textAlignment w:val="auto"/>
        <w:rPr>
          <w:rFonts w:hint="eastAsia" w:ascii="仿宋" w:hAnsi="仿宋" w:eastAsia="仿宋" w:cs="仿宋"/>
          <w:color w:val="auto"/>
          <w:kern w:val="2"/>
          <w:sz w:val="20"/>
          <w:szCs w:val="20"/>
          <w:lang w:val="en-US"/>
        </w:rPr>
      </w:pPr>
      <w:r>
        <w:rPr>
          <w:rFonts w:hint="eastAsia" w:ascii="仿宋" w:hAnsi="仿宋" w:eastAsia="仿宋" w:cs="仿宋"/>
          <w:color w:val="auto"/>
          <w:kern w:val="2"/>
          <w:sz w:val="20"/>
          <w:szCs w:val="20"/>
          <w:lang w:val="zh-CN"/>
        </w:rPr>
        <w:t>十一、国有资本经营预算财政拨款收入支出决算表</w:t>
      </w:r>
      <w:r>
        <w:rPr>
          <w:rFonts w:hint="eastAsia" w:ascii="仿宋" w:hAnsi="仿宋" w:eastAsia="仿宋" w:cs="仿宋"/>
          <w:color w:val="auto"/>
          <w:sz w:val="20"/>
          <w:szCs w:val="20"/>
          <w:lang w:val="en-US" w:eastAsia="zh-CN"/>
        </w:rPr>
        <w:t>---------------------------------19</w:t>
      </w:r>
    </w:p>
    <w:p>
      <w:pPr>
        <w:keepNext w:val="0"/>
        <w:keepLines w:val="0"/>
        <w:pageBreakBefore w:val="0"/>
        <w:widowControl w:val="0"/>
        <w:tabs>
          <w:tab w:val="right" w:leader="dot" w:pos="8296"/>
        </w:tabs>
        <w:kinsoku/>
        <w:wordWrap/>
        <w:overflowPunct/>
        <w:topLinePunct w:val="0"/>
        <w:autoSpaceDE w:val="0"/>
        <w:autoSpaceDN w:val="0"/>
        <w:bidi w:val="0"/>
        <w:adjustRightInd w:val="0"/>
        <w:spacing w:beforeLines="0" w:afterLines="0" w:line="360" w:lineRule="exact"/>
        <w:ind w:firstLine="400" w:firstLineChars="200"/>
        <w:textAlignment w:val="auto"/>
        <w:rPr>
          <w:rFonts w:hint="eastAsia" w:ascii="仿宋" w:hAnsi="仿宋" w:eastAsia="仿宋" w:cs="仿宋"/>
          <w:color w:val="auto"/>
          <w:kern w:val="2"/>
          <w:sz w:val="20"/>
          <w:szCs w:val="20"/>
          <w:lang w:val="en-US"/>
        </w:rPr>
      </w:pPr>
      <w:r>
        <w:rPr>
          <w:rFonts w:hint="eastAsia" w:ascii="仿宋" w:hAnsi="仿宋" w:eastAsia="仿宋" w:cs="仿宋"/>
          <w:color w:val="auto"/>
          <w:kern w:val="2"/>
          <w:sz w:val="20"/>
          <w:szCs w:val="20"/>
          <w:lang w:val="zh-CN"/>
        </w:rPr>
        <w:t>十二、国有资本经营预算财政拨款支出决算表</w:t>
      </w:r>
      <w:r>
        <w:rPr>
          <w:rFonts w:hint="eastAsia" w:ascii="仿宋" w:hAnsi="仿宋" w:eastAsia="仿宋" w:cs="仿宋"/>
          <w:color w:val="auto"/>
          <w:sz w:val="20"/>
          <w:szCs w:val="20"/>
          <w:lang w:val="en-US" w:eastAsia="zh-CN"/>
        </w:rPr>
        <w:t>-------------------------------------19</w:t>
      </w:r>
    </w:p>
    <w:p>
      <w:pPr>
        <w:keepNext w:val="0"/>
        <w:keepLines w:val="0"/>
        <w:pageBreakBefore w:val="0"/>
        <w:widowControl w:val="0"/>
        <w:tabs>
          <w:tab w:val="right" w:leader="dot" w:pos="8296"/>
        </w:tabs>
        <w:kinsoku/>
        <w:wordWrap/>
        <w:overflowPunct/>
        <w:topLinePunct w:val="0"/>
        <w:autoSpaceDE w:val="0"/>
        <w:autoSpaceDN w:val="0"/>
        <w:bidi w:val="0"/>
        <w:adjustRightInd w:val="0"/>
        <w:spacing w:beforeLines="0" w:afterLines="0" w:line="360" w:lineRule="exact"/>
        <w:ind w:firstLine="400" w:firstLineChars="200"/>
        <w:textAlignment w:val="auto"/>
        <w:rPr>
          <w:rFonts w:hint="eastAsia" w:ascii="仿宋" w:hAnsi="仿宋" w:eastAsia="仿宋" w:cs="仿宋"/>
          <w:color w:val="auto"/>
          <w:kern w:val="2"/>
          <w:sz w:val="20"/>
          <w:szCs w:val="20"/>
          <w:lang w:val="en-US"/>
        </w:rPr>
      </w:pPr>
      <w:r>
        <w:rPr>
          <w:rFonts w:hint="eastAsia" w:ascii="仿宋" w:hAnsi="仿宋" w:eastAsia="仿宋" w:cs="仿宋"/>
          <w:color w:val="auto"/>
          <w:kern w:val="2"/>
          <w:sz w:val="20"/>
          <w:szCs w:val="20"/>
          <w:lang w:val="zh-CN"/>
        </w:rPr>
        <w:t>十三、财政拨款“三公”经费支出决算表</w:t>
      </w:r>
      <w:r>
        <w:rPr>
          <w:rFonts w:hint="eastAsia" w:ascii="仿宋" w:hAnsi="仿宋" w:eastAsia="仿宋" w:cs="仿宋"/>
          <w:color w:val="auto"/>
          <w:sz w:val="20"/>
          <w:szCs w:val="20"/>
          <w:lang w:val="en-US" w:eastAsia="zh-CN"/>
        </w:rPr>
        <w:t>-----------------------------------------19</w:t>
      </w:r>
    </w:p>
    <w:p>
      <w:pPr>
        <w:pStyle w:val="3"/>
        <w:keepNext/>
        <w:keepLines/>
        <w:spacing w:before="340" w:beforeLines="0" w:after="330" w:afterLines="0" w:line="580" w:lineRule="exact"/>
        <w:jc w:val="center"/>
        <w:rPr>
          <w:rFonts w:hint="eastAsia" w:ascii="黑体" w:hAnsi="黑体" w:eastAsia="黑体"/>
          <w:b/>
          <w:color w:val="auto"/>
          <w:kern w:val="44"/>
          <w:sz w:val="44"/>
          <w:szCs w:val="24"/>
          <w:lang w:val="zh-CN"/>
        </w:rPr>
      </w:pPr>
      <w:r>
        <w:rPr>
          <w:rFonts w:hint="eastAsia" w:ascii="黑体" w:hAnsi="黑体" w:eastAsia="黑体"/>
          <w:color w:val="auto"/>
          <w:kern w:val="44"/>
          <w:sz w:val="44"/>
          <w:szCs w:val="24"/>
          <w:lang w:val="zh-CN"/>
        </w:rPr>
        <w:t>第一部分 单位概况</w:t>
      </w:r>
    </w:p>
    <w:p>
      <w:pPr>
        <w:pStyle w:val="4"/>
        <w:keepNext/>
        <w:keepLines/>
        <w:pageBreakBefore w:val="0"/>
        <w:widowControl w:val="0"/>
        <w:kinsoku/>
        <w:wordWrap/>
        <w:overflowPunct/>
        <w:topLinePunct w:val="0"/>
        <w:autoSpaceDE w:val="0"/>
        <w:autoSpaceDN w:val="0"/>
        <w:bidi w:val="0"/>
        <w:adjustRightInd w:val="0"/>
        <w:snapToGrid/>
        <w:spacing w:beforeLines="0" w:afterLines="0" w:line="560" w:lineRule="exact"/>
        <w:ind w:firstLine="640"/>
        <w:jc w:val="both"/>
        <w:textAlignment w:val="auto"/>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一、主要</w:t>
      </w:r>
      <w:r>
        <w:rPr>
          <w:rFonts w:hint="eastAsia" w:ascii="黑体" w:hAnsi="黑体" w:eastAsia="黑体"/>
          <w:color w:val="auto"/>
          <w:kern w:val="2"/>
          <w:sz w:val="32"/>
          <w:szCs w:val="24"/>
          <w:lang w:val="zh-CN"/>
        </w:rPr>
        <w:t>职责</w:t>
      </w:r>
    </w:p>
    <w:p>
      <w:pPr>
        <w:pageBreakBefore w:val="0"/>
        <w:widowControl w:val="0"/>
        <w:kinsoku/>
        <w:wordWrap/>
        <w:overflowPunct/>
        <w:topLinePunct w:val="0"/>
        <w:autoSpaceDE w:val="0"/>
        <w:autoSpaceDN w:val="0"/>
        <w:bidi w:val="0"/>
        <w:adjustRightInd w:val="0"/>
        <w:snapToGrid/>
        <w:spacing w:beforeLines="0" w:afterLines="0" w:line="560" w:lineRule="exact"/>
        <w:ind w:firstLine="600" w:firstLineChars="200"/>
        <w:textAlignment w:val="auto"/>
        <w:rPr>
          <w:rFonts w:hint="eastAsia" w:ascii="仿宋" w:hAnsi="仿宋" w:eastAsia="仿宋"/>
          <w:sz w:val="30"/>
          <w:szCs w:val="24"/>
          <w:lang w:eastAsia="zh-CN"/>
        </w:rPr>
      </w:pPr>
      <w:r>
        <w:rPr>
          <w:rFonts w:hint="eastAsia" w:ascii="仿宋" w:hAnsi="仿宋" w:eastAsia="仿宋"/>
          <w:sz w:val="30"/>
          <w:szCs w:val="24"/>
        </w:rPr>
        <w:t>贯彻落实党和国家的</w:t>
      </w:r>
      <w:r>
        <w:rPr>
          <w:rFonts w:hint="eastAsia" w:ascii="仿宋" w:hAnsi="仿宋" w:eastAsia="仿宋"/>
          <w:sz w:val="30"/>
          <w:szCs w:val="24"/>
          <w:lang w:eastAsia="zh-CN"/>
        </w:rPr>
        <w:t>教育</w:t>
      </w:r>
      <w:r>
        <w:rPr>
          <w:rFonts w:hint="eastAsia" w:ascii="仿宋" w:hAnsi="仿宋" w:eastAsia="仿宋"/>
          <w:sz w:val="30"/>
          <w:szCs w:val="24"/>
        </w:rPr>
        <w:t>方针、政策，</w:t>
      </w:r>
      <w:r>
        <w:rPr>
          <w:rFonts w:hint="eastAsia" w:ascii="仿宋" w:hAnsi="仿宋" w:eastAsia="仿宋"/>
          <w:sz w:val="30"/>
          <w:szCs w:val="24"/>
          <w:lang w:eastAsia="zh-CN"/>
        </w:rPr>
        <w:t>严格</w:t>
      </w:r>
      <w:r>
        <w:rPr>
          <w:rFonts w:hint="eastAsia" w:ascii="仿宋" w:hAnsi="仿宋" w:eastAsia="仿宋"/>
          <w:sz w:val="30"/>
          <w:szCs w:val="24"/>
        </w:rPr>
        <w:t>执行上级主管部门的决议和指示，全面实施素质教育，培养德、智、体、美等方面全面发展的社会主义事业的建设者和接班人</w:t>
      </w:r>
      <w:r>
        <w:rPr>
          <w:rFonts w:hint="eastAsia" w:ascii="仿宋" w:hAnsi="仿宋" w:eastAsia="仿宋"/>
          <w:sz w:val="30"/>
          <w:szCs w:val="24"/>
          <w:lang w:eastAsia="zh-CN"/>
        </w:rPr>
        <w:t>，做到为党育人，为国育才。</w:t>
      </w:r>
    </w:p>
    <w:p>
      <w:pPr>
        <w:pageBreakBefore w:val="0"/>
        <w:widowControl w:val="0"/>
        <w:numPr>
          <w:ilvl w:val="0"/>
          <w:numId w:val="1"/>
        </w:numPr>
        <w:kinsoku/>
        <w:wordWrap/>
        <w:overflowPunct/>
        <w:topLinePunct w:val="0"/>
        <w:autoSpaceDE w:val="0"/>
        <w:autoSpaceDN w:val="0"/>
        <w:bidi w:val="0"/>
        <w:adjustRightInd w:val="0"/>
        <w:snapToGrid/>
        <w:spacing w:beforeLines="0" w:afterLines="0" w:line="560" w:lineRule="exact"/>
        <w:ind w:firstLine="600" w:firstLineChars="200"/>
        <w:textAlignment w:val="auto"/>
        <w:rPr>
          <w:rFonts w:hint="eastAsia" w:ascii="仿宋" w:hAnsi="仿宋" w:eastAsia="仿宋"/>
          <w:sz w:val="30"/>
          <w:szCs w:val="24"/>
          <w:lang w:eastAsia="zh-CN"/>
        </w:rPr>
      </w:pPr>
      <w:r>
        <w:rPr>
          <w:rFonts w:hint="eastAsia" w:ascii="仿宋" w:hAnsi="仿宋" w:eastAsia="仿宋"/>
          <w:sz w:val="30"/>
          <w:szCs w:val="24"/>
          <w:lang w:eastAsia="zh-CN"/>
        </w:rPr>
        <w:t xml:space="preserve">研究拟定学校教育发展规划，贯彻执行党和国家的教育方针、政策。 </w:t>
      </w:r>
    </w:p>
    <w:p>
      <w:pPr>
        <w:pageBreakBefore w:val="0"/>
        <w:widowControl w:val="0"/>
        <w:numPr>
          <w:ilvl w:val="0"/>
          <w:numId w:val="1"/>
        </w:numPr>
        <w:kinsoku/>
        <w:wordWrap/>
        <w:overflowPunct/>
        <w:topLinePunct w:val="0"/>
        <w:autoSpaceDE w:val="0"/>
        <w:autoSpaceDN w:val="0"/>
        <w:bidi w:val="0"/>
        <w:adjustRightInd w:val="0"/>
        <w:snapToGrid/>
        <w:spacing w:beforeLines="0" w:afterLines="0" w:line="560" w:lineRule="exact"/>
        <w:ind w:firstLine="600" w:firstLineChars="200"/>
        <w:textAlignment w:val="auto"/>
        <w:rPr>
          <w:rFonts w:hint="eastAsia" w:ascii="仿宋" w:hAnsi="仿宋" w:eastAsia="仿宋"/>
          <w:sz w:val="30"/>
          <w:szCs w:val="24"/>
          <w:lang w:eastAsia="zh-CN"/>
        </w:rPr>
      </w:pPr>
      <w:r>
        <w:rPr>
          <w:rFonts w:hint="eastAsia" w:ascii="仿宋" w:hAnsi="仿宋" w:eastAsia="仿宋"/>
          <w:sz w:val="30"/>
          <w:szCs w:val="24"/>
          <w:lang w:eastAsia="zh-CN"/>
        </w:rPr>
        <w:t>研究拟定学校年度计划，组织实施教育教学活。</w:t>
      </w:r>
    </w:p>
    <w:p>
      <w:pPr>
        <w:pageBreakBefore w:val="0"/>
        <w:widowControl w:val="0"/>
        <w:numPr>
          <w:ilvl w:val="0"/>
          <w:numId w:val="1"/>
        </w:numPr>
        <w:kinsoku/>
        <w:wordWrap/>
        <w:overflowPunct/>
        <w:topLinePunct w:val="0"/>
        <w:autoSpaceDE w:val="0"/>
        <w:autoSpaceDN w:val="0"/>
        <w:bidi w:val="0"/>
        <w:adjustRightInd w:val="0"/>
        <w:snapToGrid/>
        <w:spacing w:beforeLines="0" w:afterLines="0" w:line="560" w:lineRule="exact"/>
        <w:ind w:firstLine="600" w:firstLineChars="200"/>
        <w:textAlignment w:val="auto"/>
        <w:rPr>
          <w:rFonts w:hint="eastAsia" w:ascii="仿宋" w:hAnsi="仿宋" w:eastAsia="仿宋"/>
          <w:sz w:val="30"/>
          <w:szCs w:val="24"/>
          <w:lang w:eastAsia="zh-CN"/>
        </w:rPr>
      </w:pPr>
      <w:r>
        <w:rPr>
          <w:rFonts w:hint="eastAsia" w:ascii="仿宋" w:hAnsi="仿宋" w:eastAsia="仿宋"/>
          <w:sz w:val="30"/>
          <w:szCs w:val="24"/>
          <w:lang w:eastAsia="zh-CN"/>
        </w:rPr>
        <w:t>管理和指导学校教育教学工作；确保普及九年义务教工作成果。</w:t>
      </w:r>
    </w:p>
    <w:p>
      <w:pPr>
        <w:pageBreakBefore w:val="0"/>
        <w:widowControl w:val="0"/>
        <w:numPr>
          <w:ilvl w:val="0"/>
          <w:numId w:val="1"/>
        </w:numPr>
        <w:kinsoku/>
        <w:wordWrap/>
        <w:overflowPunct/>
        <w:topLinePunct w:val="0"/>
        <w:autoSpaceDE w:val="0"/>
        <w:autoSpaceDN w:val="0"/>
        <w:bidi w:val="0"/>
        <w:adjustRightInd w:val="0"/>
        <w:snapToGrid/>
        <w:spacing w:beforeLines="0" w:afterLines="0" w:line="560" w:lineRule="exact"/>
        <w:ind w:firstLine="600" w:firstLineChars="200"/>
        <w:textAlignment w:val="auto"/>
        <w:rPr>
          <w:rFonts w:hint="eastAsia" w:ascii="仿宋" w:hAnsi="仿宋" w:eastAsia="仿宋"/>
          <w:sz w:val="30"/>
          <w:szCs w:val="24"/>
          <w:lang w:eastAsia="zh-CN"/>
        </w:rPr>
      </w:pPr>
      <w:r>
        <w:rPr>
          <w:rFonts w:hint="eastAsia" w:ascii="仿宋" w:hAnsi="仿宋" w:eastAsia="仿宋"/>
          <w:sz w:val="30"/>
          <w:szCs w:val="24"/>
          <w:lang w:eastAsia="zh-CN"/>
        </w:rPr>
        <w:t>管理学校教育经费；严格执行财务管理制度，保障学校教育教学活动正常开展。</w:t>
      </w:r>
    </w:p>
    <w:p>
      <w:pPr>
        <w:pageBreakBefore w:val="0"/>
        <w:widowControl w:val="0"/>
        <w:numPr>
          <w:numId w:val="0"/>
        </w:numPr>
        <w:kinsoku/>
        <w:wordWrap/>
        <w:overflowPunct/>
        <w:topLinePunct w:val="0"/>
        <w:autoSpaceDE w:val="0"/>
        <w:autoSpaceDN w:val="0"/>
        <w:bidi w:val="0"/>
        <w:adjustRightInd w:val="0"/>
        <w:snapToGrid/>
        <w:spacing w:beforeLines="0" w:afterLines="0" w:line="560" w:lineRule="exact"/>
        <w:ind w:firstLine="600" w:firstLineChars="200"/>
        <w:textAlignment w:val="auto"/>
        <w:rPr>
          <w:rFonts w:hint="default"/>
          <w:sz w:val="24"/>
          <w:szCs w:val="24"/>
          <w:lang w:eastAsia="zh-CN"/>
        </w:rPr>
      </w:pPr>
      <w:r>
        <w:rPr>
          <w:rFonts w:hint="eastAsia" w:ascii="仿宋" w:hAnsi="仿宋" w:eastAsia="仿宋"/>
          <w:sz w:val="30"/>
          <w:szCs w:val="24"/>
          <w:lang w:eastAsia="zh-CN"/>
        </w:rPr>
        <w:t>（</w:t>
      </w:r>
      <w:r>
        <w:rPr>
          <w:rFonts w:hint="eastAsia" w:ascii="仿宋" w:hAnsi="仿宋" w:eastAsia="仿宋"/>
          <w:sz w:val="30"/>
          <w:szCs w:val="24"/>
          <w:lang w:val="en-US" w:eastAsia="zh-CN"/>
        </w:rPr>
        <w:t>五）</w:t>
      </w:r>
      <w:r>
        <w:rPr>
          <w:rFonts w:hint="eastAsia" w:ascii="仿宋" w:hAnsi="仿宋" w:eastAsia="仿宋"/>
          <w:sz w:val="30"/>
          <w:szCs w:val="24"/>
          <w:lang w:eastAsia="zh-CN"/>
        </w:rPr>
        <w:t>负责和指导学校教职工的思想政治工作，规划学校思想品德教育、体育卫生教育、安全教育、艺术教育和国防教育工作；负责做好社会治安综合治理及安全保卫工作。</w:t>
      </w:r>
    </w:p>
    <w:p>
      <w:pPr>
        <w:pStyle w:val="2"/>
        <w:pageBreakBefore w:val="0"/>
        <w:widowControl w:val="0"/>
        <w:numPr>
          <w:ilvl w:val="0"/>
          <w:numId w:val="1"/>
        </w:numPr>
        <w:kinsoku/>
        <w:wordWrap/>
        <w:overflowPunct/>
        <w:topLinePunct w:val="0"/>
        <w:autoSpaceDE w:val="0"/>
        <w:autoSpaceDN w:val="0"/>
        <w:bidi w:val="0"/>
        <w:adjustRightInd w:val="0"/>
        <w:snapToGrid/>
        <w:spacing w:beforeLines="0" w:afterLines="0" w:line="560" w:lineRule="exact"/>
        <w:ind w:firstLine="600" w:firstLineChars="200"/>
        <w:textAlignment w:val="auto"/>
        <w:rPr>
          <w:rFonts w:hint="eastAsia" w:ascii="仿宋" w:hAnsi="仿宋" w:eastAsia="仿宋"/>
          <w:sz w:val="30"/>
          <w:szCs w:val="24"/>
          <w:lang w:val="en-US" w:eastAsia="zh-CN"/>
        </w:rPr>
      </w:pPr>
      <w:r>
        <w:rPr>
          <w:rFonts w:hint="eastAsia" w:ascii="仿宋" w:hAnsi="仿宋" w:eastAsia="仿宋"/>
          <w:sz w:val="30"/>
          <w:szCs w:val="24"/>
          <w:lang w:val="en-US" w:eastAsia="zh-CN"/>
        </w:rPr>
        <w:t>完成小学学历教育。</w:t>
      </w:r>
    </w:p>
    <w:p>
      <w:pPr>
        <w:pStyle w:val="2"/>
        <w:numPr>
          <w:ilvl w:val="0"/>
          <w:numId w:val="2"/>
        </w:numPr>
        <w:spacing w:afterLines="0"/>
        <w:ind w:leftChars="200"/>
        <w:rPr>
          <w:rFonts w:hint="eastAsia" w:ascii="黑体" w:hAnsi="黑体" w:eastAsia="黑体" w:cs="Times New Roman"/>
          <w:color w:val="000000"/>
          <w:kern w:val="2"/>
          <w:sz w:val="32"/>
          <w:szCs w:val="24"/>
          <w:lang w:val="zh-CN" w:eastAsia="zh-CN"/>
        </w:rPr>
      </w:pPr>
      <w:r>
        <w:rPr>
          <w:rFonts w:hint="eastAsia" w:ascii="黑体" w:hAnsi="黑体" w:eastAsia="黑体" w:cs="Times New Roman"/>
          <w:color w:val="000000"/>
          <w:kern w:val="2"/>
          <w:sz w:val="32"/>
          <w:szCs w:val="24"/>
          <w:lang w:val="zh-CN" w:eastAsia="zh-CN"/>
        </w:rPr>
        <w:t>机构设置</w:t>
      </w:r>
    </w:p>
    <w:p>
      <w:pPr>
        <w:pStyle w:val="2"/>
        <w:numPr>
          <w:numId w:val="0"/>
        </w:numPr>
        <w:spacing w:afterLines="0"/>
        <w:ind w:firstLine="600" w:firstLineChars="200"/>
        <w:rPr>
          <w:rFonts w:hint="eastAsia" w:ascii="仿宋" w:hAnsi="仿宋" w:eastAsia="仿宋" w:cs="Times New Roman"/>
          <w:sz w:val="30"/>
          <w:szCs w:val="24"/>
          <w:lang w:val="zh-CN" w:eastAsia="zh-CN"/>
        </w:rPr>
      </w:pPr>
      <w:r>
        <w:rPr>
          <w:rFonts w:hint="eastAsia" w:ascii="仿宋" w:hAnsi="仿宋" w:eastAsia="仿宋" w:cs="Times New Roman"/>
          <w:sz w:val="30"/>
          <w:szCs w:val="24"/>
          <w:lang w:eastAsia="zh-CN"/>
        </w:rPr>
        <w:t>通江县广纳镇梓潼小学是一所</w:t>
      </w:r>
      <w:r>
        <w:rPr>
          <w:rFonts w:hint="eastAsia" w:ascii="仿宋" w:hAnsi="仿宋" w:eastAsia="仿宋" w:cs="Times New Roman"/>
          <w:sz w:val="30"/>
          <w:szCs w:val="24"/>
          <w:lang w:val="en-US" w:eastAsia="zh-CN"/>
        </w:rPr>
        <w:t>城乡结合部完全</w:t>
      </w:r>
      <w:r>
        <w:rPr>
          <w:rFonts w:hint="eastAsia" w:ascii="仿宋" w:hAnsi="仿宋" w:eastAsia="仿宋" w:cs="Times New Roman"/>
          <w:sz w:val="30"/>
          <w:szCs w:val="24"/>
          <w:lang w:eastAsia="zh-CN"/>
        </w:rPr>
        <w:t>小学，</w:t>
      </w:r>
      <w:r>
        <w:rPr>
          <w:rFonts w:hint="eastAsia" w:ascii="仿宋" w:hAnsi="仿宋" w:eastAsia="仿宋" w:cs="Times New Roman"/>
          <w:sz w:val="30"/>
          <w:szCs w:val="24"/>
          <w:lang w:val="zh-CN" w:eastAsia="zh-CN"/>
        </w:rPr>
        <w:t>现有在编教职工</w:t>
      </w:r>
      <w:r>
        <w:rPr>
          <w:rFonts w:hint="eastAsia" w:ascii="仿宋" w:hAnsi="仿宋" w:eastAsia="仿宋" w:cs="Times New Roman"/>
          <w:sz w:val="30"/>
          <w:szCs w:val="24"/>
          <w:lang w:val="en-US" w:eastAsia="zh-CN"/>
        </w:rPr>
        <w:t>15</w:t>
      </w:r>
      <w:r>
        <w:rPr>
          <w:rFonts w:hint="eastAsia" w:ascii="仿宋" w:hAnsi="仿宋" w:eastAsia="仿宋" w:cs="Times New Roman"/>
          <w:sz w:val="30"/>
          <w:szCs w:val="24"/>
          <w:lang w:val="zh-CN" w:eastAsia="zh-CN"/>
        </w:rPr>
        <w:t>人，其中，事业专技</w:t>
      </w:r>
      <w:r>
        <w:rPr>
          <w:rFonts w:hint="eastAsia" w:ascii="仿宋" w:hAnsi="仿宋" w:eastAsia="仿宋" w:cs="Times New Roman"/>
          <w:sz w:val="30"/>
          <w:szCs w:val="24"/>
          <w:lang w:val="en-US" w:eastAsia="zh-CN"/>
        </w:rPr>
        <w:t>14人（含校长双肩挑），工勤人员1人；现有在校</w:t>
      </w:r>
      <w:r>
        <w:rPr>
          <w:rFonts w:hint="eastAsia" w:ascii="仿宋" w:hAnsi="仿宋" w:eastAsia="仿宋" w:cs="Times New Roman"/>
          <w:sz w:val="30"/>
          <w:szCs w:val="24"/>
          <w:lang w:val="zh-CN" w:eastAsia="zh-CN"/>
        </w:rPr>
        <w:t>学生</w:t>
      </w:r>
      <w:r>
        <w:rPr>
          <w:rFonts w:hint="eastAsia" w:ascii="仿宋" w:hAnsi="仿宋" w:eastAsia="仿宋" w:cs="Times New Roman"/>
          <w:sz w:val="30"/>
          <w:szCs w:val="24"/>
          <w:lang w:val="en-US" w:eastAsia="zh-CN"/>
        </w:rPr>
        <w:t>28</w:t>
      </w:r>
      <w:r>
        <w:rPr>
          <w:rFonts w:hint="eastAsia" w:ascii="仿宋" w:hAnsi="仿宋" w:eastAsia="仿宋" w:cs="Times New Roman"/>
          <w:sz w:val="30"/>
          <w:szCs w:val="24"/>
          <w:lang w:val="zh-CN" w:eastAsia="zh-CN"/>
        </w:rPr>
        <w:t>人。学校设校长1人，副校长</w:t>
      </w:r>
      <w:r>
        <w:rPr>
          <w:rFonts w:hint="eastAsia" w:ascii="仿宋" w:hAnsi="仿宋" w:eastAsia="仿宋" w:cs="Times New Roman"/>
          <w:sz w:val="30"/>
          <w:szCs w:val="24"/>
          <w:lang w:val="en-US" w:eastAsia="zh-CN"/>
        </w:rPr>
        <w:t>1</w:t>
      </w:r>
      <w:r>
        <w:rPr>
          <w:rFonts w:hint="eastAsia" w:ascii="仿宋" w:hAnsi="仿宋" w:eastAsia="仿宋" w:cs="Times New Roman"/>
          <w:sz w:val="30"/>
          <w:szCs w:val="24"/>
          <w:lang w:val="zh-CN" w:eastAsia="zh-CN"/>
        </w:rPr>
        <w:t>人，设办公室、教务处、总务处、安保处</w:t>
      </w:r>
      <w:r>
        <w:rPr>
          <w:rFonts w:hint="eastAsia" w:ascii="仿宋" w:hAnsi="仿宋" w:eastAsia="仿宋" w:cs="Times New Roman"/>
          <w:sz w:val="30"/>
          <w:szCs w:val="24"/>
          <w:lang w:val="en-US" w:eastAsia="zh-CN"/>
        </w:rPr>
        <w:t>4</w:t>
      </w:r>
      <w:r>
        <w:rPr>
          <w:rFonts w:hint="eastAsia" w:ascii="仿宋" w:hAnsi="仿宋" w:eastAsia="仿宋" w:cs="Times New Roman"/>
          <w:sz w:val="30"/>
          <w:szCs w:val="24"/>
          <w:lang w:val="zh-CN" w:eastAsia="zh-CN"/>
        </w:rPr>
        <w:t>个处室。</w:t>
      </w:r>
    </w:p>
    <w:p>
      <w:pPr>
        <w:pStyle w:val="2"/>
        <w:numPr>
          <w:ilvl w:val="0"/>
          <w:numId w:val="3"/>
        </w:numPr>
        <w:spacing w:afterLines="0"/>
        <w:jc w:val="center"/>
        <w:rPr>
          <w:rFonts w:hint="eastAsia" w:ascii="黑体" w:hAnsi="黑体" w:eastAsia="黑体"/>
          <w:color w:val="auto"/>
          <w:kern w:val="44"/>
          <w:sz w:val="44"/>
          <w:szCs w:val="24"/>
          <w:lang w:val="zh-CN"/>
        </w:rPr>
      </w:pPr>
      <w:r>
        <w:rPr>
          <w:rFonts w:hint="eastAsia" w:ascii="黑体" w:hAnsi="黑体" w:eastAsia="黑体"/>
          <w:color w:val="auto"/>
          <w:kern w:val="44"/>
          <w:sz w:val="44"/>
          <w:szCs w:val="24"/>
          <w:lang w:val="zh-CN"/>
        </w:rPr>
        <w:t>2022年度单位决算情况说明</w:t>
      </w:r>
    </w:p>
    <w:p>
      <w:pPr>
        <w:pStyle w:val="2"/>
        <w:numPr>
          <w:ilvl w:val="0"/>
          <w:numId w:val="0"/>
        </w:numPr>
        <w:spacing w:afterLines="0"/>
        <w:ind w:firstLine="640" w:firstLineChars="200"/>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一、收</w:t>
      </w:r>
      <w:r>
        <w:rPr>
          <w:rFonts w:hint="eastAsia" w:ascii="黑体" w:hAnsi="黑体" w:eastAsia="黑体"/>
          <w:color w:val="auto"/>
          <w:kern w:val="2"/>
          <w:sz w:val="32"/>
          <w:szCs w:val="24"/>
          <w:lang w:val="zh-CN"/>
        </w:rPr>
        <w:t>入支出决算总体情况说明</w:t>
      </w:r>
    </w:p>
    <w:p>
      <w:pPr>
        <w:keepNext/>
        <w:keepLines/>
        <w:spacing w:line="576" w:lineRule="exact"/>
        <w:ind w:firstLine="640" w:firstLineChars="200"/>
        <w:jc w:val="both"/>
        <w:rPr>
          <w:rFonts w:hint="eastAsia" w:ascii="仿宋" w:hAnsi="仿宋" w:eastAsia="仿宋"/>
          <w:color w:val="auto"/>
          <w:sz w:val="32"/>
          <w:szCs w:val="24"/>
        </w:rPr>
      </w:pPr>
      <w:r>
        <w:rPr>
          <w:rFonts w:hint="eastAsia" w:ascii="仿宋_GB2312" w:hAnsi="仿宋_GB2312" w:eastAsia="仿宋_GB2312"/>
          <w:color w:val="000000"/>
          <w:kern w:val="2"/>
          <w:sz w:val="32"/>
          <w:lang w:val="zh-CN"/>
        </w:rPr>
        <w:t>2022年度收、支总计313.21万元。与2021年相比，收、支总计各增加16.26万元，增长5.5%</w:t>
      </w:r>
      <w:r>
        <w:rPr>
          <w:rFonts w:hint="eastAsia" w:ascii="仿宋_GB2312" w:hAnsi="仿宋_GB2312" w:eastAsia="仿宋_GB2312"/>
          <w:color w:val="000000"/>
          <w:kern w:val="2"/>
          <w:sz w:val="32"/>
          <w:szCs w:val="24"/>
          <w:lang w:val="zh-CN"/>
        </w:rPr>
        <w:t>。主要变动原因是</w:t>
      </w:r>
      <w:r>
        <w:rPr>
          <w:rFonts w:hint="eastAsia" w:ascii="仿宋" w:hAnsi="仿宋" w:eastAsia="仿宋"/>
          <w:color w:val="auto"/>
          <w:sz w:val="32"/>
          <w:szCs w:val="24"/>
          <w:lang w:eastAsia="zh-CN"/>
        </w:rPr>
        <w:t>人员正常增资</w:t>
      </w:r>
      <w:r>
        <w:rPr>
          <w:rFonts w:hint="eastAsia" w:ascii="仿宋" w:hAnsi="仿宋" w:eastAsia="仿宋"/>
          <w:color w:val="auto"/>
          <w:sz w:val="32"/>
          <w:szCs w:val="24"/>
          <w:lang w:val="en-US" w:eastAsia="zh-CN"/>
        </w:rPr>
        <w:t>。</w:t>
      </w:r>
    </w:p>
    <w:p>
      <w:pPr>
        <w:spacing w:beforeLines="0" w:afterLines="0" w:line="600" w:lineRule="exact"/>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（图1：收、支决算总计变动情况图）（柱状图）</w:t>
      </w:r>
    </w:p>
    <w:p>
      <w:pPr>
        <w:pStyle w:val="2"/>
        <w:numPr>
          <w:ilvl w:val="0"/>
          <w:numId w:val="0"/>
        </w:numPr>
        <w:spacing w:afterLines="0"/>
        <w:jc w:val="center"/>
        <w:rPr>
          <w:rFonts w:hint="eastAsia" w:ascii="仿宋" w:hAnsi="仿宋" w:eastAsia="仿宋"/>
          <w:color w:val="auto"/>
          <w:sz w:val="32"/>
          <w:szCs w:val="32"/>
          <w:highlight w:val="none"/>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numPr>
          <w:ilvl w:val="0"/>
          <w:numId w:val="0"/>
        </w:numPr>
        <w:spacing w:afterLines="0"/>
        <w:rPr>
          <w:rFonts w:hint="eastAsia" w:ascii="仿宋" w:hAnsi="仿宋" w:eastAsia="仿宋"/>
          <w:color w:val="auto"/>
          <w:sz w:val="32"/>
          <w:szCs w:val="32"/>
          <w:highlight w:val="none"/>
        </w:rPr>
      </w:pPr>
    </w:p>
    <w:p>
      <w:pPr>
        <w:pStyle w:val="2"/>
        <w:numPr>
          <w:ilvl w:val="0"/>
          <w:numId w:val="0"/>
        </w:numPr>
        <w:spacing w:afterLines="0"/>
        <w:ind w:firstLine="640" w:firstLineChars="200"/>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二、收</w:t>
      </w:r>
      <w:r>
        <w:rPr>
          <w:rFonts w:hint="eastAsia" w:ascii="黑体" w:hAnsi="黑体" w:eastAsia="黑体"/>
          <w:color w:val="auto"/>
          <w:kern w:val="2"/>
          <w:sz w:val="32"/>
          <w:szCs w:val="24"/>
          <w:lang w:val="zh-CN"/>
        </w:rPr>
        <w:t>入决算情况说明</w:t>
      </w:r>
    </w:p>
    <w:p>
      <w:pPr>
        <w:keepNext/>
        <w:keepLines/>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本年收入合计313.21万元，其中：一般公共预算财政拨款收入313.21万元，占100%；政府性基金预算财政拨款收入0万元，占0%；国有资本经营预算财政拨款收入0万元，占0%；上级补助收入0万元，占0%；事业收入0万元，占0%；经营收入0万元，占0%；附属单位上缴收入0万元，占0%；其他收入0万元，占0%。</w:t>
      </w:r>
    </w:p>
    <w:p>
      <w:pPr>
        <w:spacing w:beforeLines="0" w:afterLines="0" w:line="600" w:lineRule="exact"/>
        <w:ind w:firstLine="643"/>
        <w:jc w:val="both"/>
        <w:rPr>
          <w:rFonts w:hint="eastAsia" w:ascii="仿宋" w:hAnsi="仿宋" w:eastAsia="仿宋"/>
          <w:b/>
          <w:color w:val="auto"/>
          <w:kern w:val="2"/>
          <w:sz w:val="32"/>
          <w:szCs w:val="24"/>
          <w:lang w:val="en-US"/>
        </w:rPr>
      </w:pPr>
    </w:p>
    <w:p>
      <w:pPr>
        <w:pStyle w:val="2"/>
        <w:jc w:val="center"/>
        <w:rPr>
          <w:rFonts w:hint="eastAsia" w:ascii="仿宋" w:hAnsi="仿宋" w:eastAsia="仿宋"/>
          <w:color w:val="auto"/>
          <w:kern w:val="2"/>
          <w:sz w:val="32"/>
          <w:szCs w:val="24"/>
          <w:lang w:val="en-US"/>
        </w:rPr>
      </w:pPr>
      <w:r>
        <w:drawing>
          <wp:inline distT="0" distB="0" distL="114300" distR="114300">
            <wp:extent cx="5266690" cy="2465705"/>
            <wp:effectExtent l="4445" t="4445" r="5715" b="635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Lines="0" w:afterLines="0" w:line="600" w:lineRule="exact"/>
        <w:ind w:firstLine="640"/>
        <w:jc w:val="center"/>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（图2：收入决算结构图）（饼状图）</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三、支</w:t>
      </w:r>
      <w:r>
        <w:rPr>
          <w:rFonts w:hint="eastAsia" w:ascii="黑体" w:hAnsi="黑体" w:eastAsia="黑体"/>
          <w:color w:val="auto"/>
          <w:kern w:val="2"/>
          <w:sz w:val="32"/>
          <w:szCs w:val="24"/>
          <w:lang w:val="zh-CN"/>
        </w:rPr>
        <w:t>出决算情况说明</w:t>
      </w:r>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2022年本年支出合计313.21万元，其中：基本支出312.11万元，占99.6%；项目支出1.1万元，占0.4%；上缴上级支出0万元，占0%；经营支出0万元，占0%；对附属单位补助支出0万元，占0%。。</w:t>
      </w:r>
    </w:p>
    <w:p>
      <w:pPr>
        <w:spacing w:beforeLines="0" w:afterLines="0" w:line="600" w:lineRule="exact"/>
        <w:ind w:firstLine="643"/>
        <w:jc w:val="both"/>
        <w:rPr>
          <w:rFonts w:hint="eastAsia" w:ascii="仿宋" w:hAnsi="仿宋" w:eastAsia="仿宋"/>
          <w:color w:val="auto"/>
          <w:sz w:val="32"/>
          <w:szCs w:val="24"/>
        </w:rPr>
      </w:pPr>
    </w:p>
    <w:p>
      <w:pPr>
        <w:pStyle w:val="2"/>
        <w:spacing w:afterLines="0"/>
        <w:jc w:val="center"/>
        <w:rPr>
          <w:rFonts w:hint="eastAsia" w:ascii="仿宋" w:hAnsi="仿宋" w:eastAsia="仿宋"/>
          <w:color w:val="auto"/>
          <w:sz w:val="32"/>
          <w:szCs w:val="24"/>
          <w:lang w:eastAsia="zh-CN"/>
        </w:rPr>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spacing w:afterLines="0"/>
        <w:jc w:val="center"/>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（图3：支出决算结构图）（饼状图）</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p>
    <w:p>
      <w:pPr>
        <w:spacing w:beforeLines="0" w:afterLines="0" w:line="600" w:lineRule="exact"/>
        <w:ind w:firstLine="320" w:firstLineChars="100"/>
        <w:jc w:val="both"/>
        <w:rPr>
          <w:rFonts w:hint="eastAsia" w:ascii="仿宋" w:hAnsi="仿宋" w:eastAsia="仿宋"/>
          <w:color w:val="auto"/>
          <w:sz w:val="32"/>
          <w:szCs w:val="24"/>
          <w:lang w:eastAsia="zh-CN"/>
        </w:rPr>
      </w:pPr>
      <w:r>
        <w:rPr>
          <w:rFonts w:hint="eastAsia" w:ascii="仿宋_GB2312" w:hAnsi="仿宋_GB2312" w:eastAsia="仿宋_GB2312"/>
          <w:color w:val="000000"/>
          <w:kern w:val="2"/>
          <w:sz w:val="32"/>
          <w:lang w:val="zh-CN"/>
        </w:rPr>
        <w:t>2022年财政拨款收、支总计313.21万元。与2021年相比，财政拨款收、支总计各增加16.26万元，增长5.5%。</w:t>
      </w:r>
      <w:r>
        <w:rPr>
          <w:rFonts w:hint="eastAsia" w:ascii="仿宋_GB2312" w:hAnsi="仿宋_GB2312" w:eastAsia="仿宋_GB2312"/>
          <w:color w:val="000000"/>
          <w:kern w:val="2"/>
          <w:sz w:val="32"/>
          <w:szCs w:val="24"/>
          <w:lang w:val="zh-CN"/>
        </w:rPr>
        <w:t>主要变动原因是</w:t>
      </w:r>
      <w:r>
        <w:rPr>
          <w:rFonts w:hint="eastAsia" w:ascii="仿宋" w:hAnsi="仿宋" w:eastAsia="仿宋"/>
          <w:color w:val="auto"/>
          <w:sz w:val="32"/>
          <w:szCs w:val="24"/>
          <w:lang w:eastAsia="zh-CN"/>
        </w:rPr>
        <w:t>人员正常增资。</w:t>
      </w:r>
    </w:p>
    <w:p>
      <w:pPr>
        <w:spacing w:beforeLines="0" w:afterLines="0" w:line="600" w:lineRule="exact"/>
        <w:ind w:firstLine="321" w:firstLineChars="100"/>
        <w:jc w:val="both"/>
        <w:rPr>
          <w:rFonts w:hint="eastAsia" w:ascii="仿宋" w:hAnsi="仿宋" w:eastAsia="仿宋"/>
          <w:b/>
          <w:color w:val="auto"/>
          <w:kern w:val="2"/>
          <w:sz w:val="32"/>
          <w:szCs w:val="24"/>
          <w:lang w:val="en-US"/>
        </w:rPr>
      </w:pPr>
    </w:p>
    <w:p>
      <w:pPr>
        <w:pStyle w:val="2"/>
        <w:spacing w:afterLines="0"/>
        <w:jc w:val="center"/>
        <w:rPr>
          <w:rFonts w:hint="eastAsia" w:ascii="仿宋" w:hAnsi="仿宋" w:eastAsia="仿宋"/>
          <w:b/>
          <w:color w:val="auto"/>
          <w:kern w:val="2"/>
          <w:sz w:val="32"/>
          <w:szCs w:val="24"/>
          <w:lang w:val="en-US"/>
        </w:rPr>
      </w:pPr>
      <w:r>
        <w:drawing>
          <wp:inline distT="0" distB="0" distL="114300" distR="114300">
            <wp:extent cx="4572000" cy="2743200"/>
            <wp:effectExtent l="4445" t="4445" r="14605" b="14605"/>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beforeLines="0" w:afterLines="0" w:line="600" w:lineRule="exact"/>
        <w:ind w:firstLine="640"/>
        <w:jc w:val="center"/>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（图4：财政拨款收、支决算总计变动情况）（柱状图）</w:t>
      </w:r>
    </w:p>
    <w:p>
      <w:pPr>
        <w:numPr>
          <w:ilvl w:val="0"/>
          <w:numId w:val="4"/>
        </w:numPr>
        <w:spacing w:beforeLines="0" w:afterLines="0" w:line="600" w:lineRule="exact"/>
        <w:ind w:firstLine="640"/>
        <w:jc w:val="both"/>
        <w:rPr>
          <w:rFonts w:hint="eastAsia" w:ascii="黑体" w:hAnsi="黑体" w:eastAsia="黑体"/>
          <w:color w:val="auto"/>
          <w:kern w:val="2"/>
          <w:sz w:val="32"/>
          <w:szCs w:val="24"/>
          <w:lang w:val="zh-CN"/>
        </w:rPr>
      </w:pP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般公共预算财政拨款支出决算情况说</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（一）一般公共预算财政拨款支出决算总体情况。</w:t>
      </w:r>
    </w:p>
    <w:p>
      <w:pPr>
        <w:numPr>
          <w:ilvl w:val="0"/>
          <w:numId w:val="0"/>
        </w:numPr>
        <w:spacing w:beforeLines="0" w:afterLines="0" w:line="600" w:lineRule="exact"/>
        <w:ind w:firstLine="640" w:firstLineChars="200"/>
        <w:jc w:val="both"/>
        <w:rPr>
          <w:rFonts w:hint="eastAsia" w:ascii="仿宋" w:hAnsi="仿宋" w:eastAsia="仿宋"/>
          <w:color w:val="auto"/>
          <w:sz w:val="32"/>
          <w:szCs w:val="24"/>
        </w:rPr>
      </w:pPr>
      <w:r>
        <w:rPr>
          <w:rFonts w:hint="eastAsia" w:ascii="仿宋_GB2312" w:hAnsi="仿宋_GB2312" w:eastAsia="仿宋_GB2312"/>
          <w:color w:val="000000"/>
          <w:kern w:val="2"/>
          <w:sz w:val="32"/>
          <w:lang w:val="zh-CN"/>
        </w:rPr>
        <w:t>2022年一般公共预算财政拨款支出313.21万元，占本年支出合计的100%。与2021年相比，一般公共预算财政拨款支出增加16.26万元，增长5.5%。</w:t>
      </w:r>
      <w:r>
        <w:rPr>
          <w:rFonts w:hint="eastAsia" w:ascii="仿宋_GB2312" w:hAnsi="仿宋_GB2312" w:eastAsia="仿宋_GB2312"/>
          <w:color w:val="000000"/>
          <w:kern w:val="2"/>
          <w:sz w:val="32"/>
          <w:szCs w:val="24"/>
          <w:lang w:val="zh-CN"/>
        </w:rPr>
        <w:t>主要变动原因是</w:t>
      </w:r>
      <w:r>
        <w:rPr>
          <w:rFonts w:hint="eastAsia" w:ascii="仿宋" w:hAnsi="仿宋" w:eastAsia="仿宋"/>
          <w:color w:val="auto"/>
          <w:sz w:val="32"/>
          <w:szCs w:val="24"/>
          <w:lang w:eastAsia="zh-CN"/>
        </w:rPr>
        <w:t>人员正常增资</w:t>
      </w:r>
      <w:r>
        <w:rPr>
          <w:rFonts w:hint="eastAsia" w:ascii="仿宋_GB2312" w:hAnsi="仿宋_GB2312" w:eastAsia="仿宋_GB2312"/>
          <w:color w:val="000000"/>
          <w:kern w:val="2"/>
          <w:sz w:val="32"/>
          <w:szCs w:val="24"/>
          <w:lang w:val="zh-CN"/>
        </w:rPr>
        <w:t>。</w:t>
      </w:r>
    </w:p>
    <w:p>
      <w:pPr>
        <w:pStyle w:val="2"/>
        <w:spacing w:afterLines="0"/>
        <w:jc w:val="center"/>
        <w:rPr>
          <w:rFonts w:hint="eastAsia" w:ascii="仿宋" w:hAnsi="仿宋" w:eastAsia="仿宋"/>
          <w:color w:val="auto"/>
          <w:sz w:val="32"/>
          <w:szCs w:val="24"/>
        </w:rPr>
      </w:pPr>
      <w:r>
        <w:drawing>
          <wp:inline distT="0" distB="0" distL="114300" distR="114300">
            <wp:extent cx="4572000" cy="2743200"/>
            <wp:effectExtent l="4445" t="4445" r="14605" b="14605"/>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beforeLines="0" w:afterLines="0" w:line="600" w:lineRule="exact"/>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（图5：一般公共预算财政拨款支出决算变动情况）（柱状图）</w:t>
      </w:r>
    </w:p>
    <w:p>
      <w:pPr>
        <w:spacing w:beforeLines="0" w:afterLines="0" w:line="600" w:lineRule="exact"/>
        <w:ind w:firstLine="643" w:firstLineChars="20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（二）一般公共预算财政拨款支出决算结构情况。</w:t>
      </w:r>
    </w:p>
    <w:p>
      <w:pPr>
        <w:spacing w:beforeLines="0" w:afterLines="0" w:line="600"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2022年一般公共预算财政拨款支出313.21万元，主要用于以下方面: 一般公共服务支出0万元，占0%；外交支出0万元，占0%；国防支出0万元，占0%；公共安全支出0万元，占0%；教育支出247.71万元，占79.1%；科学技术支出0万元，占0%；文化体育与传媒支出0万元，占0%；社会保障和就业支出26.61万元，占8.5%；卫生健康支出19.45万元，占6.2%；节能环保支出0万元，占0%；城乡社区支出0万元，占0%；农林水支出0.5万元，占0.2%；交通运输支出0万元，占0%；资源勘探工业信息等支出0万元，占0%；商业服务业等支出0万元，占0%；金融支出0万元，占0%；援助其他地区支出0万元，占0%；自然资源海洋气象等支出0万元，占0%；住房保障支出18.95万元，占6.1%；粮油物资储备支出0万元，占0%；国有资本经营预算支出0万元，占0%；灾害防治及应急管理支出0万元，占0%；其他支出0万元，占0%；债务还本支出0万元，占0%；债务付息支出0万元，占0%；抗疫特别国债安排的支出0万元，占0%</w:t>
      </w:r>
    </w:p>
    <w:p>
      <w:pPr>
        <w:pStyle w:val="2"/>
        <w:spacing w:afterLines="0"/>
        <w:jc w:val="center"/>
      </w:pPr>
    </w:p>
    <w:p>
      <w:pPr>
        <w:pStyle w:val="2"/>
        <w:spacing w:afterLines="0"/>
        <w:jc w:val="center"/>
        <w:rPr>
          <w:rFonts w:hint="eastAsia" w:ascii="仿宋" w:hAnsi="仿宋" w:eastAsia="仿宋"/>
          <w:b/>
          <w:color w:val="auto"/>
          <w:sz w:val="32"/>
          <w:szCs w:val="24"/>
          <w:lang w:eastAsia="zh-CN"/>
        </w:rPr>
      </w:pPr>
      <w: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beforeLines="0" w:afterLines="0" w:line="600" w:lineRule="exact"/>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（图6：一般公共预算财政拨款支出决算结构）（饼状图）</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（三）一般公共预算财政拨款支出决算具体情况。</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2022年一般公共预算支出决算数为</w:t>
      </w:r>
      <w:r>
        <w:rPr>
          <w:rFonts w:hint="eastAsia" w:ascii="仿宋_GB2312" w:hAnsi="仿宋_GB2312" w:eastAsia="仿宋_GB2312"/>
          <w:color w:val="000000"/>
          <w:kern w:val="2"/>
          <w:sz w:val="32"/>
          <w:szCs w:val="24"/>
          <w:lang w:val="en-US" w:eastAsia="zh-CN"/>
        </w:rPr>
        <w:t>313.21</w:t>
      </w:r>
      <w:r>
        <w:rPr>
          <w:rFonts w:hint="eastAsia" w:ascii="仿宋_GB2312" w:hAnsi="仿宋_GB2312" w:eastAsia="仿宋_GB2312"/>
          <w:b/>
          <w:color w:val="000000"/>
          <w:kern w:val="2"/>
          <w:sz w:val="32"/>
          <w:szCs w:val="24"/>
          <w:lang w:val="zh-CN"/>
        </w:rPr>
        <w:t>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pPr>
        <w:spacing w:beforeLines="0" w:afterLines="0" w:line="600" w:lineRule="exact"/>
        <w:ind w:firstLine="643" w:firstLineChars="200"/>
        <w:rPr>
          <w:rStyle w:val="9"/>
          <w:rFonts w:hint="eastAsia" w:ascii="仿宋" w:hAnsi="仿宋" w:eastAsia="仿宋"/>
          <w:b w:val="0"/>
          <w:color w:val="000000"/>
          <w:sz w:val="32"/>
          <w:szCs w:val="24"/>
        </w:rPr>
      </w:pPr>
      <w:r>
        <w:rPr>
          <w:rStyle w:val="9"/>
          <w:rFonts w:hint="eastAsia" w:ascii="仿宋" w:hAnsi="仿宋" w:eastAsia="仿宋"/>
          <w:color w:val="auto"/>
          <w:sz w:val="32"/>
          <w:szCs w:val="24"/>
          <w:lang w:val="en-US" w:eastAsia="zh-CN"/>
        </w:rPr>
        <w:t>1</w:t>
      </w:r>
      <w:r>
        <w:rPr>
          <w:rStyle w:val="9"/>
          <w:rFonts w:hint="eastAsia" w:ascii="仿宋" w:hAnsi="仿宋" w:eastAsia="仿宋"/>
          <w:color w:val="auto"/>
          <w:sz w:val="32"/>
          <w:szCs w:val="24"/>
        </w:rPr>
        <w:t>.教育（类）</w:t>
      </w:r>
      <w:r>
        <w:rPr>
          <w:rStyle w:val="9"/>
          <w:rFonts w:hint="eastAsia" w:ascii="仿宋" w:hAnsi="仿宋" w:eastAsia="仿宋"/>
          <w:color w:val="auto"/>
          <w:sz w:val="32"/>
          <w:szCs w:val="24"/>
          <w:lang w:eastAsia="zh-CN"/>
        </w:rPr>
        <w:t>普通教育</w:t>
      </w:r>
      <w:r>
        <w:rPr>
          <w:rStyle w:val="9"/>
          <w:rFonts w:hint="eastAsia" w:ascii="仿宋" w:hAnsi="仿宋" w:eastAsia="仿宋"/>
          <w:color w:val="auto"/>
          <w:sz w:val="32"/>
          <w:szCs w:val="24"/>
        </w:rPr>
        <w:t>（款）</w:t>
      </w:r>
      <w:r>
        <w:rPr>
          <w:rStyle w:val="9"/>
          <w:rFonts w:hint="eastAsia" w:ascii="仿宋" w:hAnsi="仿宋" w:eastAsia="仿宋"/>
          <w:color w:val="auto"/>
          <w:sz w:val="32"/>
          <w:szCs w:val="24"/>
          <w:lang w:val="en-US" w:eastAsia="zh-CN"/>
        </w:rPr>
        <w:t>小学教育</w:t>
      </w:r>
      <w:r>
        <w:rPr>
          <w:rStyle w:val="9"/>
          <w:rFonts w:hint="eastAsia" w:ascii="仿宋" w:hAnsi="仿宋" w:eastAsia="仿宋"/>
          <w:color w:val="auto"/>
          <w:sz w:val="32"/>
          <w:szCs w:val="24"/>
        </w:rPr>
        <w:t>（项）:</w:t>
      </w:r>
      <w:r>
        <w:rPr>
          <w:rStyle w:val="9"/>
          <w:rFonts w:hint="eastAsia" w:ascii="仿宋" w:hAnsi="仿宋" w:eastAsia="仿宋"/>
          <w:b w:val="0"/>
          <w:color w:val="auto"/>
          <w:sz w:val="32"/>
          <w:szCs w:val="24"/>
        </w:rPr>
        <w:t xml:space="preserve"> 支出决算为</w:t>
      </w:r>
      <w:r>
        <w:rPr>
          <w:rFonts w:hint="eastAsia" w:ascii="仿宋_GB2312" w:hAnsi="仿宋_GB2312" w:eastAsia="仿宋_GB2312"/>
          <w:color w:val="000000"/>
          <w:kern w:val="2"/>
          <w:sz w:val="32"/>
          <w:szCs w:val="24"/>
          <w:lang w:val="en-US" w:eastAsia="zh-CN"/>
        </w:rPr>
        <w:t>247.71</w:t>
      </w:r>
      <w:r>
        <w:rPr>
          <w:rStyle w:val="9"/>
          <w:rFonts w:hint="eastAsia" w:ascii="仿宋" w:hAnsi="仿宋" w:eastAsia="仿宋"/>
          <w:b w:val="0"/>
          <w:color w:val="auto"/>
          <w:sz w:val="32"/>
          <w:szCs w:val="24"/>
        </w:rPr>
        <w:t>万元，完成预算</w:t>
      </w:r>
      <w:r>
        <w:rPr>
          <w:rStyle w:val="9"/>
          <w:rFonts w:hint="eastAsia" w:ascii="仿宋" w:hAnsi="仿宋" w:eastAsia="仿宋"/>
          <w:b w:val="0"/>
          <w:color w:val="auto"/>
          <w:sz w:val="32"/>
          <w:szCs w:val="24"/>
          <w:lang w:val="en-US" w:eastAsia="zh-CN"/>
        </w:rPr>
        <w:t>100</w:t>
      </w:r>
      <w:r>
        <w:rPr>
          <w:rStyle w:val="9"/>
          <w:rFonts w:hint="eastAsia" w:ascii="仿宋" w:hAnsi="仿宋" w:eastAsia="仿宋"/>
          <w:b w:val="0"/>
          <w:color w:val="auto"/>
          <w:sz w:val="32"/>
          <w:szCs w:val="24"/>
        </w:rPr>
        <w:t>%。</w:t>
      </w:r>
    </w:p>
    <w:p>
      <w:pPr>
        <w:spacing w:beforeLines="0" w:afterLines="0" w:line="600" w:lineRule="exact"/>
        <w:ind w:firstLine="643" w:firstLineChars="200"/>
        <w:rPr>
          <w:rFonts w:hint="eastAsia" w:ascii="仿宋" w:hAnsi="仿宋" w:eastAsia="仿宋"/>
          <w:b/>
          <w:color w:val="auto"/>
          <w:sz w:val="32"/>
          <w:szCs w:val="24"/>
        </w:rPr>
      </w:pPr>
      <w:r>
        <w:rPr>
          <w:rStyle w:val="9"/>
          <w:rFonts w:hint="eastAsia" w:ascii="仿宋" w:hAnsi="仿宋" w:eastAsia="仿宋"/>
          <w:color w:val="auto"/>
          <w:sz w:val="32"/>
          <w:szCs w:val="24"/>
          <w:lang w:val="en-US" w:eastAsia="zh-CN"/>
        </w:rPr>
        <w:t>2</w:t>
      </w:r>
      <w:r>
        <w:rPr>
          <w:rStyle w:val="9"/>
          <w:rFonts w:hint="eastAsia" w:ascii="仿宋" w:hAnsi="仿宋" w:eastAsia="仿宋"/>
          <w:color w:val="auto"/>
          <w:sz w:val="32"/>
          <w:szCs w:val="24"/>
        </w:rPr>
        <w:t>.</w:t>
      </w:r>
      <w:r>
        <w:rPr>
          <w:rFonts w:hint="eastAsia" w:ascii="仿宋_GB2312" w:hAnsi="仿宋_GB2312" w:eastAsia="仿宋_GB2312" w:cs="仿宋_GB2312"/>
          <w:b/>
          <w:color w:val="000000"/>
          <w:kern w:val="2"/>
          <w:sz w:val="32"/>
          <w:szCs w:val="32"/>
        </w:rPr>
        <w:t>社会保障和就业支出（类）行政事业单位养老支出（款）机关事业单位基本养老保险缴费支出、机关事业单位职业年金缴费支出（项）</w:t>
      </w:r>
      <w:r>
        <w:rPr>
          <w:rStyle w:val="9"/>
          <w:rFonts w:hint="eastAsia" w:ascii="仿宋" w:hAnsi="仿宋" w:eastAsia="仿宋"/>
          <w:color w:val="auto"/>
          <w:sz w:val="32"/>
          <w:szCs w:val="24"/>
        </w:rPr>
        <w:t>:</w:t>
      </w:r>
      <w:r>
        <w:rPr>
          <w:rStyle w:val="9"/>
          <w:rFonts w:hint="eastAsia" w:ascii="仿宋" w:hAnsi="仿宋" w:eastAsia="仿宋"/>
          <w:b w:val="0"/>
          <w:color w:val="auto"/>
          <w:sz w:val="32"/>
          <w:szCs w:val="24"/>
        </w:rPr>
        <w:t xml:space="preserve"> 支出决算为</w:t>
      </w:r>
      <w:r>
        <w:rPr>
          <w:rFonts w:hint="eastAsia" w:ascii="仿宋_GB2312" w:hAnsi="仿宋_GB2312" w:eastAsia="仿宋_GB2312"/>
          <w:color w:val="000000"/>
          <w:kern w:val="2"/>
          <w:sz w:val="32"/>
          <w:szCs w:val="24"/>
          <w:lang w:val="en-US" w:eastAsia="zh-CN"/>
        </w:rPr>
        <w:t>26.61</w:t>
      </w:r>
      <w:r>
        <w:rPr>
          <w:rStyle w:val="9"/>
          <w:rFonts w:hint="eastAsia" w:ascii="仿宋" w:hAnsi="仿宋" w:eastAsia="仿宋"/>
          <w:b w:val="0"/>
          <w:color w:val="auto"/>
          <w:sz w:val="32"/>
          <w:szCs w:val="24"/>
        </w:rPr>
        <w:t>元，完成预算</w:t>
      </w:r>
      <w:r>
        <w:rPr>
          <w:rStyle w:val="9"/>
          <w:rFonts w:hint="eastAsia" w:ascii="仿宋" w:hAnsi="仿宋" w:eastAsia="仿宋"/>
          <w:b w:val="0"/>
          <w:color w:val="auto"/>
          <w:sz w:val="32"/>
          <w:szCs w:val="24"/>
          <w:lang w:val="en-US" w:eastAsia="zh-CN"/>
        </w:rPr>
        <w:t>100</w:t>
      </w:r>
      <w:r>
        <w:rPr>
          <w:rStyle w:val="9"/>
          <w:rFonts w:hint="eastAsia" w:ascii="仿宋" w:hAnsi="仿宋" w:eastAsia="仿宋"/>
          <w:b w:val="0"/>
          <w:color w:val="auto"/>
          <w:sz w:val="32"/>
          <w:szCs w:val="24"/>
        </w:rPr>
        <w:t>%。</w:t>
      </w:r>
    </w:p>
    <w:p>
      <w:pPr>
        <w:spacing w:beforeLines="0" w:afterLines="0" w:line="600" w:lineRule="exact"/>
        <w:ind w:firstLine="643" w:firstLineChars="200"/>
        <w:rPr>
          <w:rFonts w:hint="eastAsia" w:ascii="仿宋" w:hAnsi="仿宋" w:eastAsia="仿宋"/>
          <w:b/>
          <w:color w:val="auto"/>
          <w:sz w:val="32"/>
          <w:szCs w:val="24"/>
        </w:rPr>
      </w:pPr>
      <w:r>
        <w:rPr>
          <w:rStyle w:val="9"/>
          <w:rFonts w:hint="eastAsia" w:ascii="仿宋" w:hAnsi="仿宋" w:eastAsia="仿宋"/>
          <w:color w:val="auto"/>
          <w:sz w:val="32"/>
          <w:szCs w:val="24"/>
          <w:lang w:val="en-US" w:eastAsia="zh-CN"/>
        </w:rPr>
        <w:t>3</w:t>
      </w:r>
      <w:r>
        <w:rPr>
          <w:rStyle w:val="9"/>
          <w:rFonts w:hint="eastAsia" w:ascii="仿宋" w:hAnsi="仿宋" w:eastAsia="仿宋"/>
          <w:color w:val="auto"/>
          <w:sz w:val="32"/>
          <w:szCs w:val="24"/>
        </w:rPr>
        <w:t>.</w:t>
      </w:r>
      <w:r>
        <w:rPr>
          <w:rFonts w:hint="eastAsia" w:ascii="仿宋" w:hAnsi="仿宋" w:eastAsia="仿宋"/>
          <w:b/>
          <w:color w:val="auto"/>
          <w:sz w:val="32"/>
          <w:szCs w:val="24"/>
        </w:rPr>
        <w:t>卫生健康</w:t>
      </w:r>
      <w:r>
        <w:rPr>
          <w:rStyle w:val="9"/>
          <w:rFonts w:hint="eastAsia" w:ascii="仿宋" w:hAnsi="仿宋" w:eastAsia="仿宋"/>
          <w:color w:val="auto"/>
          <w:sz w:val="32"/>
          <w:szCs w:val="24"/>
        </w:rPr>
        <w:t>（类）</w:t>
      </w:r>
      <w:r>
        <w:rPr>
          <w:rStyle w:val="9"/>
          <w:rFonts w:hint="eastAsia" w:ascii="仿宋" w:hAnsi="仿宋" w:eastAsia="仿宋"/>
          <w:color w:val="auto"/>
          <w:sz w:val="32"/>
          <w:szCs w:val="24"/>
          <w:lang w:eastAsia="zh-CN"/>
        </w:rPr>
        <w:t>行政事业单位医疗</w:t>
      </w:r>
      <w:r>
        <w:rPr>
          <w:rStyle w:val="9"/>
          <w:rFonts w:hint="eastAsia" w:ascii="仿宋" w:hAnsi="仿宋" w:eastAsia="仿宋"/>
          <w:color w:val="auto"/>
          <w:sz w:val="32"/>
          <w:szCs w:val="24"/>
        </w:rPr>
        <w:t>（款）</w:t>
      </w:r>
      <w:r>
        <w:rPr>
          <w:rStyle w:val="9"/>
          <w:rFonts w:hint="eastAsia" w:ascii="仿宋" w:hAnsi="仿宋" w:eastAsia="仿宋"/>
          <w:color w:val="auto"/>
          <w:sz w:val="32"/>
          <w:szCs w:val="24"/>
          <w:lang w:eastAsia="zh-CN"/>
        </w:rPr>
        <w:t>事业单位医疗</w:t>
      </w:r>
      <w:r>
        <w:rPr>
          <w:rStyle w:val="9"/>
          <w:rFonts w:hint="eastAsia" w:ascii="仿宋" w:hAnsi="仿宋" w:eastAsia="仿宋"/>
          <w:color w:val="auto"/>
          <w:sz w:val="32"/>
          <w:szCs w:val="24"/>
        </w:rPr>
        <w:t>）:</w:t>
      </w:r>
      <w:r>
        <w:rPr>
          <w:rStyle w:val="9"/>
          <w:rFonts w:hint="eastAsia" w:ascii="仿宋" w:hAnsi="仿宋" w:eastAsia="仿宋"/>
          <w:b w:val="0"/>
          <w:color w:val="auto"/>
          <w:sz w:val="32"/>
          <w:szCs w:val="24"/>
        </w:rPr>
        <w:t>支出决算为</w:t>
      </w:r>
      <w:r>
        <w:rPr>
          <w:rStyle w:val="9"/>
          <w:rFonts w:hint="eastAsia" w:ascii="仿宋" w:hAnsi="仿宋" w:eastAsia="仿宋"/>
          <w:b w:val="0"/>
          <w:color w:val="auto"/>
          <w:sz w:val="32"/>
          <w:szCs w:val="24"/>
          <w:lang w:val="en-US" w:eastAsia="zh-CN"/>
        </w:rPr>
        <w:t>19.45</w:t>
      </w:r>
      <w:r>
        <w:rPr>
          <w:rStyle w:val="9"/>
          <w:rFonts w:hint="eastAsia" w:ascii="仿宋" w:hAnsi="仿宋" w:eastAsia="仿宋"/>
          <w:b w:val="0"/>
          <w:color w:val="auto"/>
          <w:sz w:val="32"/>
          <w:szCs w:val="24"/>
        </w:rPr>
        <w:t>万元，完成预算</w:t>
      </w:r>
      <w:r>
        <w:rPr>
          <w:rStyle w:val="9"/>
          <w:rFonts w:hint="eastAsia" w:ascii="仿宋" w:hAnsi="仿宋" w:eastAsia="仿宋"/>
          <w:b w:val="0"/>
          <w:color w:val="auto"/>
          <w:sz w:val="32"/>
          <w:szCs w:val="24"/>
          <w:lang w:val="en-US" w:eastAsia="zh-CN"/>
        </w:rPr>
        <w:t>100</w:t>
      </w:r>
      <w:r>
        <w:rPr>
          <w:rStyle w:val="9"/>
          <w:rFonts w:hint="eastAsia" w:ascii="仿宋" w:hAnsi="仿宋" w:eastAsia="仿宋"/>
          <w:b w:val="0"/>
          <w:color w:val="auto"/>
          <w:sz w:val="32"/>
          <w:szCs w:val="24"/>
        </w:rPr>
        <w:t>%。</w:t>
      </w:r>
    </w:p>
    <w:p>
      <w:pPr>
        <w:spacing w:beforeLines="0" w:afterLines="0" w:line="600" w:lineRule="exact"/>
        <w:ind w:firstLine="643" w:firstLineChars="200"/>
        <w:rPr>
          <w:rStyle w:val="9"/>
          <w:rFonts w:hint="eastAsia" w:ascii="仿宋" w:hAnsi="仿宋" w:eastAsia="仿宋"/>
          <w:b w:val="0"/>
          <w:color w:val="auto"/>
          <w:sz w:val="32"/>
          <w:szCs w:val="24"/>
        </w:rPr>
      </w:pPr>
      <w:r>
        <w:rPr>
          <w:rStyle w:val="9"/>
          <w:rFonts w:hint="eastAsia" w:ascii="仿宋" w:hAnsi="仿宋" w:eastAsia="仿宋"/>
          <w:color w:val="auto"/>
          <w:sz w:val="32"/>
          <w:szCs w:val="24"/>
          <w:lang w:val="en-US" w:eastAsia="zh-CN"/>
        </w:rPr>
        <w:t>4.农林水支出（类）扶贫（款)其他扶贫支出（项）：</w:t>
      </w:r>
      <w:r>
        <w:rPr>
          <w:rStyle w:val="9"/>
          <w:rFonts w:hint="eastAsia" w:ascii="仿宋" w:hAnsi="仿宋" w:eastAsia="仿宋"/>
          <w:b w:val="0"/>
          <w:color w:val="auto"/>
          <w:sz w:val="32"/>
          <w:szCs w:val="24"/>
        </w:rPr>
        <w:t>出决算为</w:t>
      </w:r>
      <w:r>
        <w:rPr>
          <w:rStyle w:val="9"/>
          <w:rFonts w:hint="eastAsia" w:ascii="仿宋" w:hAnsi="仿宋" w:eastAsia="仿宋"/>
          <w:b w:val="0"/>
          <w:color w:val="auto"/>
          <w:sz w:val="32"/>
          <w:szCs w:val="24"/>
          <w:lang w:val="en-US" w:eastAsia="zh-CN"/>
        </w:rPr>
        <w:t>0.5</w:t>
      </w:r>
      <w:r>
        <w:rPr>
          <w:rStyle w:val="9"/>
          <w:rFonts w:hint="eastAsia" w:ascii="仿宋" w:hAnsi="仿宋" w:eastAsia="仿宋"/>
          <w:b w:val="0"/>
          <w:color w:val="auto"/>
          <w:sz w:val="32"/>
          <w:szCs w:val="24"/>
        </w:rPr>
        <w:t>万元，完成预算</w:t>
      </w:r>
      <w:r>
        <w:rPr>
          <w:rStyle w:val="9"/>
          <w:rFonts w:hint="eastAsia" w:ascii="仿宋" w:hAnsi="仿宋" w:eastAsia="仿宋"/>
          <w:b w:val="0"/>
          <w:color w:val="auto"/>
          <w:sz w:val="32"/>
          <w:szCs w:val="24"/>
          <w:lang w:val="en-US" w:eastAsia="zh-CN"/>
        </w:rPr>
        <w:t>100</w:t>
      </w:r>
      <w:r>
        <w:rPr>
          <w:rStyle w:val="9"/>
          <w:rFonts w:hint="eastAsia" w:ascii="仿宋" w:hAnsi="仿宋" w:eastAsia="仿宋"/>
          <w:b w:val="0"/>
          <w:color w:val="auto"/>
          <w:sz w:val="32"/>
          <w:szCs w:val="24"/>
        </w:rPr>
        <w:t>%。</w:t>
      </w:r>
    </w:p>
    <w:p>
      <w:pPr>
        <w:spacing w:beforeLines="0" w:afterLines="0" w:line="600" w:lineRule="exact"/>
        <w:ind w:firstLine="480" w:firstLineChars="200"/>
        <w:rPr>
          <w:rFonts w:hint="eastAsia" w:ascii="仿宋_GB2312" w:hAnsi="仿宋_GB2312" w:eastAsia="仿宋_GB2312"/>
          <w:color w:val="000000"/>
          <w:kern w:val="2"/>
          <w:sz w:val="32"/>
          <w:szCs w:val="24"/>
          <w:lang w:val="en-US"/>
        </w:rPr>
      </w:pPr>
      <w:r>
        <w:rPr>
          <w:rFonts w:hint="default"/>
          <w:sz w:val="24"/>
          <w:szCs w:val="24"/>
          <w:lang w:val="en-US" w:eastAsia="zh-CN"/>
        </w:rPr>
        <w:t xml:space="preserve"> </w:t>
      </w:r>
      <w:r>
        <w:rPr>
          <w:rStyle w:val="9"/>
          <w:rFonts w:hint="eastAsia" w:ascii="仿宋" w:hAnsi="仿宋" w:eastAsia="仿宋"/>
          <w:color w:val="auto"/>
          <w:sz w:val="32"/>
          <w:szCs w:val="24"/>
          <w:lang w:val="en-US" w:eastAsia="zh-CN"/>
        </w:rPr>
        <w:t xml:space="preserve"> 5.住房保障支出（类）住房改革支出（款)住房公积金（项）：</w:t>
      </w:r>
      <w:r>
        <w:rPr>
          <w:rStyle w:val="9"/>
          <w:rFonts w:hint="eastAsia" w:ascii="仿宋" w:hAnsi="仿宋" w:eastAsia="仿宋"/>
          <w:b w:val="0"/>
          <w:color w:val="auto"/>
          <w:sz w:val="32"/>
          <w:szCs w:val="24"/>
        </w:rPr>
        <w:t>出决算为</w:t>
      </w:r>
      <w:r>
        <w:rPr>
          <w:rStyle w:val="9"/>
          <w:rFonts w:hint="eastAsia" w:ascii="仿宋" w:hAnsi="仿宋" w:eastAsia="仿宋"/>
          <w:b w:val="0"/>
          <w:color w:val="auto"/>
          <w:sz w:val="32"/>
          <w:szCs w:val="24"/>
          <w:lang w:val="en-US" w:eastAsia="zh-CN"/>
        </w:rPr>
        <w:t>18.95</w:t>
      </w:r>
      <w:r>
        <w:rPr>
          <w:rStyle w:val="9"/>
          <w:rFonts w:hint="eastAsia" w:ascii="仿宋" w:hAnsi="仿宋" w:eastAsia="仿宋"/>
          <w:b w:val="0"/>
          <w:color w:val="auto"/>
          <w:sz w:val="32"/>
          <w:szCs w:val="24"/>
        </w:rPr>
        <w:t>万元，完成预算</w:t>
      </w:r>
      <w:r>
        <w:rPr>
          <w:rStyle w:val="9"/>
          <w:rFonts w:hint="eastAsia" w:ascii="仿宋" w:hAnsi="仿宋" w:eastAsia="仿宋"/>
          <w:b w:val="0"/>
          <w:color w:val="auto"/>
          <w:sz w:val="32"/>
          <w:szCs w:val="24"/>
          <w:lang w:val="en-US" w:eastAsia="zh-CN"/>
        </w:rPr>
        <w:t>100</w:t>
      </w:r>
      <w:r>
        <w:rPr>
          <w:rStyle w:val="9"/>
          <w:rFonts w:hint="eastAsia" w:ascii="仿宋" w:hAnsi="仿宋" w:eastAsia="仿宋"/>
          <w:b w:val="0"/>
          <w:color w:val="auto"/>
          <w:sz w:val="32"/>
          <w:szCs w:val="24"/>
        </w:rPr>
        <w:t>%。</w:t>
      </w:r>
    </w:p>
    <w:p>
      <w:pPr>
        <w:keepNext/>
        <w:keepLines/>
        <w:tabs>
          <w:tab w:val="right" w:pos="8306"/>
        </w:tabs>
        <w:spacing w:beforeLines="0" w:afterLines="0" w:line="576" w:lineRule="exact"/>
        <w:ind w:firstLine="640"/>
        <w:jc w:val="both"/>
        <w:rPr>
          <w:rFonts w:hint="default" w:ascii="Cambria" w:hAnsi="Cambria" w:eastAsia="Cambria"/>
          <w:b/>
          <w:color w:val="auto"/>
          <w:kern w:val="2"/>
          <w:sz w:val="32"/>
          <w:szCs w:val="24"/>
          <w:lang w:val="zh-CN"/>
        </w:rPr>
      </w:pPr>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般公共预算财政拨款基本支出决算情况说明</w:t>
      </w:r>
      <w:r>
        <w:rPr>
          <w:rFonts w:hint="eastAsia" w:ascii="黑体" w:hAnsi="黑体" w:eastAsia="黑体"/>
          <w:color w:val="auto"/>
          <w:kern w:val="2"/>
          <w:sz w:val="32"/>
          <w:szCs w:val="24"/>
          <w:lang w:val="zh-CN"/>
        </w:rPr>
        <w:tab/>
      </w:r>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2022年一般公共预算财政拨款基本支出312.11万元，其中：</w:t>
      </w:r>
    </w:p>
    <w:p>
      <w:pPr>
        <w:spacing w:beforeLines="0" w:afterLines="0" w:line="576" w:lineRule="exact"/>
        <w:ind w:firstLine="643"/>
        <w:jc w:val="both"/>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人员经费</w:t>
      </w:r>
      <w:r>
        <w:rPr>
          <w:rFonts w:hint="eastAsia" w:ascii="仿宋_GB2312" w:hAnsi="仿宋_GB2312" w:eastAsia="仿宋_GB2312"/>
          <w:color w:val="000000"/>
          <w:kern w:val="2"/>
          <w:sz w:val="32"/>
          <w:lang w:val="zh-CN"/>
        </w:rPr>
        <w:t>291.09万元，主要包括：</w:t>
      </w:r>
      <w:r>
        <w:rPr>
          <w:rFonts w:hint="eastAsia" w:ascii="仿宋" w:hAnsi="仿宋" w:eastAsia="仿宋"/>
          <w:color w:val="auto"/>
          <w:kern w:val="2"/>
          <w:sz w:val="32"/>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lang w:val="zh-CN"/>
        </w:rPr>
        <w:t>。</w:t>
      </w:r>
    </w:p>
    <w:p>
      <w:pPr>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lang w:val="zh-CN"/>
        </w:rPr>
        <w:t>公用经费</w:t>
      </w:r>
      <w:r>
        <w:rPr>
          <w:rFonts w:hint="eastAsia" w:ascii="仿宋_GB2312" w:hAnsi="仿宋_GB2312" w:eastAsia="仿宋_GB2312"/>
          <w:color w:val="000000"/>
          <w:kern w:val="2"/>
          <w:sz w:val="32"/>
          <w:lang w:val="zh-CN"/>
        </w:rPr>
        <w:t>21.02万元，主要包括：</w:t>
      </w:r>
      <w:r>
        <w:rPr>
          <w:rFonts w:hint="eastAsia" w:ascii="仿宋" w:hAnsi="仿宋" w:eastAsia="仿宋"/>
          <w:color w:val="auto"/>
          <w:kern w:val="2"/>
          <w:sz w:val="32"/>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七、</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三公”经费财政拨款支出决算情况说明</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（一）“三公”经费财政拨款支出决算总体情况说明</w:t>
      </w:r>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2022年一般公共预算财政拨款基本支出312.11万元，其中：</w:t>
      </w:r>
    </w:p>
    <w:p>
      <w:pPr>
        <w:spacing w:beforeLines="0" w:afterLines="0" w:line="576" w:lineRule="exact"/>
        <w:ind w:firstLine="643"/>
        <w:jc w:val="both"/>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人员经费</w:t>
      </w:r>
      <w:r>
        <w:rPr>
          <w:rFonts w:hint="eastAsia" w:ascii="仿宋_GB2312" w:hAnsi="仿宋_GB2312" w:eastAsia="仿宋_GB2312"/>
          <w:color w:val="000000"/>
          <w:kern w:val="2"/>
          <w:sz w:val="32"/>
          <w:lang w:val="zh-CN"/>
        </w:rPr>
        <w:t>291.09万元，主要包括：</w:t>
      </w:r>
      <w:r>
        <w:rPr>
          <w:rFonts w:hint="eastAsia" w:ascii="仿宋" w:hAnsi="仿宋" w:eastAsia="仿宋"/>
          <w:color w:val="auto"/>
          <w:kern w:val="2"/>
          <w:sz w:val="32"/>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lang w:val="zh-CN"/>
        </w:rPr>
        <w:t>。</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lang w:val="zh-CN"/>
        </w:rPr>
        <w:t>公用经费</w:t>
      </w:r>
      <w:r>
        <w:rPr>
          <w:rFonts w:hint="eastAsia" w:ascii="仿宋_GB2312" w:hAnsi="仿宋_GB2312" w:eastAsia="仿宋_GB2312"/>
          <w:color w:val="000000"/>
          <w:kern w:val="2"/>
          <w:sz w:val="32"/>
          <w:lang w:val="zh-CN"/>
        </w:rPr>
        <w:t>21.02万元，主要包括：</w:t>
      </w:r>
      <w:r>
        <w:rPr>
          <w:rFonts w:hint="eastAsia" w:ascii="仿宋" w:hAnsi="仿宋" w:eastAsia="仿宋"/>
          <w:color w:val="auto"/>
          <w:kern w:val="2"/>
          <w:sz w:val="32"/>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szCs w:val="24"/>
          <w:lang w:val="zh-CN"/>
        </w:rPr>
        <w:t>。</w:t>
      </w:r>
    </w:p>
    <w:p>
      <w:pPr>
        <w:numPr>
          <w:numId w:val="0"/>
        </w:numPr>
        <w:spacing w:beforeLines="0" w:afterLines="0" w:line="600" w:lineRule="exact"/>
        <w:ind w:leftChars="20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en-US" w:eastAsia="zh-CN"/>
        </w:rPr>
        <w:t>二）</w:t>
      </w:r>
      <w:r>
        <w:rPr>
          <w:rFonts w:hint="eastAsia" w:ascii="仿宋_GB2312" w:hAnsi="仿宋_GB2312" w:eastAsia="仿宋_GB2312"/>
          <w:b/>
          <w:color w:val="000000"/>
          <w:kern w:val="2"/>
          <w:sz w:val="32"/>
          <w:szCs w:val="24"/>
          <w:lang w:val="zh-CN"/>
        </w:rPr>
        <w:t>“三公”经费财政拨款支出决算具体情况说明</w:t>
      </w:r>
    </w:p>
    <w:p>
      <w:pPr>
        <w:pStyle w:val="2"/>
        <w:ind w:firstLine="960" w:firstLineChars="300"/>
        <w:rPr>
          <w:rFonts w:hint="eastAsia"/>
          <w:lang w:val="zh-CN"/>
        </w:rPr>
      </w:pPr>
      <w:r>
        <w:rPr>
          <w:rFonts w:hint="eastAsia" w:ascii="仿宋_GB2312" w:hAnsi="仿宋_GB2312" w:eastAsia="仿宋_GB2312"/>
          <w:color w:val="000000"/>
          <w:kern w:val="2"/>
          <w:sz w:val="32"/>
          <w:lang w:val="zh-CN"/>
        </w:rPr>
        <w:t>2022年“三公”经费财政拨款支出决算为0万元，完成预算0%</w:t>
      </w:r>
    </w:p>
    <w:p>
      <w:pPr>
        <w:numPr>
          <w:numId w:val="0"/>
        </w:numPr>
        <w:spacing w:beforeLines="0" w:afterLines="0" w:line="600" w:lineRule="exact"/>
        <w:jc w:val="both"/>
        <w:rPr>
          <w:rFonts w:hint="eastAsia" w:ascii="仿宋" w:hAnsi="仿宋" w:eastAsia="仿宋"/>
          <w:color w:val="auto"/>
          <w:kern w:val="2"/>
          <w:sz w:val="32"/>
          <w:szCs w:val="24"/>
          <w:lang w:val="en-US"/>
        </w:rPr>
      </w:pPr>
      <w:r>
        <w:rPr>
          <w:rFonts w:hint="eastAsia" w:ascii="仿宋_GB2312" w:hAnsi="仿宋_GB2312" w:eastAsia="仿宋_GB2312"/>
          <w:color w:val="000000"/>
          <w:kern w:val="2"/>
          <w:sz w:val="32"/>
          <w:szCs w:val="24"/>
          <w:lang w:val="zh-CN"/>
        </w:rPr>
        <w:t>2022年“三公”经费财政拨款支出决算中，因公出国（境）费支出决算0万元，占0%；公务用车购置及运行维护费支出决算0万元，占0%；公务接待费支出决算0.</w:t>
      </w:r>
      <w:r>
        <w:rPr>
          <w:rFonts w:hint="eastAsia" w:ascii="仿宋_GB2312" w:hAnsi="仿宋_GB2312" w:eastAsia="仿宋_GB2312"/>
          <w:color w:val="000000"/>
          <w:kern w:val="2"/>
          <w:sz w:val="32"/>
          <w:szCs w:val="24"/>
          <w:lang w:val="en-US" w:eastAsia="zh-CN"/>
        </w:rPr>
        <w:t>5</w:t>
      </w:r>
      <w:r>
        <w:rPr>
          <w:rFonts w:hint="eastAsia" w:ascii="仿宋_GB2312" w:hAnsi="仿宋_GB2312" w:eastAsia="仿宋_GB2312"/>
          <w:color w:val="000000"/>
          <w:kern w:val="2"/>
          <w:sz w:val="32"/>
          <w:szCs w:val="24"/>
          <w:lang w:val="zh-CN"/>
        </w:rPr>
        <w:t>万元，占100%。具体情况如下：</w:t>
      </w:r>
    </w:p>
    <w:p>
      <w:pPr>
        <w:numPr>
          <w:numId w:val="0"/>
        </w:numPr>
        <w:spacing w:beforeLines="0" w:afterLines="0" w:line="600" w:lineRule="exact"/>
        <w:ind w:firstLine="643"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zh-CN"/>
        </w:rPr>
        <w:t>因公出国（境）经费</w:t>
      </w:r>
      <w:r>
        <w:rPr>
          <w:rFonts w:hint="eastAsia" w:ascii="仿宋_GB2312" w:hAnsi="仿宋_GB2312" w:eastAsia="仿宋_GB2312"/>
          <w:color w:val="000000"/>
          <w:kern w:val="2"/>
          <w:sz w:val="32"/>
          <w:szCs w:val="24"/>
          <w:lang w:val="zh-CN"/>
        </w:rPr>
        <w:t>支出0万元，完成预算0%。全年安排因公出国（境）团组0个，出国（境）0人。</w:t>
      </w:r>
    </w:p>
    <w:p>
      <w:pPr>
        <w:numPr>
          <w:numId w:val="0"/>
        </w:numPr>
        <w:spacing w:beforeLines="0" w:afterLines="0" w:line="600" w:lineRule="exact"/>
        <w:ind w:left="640" w:leftChars="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en-US" w:eastAsia="zh-CN"/>
        </w:rPr>
        <w:t>2.</w:t>
      </w:r>
      <w:r>
        <w:rPr>
          <w:rFonts w:hint="eastAsia" w:ascii="仿宋_GB2312" w:hAnsi="仿宋_GB2312" w:eastAsia="仿宋_GB2312"/>
          <w:b/>
          <w:color w:val="000000"/>
          <w:kern w:val="2"/>
          <w:sz w:val="32"/>
          <w:szCs w:val="24"/>
          <w:lang w:val="zh-CN"/>
        </w:rPr>
        <w:t>公务用车购置及运行维护费</w:t>
      </w:r>
      <w:r>
        <w:rPr>
          <w:rFonts w:hint="eastAsia" w:ascii="仿宋_GB2312" w:hAnsi="仿宋_GB2312" w:eastAsia="仿宋_GB2312"/>
          <w:color w:val="000000"/>
          <w:kern w:val="2"/>
          <w:sz w:val="32"/>
          <w:szCs w:val="24"/>
          <w:lang w:val="zh-CN"/>
        </w:rPr>
        <w:t>支出0万元，完成预算0%。</w:t>
      </w:r>
    </w:p>
    <w:p>
      <w:pPr>
        <w:keepNext/>
        <w:keepLines/>
        <w:numPr>
          <w:numId w:val="0"/>
        </w:numPr>
        <w:spacing w:beforeLines="0" w:afterLines="0" w:line="576" w:lineRule="exact"/>
        <w:ind w:firstLine="643" w:firstLineChars="200"/>
        <w:jc w:val="both"/>
        <w:rPr>
          <w:rFonts w:hint="default"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3.</w:t>
      </w:r>
      <w:r>
        <w:rPr>
          <w:rFonts w:hint="eastAsia" w:ascii="仿宋_GB2312" w:hAnsi="仿宋_GB2312" w:eastAsia="仿宋_GB2312"/>
          <w:b/>
          <w:color w:val="000000"/>
          <w:kern w:val="2"/>
          <w:sz w:val="32"/>
          <w:szCs w:val="24"/>
          <w:lang w:val="zh-CN"/>
        </w:rPr>
        <w:t>公务接待费</w:t>
      </w:r>
      <w:r>
        <w:rPr>
          <w:rFonts w:hint="eastAsia" w:ascii="仿宋_GB2312" w:hAnsi="仿宋_GB2312" w:eastAsia="仿宋_GB2312"/>
          <w:color w:val="000000"/>
          <w:kern w:val="2"/>
          <w:sz w:val="32"/>
          <w:szCs w:val="24"/>
          <w:lang w:val="zh-CN"/>
        </w:rPr>
        <w:t>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zh-CN"/>
        </w:rPr>
        <w:t>完成预算0%。</w:t>
      </w:r>
      <w:r>
        <w:rPr>
          <w:rFonts w:hint="eastAsia" w:ascii="仿宋_GB2312" w:hAnsi="仿宋_GB2312" w:eastAsia="仿宋_GB2312"/>
          <w:color w:val="000000"/>
          <w:kern w:val="2"/>
          <w:sz w:val="32"/>
          <w:szCs w:val="24"/>
          <w:lang w:val="en-US" w:eastAsia="zh-CN"/>
        </w:rPr>
        <w:t>国内公务接待支出为0，外事接待支出为0。</w:t>
      </w:r>
    </w:p>
    <w:p>
      <w:pPr>
        <w:keepNext/>
        <w:keepLines/>
        <w:numPr>
          <w:ilvl w:val="0"/>
          <w:numId w:val="0"/>
        </w:numPr>
        <w:spacing w:beforeLines="0" w:afterLines="0" w:line="576" w:lineRule="exact"/>
        <w:ind w:firstLine="640" w:firstLineChars="20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2022年政府性基金预算拨款支出0万元。</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auto"/>
          <w:kern w:val="2"/>
          <w:sz w:val="32"/>
          <w:szCs w:val="24"/>
          <w:lang w:val="zh-CN"/>
        </w:rPr>
        <w:t>九、国有资本经营预算支出决算情况说明</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keepLines/>
        <w:spacing w:beforeLines="0" w:afterLines="0"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2022年，通江县广纳镇梓潼小学机关运行经费支出0万元，比2021年增加0万元，增长0%。</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2022年，通江县广纳镇梓潼小学政府采购支出总额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万元，其中：政府采购货物支出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万元、政府采购工程支出0万元、政府采购服务支出0万元。主要用于</w:t>
      </w:r>
      <w:r>
        <w:rPr>
          <w:rFonts w:hint="eastAsia" w:ascii="仿宋_GB2312" w:hAnsi="仿宋_GB2312" w:eastAsia="仿宋_GB2312"/>
          <w:color w:val="000000"/>
          <w:kern w:val="2"/>
          <w:sz w:val="32"/>
          <w:szCs w:val="24"/>
          <w:highlight w:val="white"/>
          <w:lang w:val="en-US" w:eastAsia="zh-CN"/>
        </w:rPr>
        <w:t>改善办学条件</w:t>
      </w:r>
      <w:r>
        <w:rPr>
          <w:rFonts w:hint="eastAsia" w:ascii="仿宋_GB2312" w:hAnsi="仿宋_GB2312" w:eastAsia="仿宋_GB2312"/>
          <w:color w:val="000000"/>
          <w:kern w:val="2"/>
          <w:sz w:val="32"/>
          <w:szCs w:val="24"/>
          <w:highlight w:val="white"/>
          <w:lang w:val="zh-CN"/>
        </w:rPr>
        <w:t>。</w:t>
      </w:r>
      <w:r>
        <w:rPr>
          <w:rFonts w:hint="eastAsia" w:ascii="仿宋_GB2312" w:hAnsi="仿宋_GB2312" w:eastAsia="仿宋_GB2312"/>
          <w:color w:val="000000"/>
          <w:kern w:val="2"/>
          <w:sz w:val="32"/>
          <w:szCs w:val="24"/>
          <w:lang w:val="zh-CN"/>
        </w:rPr>
        <w:t>授予中小企业合同金额0万元，占政府采购支出总额的0%，其中：授予小微企业合同金额0万元，</w:t>
      </w:r>
      <w:r>
        <w:rPr>
          <w:rFonts w:hint="eastAsia" w:ascii="仿宋_GB2312" w:hAnsi="仿宋_GB2312" w:eastAsia="仿宋_GB2312"/>
          <w:color w:val="auto"/>
          <w:kern w:val="2"/>
          <w:sz w:val="32"/>
          <w:szCs w:val="24"/>
          <w:lang w:val="en-US"/>
        </w:rPr>
        <w:t>占政府采购支出总额的</w:t>
      </w:r>
      <w:r>
        <w:rPr>
          <w:rFonts w:hint="eastAsia" w:ascii="仿宋_GB2312" w:hAnsi="仿宋_GB2312" w:eastAsia="仿宋_GB2312"/>
          <w:color w:val="000000"/>
          <w:kern w:val="2"/>
          <w:sz w:val="32"/>
          <w:szCs w:val="24"/>
          <w:lang w:val="zh-CN"/>
        </w:rPr>
        <w:t>0%。</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（三）国有资产占有使用情况</w:t>
      </w:r>
    </w:p>
    <w:p>
      <w:pPr>
        <w:spacing w:beforeLines="0" w:afterLines="0"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2022年12月31日，通江县广纳镇梓潼小学共有车辆0辆，其中：副部（省）级及以上领导用车0辆、主要领导干部用车0辆、机要通信用车0辆、应急保障用车0辆、执法执勤用车0辆、特种专业技术用车0辆、离退休干部用车0辆、其他用车0辆。单价100万元（含）以上设备0台（套)。</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（四）预算绩效管理情况。</w:t>
      </w:r>
    </w:p>
    <w:p>
      <w:pPr>
        <w:spacing w:beforeLines="0" w:afterLines="0" w:line="576" w:lineRule="exact"/>
        <w:ind w:firstLine="643"/>
        <w:jc w:val="both"/>
        <w:rPr>
          <w:rFonts w:hint="eastAsia" w:ascii="黑体" w:hAnsi="黑体" w:eastAsia="黑体"/>
          <w:color w:val="000000"/>
          <w:kern w:val="2"/>
          <w:sz w:val="44"/>
          <w:szCs w:val="24"/>
          <w:lang w:val="en-US" w:eastAsia="zh-CN"/>
        </w:rPr>
      </w:pPr>
      <w:r>
        <w:rPr>
          <w:rFonts w:hint="eastAsia" w:ascii="仿宋_GB2312" w:hAnsi="仿宋_GB2312" w:eastAsia="仿宋_GB2312"/>
          <w:color w:val="auto"/>
          <w:kern w:val="2"/>
          <w:sz w:val="32"/>
          <w:szCs w:val="24"/>
          <w:lang w:val="en-US"/>
        </w:rPr>
        <w:t>根据预算绩效管理要求，本单位在202</w:t>
      </w:r>
      <w:r>
        <w:rPr>
          <w:rFonts w:hint="eastAsia" w:ascii="宋体" w:hAnsi="宋体" w:eastAsia="宋体"/>
          <w:color w:val="auto"/>
          <w:kern w:val="2"/>
          <w:sz w:val="32"/>
          <w:szCs w:val="24"/>
          <w:lang w:val="en-US"/>
        </w:rPr>
        <w:t>2</w:t>
      </w:r>
      <w:r>
        <w:rPr>
          <w:rFonts w:hint="eastAsia" w:ascii="仿宋_GB2312" w:hAnsi="仿宋_GB2312" w:eastAsia="仿宋_GB2312"/>
          <w:color w:val="auto"/>
          <w:kern w:val="2"/>
          <w:sz w:val="32"/>
          <w:szCs w:val="24"/>
          <w:lang w:val="en-US"/>
        </w:rPr>
        <w:t>年度预算编制阶段，组织对</w:t>
      </w:r>
      <w:r>
        <w:rPr>
          <w:rFonts w:hint="eastAsia" w:ascii="仿宋_GB2312" w:hAnsi="仿宋_GB2312" w:eastAsia="仿宋_GB2312"/>
          <w:color w:val="auto"/>
          <w:kern w:val="2"/>
          <w:sz w:val="32"/>
          <w:szCs w:val="24"/>
          <w:lang w:val="en-US" w:eastAsia="zh-CN"/>
        </w:rPr>
        <w:t>免学生作业本费、驻村扶贫补助及校舍安全保障3</w:t>
      </w:r>
      <w:r>
        <w:rPr>
          <w:rFonts w:hint="eastAsia" w:ascii="仿宋_GB2312" w:hAnsi="仿宋_GB2312" w:eastAsia="仿宋_GB2312"/>
          <w:color w:val="auto"/>
          <w:kern w:val="2"/>
          <w:sz w:val="32"/>
          <w:szCs w:val="24"/>
          <w:lang w:val="en-US"/>
        </w:rPr>
        <w:t>个项目开展了预算事前绩效评估，对</w:t>
      </w:r>
      <w:r>
        <w:rPr>
          <w:rFonts w:hint="eastAsia" w:ascii="仿宋_GB2312" w:hAnsi="仿宋_GB2312" w:eastAsia="仿宋_GB2312"/>
          <w:color w:val="auto"/>
          <w:kern w:val="2"/>
          <w:sz w:val="32"/>
          <w:szCs w:val="24"/>
          <w:lang w:val="en-US" w:eastAsia="zh-CN"/>
        </w:rPr>
        <w:t>3</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3</w:t>
      </w:r>
      <w:r>
        <w:rPr>
          <w:rFonts w:hint="eastAsia" w:ascii="仿宋_GB2312" w:hAnsi="仿宋_GB2312" w:eastAsia="仿宋_GB2312"/>
          <w:color w:val="auto"/>
          <w:kern w:val="2"/>
          <w:sz w:val="32"/>
          <w:szCs w:val="24"/>
          <w:lang w:val="en-US"/>
        </w:rPr>
        <w:t>个项目开展绩效监控，组织对</w:t>
      </w:r>
      <w:r>
        <w:rPr>
          <w:rFonts w:hint="eastAsia" w:ascii="仿宋_GB2312" w:hAnsi="仿宋_GB2312" w:eastAsia="仿宋_GB2312"/>
          <w:color w:val="auto"/>
          <w:kern w:val="2"/>
          <w:sz w:val="32"/>
          <w:szCs w:val="24"/>
          <w:lang w:val="en-US" w:eastAsia="zh-CN"/>
        </w:rPr>
        <w:t>3</w:t>
      </w:r>
      <w:r>
        <w:rPr>
          <w:rFonts w:hint="eastAsia" w:ascii="仿宋_GB2312" w:hAnsi="仿宋_GB2312" w:eastAsia="仿宋_GB2312"/>
          <w:color w:val="auto"/>
          <w:kern w:val="2"/>
          <w:sz w:val="32"/>
          <w:szCs w:val="24"/>
          <w:lang w:val="en-US"/>
        </w:rPr>
        <w:t>个项目开展绩效自评，绩效自评表详见第四部分附件。</w:t>
      </w:r>
    </w:p>
    <w:p>
      <w:pPr>
        <w:keepNext/>
        <w:keepLines/>
        <w:spacing w:beforeLines="0" w:afterLines="0" w:line="576" w:lineRule="exact"/>
        <w:jc w:val="center"/>
        <w:rPr>
          <w:rFonts w:hint="eastAsia" w:ascii="黑体" w:hAnsi="黑体" w:eastAsia="黑体"/>
          <w:color w:val="000000"/>
          <w:kern w:val="2"/>
          <w:sz w:val="44"/>
          <w:szCs w:val="24"/>
          <w:lang w:val="zh-CN"/>
        </w:rPr>
      </w:pPr>
    </w:p>
    <w:p>
      <w:pPr>
        <w:keepNext/>
        <w:keepLines/>
        <w:spacing w:beforeLines="0" w:afterLines="0" w:line="576" w:lineRule="exact"/>
        <w:jc w:val="center"/>
        <w:rPr>
          <w:rFonts w:hint="eastAsia" w:ascii="黑体" w:hAnsi="黑体" w:eastAsia="黑体"/>
          <w:color w:val="auto"/>
          <w:kern w:val="44"/>
          <w:sz w:val="44"/>
          <w:szCs w:val="24"/>
          <w:lang w:val="zh-CN"/>
        </w:rPr>
      </w:pPr>
      <w:r>
        <w:rPr>
          <w:rFonts w:hint="eastAsia" w:ascii="黑体" w:hAnsi="黑体" w:eastAsia="黑体"/>
          <w:color w:val="000000"/>
          <w:kern w:val="2"/>
          <w:sz w:val="44"/>
          <w:szCs w:val="24"/>
          <w:lang w:val="zh-CN"/>
        </w:rPr>
        <w:t>第三部分 名</w:t>
      </w:r>
      <w:r>
        <w:rPr>
          <w:rFonts w:hint="eastAsia" w:ascii="黑体" w:hAnsi="黑体" w:eastAsia="黑体"/>
          <w:color w:val="auto"/>
          <w:kern w:val="44"/>
          <w:sz w:val="44"/>
          <w:szCs w:val="24"/>
          <w:lang w:val="zh-CN"/>
        </w:rPr>
        <w:t>词解释</w:t>
      </w:r>
    </w:p>
    <w:p>
      <w:pPr>
        <w:spacing w:beforeLines="0" w:afterLines="0" w:line="57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1.财政拨款收入：指单位从同级财政部门取得的财政预算资金。</w:t>
      </w:r>
    </w:p>
    <w:p>
      <w:pPr>
        <w:spacing w:beforeLines="0" w:afterLines="0" w:line="576" w:lineRule="exac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2.教育支出（类）普通教育（款）初中教育（项）：指反映各部门举办的初中教育支出。</w:t>
      </w:r>
    </w:p>
    <w:p>
      <w:pPr>
        <w:spacing w:beforeLines="0" w:afterLines="0" w:line="576" w:lineRule="exac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w:t>
      </w:r>
      <w:r>
        <w:rPr>
          <w:rFonts w:hint="default"/>
          <w:sz w:val="24"/>
          <w:szCs w:val="24"/>
        </w:rPr>
        <w:t xml:space="preserve"> </w:t>
      </w:r>
      <w:r>
        <w:rPr>
          <w:rFonts w:hint="eastAsia" w:ascii="仿宋_GB2312" w:hAnsi="仿宋_GB2312" w:eastAsia="仿宋_GB2312" w:cs="仿宋_GB2312"/>
          <w:color w:val="000000"/>
          <w:kern w:val="2"/>
          <w:sz w:val="32"/>
          <w:szCs w:val="32"/>
        </w:rPr>
        <w:t>社会保障和就业支出（类）行政事业单位养老支出（款）机关事业单位基本养老保险缴费支出、机关事业单位职业年金缴费支出（项）：指反映机关事业单位实施养老保险制度由单位缴纳的基本养老保险费和职业年金。</w:t>
      </w:r>
    </w:p>
    <w:p>
      <w:pPr>
        <w:spacing w:beforeLines="0" w:afterLines="0" w:line="576" w:lineRule="exac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w:t>
      </w:r>
      <w:r>
        <w:rPr>
          <w:rFonts w:hint="default"/>
          <w:sz w:val="24"/>
          <w:szCs w:val="24"/>
        </w:rPr>
        <w:t xml:space="preserve"> </w:t>
      </w:r>
      <w:r>
        <w:rPr>
          <w:rFonts w:hint="eastAsia" w:ascii="仿宋_GB2312" w:hAnsi="仿宋_GB2312" w:eastAsia="仿宋_GB2312" w:cs="仿宋_GB2312"/>
          <w:color w:val="000000"/>
          <w:kern w:val="2"/>
          <w:sz w:val="32"/>
          <w:szCs w:val="32"/>
        </w:rPr>
        <w:t>卫生健康支出（类）行政事业单位医疗（款）事业单位医疗（项）：指反映财政部门安排的事业单位基本医疗保险缴费经费。</w:t>
      </w:r>
    </w:p>
    <w:p>
      <w:pPr>
        <w:spacing w:beforeLines="0" w:afterLines="0" w:line="576" w:lineRule="exac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5.</w:t>
      </w:r>
      <w:r>
        <w:rPr>
          <w:rFonts w:hint="default"/>
          <w:sz w:val="24"/>
          <w:szCs w:val="24"/>
        </w:rPr>
        <w:t xml:space="preserve"> </w:t>
      </w:r>
      <w:r>
        <w:rPr>
          <w:rFonts w:hint="eastAsia" w:ascii="仿宋_GB2312" w:hAnsi="仿宋_GB2312" w:eastAsia="仿宋_GB2312" w:cs="仿宋_GB2312"/>
          <w:color w:val="000000"/>
          <w:kern w:val="2"/>
          <w:sz w:val="32"/>
          <w:szCs w:val="32"/>
        </w:rPr>
        <w:t>农林水支出（类）巩固脱贫衔接乡村振兴（款）其他巩固脱贫衔接乡村振兴支出（项）：指反映用于巩固脱贫衔接乡村振兴方面的支出。</w:t>
      </w:r>
    </w:p>
    <w:p>
      <w:pPr>
        <w:spacing w:beforeLines="0" w:afterLines="0" w:line="576" w:lineRule="exac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6.</w:t>
      </w:r>
      <w:r>
        <w:rPr>
          <w:rFonts w:hint="default"/>
          <w:sz w:val="24"/>
          <w:szCs w:val="24"/>
        </w:rPr>
        <w:t xml:space="preserve"> </w:t>
      </w:r>
      <w:r>
        <w:rPr>
          <w:rFonts w:hint="eastAsia" w:ascii="仿宋_GB2312" w:hAnsi="仿宋_GB2312" w:eastAsia="仿宋_GB2312" w:cs="仿宋_GB2312"/>
          <w:color w:val="000000"/>
          <w:kern w:val="2"/>
          <w:sz w:val="32"/>
          <w:szCs w:val="32"/>
        </w:rPr>
        <w:t>住房保障支出（类）住房改革支出（款）住房公积金（项）：指反映行政事业单位按人力资源和社会保障部、财政部规定的基本工资和津</w:t>
      </w:r>
      <w:r>
        <w:rPr>
          <w:rFonts w:hint="eastAsia" w:ascii="仿宋_GB2312" w:hAnsi="仿宋_GB2312" w:eastAsia="仿宋_GB2312" w:cs="仿宋_GB2312"/>
          <w:color w:val="000000"/>
          <w:kern w:val="2"/>
          <w:sz w:val="32"/>
          <w:szCs w:val="32"/>
          <w:u w:val="none" w:color="FFFFFF"/>
          <w:shd w:val="clear" w:fill="FFFFFF"/>
        </w:rPr>
        <w:t>贴</w:t>
      </w:r>
      <w:r>
        <w:rPr>
          <w:rFonts w:hint="eastAsia" w:ascii="仿宋_GB2312" w:hAnsi="仿宋_GB2312" w:eastAsia="仿宋_GB2312" w:cs="仿宋_GB2312"/>
          <w:color w:val="000000"/>
          <w:kern w:val="2"/>
          <w:sz w:val="32"/>
          <w:szCs w:val="32"/>
        </w:rPr>
        <w:t>补贴以及比例为职工</w:t>
      </w:r>
      <w:r>
        <w:rPr>
          <w:rFonts w:hint="eastAsia" w:ascii="仿宋_GB2312" w:hAnsi="仿宋_GB2312" w:eastAsia="仿宋_GB2312" w:cs="仿宋_GB2312"/>
          <w:color w:val="000000"/>
          <w:kern w:val="2"/>
          <w:sz w:val="32"/>
          <w:szCs w:val="32"/>
          <w:lang w:eastAsia="zh-CN"/>
        </w:rPr>
        <w:t>缴纳的住房公积金</w:t>
      </w:r>
      <w:r>
        <w:rPr>
          <w:rFonts w:hint="eastAsia" w:ascii="仿宋_GB2312" w:hAnsi="仿宋_GB2312" w:eastAsia="仿宋_GB2312" w:cs="仿宋_GB2312"/>
          <w:color w:val="000000"/>
          <w:kern w:val="2"/>
          <w:sz w:val="32"/>
          <w:szCs w:val="32"/>
        </w:rPr>
        <w:t>。</w:t>
      </w:r>
    </w:p>
    <w:p>
      <w:pPr>
        <w:spacing w:beforeLines="0" w:afterLines="0" w:line="576" w:lineRule="exac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7.基本支出：指为保障机构正常运转、完成日常工作任务而发生的人员支出和公用支出。</w:t>
      </w:r>
    </w:p>
    <w:p>
      <w:pPr>
        <w:spacing w:beforeLines="0" w:afterLines="0" w:line="576" w:lineRule="exac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8.项目支出：指在基本支出之</w:t>
      </w:r>
      <w:r>
        <w:rPr>
          <w:rFonts w:hint="eastAsia" w:ascii="仿宋_GB2312" w:hAnsi="仿宋_GB2312" w:eastAsia="仿宋_GB2312" w:cs="仿宋_GB2312"/>
          <w:color w:val="000000"/>
          <w:kern w:val="2"/>
          <w:sz w:val="32"/>
          <w:szCs w:val="32"/>
          <w:u w:val="none" w:color="FFFFFF"/>
          <w:shd w:val="clear" w:fill="FFFFFF"/>
        </w:rPr>
        <w:t>外</w:t>
      </w:r>
      <w:r>
        <w:rPr>
          <w:rFonts w:hint="eastAsia" w:ascii="仿宋_GB2312" w:hAnsi="仿宋_GB2312" w:eastAsia="仿宋_GB2312" w:cs="仿宋_GB2312"/>
          <w:color w:val="000000"/>
          <w:kern w:val="2"/>
          <w:sz w:val="32"/>
          <w:szCs w:val="32"/>
        </w:rPr>
        <w:t xml:space="preserve">为完成特定行政任务和事业发展目标所发生的支出。 </w:t>
      </w:r>
    </w:p>
    <w:p>
      <w:pPr>
        <w:spacing w:beforeLines="0" w:afterLines="0" w:line="576" w:lineRule="exact"/>
        <w:ind w:firstLine="640"/>
        <w:rPr>
          <w:rFonts w:hint="eastAsia" w:ascii="黑体" w:hAnsi="黑体" w:eastAsia="黑体" w:cs="黑体"/>
          <w:kern w:val="44"/>
          <w:sz w:val="44"/>
          <w:szCs w:val="44"/>
          <w:lang w:val="zh-CN"/>
        </w:rPr>
      </w:pPr>
      <w:r>
        <w:rPr>
          <w:rFonts w:hint="eastAsia" w:ascii="仿宋_GB2312" w:hAnsi="仿宋_GB2312" w:eastAsia="仿宋_GB2312" w:cs="仿宋_GB2312"/>
          <w:color w:val="000000"/>
          <w:sz w:val="32"/>
          <w:szCs w:val="32"/>
        </w:rPr>
        <w:t>9.“三公”经费：指部门用财政拨款安排的因公出国（境）费、公务用车购置及运行费和公务接待费。</w:t>
      </w:r>
      <w:bookmarkStart w:id="0" w:name="_GoBack"/>
      <w:r>
        <w:rPr>
          <w:rFonts w:hint="eastAsia" w:ascii="仿宋_GB2312" w:hAnsi="仿宋_GB2312" w:eastAsia="仿宋_GB2312" w:cs="仿宋_GB2312"/>
          <w:color w:val="000000"/>
          <w:sz w:val="32"/>
          <w:szCs w:val="32"/>
          <w:u w:val="none" w:color="FFFFFF"/>
          <w:shd w:val="clear" w:fill="FFFFFF"/>
        </w:rPr>
        <w:t>其中，因公出国（境）费反映单位公务出国（境）的国际旅费、国外城市间交通费、住宿费、伙食费、培训费、公杂费等支出；</w:t>
      </w:r>
      <w:bookmarkEnd w:id="0"/>
      <w:r>
        <w:rPr>
          <w:rFonts w:hint="eastAsia" w:ascii="仿宋_GB2312" w:hAnsi="仿宋_GB2312" w:eastAsia="仿宋_GB2312" w:cs="仿宋_GB2312"/>
          <w:color w:val="000000"/>
          <w:sz w:val="32"/>
          <w:szCs w:val="32"/>
        </w:rPr>
        <w:t>公务用车购置及运行费反映单位公务用车车辆购置支出（含车辆购置税）及租用费、燃料费、维修费、过路过桥费、保险费等支出；公务接待费反映单位按规定开支的各类公务接待（含外宾接待）支出。</w:t>
      </w:r>
    </w:p>
    <w:p>
      <w:pPr>
        <w:spacing w:beforeLines="0" w:afterLines="0" w:line="600" w:lineRule="exact"/>
        <w:jc w:val="both"/>
        <w:rPr>
          <w:rFonts w:hint="eastAsia" w:ascii="黑体" w:hAnsi="黑体" w:eastAsia="黑体"/>
          <w:color w:val="auto"/>
          <w:kern w:val="2"/>
          <w:sz w:val="44"/>
          <w:szCs w:val="24"/>
          <w:lang w:val="en-US"/>
        </w:rPr>
      </w:pPr>
    </w:p>
    <w:p>
      <w:pPr>
        <w:spacing w:beforeLines="0" w:afterLines="0" w:line="600" w:lineRule="exact"/>
        <w:ind w:firstLine="2640" w:firstLineChars="600"/>
        <w:jc w:val="both"/>
        <w:rPr>
          <w:rFonts w:hint="eastAsia" w:ascii="黑体" w:hAnsi="黑体" w:eastAsia="黑体"/>
          <w:color w:val="auto"/>
          <w:kern w:val="2"/>
          <w:sz w:val="44"/>
          <w:szCs w:val="24"/>
          <w:lang w:val="en-US" w:eastAsia="zh-CN"/>
        </w:rPr>
      </w:pPr>
    </w:p>
    <w:p>
      <w:pPr>
        <w:pStyle w:val="2"/>
        <w:rPr>
          <w:rFonts w:hint="eastAsia" w:ascii="黑体" w:hAnsi="黑体" w:eastAsia="黑体"/>
          <w:color w:val="auto"/>
          <w:kern w:val="2"/>
          <w:sz w:val="44"/>
          <w:szCs w:val="24"/>
          <w:lang w:val="en-US" w:eastAsia="zh-CN"/>
        </w:rPr>
      </w:pPr>
    </w:p>
    <w:p>
      <w:pPr>
        <w:pStyle w:val="2"/>
        <w:rPr>
          <w:rFonts w:hint="eastAsia" w:ascii="黑体" w:hAnsi="黑体" w:eastAsia="黑体"/>
          <w:color w:val="auto"/>
          <w:kern w:val="2"/>
          <w:sz w:val="44"/>
          <w:szCs w:val="24"/>
          <w:lang w:val="en-US" w:eastAsia="zh-CN"/>
        </w:rPr>
      </w:pPr>
    </w:p>
    <w:p>
      <w:pPr>
        <w:pStyle w:val="2"/>
        <w:rPr>
          <w:rFonts w:hint="eastAsia" w:ascii="黑体" w:hAnsi="黑体" w:eastAsia="黑体"/>
          <w:color w:val="auto"/>
          <w:kern w:val="2"/>
          <w:sz w:val="44"/>
          <w:szCs w:val="24"/>
          <w:lang w:val="en-US" w:eastAsia="zh-CN"/>
        </w:rPr>
      </w:pPr>
    </w:p>
    <w:p>
      <w:pPr>
        <w:pStyle w:val="2"/>
        <w:rPr>
          <w:rFonts w:hint="eastAsia" w:ascii="黑体" w:hAnsi="黑体" w:eastAsia="黑体"/>
          <w:color w:val="auto"/>
          <w:kern w:val="2"/>
          <w:sz w:val="44"/>
          <w:szCs w:val="24"/>
          <w:lang w:val="en-US" w:eastAsia="zh-CN"/>
        </w:rPr>
      </w:pPr>
    </w:p>
    <w:p>
      <w:pPr>
        <w:pStyle w:val="2"/>
        <w:rPr>
          <w:rFonts w:hint="eastAsia" w:ascii="黑体" w:hAnsi="黑体" w:eastAsia="黑体"/>
          <w:color w:val="auto"/>
          <w:kern w:val="2"/>
          <w:sz w:val="44"/>
          <w:szCs w:val="24"/>
          <w:lang w:val="en-US" w:eastAsia="zh-CN"/>
        </w:rPr>
      </w:pPr>
    </w:p>
    <w:p>
      <w:pPr>
        <w:pStyle w:val="2"/>
        <w:rPr>
          <w:rFonts w:hint="eastAsia" w:ascii="黑体" w:hAnsi="黑体" w:eastAsia="黑体"/>
          <w:color w:val="auto"/>
          <w:kern w:val="2"/>
          <w:sz w:val="44"/>
          <w:szCs w:val="24"/>
          <w:lang w:val="en-US" w:eastAsia="zh-CN"/>
        </w:rPr>
      </w:pPr>
    </w:p>
    <w:p>
      <w:pPr>
        <w:pStyle w:val="2"/>
        <w:rPr>
          <w:rFonts w:hint="eastAsia" w:ascii="黑体" w:hAnsi="黑体" w:eastAsia="黑体"/>
          <w:color w:val="auto"/>
          <w:kern w:val="2"/>
          <w:sz w:val="44"/>
          <w:szCs w:val="24"/>
          <w:lang w:val="en-US" w:eastAsia="zh-CN"/>
        </w:rPr>
      </w:pPr>
    </w:p>
    <w:p>
      <w:pPr>
        <w:spacing w:beforeLines="0" w:afterLines="0" w:line="600" w:lineRule="exact"/>
        <w:jc w:val="center"/>
        <w:rPr>
          <w:rFonts w:hint="eastAsia" w:ascii="黑体" w:hAnsi="黑体" w:eastAsia="黑体"/>
          <w:color w:val="auto"/>
          <w:kern w:val="44"/>
          <w:sz w:val="44"/>
          <w:szCs w:val="24"/>
          <w:lang w:val="en-US"/>
        </w:rPr>
      </w:pPr>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四部分 附件</w:t>
      </w:r>
    </w:p>
    <w:tbl>
      <w:tblPr>
        <w:tblStyle w:val="7"/>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1"/>
        <w:gridCol w:w="643"/>
        <w:gridCol w:w="828"/>
        <w:gridCol w:w="2014"/>
        <w:gridCol w:w="413"/>
        <w:gridCol w:w="519"/>
        <w:gridCol w:w="882"/>
        <w:gridCol w:w="794"/>
        <w:gridCol w:w="575"/>
        <w:gridCol w:w="816"/>
        <w:gridCol w:w="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08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绩效目标自评表</w:t>
            </w:r>
            <w:r>
              <w:rPr>
                <w:rFonts w:hint="eastAsia" w:ascii="宋体" w:hAnsi="宋体" w:eastAsia="宋体" w:cs="宋体"/>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9080" w:type="dxa"/>
            <w:gridSpan w:val="11"/>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扶贫</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项目负责人及电话</w:t>
            </w:r>
          </w:p>
        </w:tc>
        <w:tc>
          <w:tcPr>
            <w:tcW w:w="264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孙明军13882413492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通江县教育科技和体育局</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6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通江县广纳镇梓潼小学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资金情况</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0.5</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0.5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其中：本年财政拨款</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0.5</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4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3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通过预算执行：保障</w:t>
            </w:r>
            <w:r>
              <w:rPr>
                <w:rFonts w:hint="eastAsia" w:ascii="宋体" w:hAnsi="宋体" w:cs="宋体"/>
                <w:i w:val="0"/>
                <w:iCs w:val="0"/>
                <w:color w:val="000000"/>
                <w:kern w:val="0"/>
                <w:sz w:val="20"/>
                <w:szCs w:val="20"/>
                <w:u w:val="none"/>
                <w:lang w:val="en-US" w:eastAsia="zh-CN" w:bidi="ar"/>
              </w:rPr>
              <w:t>通江县广纳镇梓潼小学</w:t>
            </w:r>
            <w:r>
              <w:rPr>
                <w:rFonts w:hint="eastAsia" w:ascii="宋体" w:hAnsi="宋体" w:eastAsia="宋体" w:cs="宋体"/>
                <w:i w:val="0"/>
                <w:iCs w:val="0"/>
                <w:color w:val="000000"/>
                <w:kern w:val="0"/>
                <w:sz w:val="20"/>
                <w:szCs w:val="20"/>
                <w:u w:val="none"/>
                <w:lang w:val="en-US" w:eastAsia="zh-CN" w:bidi="ar"/>
              </w:rPr>
              <w:t>1名驻村干部工作经费等</w:t>
            </w:r>
          </w:p>
        </w:tc>
        <w:tc>
          <w:tcPr>
            <w:tcW w:w="3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w:t>
            </w:r>
            <w:r>
              <w:rPr>
                <w:rFonts w:hint="eastAsia" w:ascii="宋体" w:hAnsi="宋体" w:cs="宋体"/>
                <w:i w:val="0"/>
                <w:iCs w:val="0"/>
                <w:color w:val="000000"/>
                <w:kern w:val="0"/>
                <w:sz w:val="20"/>
                <w:szCs w:val="20"/>
                <w:u w:val="none"/>
                <w:lang w:val="en-US" w:eastAsia="zh-CN" w:bidi="ar"/>
              </w:rPr>
              <w:t>通江县广纳镇梓潼小学</w:t>
            </w:r>
            <w:r>
              <w:rPr>
                <w:rFonts w:hint="eastAsia" w:ascii="宋体" w:hAnsi="宋体" w:eastAsia="宋体" w:cs="宋体"/>
                <w:i w:val="0"/>
                <w:iCs w:val="0"/>
                <w:color w:val="000000"/>
                <w:kern w:val="0"/>
                <w:sz w:val="20"/>
                <w:szCs w:val="20"/>
                <w:u w:val="none"/>
                <w:lang w:val="en-US" w:eastAsia="zh-CN" w:bidi="ar"/>
              </w:rPr>
              <w:t>1名驻村干部工作经费等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未完成原因及拟采取的改进措施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驻村人数</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驻村工作经费补助支出率</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驻村工作经费补助使用率</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驻村工作经费补助成本</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0.5</w:t>
            </w:r>
            <w:r>
              <w:rPr>
                <w:rFonts w:hint="eastAsia" w:ascii="宋体" w:hAnsi="宋体" w:eastAsia="宋体" w:cs="宋体"/>
                <w:i w:val="0"/>
                <w:iCs w:val="0"/>
                <w:color w:val="000000"/>
                <w:kern w:val="0"/>
                <w:sz w:val="20"/>
                <w:szCs w:val="20"/>
                <w:u w:val="none"/>
                <w:lang w:val="en-US" w:eastAsia="zh-CN" w:bidi="ar"/>
              </w:rPr>
              <w:t>万元</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0.5</w:t>
            </w:r>
            <w:r>
              <w:rPr>
                <w:rFonts w:hint="eastAsia" w:ascii="宋体" w:hAnsi="宋体" w:eastAsia="宋体" w:cs="宋体"/>
                <w:i w:val="0"/>
                <w:iCs w:val="0"/>
                <w:color w:val="000000"/>
                <w:kern w:val="0"/>
                <w:sz w:val="20"/>
                <w:szCs w:val="20"/>
                <w:u w:val="none"/>
                <w:lang w:val="en-US" w:eastAsia="zh-CN" w:bidi="ar"/>
              </w:rPr>
              <w:t>万元</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驻村干部增收元</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≥20000元</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≥20000元</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驻村干部幸福指数增加</w:t>
            </w:r>
          </w:p>
        </w:tc>
        <w:tc>
          <w:tcPr>
            <w:tcW w:w="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≥90%</w:t>
            </w:r>
          </w:p>
        </w:tc>
        <w:tc>
          <w:tcPr>
            <w:tcW w:w="8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≥90%</w:t>
            </w:r>
          </w:p>
        </w:tc>
        <w:tc>
          <w:tcPr>
            <w:tcW w:w="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驻村干部感受党的优惠政策</w:t>
            </w:r>
          </w:p>
        </w:tc>
        <w:tc>
          <w:tcPr>
            <w:tcW w:w="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000000"/>
                <w:sz w:val="16"/>
                <w:szCs w:val="16"/>
                <w:u w:val="none"/>
              </w:rPr>
            </w:pPr>
          </w:p>
        </w:tc>
        <w:tc>
          <w:tcPr>
            <w:tcW w:w="8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000000"/>
                <w:sz w:val="16"/>
                <w:szCs w:val="16"/>
                <w:u w:val="none"/>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带领老百姓致富，振兴乡村经济</w:t>
            </w:r>
          </w:p>
        </w:tc>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≥5%</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≥5%</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51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体现政策导向，激发社会活力</w:t>
            </w:r>
          </w:p>
        </w:tc>
        <w:tc>
          <w:tcPr>
            <w:tcW w:w="447" w:type="dxa"/>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=长期</w:t>
            </w:r>
          </w:p>
        </w:tc>
        <w:tc>
          <w:tcPr>
            <w:tcW w:w="80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=长期</w:t>
            </w:r>
          </w:p>
        </w:tc>
        <w:tc>
          <w:tcPr>
            <w:tcW w:w="584" w:type="dxa"/>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5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对本行业未来可持续发展的影响</w:t>
            </w:r>
          </w:p>
        </w:tc>
        <w:tc>
          <w:tcPr>
            <w:tcW w:w="4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=可持续</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=可持续</w:t>
            </w:r>
          </w:p>
        </w:tc>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5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通过项目的实施，力争使我县相关部领导和社会对我校项目实施的满意度达到较好水平</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≤80%</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≤80%</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6"/>
                <w:szCs w:val="16"/>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6"/>
                <w:szCs w:val="16"/>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6"/>
                <w:szCs w:val="16"/>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6"/>
                <w:szCs w:val="16"/>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0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97</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
      </w:pPr>
    </w:p>
    <w:tbl>
      <w:tblPr>
        <w:tblStyle w:val="7"/>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6"/>
        <w:gridCol w:w="719"/>
        <w:gridCol w:w="918"/>
        <w:gridCol w:w="1762"/>
        <w:gridCol w:w="141"/>
        <w:gridCol w:w="677"/>
        <w:gridCol w:w="1050"/>
        <w:gridCol w:w="1005"/>
        <w:gridCol w:w="581"/>
        <w:gridCol w:w="861"/>
        <w:gridCol w:w="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3"/>
                <w:lang w:val="en-US" w:eastAsia="zh-CN" w:bidi="ar"/>
              </w:rPr>
              <w:t>绩效目标自评表</w:t>
            </w:r>
            <w:r>
              <w:rPr>
                <w:rStyle w:val="1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9360" w:type="dxa"/>
            <w:gridSpan w:val="11"/>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2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义务教育学生免作业本费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项目负责人及电话</w:t>
            </w:r>
          </w:p>
        </w:tc>
        <w:tc>
          <w:tcPr>
            <w:tcW w:w="28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孙明军13882413492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2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通江县教育科技和体育局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8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通江县广纳镇梓潼小学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28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资金情况</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28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0.06</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0.06</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28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
                <w:lang w:val="en-US" w:eastAsia="zh-CN" w:bidi="ar"/>
              </w:rPr>
              <w:t xml:space="preserve"> 其中：本年财政拨款</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0.06</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0.06</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28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
                <w:lang w:val="en-US" w:eastAsia="zh-CN" w:bidi="ar"/>
              </w:rPr>
              <w:t xml:space="preserve">       其他资金</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2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39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通过预算执行：保障义务教育阶段学生免作业本支出。   </w:t>
            </w:r>
          </w:p>
        </w:tc>
        <w:tc>
          <w:tcPr>
            <w:tcW w:w="39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保障义务教育阶段学生免作业本支出。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全年实际值</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未完成原因及拟采取的改进措施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学生人数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28</w:t>
            </w:r>
            <w:r>
              <w:rPr>
                <w:rFonts w:hint="eastAsia" w:ascii="宋体" w:hAnsi="宋体" w:eastAsia="宋体" w:cs="宋体"/>
                <w:i w:val="0"/>
                <w:iCs w:val="0"/>
                <w:color w:val="000000"/>
                <w:kern w:val="0"/>
                <w:sz w:val="20"/>
                <w:szCs w:val="20"/>
                <w:u w:val="none"/>
                <w:lang w:val="en-US" w:eastAsia="zh-CN" w:bidi="ar"/>
              </w:rPr>
              <w:t>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28</w:t>
            </w:r>
            <w:r>
              <w:rPr>
                <w:rFonts w:hint="eastAsia" w:ascii="宋体" w:hAnsi="宋体" w:eastAsia="宋体" w:cs="宋体"/>
                <w:i w:val="0"/>
                <w:iCs w:val="0"/>
                <w:color w:val="000000"/>
                <w:kern w:val="0"/>
                <w:sz w:val="20"/>
                <w:szCs w:val="20"/>
                <w:u w:val="none"/>
                <w:lang w:val="en-US" w:eastAsia="zh-CN" w:bidi="ar"/>
              </w:rPr>
              <w:t>人</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学生免作业本支出率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学生免作业本使用率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学生免作业本成本</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585</w:t>
            </w:r>
            <w:r>
              <w:rPr>
                <w:rFonts w:hint="eastAsia" w:ascii="宋体" w:hAnsi="宋体" w:eastAsia="宋体" w:cs="宋体"/>
                <w:i w:val="0"/>
                <w:iCs w:val="0"/>
                <w:color w:val="000000"/>
                <w:kern w:val="0"/>
                <w:sz w:val="20"/>
                <w:szCs w:val="20"/>
                <w:u w:val="none"/>
                <w:lang w:val="en-US" w:eastAsia="zh-CN" w:bidi="ar"/>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585</w:t>
            </w:r>
            <w:r>
              <w:rPr>
                <w:rFonts w:hint="eastAsia" w:ascii="宋体" w:hAnsi="宋体" w:eastAsia="宋体" w:cs="宋体"/>
                <w:i w:val="0"/>
                <w:iCs w:val="0"/>
                <w:color w:val="000000"/>
                <w:kern w:val="0"/>
                <w:sz w:val="20"/>
                <w:szCs w:val="20"/>
                <w:u w:val="none"/>
                <w:lang w:val="en-US" w:eastAsia="zh-CN" w:bidi="ar"/>
              </w:rPr>
              <w:t>元</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spacing w:beforeLines="0" w:afterLines="0" w:line="6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学生家长增收</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≥15元</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学生家长幸福指数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学生家长感受党的惠民政策</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教育教学可持续影响期限</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社会满意度</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
      </w:pPr>
    </w:p>
    <w:tbl>
      <w:tblPr>
        <w:tblStyle w:val="7"/>
        <w:tblW w:w="9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6"/>
        <w:gridCol w:w="692"/>
        <w:gridCol w:w="912"/>
        <w:gridCol w:w="2212"/>
        <w:gridCol w:w="716"/>
        <w:gridCol w:w="1016"/>
        <w:gridCol w:w="976"/>
        <w:gridCol w:w="626"/>
        <w:gridCol w:w="836"/>
        <w:gridCol w:w="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32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6"/>
                <w:lang w:val="en-US" w:eastAsia="zh-CN" w:bidi="ar"/>
              </w:rPr>
              <w:t>绩效目标自评表</w:t>
            </w:r>
            <w:r>
              <w:rPr>
                <w:rStyle w:val="17"/>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9320" w:type="dxa"/>
            <w:gridSpan w:val="10"/>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学前教育资金</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项目负责人及电话</w:t>
            </w:r>
          </w:p>
        </w:tc>
        <w:tc>
          <w:tcPr>
            <w:tcW w:w="2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孙明军13882413492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通江县教育科技和体育局</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通江县广纳镇梓潼小学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24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资金情况</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24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0.6</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0.6</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24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其中：本年财政拨款</w:t>
            </w:r>
          </w:p>
        </w:tc>
        <w:tc>
          <w:tcPr>
            <w:tcW w:w="6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0.6</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0.6</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24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4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通过预算执行：保障幼儿园学生的基本学习及正常的生活秩序。</w:t>
            </w:r>
          </w:p>
        </w:tc>
        <w:tc>
          <w:tcPr>
            <w:tcW w:w="4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保障幼儿园学生的基本学习及正常的生活秩序。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全年实际值</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未完成原因及拟采取的改进措施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学生人数</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人</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人</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学前教育资金支出率</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学生各项资助发放及时率</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学前教育资金成本</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0.6</w:t>
            </w:r>
            <w:r>
              <w:rPr>
                <w:rFonts w:hint="eastAsia" w:ascii="宋体" w:hAnsi="宋体" w:eastAsia="宋体" w:cs="宋体"/>
                <w:i w:val="0"/>
                <w:iCs w:val="0"/>
                <w:color w:val="000000"/>
                <w:kern w:val="0"/>
                <w:sz w:val="20"/>
                <w:szCs w:val="20"/>
                <w:u w:val="none"/>
                <w:lang w:val="en-US" w:eastAsia="zh-CN" w:bidi="ar"/>
              </w:rPr>
              <w:t>万元</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0.6</w:t>
            </w:r>
            <w:r>
              <w:rPr>
                <w:rFonts w:hint="eastAsia" w:ascii="宋体" w:hAnsi="宋体" w:eastAsia="宋体" w:cs="宋体"/>
                <w:i w:val="0"/>
                <w:iCs w:val="0"/>
                <w:color w:val="000000"/>
                <w:kern w:val="0"/>
                <w:sz w:val="20"/>
                <w:szCs w:val="20"/>
                <w:u w:val="none"/>
                <w:lang w:val="en-US" w:eastAsia="zh-CN" w:bidi="ar"/>
              </w:rPr>
              <w:t>万元</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学生家长增收</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≥500元</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≥500元</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学生家长幸福指数</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学生家长感受党的惠民政策</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教育教学可持续影响期限</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社会满意度</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5"/>
        </w:numPr>
        <w:spacing w:beforeLines="0" w:afterLines="0" w:line="600" w:lineRule="exact"/>
        <w:jc w:val="center"/>
        <w:rPr>
          <w:rFonts w:hint="eastAsia" w:ascii="黑体" w:hAnsi="黑体" w:eastAsia="黑体" w:cs="黑体"/>
          <w:b w:val="0"/>
          <w:bCs w:val="0"/>
          <w:color w:val="auto"/>
          <w:kern w:val="2"/>
          <w:sz w:val="44"/>
          <w:szCs w:val="44"/>
          <w:lang w:val="en-US" w:eastAsia="zh-CN"/>
        </w:rPr>
      </w:pPr>
      <w:r>
        <w:rPr>
          <w:rFonts w:hint="eastAsia" w:ascii="黑体" w:hAnsi="黑体" w:eastAsia="黑体" w:cs="黑体"/>
          <w:b w:val="0"/>
          <w:bCs w:val="0"/>
          <w:color w:val="auto"/>
          <w:kern w:val="2"/>
          <w:sz w:val="44"/>
          <w:szCs w:val="44"/>
          <w:lang w:val="en-US" w:eastAsia="zh-CN"/>
        </w:rPr>
        <w:t>附表</w:t>
      </w:r>
    </w:p>
    <w:p>
      <w:pPr>
        <w:pStyle w:val="2"/>
        <w:numPr>
          <w:numId w:val="0"/>
        </w:numPr>
        <w:rPr>
          <w:rFonts w:hint="eastAsia"/>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left="0" w:leftChars="0" w:firstLine="640" w:firstLineChars="200"/>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eastAsia="zh-CN"/>
        </w:rPr>
        <w:t>一、</w:t>
      </w:r>
      <w:r>
        <w:rPr>
          <w:rFonts w:hint="eastAsia" w:ascii="仿宋" w:hAnsi="仿宋" w:eastAsia="仿宋"/>
          <w:color w:val="auto"/>
          <w:kern w:val="2"/>
          <w:sz w:val="32"/>
          <w:szCs w:val="24"/>
          <w:lang w:val="en-US"/>
        </w:rPr>
        <w:t>收入支出决算总表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left="0" w:leftChars="0" w:firstLine="640" w:firstLineChars="200"/>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eastAsia="zh-CN"/>
        </w:rPr>
        <w:t>二、</w:t>
      </w:r>
      <w:r>
        <w:rPr>
          <w:rFonts w:hint="eastAsia" w:ascii="仿宋" w:hAnsi="仿宋" w:eastAsia="仿宋"/>
          <w:color w:val="auto"/>
          <w:kern w:val="2"/>
          <w:sz w:val="32"/>
          <w:szCs w:val="24"/>
          <w:lang w:val="en-US"/>
        </w:rPr>
        <w:t>收入决算表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left="0" w:leftChars="0" w:firstLine="640" w:firstLineChars="200"/>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eastAsia="zh-CN"/>
        </w:rPr>
        <w:t>三、</w:t>
      </w:r>
      <w:r>
        <w:rPr>
          <w:rFonts w:hint="eastAsia" w:ascii="仿宋" w:hAnsi="仿宋" w:eastAsia="仿宋"/>
          <w:color w:val="auto"/>
          <w:kern w:val="2"/>
          <w:sz w:val="32"/>
          <w:szCs w:val="24"/>
          <w:lang w:val="en-US"/>
        </w:rPr>
        <w:t>支出决算表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left="0" w:leftChars="0" w:firstLine="640" w:firstLineChars="200"/>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eastAsia="zh-CN"/>
        </w:rPr>
        <w:t>四、</w:t>
      </w:r>
      <w:r>
        <w:rPr>
          <w:rFonts w:hint="eastAsia" w:ascii="仿宋" w:hAnsi="仿宋" w:eastAsia="仿宋"/>
          <w:color w:val="auto"/>
          <w:kern w:val="2"/>
          <w:sz w:val="32"/>
          <w:szCs w:val="24"/>
          <w:lang w:val="en-US"/>
        </w:rPr>
        <w:t>财政拨款收入支出决算总表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left="0" w:leftChars="0" w:firstLine="640" w:firstLineChars="200"/>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eastAsia="zh-CN"/>
        </w:rPr>
        <w:t>五、</w:t>
      </w:r>
      <w:r>
        <w:rPr>
          <w:rFonts w:hint="eastAsia" w:ascii="仿宋" w:hAnsi="仿宋" w:eastAsia="仿宋"/>
          <w:color w:val="auto"/>
          <w:kern w:val="2"/>
          <w:sz w:val="32"/>
          <w:szCs w:val="24"/>
          <w:lang w:val="en-US"/>
        </w:rPr>
        <w:t>财政拨款支出决算明细表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left="0" w:leftChars="0" w:firstLine="640" w:firstLineChars="200"/>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eastAsia="zh-CN"/>
        </w:rPr>
        <w:t>六、</w:t>
      </w:r>
      <w:r>
        <w:rPr>
          <w:rFonts w:hint="eastAsia" w:ascii="仿宋" w:hAnsi="仿宋" w:eastAsia="仿宋"/>
          <w:color w:val="auto"/>
          <w:kern w:val="2"/>
          <w:sz w:val="32"/>
          <w:szCs w:val="24"/>
          <w:lang w:val="en-US"/>
        </w:rPr>
        <w:t>一般公共预算财政拨款支出决算表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left="0" w:leftChars="0" w:firstLine="640" w:firstLineChars="200"/>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eastAsia="zh-CN"/>
        </w:rPr>
        <w:t>七、</w:t>
      </w:r>
      <w:r>
        <w:rPr>
          <w:rFonts w:hint="eastAsia" w:ascii="仿宋" w:hAnsi="仿宋" w:eastAsia="仿宋"/>
          <w:color w:val="auto"/>
          <w:kern w:val="2"/>
          <w:sz w:val="32"/>
          <w:szCs w:val="24"/>
          <w:lang w:val="en-US"/>
        </w:rPr>
        <w:t>一般公共预算财政拨款支出决算明细表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left="0" w:leftChars="0" w:firstLine="640" w:firstLineChars="200"/>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eastAsia="zh-CN"/>
        </w:rPr>
        <w:t>八、</w:t>
      </w:r>
      <w:r>
        <w:rPr>
          <w:rFonts w:hint="eastAsia" w:ascii="仿宋" w:hAnsi="仿宋" w:eastAsia="仿宋"/>
          <w:color w:val="auto"/>
          <w:kern w:val="2"/>
          <w:sz w:val="32"/>
          <w:szCs w:val="24"/>
          <w:lang w:val="en-US"/>
        </w:rPr>
        <w:t>一般公共预算财政拨款基本支出决算表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left="0" w:leftChars="0" w:firstLine="640" w:firstLineChars="200"/>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eastAsia="zh-CN"/>
        </w:rPr>
        <w:t>九、</w:t>
      </w:r>
      <w:r>
        <w:rPr>
          <w:rFonts w:hint="eastAsia" w:ascii="仿宋" w:hAnsi="仿宋" w:eastAsia="仿宋"/>
          <w:color w:val="auto"/>
          <w:kern w:val="2"/>
          <w:sz w:val="32"/>
          <w:szCs w:val="24"/>
          <w:lang w:val="en-US"/>
        </w:rPr>
        <w:t>一般公共预算财政拨款项目支出决算表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left="0" w:leftChars="0" w:firstLine="640" w:firstLineChars="200"/>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eastAsia="zh-CN"/>
        </w:rPr>
        <w:t>十、</w:t>
      </w:r>
      <w:r>
        <w:rPr>
          <w:rFonts w:hint="eastAsia" w:ascii="仿宋" w:hAnsi="仿宋" w:eastAsia="仿宋"/>
          <w:color w:val="auto"/>
          <w:kern w:val="2"/>
          <w:sz w:val="32"/>
          <w:szCs w:val="24"/>
          <w:lang w:val="en-US"/>
        </w:rPr>
        <w:t>政府性基金预算财政拨款收入支出决算表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left="0" w:leftChars="0" w:firstLine="640" w:firstLineChars="200"/>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eastAsia="zh-CN"/>
        </w:rPr>
        <w:t>十一、</w:t>
      </w:r>
      <w:r>
        <w:rPr>
          <w:rFonts w:hint="eastAsia" w:ascii="仿宋" w:hAnsi="仿宋" w:eastAsia="仿宋"/>
          <w:color w:val="auto"/>
          <w:kern w:val="2"/>
          <w:sz w:val="32"/>
          <w:szCs w:val="24"/>
          <w:lang w:val="en-US"/>
        </w:rPr>
        <w:t>国有资本经营预算财政拨款收入支出决算表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left="0" w:leftChars="0" w:firstLine="640" w:firstLineChars="200"/>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eastAsia="zh-CN"/>
        </w:rPr>
        <w:t>十二、</w:t>
      </w:r>
      <w:r>
        <w:rPr>
          <w:rFonts w:hint="eastAsia" w:ascii="仿宋" w:hAnsi="仿宋" w:eastAsia="仿宋"/>
          <w:color w:val="auto"/>
          <w:kern w:val="2"/>
          <w:sz w:val="32"/>
          <w:szCs w:val="24"/>
          <w:lang w:val="en-US"/>
        </w:rPr>
        <w:t>国有资本经营预算财政拨款支出决算表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left="0" w:leftChars="0" w:firstLine="640" w:firstLineChars="200"/>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十三、财政拨款“三公”经费支出决算表</w:t>
      </w:r>
    </w:p>
    <w:p>
      <w:pPr>
        <w:spacing w:beforeLines="0" w:afterLines="0"/>
        <w:rPr>
          <w:rFonts w:hint="eastAsia" w:ascii="华文中宋" w:hAnsi="华文中宋" w:eastAsia="华文中宋"/>
          <w:color w:val="auto"/>
          <w:kern w:val="2"/>
          <w:sz w:val="36"/>
          <w:szCs w:val="24"/>
          <w:lang w:val="en-US"/>
        </w:rPr>
      </w:pPr>
    </w:p>
    <w:p>
      <w:pPr>
        <w:pStyle w:val="2"/>
        <w:rPr>
          <w:rFonts w:hint="eastAsia" w:ascii="华文中宋" w:hAnsi="华文中宋" w:eastAsia="华文中宋"/>
          <w:color w:val="auto"/>
          <w:kern w:val="2"/>
          <w:sz w:val="36"/>
          <w:szCs w:val="24"/>
          <w:lang w:val="en-US"/>
        </w:rPr>
      </w:pPr>
    </w:p>
    <w:p>
      <w:pPr>
        <w:pStyle w:val="2"/>
        <w:rPr>
          <w:rFonts w:hint="eastAsia" w:ascii="华文中宋" w:hAnsi="华文中宋" w:eastAsia="华文中宋"/>
          <w:color w:val="auto"/>
          <w:kern w:val="2"/>
          <w:sz w:val="36"/>
          <w:szCs w:val="24"/>
          <w:lang w:val="en-US"/>
        </w:rPr>
      </w:pPr>
    </w:p>
    <w:p>
      <w:pPr>
        <w:pStyle w:val="2"/>
        <w:rPr>
          <w:rFonts w:hint="eastAsia" w:ascii="华文中宋" w:hAnsi="华文中宋" w:eastAsia="华文中宋"/>
          <w:color w:val="auto"/>
          <w:kern w:val="2"/>
          <w:sz w:val="36"/>
          <w:szCs w:val="24"/>
          <w:lang w:val="en-US"/>
        </w:rPr>
      </w:pPr>
    </w:p>
    <w:p>
      <w:pPr>
        <w:pStyle w:val="2"/>
      </w:pPr>
    </w:p>
    <w:sectPr>
      <w:pgSz w:w="11906" w:h="16838"/>
      <w:pgMar w:top="1984" w:right="1009"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script"/>
    <w:pitch w:val="default"/>
    <w:sig w:usb0="800002BF" w:usb1="184F6CF8" w:usb2="00000012" w:usb3="00000000" w:csb0="00160001" w:csb1="1203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9412B"/>
    <w:multiLevelType w:val="multilevel"/>
    <w:tmpl w:val="89B9412B"/>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47228EDE"/>
    <w:multiLevelType w:val="multilevel"/>
    <w:tmpl w:val="47228EDE"/>
    <w:lvl w:ilvl="0" w:tentative="0">
      <w:start w:val="5"/>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576B7454"/>
    <w:multiLevelType w:val="singleLevel"/>
    <w:tmpl w:val="576B7454"/>
    <w:lvl w:ilvl="0" w:tentative="0">
      <w:start w:val="2"/>
      <w:numFmt w:val="chineseCounting"/>
      <w:suff w:val="space"/>
      <w:lvlText w:val="第%1部分"/>
      <w:lvlJc w:val="left"/>
      <w:rPr>
        <w:rFonts w:hint="eastAsia"/>
      </w:rPr>
    </w:lvl>
  </w:abstractNum>
  <w:abstractNum w:abstractNumId="3">
    <w:nsid w:val="57AA9A35"/>
    <w:multiLevelType w:val="singleLevel"/>
    <w:tmpl w:val="57AA9A35"/>
    <w:lvl w:ilvl="0" w:tentative="0">
      <w:start w:val="5"/>
      <w:numFmt w:val="chineseCounting"/>
      <w:suff w:val="space"/>
      <w:lvlText w:val="第%1部分"/>
      <w:lvlJc w:val="left"/>
      <w:rPr>
        <w:rFonts w:hint="eastAsia"/>
      </w:rPr>
    </w:lvl>
  </w:abstractNum>
  <w:abstractNum w:abstractNumId="4">
    <w:nsid w:val="72A6521D"/>
    <w:multiLevelType w:val="multilevel"/>
    <w:tmpl w:val="72A6521D"/>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NzU4MGEzZWU1N2EyOWI1ZjNmYWFlMDYwMDRkMjAifQ=="/>
  </w:docVars>
  <w:rsids>
    <w:rsidRoot w:val="642A3BB7"/>
    <w:rsid w:val="017F1572"/>
    <w:rsid w:val="0CF77220"/>
    <w:rsid w:val="1DA80739"/>
    <w:rsid w:val="34623515"/>
    <w:rsid w:val="3C2F63D2"/>
    <w:rsid w:val="412572B0"/>
    <w:rsid w:val="5DC6201F"/>
    <w:rsid w:val="642A3BB7"/>
    <w:rsid w:val="657A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4">
    <w:name w:val="heading 2"/>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Lines="30" w:afterLines="0"/>
    </w:pPr>
    <w:rPr>
      <w:rFonts w:hint="eastAsia" w:ascii="仿宋_GB2312" w:hAnsi="Times New Roman" w:eastAsia="仿宋_GB2312"/>
      <w:sz w:val="30"/>
      <w:szCs w:val="24"/>
    </w:rPr>
  </w:style>
  <w:style w:type="paragraph" w:styleId="5">
    <w:name w:val="toc 1"/>
    <w:basedOn w:val="1"/>
    <w:next w:val="1"/>
    <w:unhideWhenUsed/>
    <w:qFormat/>
    <w:uiPriority w:val="39"/>
    <w:pPr>
      <w:tabs>
        <w:tab w:val="right" w:leader="dot" w:pos="8296"/>
      </w:tabs>
      <w:spacing w:before="93" w:beforeLines="0" w:afterLines="0"/>
      <w:jc w:val="center"/>
    </w:pPr>
    <w:rPr>
      <w:rFonts w:hint="eastAsia" w:ascii="仿宋" w:hAnsi="仿宋" w:eastAsia="仿宋"/>
      <w:sz w:val="28"/>
      <w:szCs w:val="24"/>
    </w:rPr>
  </w:style>
  <w:style w:type="paragraph" w:styleId="6">
    <w:name w:val="toc 2"/>
    <w:basedOn w:val="1"/>
    <w:next w:val="1"/>
    <w:unhideWhenUsed/>
    <w:qFormat/>
    <w:uiPriority w:val="39"/>
    <w:pPr>
      <w:tabs>
        <w:tab w:val="right" w:leader="dot" w:pos="8296"/>
      </w:tabs>
      <w:spacing w:beforeLines="0" w:afterLines="0"/>
      <w:ind w:left="420" w:leftChars="200"/>
    </w:pPr>
    <w:rPr>
      <w:rFonts w:hint="default"/>
      <w:sz w:val="24"/>
      <w:szCs w:val="24"/>
    </w:rPr>
  </w:style>
  <w:style w:type="character" w:styleId="9">
    <w:name w:val="Strong"/>
    <w:basedOn w:val="8"/>
    <w:unhideWhenUsed/>
    <w:qFormat/>
    <w:uiPriority w:val="99"/>
    <w:rPr>
      <w:rFonts w:hint="default"/>
      <w:b/>
      <w:sz w:val="24"/>
      <w:szCs w:val="24"/>
    </w:rPr>
  </w:style>
  <w:style w:type="character" w:customStyle="1" w:styleId="10">
    <w:name w:val="font101"/>
    <w:basedOn w:val="8"/>
    <w:qFormat/>
    <w:uiPriority w:val="0"/>
    <w:rPr>
      <w:rFonts w:hint="eastAsia" w:ascii="宋体" w:hAnsi="宋体" w:eastAsia="宋体" w:cs="宋体"/>
      <w:b/>
      <w:bCs/>
      <w:color w:val="000000"/>
      <w:sz w:val="32"/>
      <w:szCs w:val="32"/>
      <w:u w:val="none"/>
    </w:rPr>
  </w:style>
  <w:style w:type="character" w:customStyle="1" w:styleId="11">
    <w:name w:val="font31"/>
    <w:basedOn w:val="8"/>
    <w:qFormat/>
    <w:uiPriority w:val="0"/>
    <w:rPr>
      <w:rFonts w:hint="eastAsia" w:ascii="宋体" w:hAnsi="宋体" w:eastAsia="宋体" w:cs="宋体"/>
      <w:color w:val="000000"/>
      <w:sz w:val="32"/>
      <w:szCs w:val="32"/>
      <w:u w:val="none"/>
    </w:rPr>
  </w:style>
  <w:style w:type="character" w:customStyle="1" w:styleId="12">
    <w:name w:val="font11"/>
    <w:basedOn w:val="8"/>
    <w:qFormat/>
    <w:uiPriority w:val="0"/>
    <w:rPr>
      <w:rFonts w:hint="eastAsia" w:ascii="宋体" w:hAnsi="宋体" w:eastAsia="宋体" w:cs="宋体"/>
      <w:color w:val="000000"/>
      <w:sz w:val="20"/>
      <w:szCs w:val="20"/>
      <w:u w:val="none"/>
    </w:rPr>
  </w:style>
  <w:style w:type="character" w:customStyle="1" w:styleId="13">
    <w:name w:val="font51"/>
    <w:basedOn w:val="8"/>
    <w:uiPriority w:val="0"/>
    <w:rPr>
      <w:rFonts w:hint="eastAsia" w:ascii="宋体" w:hAnsi="宋体" w:eastAsia="宋体" w:cs="宋体"/>
      <w:b/>
      <w:bCs/>
      <w:color w:val="000000"/>
      <w:sz w:val="32"/>
      <w:szCs w:val="32"/>
      <w:u w:val="none"/>
    </w:rPr>
  </w:style>
  <w:style w:type="character" w:customStyle="1" w:styleId="14">
    <w:name w:val="font41"/>
    <w:basedOn w:val="8"/>
    <w:uiPriority w:val="0"/>
    <w:rPr>
      <w:rFonts w:hint="eastAsia" w:ascii="宋体" w:hAnsi="宋体" w:eastAsia="宋体" w:cs="宋体"/>
      <w:color w:val="000000"/>
      <w:sz w:val="32"/>
      <w:szCs w:val="32"/>
      <w:u w:val="none"/>
    </w:rPr>
  </w:style>
  <w:style w:type="character" w:customStyle="1" w:styleId="15">
    <w:name w:val="font21"/>
    <w:basedOn w:val="8"/>
    <w:uiPriority w:val="0"/>
    <w:rPr>
      <w:rFonts w:hint="eastAsia" w:ascii="宋体" w:hAnsi="宋体" w:eastAsia="宋体" w:cs="宋体"/>
      <w:color w:val="000000"/>
      <w:sz w:val="20"/>
      <w:szCs w:val="20"/>
      <w:u w:val="none"/>
    </w:rPr>
  </w:style>
  <w:style w:type="character" w:customStyle="1" w:styleId="16">
    <w:name w:val="font81"/>
    <w:basedOn w:val="8"/>
    <w:uiPriority w:val="0"/>
    <w:rPr>
      <w:rFonts w:hint="eastAsia" w:ascii="宋体" w:hAnsi="宋体" w:eastAsia="宋体" w:cs="宋体"/>
      <w:b/>
      <w:bCs/>
      <w:color w:val="000000"/>
      <w:sz w:val="32"/>
      <w:szCs w:val="32"/>
      <w:u w:val="none"/>
    </w:rPr>
  </w:style>
  <w:style w:type="character" w:customStyle="1" w:styleId="17">
    <w:name w:val="font71"/>
    <w:basedOn w:val="8"/>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[工作簿1]Sheet1!$A$1:$A$4</c:f>
              <c:strCache>
                <c:ptCount val="4"/>
                <c:pt idx="0">
                  <c:v>2022年收</c:v>
                </c:pt>
                <c:pt idx="1">
                  <c:v>2022年支</c:v>
                </c:pt>
                <c:pt idx="2">
                  <c:v>2021年收</c:v>
                </c:pt>
                <c:pt idx="3">
                  <c:v>2021年支</c:v>
                </c:pt>
              </c:strCache>
            </c:strRef>
          </c:cat>
          <c:val>
            <c:numRef>
              <c:f>[工作簿1]Sheet1!$B$1:$B$4</c:f>
              <c:numCache>
                <c:formatCode>General</c:formatCode>
                <c:ptCount val="4"/>
                <c:pt idx="0">
                  <c:v>313.21</c:v>
                </c:pt>
                <c:pt idx="1">
                  <c:v>313.21</c:v>
                </c:pt>
                <c:pt idx="2">
                  <c:v>296.94</c:v>
                </c:pt>
                <c:pt idx="3">
                  <c:v>296.94</c:v>
                </c:pt>
              </c:numCache>
            </c:numRef>
          </c:val>
        </c:ser>
        <c:dLbls>
          <c:showLegendKey val="0"/>
          <c:showVal val="0"/>
          <c:showCatName val="0"/>
          <c:showSerName val="0"/>
          <c:showPercent val="0"/>
          <c:showBubbleSize val="0"/>
        </c:dLbls>
        <c:gapWidth val="219"/>
        <c:overlap val="-27"/>
        <c:axId val="727816153"/>
        <c:axId val="632015963"/>
      </c:barChart>
      <c:catAx>
        <c:axId val="7278161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2015963"/>
        <c:crosses val="autoZero"/>
        <c:auto val="1"/>
        <c:lblAlgn val="ctr"/>
        <c:lblOffset val="100"/>
        <c:noMultiLvlLbl val="0"/>
      </c:catAx>
      <c:valAx>
        <c:axId val="6320159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781615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6863988724454"/>
          <c:y val="0.0102040816326531"/>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288935870331219"/>
          <c:y val="0.0102040816326531"/>
          <c:w val="0.920507399577167"/>
          <c:h val="0.979591836734694"/>
        </c:manualLayout>
      </c:layout>
      <c:pieChart>
        <c:varyColors val="1"/>
        <c:ser>
          <c:idx val="0"/>
          <c:order val="0"/>
          <c:tx>
            <c:strRef>
              <c:f>[工作簿1]Sheet1!$A$2</c:f>
              <c:strCache>
                <c:ptCount val="1"/>
                <c:pt idx="0">
                  <c:v>一般公共预算财政拨款收入</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Lbls>
            <c:delete val="1"/>
          </c:dLbls>
          <c:cat>
            <c:strRef>
              <c:f>[工作簿1]Sheet1!$B$1</c:f>
              <c:strCache>
                <c:ptCount val="1"/>
                <c:pt idx="0">
                  <c:v>列1</c:v>
                </c:pt>
              </c:strCache>
            </c:strRef>
          </c:cat>
          <c:val>
            <c:numRef>
              <c:f>[工作簿1]Sheet1!$B$2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基本支出、项目支出结构图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[工作簿1]Sheet1!$A$1:$A$4</c:f>
              <c:strCache>
                <c:ptCount val="4"/>
                <c:pt idx="0">
                  <c:v>基本支出</c:v>
                </c:pt>
                <c:pt idx="1">
                  <c:v>项目支出</c:v>
                </c:pt>
              </c:strCache>
            </c:strRef>
          </c:cat>
          <c:val>
            <c:numRef>
              <c:f>[工作簿1]Sheet1!$B$1:$B$4</c:f>
              <c:numCache>
                <c:formatCode>General</c:formatCode>
                <c:ptCount val="4"/>
                <c:pt idx="0">
                  <c:v>312.11</c:v>
                </c:pt>
                <c:pt idx="1">
                  <c:v>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单位：万元</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[工作簿1]Sheet1!$A$1:$A$4</c:f>
              <c:strCache>
                <c:ptCount val="4"/>
                <c:pt idx="0">
                  <c:v>2022年收</c:v>
                </c:pt>
                <c:pt idx="1">
                  <c:v>2022年支</c:v>
                </c:pt>
                <c:pt idx="2">
                  <c:v>2021年收</c:v>
                </c:pt>
                <c:pt idx="3">
                  <c:v>2021年支</c:v>
                </c:pt>
              </c:strCache>
            </c:strRef>
          </c:cat>
          <c:val>
            <c:numRef>
              <c:f>[工作簿1]Sheet1!$B$1:$B$4</c:f>
              <c:numCache>
                <c:formatCode>General</c:formatCode>
                <c:ptCount val="4"/>
                <c:pt idx="0">
                  <c:v>313.21</c:v>
                </c:pt>
                <c:pt idx="1">
                  <c:v>313.21</c:v>
                </c:pt>
                <c:pt idx="2">
                  <c:v>296.94</c:v>
                </c:pt>
                <c:pt idx="3">
                  <c:v>313.21</c:v>
                </c:pt>
              </c:numCache>
            </c:numRef>
          </c:val>
        </c:ser>
        <c:dLbls>
          <c:showLegendKey val="0"/>
          <c:showVal val="0"/>
          <c:showCatName val="0"/>
          <c:showSerName val="0"/>
          <c:showPercent val="0"/>
          <c:showBubbleSize val="0"/>
        </c:dLbls>
        <c:gapWidth val="219"/>
        <c:overlap val="-27"/>
        <c:axId val="896022265"/>
        <c:axId val="13158798"/>
      </c:barChart>
      <c:catAx>
        <c:axId val="8960222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158798"/>
        <c:crosses val="autoZero"/>
        <c:auto val="1"/>
        <c:lblAlgn val="ctr"/>
        <c:lblOffset val="100"/>
        <c:noMultiLvlLbl val="0"/>
      </c:catAx>
      <c:valAx>
        <c:axId val="131587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602226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一般公共预算财政拨款支出决算总计变动情况单位：万元</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[工作簿1]Sheet1!$A$1:$A$4</c:f>
              <c:strCache>
                <c:ptCount val="4"/>
                <c:pt idx="1">
                  <c:v>2022年支</c:v>
                </c:pt>
                <c:pt idx="3">
                  <c:v>2021年支</c:v>
                </c:pt>
              </c:strCache>
            </c:strRef>
          </c:cat>
          <c:val>
            <c:numRef>
              <c:f>[工作簿1]Sheet1!$B$1:$B$4</c:f>
              <c:numCache>
                <c:formatCode>General</c:formatCode>
                <c:ptCount val="4"/>
                <c:pt idx="1">
                  <c:v>313.21</c:v>
                </c:pt>
                <c:pt idx="3">
                  <c:v>313.21</c:v>
                </c:pt>
              </c:numCache>
            </c:numRef>
          </c:val>
        </c:ser>
        <c:dLbls>
          <c:showLegendKey val="0"/>
          <c:showVal val="0"/>
          <c:showCatName val="0"/>
          <c:showSerName val="0"/>
          <c:showPercent val="0"/>
          <c:showBubbleSize val="0"/>
        </c:dLbls>
        <c:gapWidth val="219"/>
        <c:overlap val="-27"/>
        <c:axId val="896022265"/>
        <c:axId val="13158798"/>
      </c:barChart>
      <c:catAx>
        <c:axId val="8960222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158798"/>
        <c:crosses val="autoZero"/>
        <c:auto val="1"/>
        <c:lblAlgn val="ctr"/>
        <c:lblOffset val="100"/>
        <c:noMultiLvlLbl val="0"/>
      </c:catAx>
      <c:valAx>
        <c:axId val="131587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602226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一般公共预算支出结构图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[工作簿1]Sheet1!$A$1:$A$5</c:f>
              <c:strCache>
                <c:ptCount val="5"/>
                <c:pt idx="0">
                  <c:v>教育支出</c:v>
                </c:pt>
                <c:pt idx="1">
                  <c:v>社会保障和就业支出</c:v>
                </c:pt>
                <c:pt idx="2">
                  <c:v>卫生健康支出</c:v>
                </c:pt>
                <c:pt idx="3">
                  <c:v>农林水支出</c:v>
                </c:pt>
                <c:pt idx="4">
                  <c:v>住房保障支出</c:v>
                </c:pt>
              </c:strCache>
            </c:strRef>
          </c:cat>
          <c:val>
            <c:numRef>
              <c:f>[工作簿1]Sheet1!$B$1:$B$5</c:f>
              <c:numCache>
                <c:formatCode>0.00%</c:formatCode>
                <c:ptCount val="5"/>
                <c:pt idx="0">
                  <c:v>0.791</c:v>
                </c:pt>
                <c:pt idx="1">
                  <c:v>0.085</c:v>
                </c:pt>
                <c:pt idx="2">
                  <c:v>0.062</c:v>
                </c:pt>
                <c:pt idx="3">
                  <c:v>0.002</c:v>
                </c:pt>
                <c:pt idx="4">
                  <c:v>0.061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6552</Words>
  <Characters>8811</Characters>
  <Lines>0</Lines>
  <Paragraphs>0</Paragraphs>
  <TotalTime>12</TotalTime>
  <ScaleCrop>false</ScaleCrop>
  <LinksUpToDate>false</LinksUpToDate>
  <CharactersWithSpaces>8887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2023-08-31T05:21:00Z</dcterms:created>
  <dc:creator>fhfjfd</dc:creator>
  <cp:lastModifiedBy>菌-</cp:lastModifiedBy>
  <dcterms:modified xsi:type="dcterms:W3CDTF">2023-11-23T07:57:17Z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36092892EB584889B8230283BFB2A1DB_11</vt:lpwstr>
  </property>
</Properties>
</file>