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475"/>
      <w:bookmarkStart w:id="2" w:name="_Toc15377193"/>
      <w:bookmarkStart w:id="3" w:name="_Toc15396597"/>
      <w:bookmarkStart w:id="4" w:name="_Toc15377425"/>
      <w:bookmarkStart w:id="5" w:name="_Toc15378441"/>
      <w:r>
        <w:rPr>
          <w:rFonts w:hint="eastAsia" w:ascii="方正小标宋简体" w:hAnsi="方正小标宋简体" w:eastAsia="方正小标宋简体" w:cs="方正小标宋简体"/>
          <w:sz w:val="72"/>
          <w:szCs w:val="72"/>
        </w:rPr>
        <w:t>202</w:t>
      </w:r>
      <w:r>
        <w:rPr>
          <w:rFonts w:hint="eastAsia" w:ascii="方正小标宋简体" w:hAnsi="方正小标宋简体" w:eastAsia="方正小标宋简体" w:cs="方正小标宋简体"/>
          <w:sz w:val="72"/>
          <w:szCs w:val="72"/>
          <w:lang w:val="en-US" w:eastAsia="zh-CN"/>
        </w:rPr>
        <w:t>2</w:t>
      </w:r>
      <w:r>
        <w:rPr>
          <w:rFonts w:hint="eastAsia" w:ascii="方正小标宋简体" w:hAnsi="方正小标宋简体" w:eastAsia="方正小标宋简体" w:cs="方正小标宋简体"/>
          <w:sz w:val="72"/>
          <w:szCs w:val="72"/>
        </w:rPr>
        <w:t>年度</w:t>
      </w:r>
      <w:bookmarkEnd w:id="1"/>
      <w:bookmarkEnd w:id="2"/>
      <w:bookmarkEnd w:id="3"/>
      <w:bookmarkEnd w:id="4"/>
      <w:bookmarkEnd w:id="5"/>
    </w:p>
    <w:bookmarkEnd w:id="0"/>
    <w:p>
      <w:pPr>
        <w:adjustRightInd w:val="0"/>
        <w:snapToGrid w:val="0"/>
        <w:spacing w:line="360" w:lineRule="auto"/>
        <w:jc w:val="center"/>
        <w:outlineLvl w:val="0"/>
        <w:rPr>
          <w:rFonts w:hint="eastAsia" w:ascii="方正小标宋简体" w:hAnsi="宋体" w:eastAsia="方正小标宋简体"/>
          <w:color w:val="000000"/>
          <w:sz w:val="72"/>
          <w:szCs w:val="72"/>
          <w:lang w:eastAsia="zh-CN"/>
        </w:rPr>
      </w:pPr>
      <w:bookmarkStart w:id="6" w:name="_Toc15306268"/>
      <w:bookmarkStart w:id="7" w:name="_Toc15378442"/>
      <w:bookmarkStart w:id="8" w:name="_Toc15396598"/>
      <w:bookmarkStart w:id="9" w:name="_Toc15377194"/>
      <w:bookmarkStart w:id="10" w:name="_Toc15377426"/>
      <w:bookmarkStart w:id="11" w:name="_Toc15396476"/>
      <w:r>
        <w:rPr>
          <w:rFonts w:hint="eastAsia" w:ascii="方正小标宋简体" w:hAnsi="宋体" w:eastAsia="方正小标宋简体"/>
          <w:color w:val="000000"/>
          <w:sz w:val="72"/>
          <w:szCs w:val="72"/>
        </w:rPr>
        <w:t>通江县铁佛镇</w:t>
      </w:r>
      <w:r>
        <w:rPr>
          <w:rFonts w:hint="eastAsia" w:ascii="方正小标宋简体" w:hAnsi="宋体" w:eastAsia="方正小标宋简体"/>
          <w:color w:val="000000"/>
          <w:sz w:val="72"/>
          <w:szCs w:val="72"/>
          <w:lang w:eastAsia="zh-CN"/>
        </w:rPr>
        <w:t>双泉小学</w:t>
      </w:r>
    </w:p>
    <w:p>
      <w:pPr>
        <w:adjustRightInd w:val="0"/>
        <w:snapToGrid w:val="0"/>
        <w:spacing w:line="360" w:lineRule="auto"/>
        <w:jc w:val="center"/>
        <w:outlineLvl w:val="0"/>
        <w:rPr>
          <w:rFonts w:ascii="方正小标宋简体" w:hAnsi="宋体" w:eastAsia="方正小标宋简体"/>
          <w:color w:val="000000"/>
          <w:sz w:val="72"/>
          <w:szCs w:val="72"/>
        </w:rPr>
      </w:pPr>
      <w:r>
        <w:rPr>
          <w:rFonts w:hint="eastAsia" w:ascii="方正小标宋简体" w:hAnsi="宋体" w:eastAsia="方正小标宋简体"/>
          <w:color w:val="000000"/>
          <w:sz w:val="72"/>
          <w:szCs w:val="72"/>
          <w:lang w:val="en-US" w:eastAsia="zh-CN"/>
        </w:rPr>
        <w:t>单位</w:t>
      </w:r>
      <w:r>
        <w:rPr>
          <w:rFonts w:hint="eastAsia" w:ascii="方正小标宋简体" w:hAnsi="宋体" w:eastAsia="方正小标宋简体"/>
          <w:color w:val="000000"/>
          <w:sz w:val="72"/>
          <w:szCs w:val="72"/>
        </w:rPr>
        <w:t>决算</w:t>
      </w:r>
      <w:bookmarkEnd w:id="6"/>
      <w:bookmarkEnd w:id="7"/>
      <w:bookmarkEnd w:id="8"/>
      <w:bookmarkEnd w:id="9"/>
      <w:bookmarkEnd w:id="10"/>
      <w:bookmarkEnd w:id="11"/>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pStyle w:val="10"/>
      </w:pPr>
      <w:r>
        <w:rPr>
          <w:rFonts w:hint="eastAsia"/>
        </w:rPr>
        <w:t>公开时间：202</w:t>
      </w:r>
      <w:r>
        <w:rPr>
          <w:rFonts w:hint="eastAsia"/>
          <w:lang w:val="en-US" w:eastAsia="zh-CN"/>
        </w:rPr>
        <w:t>3</w:t>
      </w:r>
      <w:r>
        <w:rPr>
          <w:rFonts w:hint="eastAsia"/>
        </w:rPr>
        <w:t>年</w:t>
      </w:r>
      <w:r>
        <w:rPr>
          <w:rFonts w:hint="eastAsia"/>
          <w:lang w:val="en-US" w:eastAsia="zh-CN"/>
        </w:rPr>
        <w:t>8</w:t>
      </w:r>
      <w:r>
        <w:rPr>
          <w:rFonts w:hint="eastAsia"/>
        </w:rPr>
        <w:t>月</w:t>
      </w:r>
      <w:r>
        <w:rPr>
          <w:rFonts w:hint="eastAsia"/>
          <w:lang w:val="en-US" w:eastAsia="zh-CN"/>
        </w:rPr>
        <w:t>30</w:t>
      </w:r>
      <w:r>
        <w:rPr>
          <w:rFonts w:hint="eastAsia"/>
        </w:rPr>
        <w:t>日</w:t>
      </w:r>
    </w:p>
    <w:p/>
    <w:p>
      <w:pPr>
        <w:pStyle w:val="10"/>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rPr>
          <w:rFonts w:cstheme="minorBidi"/>
          <w:sz w:val="24"/>
          <w:szCs w:val="24"/>
        </w:rPr>
      </w:pPr>
      <w:bookmarkStart w:id="12" w:name="_Toc15396599"/>
      <w:bookmarkStart w:id="13" w:name="_Toc15377196"/>
      <w:r>
        <w:rPr>
          <w:rFonts w:hint="eastAsia"/>
          <w:sz w:val="24"/>
        </w:rPr>
        <w:t>第一部分</w:t>
      </w:r>
      <w:r>
        <w:rPr>
          <w:sz w:val="24"/>
        </w:rPr>
        <w:t xml:space="preserve"> </w:t>
      </w:r>
      <w:r>
        <w:rPr>
          <w:rFonts w:hint="eastAsia"/>
          <w:sz w:val="24"/>
        </w:rPr>
        <w:t>单位概况...................................................4</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sz w:val="24"/>
        </w:rPr>
      </w:pPr>
      <w:r>
        <w:rPr>
          <w:rFonts w:hint="eastAsia"/>
          <w:sz w:val="24"/>
        </w:rPr>
        <w:t>一、职能简介.........................................................................................................4</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二、202</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年重点工作完成情况......................................4</w:t>
      </w:r>
    </w:p>
    <w:p>
      <w:pPr>
        <w:pStyle w:val="10"/>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rPr>
          <w:sz w:val="24"/>
          <w:szCs w:val="24"/>
        </w:rPr>
      </w:pPr>
      <w:r>
        <w:rPr>
          <w:rFonts w:hint="eastAsia"/>
          <w:sz w:val="24"/>
        </w:rPr>
        <w:t>第二部分 202</w:t>
      </w:r>
      <w:r>
        <w:rPr>
          <w:rFonts w:hint="eastAsia"/>
          <w:sz w:val="24"/>
          <w:lang w:val="en-US" w:eastAsia="zh-CN"/>
        </w:rPr>
        <w:t>2</w:t>
      </w:r>
      <w:r>
        <w:rPr>
          <w:rFonts w:hint="eastAsia"/>
          <w:sz w:val="24"/>
        </w:rPr>
        <w:t>年度单位决算情况说明..................................5</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一、收入支出决算总体情况说明........................................................................5</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二、收入决算情况说明........................................................................................5</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三、支出决算情况说明........................................................................................6</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四、财政拨款收入支出决算总体情况说明........................................................7</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五、一般公共预算财政拨款支出决算情况说明................................................7</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rPr>
        <w:t>六、一般公共预算财政拨</w:t>
      </w:r>
      <w:r>
        <w:rPr>
          <w:rFonts w:hint="eastAsia"/>
          <w:sz w:val="24"/>
          <w:u w:val="none" w:color="FFFFFF"/>
          <w:shd w:val="clear" w:fill="FFFFFF"/>
        </w:rPr>
        <w:t>款</w:t>
      </w:r>
      <w:r>
        <w:rPr>
          <w:rFonts w:hint="eastAsia"/>
          <w:sz w:val="24"/>
        </w:rPr>
        <w:t>基本支出决算情况说明.......................................10</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仿宋" w:hAnsi="仿宋" w:cstheme="minorBidi"/>
          <w:sz w:val="24"/>
        </w:rPr>
      </w:pPr>
      <w:r>
        <w:rPr>
          <w:rFonts w:hint="eastAsia"/>
          <w:sz w:val="24"/>
          <w:lang w:val="en-US" w:eastAsia="zh-CN"/>
        </w:rPr>
        <w:t>七</w:t>
      </w:r>
      <w:r>
        <w:rPr>
          <w:rFonts w:hint="eastAsia"/>
          <w:sz w:val="24"/>
        </w:rPr>
        <w:t>、政府性基金预算支出决算情况说明...........................................................12</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sz w:val="24"/>
        </w:rPr>
      </w:pPr>
      <w:r>
        <w:rPr>
          <w:rFonts w:hint="eastAsia"/>
          <w:sz w:val="24"/>
          <w:lang w:val="en-US" w:eastAsia="zh-CN"/>
        </w:rPr>
        <w:t>八</w:t>
      </w:r>
      <w:r>
        <w:rPr>
          <w:rFonts w:hint="eastAsia"/>
          <w:sz w:val="24"/>
        </w:rPr>
        <w:t>、国有资本经营预算支出决算情况说明.......................................................12</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sz w:val="24"/>
        </w:rPr>
      </w:pPr>
      <w:r>
        <w:rPr>
          <w:rFonts w:hint="eastAsia"/>
          <w:sz w:val="24"/>
          <w:lang w:val="en-US" w:eastAsia="zh-CN"/>
        </w:rPr>
        <w:t>九</w:t>
      </w:r>
      <w:r>
        <w:rPr>
          <w:rFonts w:hint="eastAsia"/>
          <w:sz w:val="24"/>
        </w:rPr>
        <w:t>、其他重要事项的情况说明...........................................................................12</w:t>
      </w:r>
    </w:p>
    <w:p>
      <w:pPr>
        <w:pStyle w:val="10"/>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rPr>
          <w:rFonts w:hint="eastAsia" w:eastAsia="仿宋" w:cstheme="minorBidi"/>
          <w:sz w:val="24"/>
          <w:szCs w:val="24"/>
          <w:lang w:eastAsia="zh-CN"/>
        </w:rPr>
      </w:pPr>
      <w:r>
        <w:rPr>
          <w:rFonts w:hint="eastAsia"/>
          <w:sz w:val="24"/>
        </w:rPr>
        <w:t>第三部分</w:t>
      </w:r>
      <w:r>
        <w:rPr>
          <w:sz w:val="24"/>
        </w:rPr>
        <w:t xml:space="preserve"> </w:t>
      </w:r>
      <w:r>
        <w:rPr>
          <w:rFonts w:hint="eastAsia"/>
          <w:sz w:val="24"/>
        </w:rPr>
        <w:t>名词解释..................................................</w:t>
      </w:r>
      <w:r>
        <w:rPr>
          <w:rFonts w:hint="eastAsia"/>
          <w:sz w:val="24"/>
          <w:lang w:val="en-US" w:eastAsia="zh-CN"/>
        </w:rPr>
        <w:t>13</w:t>
      </w:r>
    </w:p>
    <w:p>
      <w:pPr>
        <w:pStyle w:val="10"/>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rPr>
          <w:rFonts w:cstheme="minorBidi"/>
          <w:sz w:val="24"/>
          <w:szCs w:val="24"/>
        </w:rPr>
      </w:pPr>
      <w:r>
        <w:rPr>
          <w:rFonts w:hint="eastAsia"/>
          <w:sz w:val="24"/>
        </w:rPr>
        <w:t>第四部分</w:t>
      </w:r>
      <w:r>
        <w:rPr>
          <w:sz w:val="24"/>
        </w:rPr>
        <w:t xml:space="preserve"> </w:t>
      </w:r>
      <w:r>
        <w:rPr>
          <w:rFonts w:hint="eastAsia"/>
          <w:sz w:val="24"/>
        </w:rPr>
        <w:t>附件......................................................1</w:t>
      </w:r>
      <w:r>
        <w:rPr>
          <w:sz w:val="24"/>
        </w:rPr>
        <w:t>6</w:t>
      </w:r>
    </w:p>
    <w:p>
      <w:pPr>
        <w:pStyle w:val="10"/>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一、收入支出决算总表.......................................................................................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二、收入决算表...................................................................................................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三、支出决算表...................................................................................................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四、财政拨款收入支出决算总表.......................................................................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五、财政拨款支出决算明细表...........................................................................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六、一般公共预算财政拨款支出决算表...........................................................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七、一般公共预算财政拨款支出决算明细表...................................................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八、一般公共预算财政拨款基本支出决算表...................................................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九、一般公共预算财政拨款项目支出决算表...................................................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 xml:space="preserve">十、政府性基金预算财政拨款收入支出决算表.............................................. </w:t>
      </w:r>
      <w:r>
        <w:rPr>
          <w:rFonts w:hint="eastAsia"/>
          <w:sz w:val="24"/>
          <w:lang w:val="en-US" w:eastAsia="zh-CN"/>
        </w:rPr>
        <w:t>19</w:t>
      </w:r>
      <w:r>
        <w:rPr>
          <w:rFonts w:hint="eastAsia"/>
          <w:sz w:val="24"/>
        </w:rPr>
        <w:t>十</w:t>
      </w:r>
      <w:r>
        <w:rPr>
          <w:rFonts w:hint="eastAsia"/>
          <w:sz w:val="24"/>
          <w:lang w:val="en-US" w:eastAsia="zh-CN"/>
        </w:rPr>
        <w:t>一</w:t>
      </w:r>
      <w:r>
        <w:rPr>
          <w:rFonts w:hint="eastAsia"/>
          <w:sz w:val="24"/>
        </w:rPr>
        <w:t xml:space="preserve">、政府性基金预算财政拨款“三公”经费支出决算表..........................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u w:val="none" w:color="FFFFFF"/>
          <w:shd w:val="clear" w:fill="FFFFFF"/>
        </w:rPr>
        <w:t>十</w:t>
      </w:r>
      <w:r>
        <w:rPr>
          <w:rFonts w:hint="eastAsia"/>
          <w:sz w:val="24"/>
          <w:u w:val="none" w:color="FFFFFF"/>
          <w:shd w:val="clear" w:fill="FFFFFF"/>
          <w:lang w:val="en-US" w:eastAsia="zh-CN"/>
        </w:rPr>
        <w:t>二</w:t>
      </w:r>
      <w:r>
        <w:rPr>
          <w:rFonts w:hint="eastAsia"/>
          <w:sz w:val="24"/>
          <w:u w:val="none" w:color="FFFFFF"/>
          <w:shd w:val="clear" w:fill="FFFFFF"/>
        </w:rPr>
        <w:t>、</w:t>
      </w:r>
      <w:r>
        <w:rPr>
          <w:rFonts w:hint="eastAsia"/>
          <w:sz w:val="24"/>
        </w:rPr>
        <w:t>国有资本经营预</w:t>
      </w:r>
      <w:r>
        <w:rPr>
          <w:rFonts w:hint="eastAsia"/>
          <w:sz w:val="24"/>
          <w:u w:val="none" w:color="FFFFFF"/>
          <w:shd w:val="clear" w:fill="FFFFFF"/>
        </w:rPr>
        <w:t>算</w:t>
      </w:r>
      <w:r>
        <w:rPr>
          <w:rFonts w:hint="eastAsia"/>
          <w:sz w:val="24"/>
        </w:rPr>
        <w:t xml:space="preserve">财政拨款收入支出决算表...................................... </w:t>
      </w:r>
      <w:r>
        <w:rPr>
          <w:rFonts w:hint="eastAsia"/>
          <w:sz w:val="24"/>
          <w:lang w:val="en-US" w:eastAsia="zh-CN"/>
        </w:rPr>
        <w:t>19</w:t>
      </w:r>
    </w:p>
    <w:p>
      <w:pPr>
        <w:pStyle w:val="11"/>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eastAsia="宋体"/>
          <w:sz w:val="24"/>
          <w:lang w:val="en-US" w:eastAsia="zh-CN"/>
        </w:rPr>
      </w:pPr>
      <w:r>
        <w:rPr>
          <w:rFonts w:hint="eastAsia"/>
          <w:sz w:val="24"/>
        </w:rPr>
        <w:t>十</w:t>
      </w:r>
      <w:r>
        <w:rPr>
          <w:rFonts w:hint="eastAsia"/>
          <w:sz w:val="24"/>
          <w:lang w:val="en-US" w:eastAsia="zh-CN"/>
        </w:rPr>
        <w:t>三</w:t>
      </w:r>
      <w:r>
        <w:rPr>
          <w:rFonts w:hint="eastAsia"/>
          <w:sz w:val="24"/>
        </w:rPr>
        <w:t xml:space="preserve">、国有资本经营预算财政拨款支出决算表.............................................. </w:t>
      </w:r>
      <w:r>
        <w:rPr>
          <w:rFonts w:hint="eastAsia"/>
          <w:sz w:val="24"/>
          <w:lang w:val="en-US" w:eastAsia="zh-CN"/>
        </w:rPr>
        <w:t>19</w:t>
      </w:r>
    </w:p>
    <w:p>
      <w:pPr>
        <w:widowControl/>
        <w:spacing w:line="440" w:lineRule="exact"/>
        <w:jc w:val="left"/>
        <w:rPr>
          <w:rFonts w:ascii="仿宋" w:hAnsi="仿宋" w:eastAsia="仿宋"/>
          <w:bCs/>
          <w:kern w:val="44"/>
          <w:sz w:val="24"/>
        </w:rPr>
      </w:pPr>
      <w:r>
        <w:rPr>
          <w:rFonts w:ascii="仿宋" w:hAnsi="仿宋" w:eastAsia="仿宋"/>
          <w:b/>
          <w:sz w:val="24"/>
        </w:rPr>
        <w:br w:type="page"/>
      </w:r>
    </w:p>
    <w:p>
      <w:pPr>
        <w:pStyle w:val="3"/>
        <w:jc w:val="center"/>
        <w:rPr>
          <w:rStyle w:val="25"/>
          <w:rFonts w:ascii="黑体" w:hAnsi="黑体" w:eastAsia="黑体"/>
          <w:b/>
          <w:bCs w:val="0"/>
        </w:rPr>
      </w:pPr>
      <w:r>
        <w:rPr>
          <w:rFonts w:hint="eastAsia" w:ascii="黑体" w:hAnsi="黑体" w:eastAsia="黑体"/>
          <w:b w:val="0"/>
        </w:rPr>
        <w:t>第一部分 单位</w:t>
      </w:r>
      <w:r>
        <w:rPr>
          <w:rStyle w:val="25"/>
          <w:rFonts w:hint="eastAsia" w:ascii="黑体" w:hAnsi="黑体" w:eastAsia="黑体"/>
          <w:b w:val="0"/>
          <w:bCs w:val="0"/>
        </w:rPr>
        <w:t>概况</w:t>
      </w:r>
      <w:bookmarkEnd w:id="12"/>
      <w:bookmarkEnd w:id="13"/>
    </w:p>
    <w:p>
      <w:pPr>
        <w:widowControl/>
        <w:jc w:val="left"/>
        <w:rPr>
          <w:rFonts w:ascii="黑体" w:eastAsia="黑体"/>
          <w:sz w:val="32"/>
          <w:szCs w:val="32"/>
        </w:rPr>
      </w:pPr>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b w:val="0"/>
          <w:lang w:val="en-US" w:eastAsia="zh-CN"/>
        </w:rPr>
      </w:pPr>
      <w:bookmarkStart w:id="14" w:name="_Toc15377197"/>
      <w:bookmarkStart w:id="15" w:name="_Toc15396600"/>
      <w:r>
        <w:rPr>
          <w:rFonts w:hint="eastAsia" w:ascii="黑体" w:hAnsi="黑体" w:eastAsia="黑体"/>
          <w:b w:val="0"/>
          <w:lang w:val="en-US" w:eastAsia="zh-CN"/>
        </w:rPr>
        <w:t>一、职能职责</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olor w:val="000000"/>
          <w:sz w:val="32"/>
          <w:szCs w:val="32"/>
        </w:rPr>
      </w:pPr>
      <w:r>
        <w:rPr>
          <w:rFonts w:hint="eastAsia" w:ascii="仿宋" w:hAnsi="仿宋" w:eastAsia="仿宋"/>
          <w:color w:val="000000"/>
          <w:sz w:val="32"/>
          <w:szCs w:val="32"/>
        </w:rPr>
        <w:t>认真贯彻落实党和国家的方针、政策，正确执行上级主管部门的决议和指示，全面实施素质教育，</w:t>
      </w:r>
      <w:r>
        <w:rPr>
          <w:rFonts w:hint="eastAsia" w:ascii="仿宋" w:hAnsi="仿宋" w:eastAsia="仿宋"/>
          <w:color w:val="000000"/>
          <w:sz w:val="32"/>
          <w:szCs w:val="32"/>
          <w:u w:val="none" w:color="FFFFFF"/>
          <w:shd w:val="clear" w:fill="FFFFFF"/>
        </w:rPr>
        <w:t>培养</w:t>
      </w:r>
      <w:r>
        <w:rPr>
          <w:rFonts w:hint="eastAsia" w:ascii="仿宋" w:hAnsi="仿宋" w:eastAsia="仿宋"/>
          <w:color w:val="000000"/>
          <w:sz w:val="32"/>
          <w:szCs w:val="32"/>
        </w:rPr>
        <w:t>德、智、体、美等方面全面发展的社会主义事业的建设者和接班人</w:t>
      </w:r>
      <w:r>
        <w:rPr>
          <w:rFonts w:hint="eastAsia" w:ascii="仿宋_GB2312" w:hAnsi="仿宋" w:eastAsia="仿宋_GB2312"/>
          <w:color w:val="000000"/>
          <w:sz w:val="32"/>
          <w:szCs w:val="32"/>
        </w:rPr>
        <w:t>。</w:t>
      </w:r>
    </w:p>
    <w:p>
      <w:pPr>
        <w:pageBreakBefore w:val="0"/>
        <w:kinsoku/>
        <w:wordWrap/>
        <w:overflowPunct/>
        <w:topLinePunct w:val="0"/>
        <w:autoSpaceDE/>
        <w:autoSpaceDN/>
        <w:bidi w:val="0"/>
        <w:adjustRightInd/>
        <w:snapToGrid/>
        <w:spacing w:line="560" w:lineRule="exact"/>
        <w:ind w:firstLine="420" w:firstLineChars="200"/>
        <w:textAlignment w:val="auto"/>
      </w:pPr>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b w:val="0"/>
          <w:lang w:eastAsia="zh-CN"/>
        </w:rPr>
      </w:pPr>
      <w:r>
        <w:rPr>
          <w:rFonts w:hint="eastAsia" w:ascii="黑体" w:hAnsi="黑体" w:eastAsia="黑体"/>
          <w:b w:val="0"/>
        </w:rPr>
        <w:t>二、</w:t>
      </w:r>
      <w:bookmarkEnd w:id="14"/>
      <w:bookmarkEnd w:id="15"/>
      <w:r>
        <w:rPr>
          <w:rFonts w:hint="eastAsia" w:ascii="黑体" w:hAnsi="黑体" w:eastAsia="黑体"/>
          <w:b w:val="0"/>
          <w:lang w:val="en-US" w:eastAsia="zh-CN"/>
        </w:rPr>
        <w:t>机构设置</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lang w:eastAsia="zh-CN"/>
        </w:rPr>
        <w:t>双泉小学</w:t>
      </w:r>
      <w:r>
        <w:rPr>
          <w:rFonts w:hint="eastAsia" w:ascii="仿宋" w:hAnsi="仿宋" w:eastAsia="仿宋"/>
          <w:color w:val="000000"/>
          <w:sz w:val="32"/>
          <w:szCs w:val="32"/>
        </w:rPr>
        <w:t>在</w:t>
      </w:r>
      <w:r>
        <w:rPr>
          <w:rFonts w:hint="eastAsia" w:ascii="仿宋" w:hAnsi="仿宋" w:eastAsia="仿宋"/>
          <w:color w:val="000000"/>
          <w:sz w:val="32"/>
          <w:szCs w:val="32"/>
          <w:u w:val="none" w:color="FFFFFF"/>
          <w:shd w:val="clear" w:fill="FFFFFF"/>
          <w:lang w:eastAsia="zh-CN"/>
        </w:rPr>
        <w:t>县委、县政府</w:t>
      </w:r>
      <w:r>
        <w:rPr>
          <w:rFonts w:hint="eastAsia" w:ascii="仿宋" w:hAnsi="仿宋" w:eastAsia="仿宋"/>
          <w:color w:val="000000"/>
          <w:sz w:val="32"/>
          <w:szCs w:val="32"/>
        </w:rPr>
        <w:t>的领导下，在上级主管部门的指导下，全面完成了20</w:t>
      </w:r>
      <w:r>
        <w:rPr>
          <w:rFonts w:ascii="仿宋" w:hAnsi="仿宋" w:eastAsia="仿宋"/>
          <w:color w:val="000000"/>
          <w:sz w:val="32"/>
          <w:szCs w:val="32"/>
        </w:rPr>
        <w:t>2</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年教育教学工作，并取得了一定的成绩。</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rPr>
        <w:t>1、做好“控辍保学”工作，坚决完成上级的任务。</w:t>
      </w:r>
    </w:p>
    <w:p>
      <w:pPr>
        <w:pStyle w:val="12"/>
        <w:pageBreakBefore w:val="0"/>
        <w:widowControl/>
        <w:shd w:val="clear" w:color="auto" w:fill="FFFFFF"/>
        <w:kinsoku/>
        <w:wordWrap/>
        <w:overflowPunct/>
        <w:topLinePunct w:val="0"/>
        <w:autoSpaceDE/>
        <w:autoSpaceDN/>
        <w:bidi w:val="0"/>
        <w:adjustRightInd/>
        <w:snapToGrid/>
        <w:spacing w:beforeAutospacing="0" w:afterAutospacing="0" w:line="560" w:lineRule="exact"/>
        <w:ind w:right="300" w:firstLine="640" w:firstLineChars="200"/>
        <w:jc w:val="both"/>
        <w:textAlignment w:val="auto"/>
        <w:rPr>
          <w:rFonts w:ascii="仿宋" w:hAnsi="仿宋" w:eastAsia="仿宋"/>
          <w:color w:val="000000"/>
          <w:kern w:val="2"/>
          <w:sz w:val="32"/>
          <w:szCs w:val="32"/>
        </w:rPr>
      </w:pPr>
      <w:r>
        <w:rPr>
          <w:rFonts w:hint="eastAsia" w:ascii="仿宋" w:hAnsi="仿宋" w:eastAsia="仿宋"/>
          <w:color w:val="000000"/>
          <w:kern w:val="2"/>
          <w:sz w:val="32"/>
          <w:szCs w:val="32"/>
        </w:rPr>
        <w:t>2、全面开展脱贫</w:t>
      </w:r>
      <w:r>
        <w:rPr>
          <w:rFonts w:ascii="仿宋" w:hAnsi="仿宋" w:eastAsia="仿宋"/>
          <w:color w:val="000000"/>
          <w:kern w:val="2"/>
          <w:sz w:val="32"/>
          <w:szCs w:val="32"/>
        </w:rPr>
        <w:t>帮扶工作</w:t>
      </w:r>
      <w:r>
        <w:rPr>
          <w:rFonts w:hint="eastAsia" w:ascii="仿宋" w:hAnsi="仿宋" w:eastAsia="仿宋"/>
          <w:color w:val="000000"/>
          <w:kern w:val="2"/>
          <w:sz w:val="32"/>
          <w:szCs w:val="32"/>
        </w:rPr>
        <w:t>。</w:t>
      </w:r>
    </w:p>
    <w:p>
      <w:pPr>
        <w:pStyle w:val="12"/>
        <w:pageBreakBefore w:val="0"/>
        <w:widowControl/>
        <w:shd w:val="clear" w:color="auto" w:fill="FFFFFF"/>
        <w:kinsoku/>
        <w:wordWrap/>
        <w:overflowPunct/>
        <w:topLinePunct w:val="0"/>
        <w:autoSpaceDE/>
        <w:autoSpaceDN/>
        <w:bidi w:val="0"/>
        <w:adjustRightInd/>
        <w:snapToGrid/>
        <w:spacing w:beforeAutospacing="0" w:afterAutospacing="0" w:line="560" w:lineRule="exact"/>
        <w:ind w:right="300" w:firstLine="640" w:firstLineChars="200"/>
        <w:jc w:val="both"/>
        <w:textAlignment w:val="auto"/>
        <w:rPr>
          <w:rFonts w:ascii="仿宋" w:hAnsi="仿宋" w:eastAsia="仿宋"/>
          <w:color w:val="000000"/>
          <w:kern w:val="2"/>
          <w:sz w:val="32"/>
          <w:szCs w:val="32"/>
        </w:rPr>
      </w:pPr>
      <w:r>
        <w:rPr>
          <w:rFonts w:hint="eastAsia" w:ascii="仿宋" w:hAnsi="仿宋" w:eastAsia="仿宋"/>
          <w:color w:val="000000"/>
          <w:kern w:val="2"/>
          <w:sz w:val="32"/>
          <w:szCs w:val="32"/>
        </w:rPr>
        <w:t>3、学校关爱“三残”儿童、留守</w:t>
      </w:r>
      <w:r>
        <w:fldChar w:fldCharType="begin"/>
      </w:r>
      <w:r>
        <w:instrText xml:space="preserve"> HYPERLINK "http://www.xuexila.com/news/ertong/" \t "http://www.xuexila.com/fwn/gongzuojihuaxuexiao/_blank" </w:instrText>
      </w:r>
      <w:r>
        <w:fldChar w:fldCharType="separate"/>
      </w:r>
      <w:r>
        <w:rPr>
          <w:rFonts w:hint="eastAsia" w:ascii="仿宋" w:hAnsi="仿宋" w:eastAsia="仿宋"/>
          <w:color w:val="000000"/>
          <w:kern w:val="2"/>
          <w:sz w:val="32"/>
          <w:szCs w:val="32"/>
        </w:rPr>
        <w:t>儿童</w:t>
      </w:r>
      <w:r>
        <w:rPr>
          <w:rFonts w:hint="eastAsia" w:ascii="仿宋" w:hAnsi="仿宋" w:eastAsia="仿宋"/>
          <w:color w:val="000000"/>
          <w:kern w:val="2"/>
          <w:sz w:val="32"/>
          <w:szCs w:val="32"/>
        </w:rPr>
        <w:fldChar w:fldCharType="end"/>
      </w:r>
      <w:r>
        <w:rPr>
          <w:rFonts w:hint="eastAsia" w:ascii="仿宋" w:hAnsi="仿宋" w:eastAsia="仿宋"/>
          <w:color w:val="000000"/>
          <w:kern w:val="2"/>
          <w:sz w:val="32"/>
          <w:szCs w:val="32"/>
        </w:rPr>
        <w:t>、贫困儿童并实行了校内帮扶结对。</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sz w:val="32"/>
          <w:szCs w:val="32"/>
        </w:rPr>
      </w:pPr>
      <w:r>
        <w:rPr>
          <w:rFonts w:ascii="仿宋" w:hAnsi="仿宋" w:eastAsia="仿宋"/>
          <w:color w:val="000000"/>
          <w:sz w:val="32"/>
          <w:szCs w:val="32"/>
        </w:rPr>
        <w:t>4</w:t>
      </w:r>
      <w:r>
        <w:rPr>
          <w:rFonts w:hint="eastAsia" w:ascii="仿宋" w:hAnsi="仿宋" w:eastAsia="仿宋"/>
          <w:color w:val="000000"/>
          <w:sz w:val="32"/>
          <w:szCs w:val="32"/>
        </w:rPr>
        <w:t>、狠抓常规教学管理，努力提高教育教学质量。</w:t>
      </w:r>
      <w:r>
        <w:rPr>
          <w:rFonts w:hint="eastAsia" w:ascii="仿宋" w:hAnsi="仿宋" w:eastAsia="仿宋"/>
          <w:color w:val="000000"/>
          <w:sz w:val="32"/>
          <w:szCs w:val="32"/>
          <w:u w:val="none" w:color="FFFFFF"/>
          <w:shd w:val="clear" w:fill="FFFFFF"/>
        </w:rPr>
        <w:t> </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000000"/>
          <w:sz w:val="32"/>
          <w:szCs w:val="32"/>
        </w:rPr>
      </w:pPr>
      <w:r>
        <w:rPr>
          <w:rFonts w:ascii="仿宋" w:hAnsi="仿宋" w:eastAsia="仿宋"/>
          <w:color w:val="000000"/>
          <w:sz w:val="32"/>
          <w:szCs w:val="32"/>
        </w:rPr>
        <w:t>5</w:t>
      </w:r>
      <w:r>
        <w:rPr>
          <w:rFonts w:hint="eastAsia" w:ascii="仿宋" w:hAnsi="仿宋" w:eastAsia="仿宋"/>
          <w:color w:val="000000"/>
          <w:sz w:val="32"/>
          <w:szCs w:val="32"/>
        </w:rPr>
        <w:t>、抓育人、促养成，切实增强德育成效</w:t>
      </w:r>
    </w:p>
    <w:p>
      <w:pPr>
        <w:widowControl/>
        <w:jc w:val="left"/>
        <w:rPr>
          <w:rFonts w:ascii="仿宋" w:hAnsi="仿宋" w:eastAsia="仿宋"/>
          <w:kern w:val="0"/>
          <w:sz w:val="32"/>
          <w:szCs w:val="32"/>
        </w:rPr>
      </w:pPr>
      <w:r>
        <w:rPr>
          <w:rFonts w:ascii="仿宋" w:hAnsi="仿宋" w:eastAsia="仿宋"/>
          <w:sz w:val="32"/>
          <w:szCs w:val="32"/>
        </w:rPr>
        <w:br w:type="page"/>
      </w:r>
    </w:p>
    <w:p>
      <w:pPr>
        <w:pStyle w:val="3"/>
        <w:ind w:right="440"/>
        <w:jc w:val="center"/>
        <w:rPr>
          <w:rStyle w:val="25"/>
          <w:rFonts w:ascii="黑体" w:hAnsi="黑体" w:eastAsia="黑体"/>
          <w:b w:val="0"/>
          <w:bCs/>
        </w:rPr>
      </w:pPr>
      <w:bookmarkStart w:id="16" w:name="_Toc15396602"/>
      <w:bookmarkStart w:id="17" w:name="_Toc15377204"/>
      <w:r>
        <w:rPr>
          <w:rFonts w:hint="eastAsia" w:ascii="黑体" w:hAnsi="黑体" w:eastAsia="黑体"/>
          <w:b w:val="0"/>
        </w:rPr>
        <w:t>第二部分 202</w:t>
      </w:r>
      <w:r>
        <w:rPr>
          <w:rFonts w:hint="eastAsia" w:ascii="黑体" w:hAnsi="黑体" w:eastAsia="黑体"/>
          <w:b w:val="0"/>
          <w:lang w:val="en-US" w:eastAsia="zh-CN"/>
        </w:rPr>
        <w:t>2</w:t>
      </w:r>
      <w:r>
        <w:rPr>
          <w:rFonts w:hint="eastAsia" w:ascii="黑体" w:hAnsi="黑体" w:eastAsia="黑体"/>
          <w:b w:val="0"/>
        </w:rPr>
        <w:t>年度</w:t>
      </w:r>
      <w:r>
        <w:rPr>
          <w:rStyle w:val="25"/>
          <w:rFonts w:hint="eastAsia" w:ascii="黑体" w:hAnsi="黑体" w:eastAsia="黑体"/>
          <w:b w:val="0"/>
          <w:bCs/>
        </w:rPr>
        <w:t>单位决算情况说明</w:t>
      </w:r>
      <w:bookmarkEnd w:id="16"/>
      <w:bookmarkEnd w:id="17"/>
    </w:p>
    <w:p/>
    <w:p>
      <w:pPr>
        <w:pStyle w:val="24"/>
        <w:numPr>
          <w:ilvl w:val="0"/>
          <w:numId w:val="1"/>
        </w:numPr>
        <w:spacing w:line="600" w:lineRule="exact"/>
        <w:ind w:firstLineChars="0"/>
        <w:outlineLvl w:val="1"/>
        <w:rPr>
          <w:rStyle w:val="26"/>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6"/>
          <w:rFonts w:hint="eastAsia" w:ascii="黑体" w:hAnsi="黑体" w:eastAsia="黑体"/>
          <w:b w:val="0"/>
        </w:rPr>
        <w:t>入支出决算总体情况说明</w:t>
      </w:r>
      <w:bookmarkEnd w:id="18"/>
      <w:bookmarkEnd w:id="19"/>
    </w:p>
    <w:p>
      <w:pPr>
        <w:spacing w:line="600" w:lineRule="exact"/>
        <w:ind w:firstLine="640" w:firstLineChars="200"/>
        <w:rPr>
          <w:rFonts w:ascii="仿宋_GB2312" w:hAnsi="仿宋" w:eastAsia="仿宋_GB2312"/>
          <w:sz w:val="32"/>
          <w:szCs w:val="32"/>
        </w:rPr>
      </w:pPr>
      <w:r>
        <w:rPr>
          <w:rFonts w:hint="eastAsia"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年度收、支总计</w:t>
      </w:r>
      <w:r>
        <w:rPr>
          <w:rFonts w:hint="eastAsia" w:ascii="仿宋" w:hAnsi="仿宋" w:eastAsia="仿宋"/>
          <w:sz w:val="32"/>
          <w:szCs w:val="32"/>
          <w:lang w:val="en-US" w:eastAsia="zh-CN"/>
        </w:rPr>
        <w:t>359.21</w:t>
      </w:r>
      <w:r>
        <w:rPr>
          <w:rFonts w:hint="eastAsia" w:ascii="仿宋" w:hAnsi="仿宋" w:eastAsia="仿宋"/>
          <w:sz w:val="32"/>
          <w:szCs w:val="32"/>
        </w:rPr>
        <w:t>万元。与202</w:t>
      </w:r>
      <w:r>
        <w:rPr>
          <w:rFonts w:hint="eastAsia" w:ascii="仿宋" w:hAnsi="仿宋" w:eastAsia="仿宋"/>
          <w:sz w:val="32"/>
          <w:szCs w:val="32"/>
          <w:lang w:val="en-US" w:eastAsia="zh-CN"/>
        </w:rPr>
        <w:t>1</w:t>
      </w:r>
      <w:r>
        <w:rPr>
          <w:rFonts w:hint="eastAsia" w:ascii="仿宋" w:hAnsi="仿宋" w:eastAsia="仿宋"/>
          <w:sz w:val="32"/>
          <w:szCs w:val="32"/>
        </w:rPr>
        <w:t>年相比，收、支</w:t>
      </w:r>
      <w:r>
        <w:rPr>
          <w:rFonts w:hint="eastAsia" w:ascii="仿宋" w:hAnsi="仿宋" w:eastAsia="仿宋"/>
          <w:sz w:val="32"/>
          <w:szCs w:val="32"/>
          <w:u w:val="none" w:color="FFFFFF"/>
          <w:shd w:val="clear" w:fill="FFFFFF"/>
        </w:rPr>
        <w:t>总计各</w:t>
      </w:r>
      <w:r>
        <w:rPr>
          <w:rFonts w:hint="eastAsia" w:ascii="仿宋" w:hAnsi="仿宋" w:eastAsia="仿宋"/>
          <w:sz w:val="32"/>
          <w:szCs w:val="32"/>
          <w:lang w:eastAsia="zh-CN"/>
        </w:rPr>
        <w:t>减少</w:t>
      </w:r>
      <w:r>
        <w:rPr>
          <w:rFonts w:hint="eastAsia" w:ascii="仿宋" w:hAnsi="仿宋" w:eastAsia="仿宋"/>
          <w:sz w:val="32"/>
          <w:szCs w:val="32"/>
          <w:lang w:val="en-US" w:eastAsia="zh-CN"/>
        </w:rPr>
        <w:t>5.2</w:t>
      </w:r>
      <w:r>
        <w:rPr>
          <w:rFonts w:hint="eastAsia" w:ascii="仿宋" w:hAnsi="仿宋" w:eastAsia="仿宋"/>
          <w:sz w:val="32"/>
          <w:szCs w:val="32"/>
        </w:rPr>
        <w:t>万元，</w:t>
      </w:r>
      <w:r>
        <w:rPr>
          <w:rFonts w:hint="eastAsia" w:ascii="仿宋" w:hAnsi="仿宋" w:eastAsia="仿宋"/>
          <w:sz w:val="32"/>
          <w:szCs w:val="32"/>
          <w:lang w:eastAsia="zh-CN"/>
        </w:rPr>
        <w:t>减少</w:t>
      </w:r>
      <w:r>
        <w:rPr>
          <w:rFonts w:hint="eastAsia" w:ascii="仿宋" w:hAnsi="仿宋" w:eastAsia="仿宋"/>
          <w:sz w:val="32"/>
          <w:szCs w:val="32"/>
          <w:lang w:val="en-US" w:eastAsia="zh-CN"/>
        </w:rPr>
        <w:t>1.4</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 w:eastAsia="仿宋_GB2312"/>
          <w:sz w:val="32"/>
          <w:szCs w:val="32"/>
          <w:lang w:eastAsia="zh-CN"/>
        </w:rPr>
        <w:t>教职工减少</w:t>
      </w:r>
      <w:r>
        <w:rPr>
          <w:rFonts w:hint="eastAsia" w:ascii="仿宋_GB2312" w:hAnsi="仿宋" w:eastAsia="仿宋_GB2312"/>
          <w:sz w:val="32"/>
          <w:szCs w:val="32"/>
        </w:rPr>
        <w:t>。</w:t>
      </w:r>
    </w:p>
    <w:p>
      <w:pPr>
        <w:pStyle w:val="2"/>
        <w:spacing w:before="93"/>
      </w:pPr>
      <w:r>
        <w:drawing>
          <wp:inline distT="0" distB="0" distL="114300" distR="114300">
            <wp:extent cx="4572000" cy="2600325"/>
            <wp:effectExtent l="4445" t="4445" r="8255" b="1143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w:t>
      </w:r>
      <w:r>
        <w:rPr>
          <w:rFonts w:hint="eastAsia" w:ascii="仿宋" w:hAnsi="仿宋" w:eastAsia="仿宋"/>
          <w:sz w:val="32"/>
          <w:szCs w:val="32"/>
          <w:u w:val="none" w:color="FFFFFF"/>
          <w:shd w:val="clear" w:fill="FFFFFF"/>
        </w:rPr>
        <w:t>收、支</w:t>
      </w:r>
      <w:r>
        <w:rPr>
          <w:rFonts w:hint="eastAsia" w:ascii="仿宋" w:hAnsi="仿宋" w:eastAsia="仿宋"/>
          <w:sz w:val="32"/>
          <w:szCs w:val="32"/>
        </w:rPr>
        <w:t>决算总计变动情况图</w:t>
      </w:r>
      <w:r>
        <w:rPr>
          <w:rFonts w:hint="eastAsia" w:ascii="仿宋" w:hAnsi="仿宋" w:eastAsia="仿宋"/>
          <w:sz w:val="32"/>
          <w:szCs w:val="32"/>
          <w:u w:val="none" w:color="FFFFFF"/>
          <w:shd w:val="clear" w:fill="FFFFFF"/>
        </w:rPr>
        <w:t>）</w:t>
      </w:r>
    </w:p>
    <w:p>
      <w:pPr>
        <w:pStyle w:val="24"/>
        <w:numPr>
          <w:ilvl w:val="0"/>
          <w:numId w:val="1"/>
        </w:numPr>
        <w:spacing w:line="600" w:lineRule="exact"/>
        <w:ind w:firstLineChars="0"/>
        <w:outlineLvl w:val="1"/>
        <w:rPr>
          <w:rStyle w:val="26"/>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26"/>
          <w:rFonts w:hint="eastAsia" w:ascii="黑体" w:hAnsi="黑体" w:eastAsia="黑体"/>
          <w:b w:val="0"/>
        </w:rPr>
        <w:t>入决算情况说明</w:t>
      </w:r>
      <w:bookmarkEnd w:id="20"/>
      <w:bookmarkEnd w:id="21"/>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年本年收入合计</w:t>
      </w:r>
      <w:r>
        <w:rPr>
          <w:rFonts w:hint="eastAsia" w:ascii="仿宋" w:hAnsi="仿宋" w:eastAsia="仿宋"/>
          <w:sz w:val="32"/>
          <w:szCs w:val="32"/>
          <w:lang w:val="en-US" w:eastAsia="zh-CN"/>
        </w:rPr>
        <w:t>359.21</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359.21</w:t>
      </w:r>
      <w:r>
        <w:rPr>
          <w:rFonts w:hint="eastAsia" w:ascii="仿宋" w:hAnsi="仿宋" w:eastAsia="仿宋"/>
          <w:sz w:val="32"/>
          <w:szCs w:val="32"/>
        </w:rPr>
        <w:t>万元，占</w:t>
      </w:r>
      <w:r>
        <w:rPr>
          <w:rFonts w:ascii="仿宋" w:hAnsi="仿宋" w:eastAsia="仿宋"/>
          <w:sz w:val="32"/>
          <w:szCs w:val="32"/>
        </w:rPr>
        <w:t>100%</w:t>
      </w:r>
      <w:r>
        <w:rPr>
          <w:rFonts w:hint="eastAsia" w:ascii="仿宋" w:hAnsi="仿宋" w:eastAsia="仿宋"/>
          <w:sz w:val="32"/>
          <w:szCs w:val="32"/>
        </w:rPr>
        <w:t>；政府性基金预算财政拨款收入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；国有资本经营预算财政拨款收入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；上级补助收入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；附属单位上缴收入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；其他收入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pPr>
        <w:pStyle w:val="2"/>
        <w:spacing w:before="93"/>
      </w:pPr>
      <w:r>
        <w:drawing>
          <wp:inline distT="0" distB="0" distL="114300" distR="114300">
            <wp:extent cx="4572000" cy="2600325"/>
            <wp:effectExtent l="4445" t="4445" r="14605" b="508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w:t>
      </w:r>
      <w:r>
        <w:rPr>
          <w:rFonts w:hint="eastAsia" w:ascii="仿宋" w:hAnsi="仿宋" w:eastAsia="仿宋"/>
          <w:sz w:val="32"/>
          <w:szCs w:val="32"/>
          <w:u w:val="none" w:color="FFFFFF"/>
          <w:shd w:val="clear" w:fill="FFFFFF"/>
        </w:rPr>
        <w:t>）</w:t>
      </w:r>
    </w:p>
    <w:p>
      <w:pPr>
        <w:spacing w:line="600" w:lineRule="exact"/>
        <w:ind w:firstLine="640" w:firstLineChars="200"/>
        <w:rPr>
          <w:rFonts w:ascii="仿宋_GB2312" w:eastAsia="仿宋_GB2312"/>
          <w:sz w:val="32"/>
          <w:szCs w:val="32"/>
        </w:rPr>
      </w:pPr>
    </w:p>
    <w:p>
      <w:pPr>
        <w:pStyle w:val="24"/>
        <w:numPr>
          <w:ilvl w:val="0"/>
          <w:numId w:val="1"/>
        </w:numPr>
        <w:spacing w:line="600" w:lineRule="exact"/>
        <w:ind w:firstLineChars="0"/>
        <w:outlineLvl w:val="1"/>
        <w:rPr>
          <w:rStyle w:val="26"/>
          <w:rFonts w:ascii="黑体" w:hAnsi="黑体" w:eastAsia="黑体"/>
          <w:b w:val="0"/>
        </w:rPr>
      </w:pPr>
      <w:bookmarkStart w:id="22" w:name="_Toc15396605"/>
      <w:bookmarkStart w:id="23" w:name="_Toc15377207"/>
      <w:r>
        <w:rPr>
          <w:rFonts w:hint="eastAsia" w:ascii="黑体" w:hAnsi="黑体" w:eastAsia="黑体"/>
          <w:sz w:val="32"/>
          <w:szCs w:val="32"/>
        </w:rPr>
        <w:t>支</w:t>
      </w:r>
      <w:r>
        <w:rPr>
          <w:rStyle w:val="26"/>
          <w:rFonts w:hint="eastAsia" w:ascii="黑体" w:hAnsi="黑体" w:eastAsia="黑体"/>
          <w:b w:val="0"/>
        </w:rPr>
        <w:t>出决算情况说明</w:t>
      </w:r>
      <w:bookmarkEnd w:id="22"/>
      <w:bookmarkEnd w:id="23"/>
    </w:p>
    <w:p>
      <w:pPr>
        <w:widowControl/>
        <w:ind w:firstLine="640" w:firstLineChars="200"/>
        <w:rPr>
          <w:rFonts w:ascii="宋体" w:hAnsi="宋体" w:cs="Arial"/>
          <w:color w:val="000000"/>
          <w:kern w:val="0"/>
          <w:sz w:val="22"/>
          <w:szCs w:val="2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年本</w:t>
      </w:r>
      <w:r>
        <w:rPr>
          <w:rFonts w:hint="eastAsia" w:ascii="仿宋" w:hAnsi="仿宋" w:eastAsia="仿宋"/>
          <w:sz w:val="32"/>
          <w:szCs w:val="32"/>
          <w:u w:val="none" w:color="FFFFFF"/>
          <w:shd w:val="clear" w:fill="FFFFFF"/>
        </w:rPr>
        <w:t>年</w:t>
      </w:r>
      <w:r>
        <w:rPr>
          <w:rFonts w:hint="eastAsia" w:ascii="仿宋" w:hAnsi="仿宋" w:eastAsia="仿宋"/>
          <w:sz w:val="32"/>
          <w:szCs w:val="32"/>
        </w:rPr>
        <w:t>支出合计</w:t>
      </w:r>
      <w:r>
        <w:rPr>
          <w:rFonts w:hint="eastAsia" w:ascii="仿宋" w:hAnsi="仿宋" w:eastAsia="仿宋"/>
          <w:sz w:val="32"/>
          <w:szCs w:val="32"/>
          <w:lang w:val="en-US" w:eastAsia="zh-CN"/>
        </w:rPr>
        <w:t>359.21</w:t>
      </w:r>
      <w:r>
        <w:rPr>
          <w:rFonts w:hint="eastAsia" w:ascii="仿宋" w:hAnsi="仿宋" w:eastAsia="仿宋"/>
          <w:sz w:val="32"/>
          <w:szCs w:val="32"/>
        </w:rPr>
        <w:t>万元，其中：基本支出</w:t>
      </w:r>
      <w:r>
        <w:rPr>
          <w:rFonts w:hint="eastAsia" w:ascii="仿宋" w:hAnsi="仿宋" w:eastAsia="仿宋"/>
          <w:sz w:val="32"/>
          <w:szCs w:val="32"/>
          <w:lang w:val="en-US" w:eastAsia="zh-CN"/>
        </w:rPr>
        <w:t>344.51</w:t>
      </w:r>
      <w:r>
        <w:rPr>
          <w:rFonts w:hint="eastAsia" w:ascii="仿宋" w:hAnsi="仿宋" w:eastAsia="仿宋"/>
          <w:sz w:val="32"/>
          <w:szCs w:val="32"/>
        </w:rPr>
        <w:t>万元，占</w:t>
      </w:r>
      <w:r>
        <w:rPr>
          <w:rFonts w:hint="eastAsia" w:ascii="仿宋" w:hAnsi="仿宋" w:eastAsia="仿宋"/>
          <w:sz w:val="32"/>
          <w:szCs w:val="32"/>
          <w:lang w:val="en-US" w:eastAsia="zh-CN"/>
        </w:rPr>
        <w:t>95.9</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14.7</w:t>
      </w:r>
      <w:r>
        <w:rPr>
          <w:rFonts w:hint="eastAsia" w:ascii="仿宋" w:hAnsi="仿宋" w:eastAsia="仿宋"/>
          <w:sz w:val="32"/>
          <w:szCs w:val="32"/>
        </w:rPr>
        <w:t>万元，占</w:t>
      </w:r>
      <w:r>
        <w:rPr>
          <w:rFonts w:hint="eastAsia" w:ascii="仿宋" w:hAnsi="仿宋" w:eastAsia="仿宋"/>
          <w:sz w:val="32"/>
          <w:szCs w:val="32"/>
          <w:lang w:val="en-US" w:eastAsia="zh-CN"/>
        </w:rPr>
        <w:t>4.1</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；对附属单位补助支出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pPr>
        <w:pStyle w:val="2"/>
        <w:spacing w:before="93"/>
      </w:pPr>
      <w:r>
        <w:drawing>
          <wp:inline distT="0" distB="0" distL="114300" distR="114300">
            <wp:extent cx="4572000" cy="2600325"/>
            <wp:effectExtent l="4445" t="4445" r="8255" b="1143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w:t>
      </w:r>
      <w:r>
        <w:rPr>
          <w:rFonts w:hint="eastAsia" w:ascii="仿宋" w:hAnsi="仿宋" w:eastAsia="仿宋"/>
          <w:sz w:val="32"/>
          <w:szCs w:val="32"/>
          <w:u w:val="none" w:color="FFFFFF"/>
          <w:shd w:val="clear" w:fill="FFFFFF"/>
        </w:rPr>
        <w:t>）</w:t>
      </w:r>
    </w:p>
    <w:p>
      <w:pPr>
        <w:spacing w:line="600" w:lineRule="exact"/>
        <w:ind w:firstLine="640" w:firstLineChars="200"/>
        <w:rPr>
          <w:rFonts w:ascii="仿宋_GB2312" w:eastAsia="仿宋_GB2312"/>
          <w:sz w:val="32"/>
          <w:szCs w:val="32"/>
        </w:rPr>
      </w:pPr>
    </w:p>
    <w:p>
      <w:pPr>
        <w:spacing w:line="600" w:lineRule="exact"/>
        <w:ind w:firstLine="640" w:firstLineChars="200"/>
        <w:outlineLvl w:val="1"/>
        <w:rPr>
          <w:rStyle w:val="26"/>
          <w:rFonts w:ascii="黑体" w:hAnsi="黑体" w:eastAsia="黑体"/>
          <w:b w:val="0"/>
        </w:rPr>
      </w:pPr>
      <w:bookmarkStart w:id="24" w:name="_Toc15396606"/>
      <w:bookmarkStart w:id="25" w:name="_Toc15377208"/>
      <w:r>
        <w:rPr>
          <w:rFonts w:hint="eastAsia" w:ascii="黑体" w:hAnsi="黑体" w:eastAsia="黑体"/>
          <w:sz w:val="32"/>
          <w:szCs w:val="32"/>
        </w:rPr>
        <w:t>四、财</w:t>
      </w:r>
      <w:r>
        <w:rPr>
          <w:rStyle w:val="26"/>
          <w:rFonts w:hint="eastAsia" w:ascii="黑体" w:hAnsi="黑体" w:eastAsia="黑体"/>
          <w:b w:val="0"/>
        </w:rPr>
        <w:t>政拨款收入支出决算总体情况说明</w:t>
      </w:r>
      <w:bookmarkEnd w:id="24"/>
      <w:bookmarkEnd w:id="25"/>
    </w:p>
    <w:p>
      <w:pPr>
        <w:spacing w:line="600" w:lineRule="exact"/>
        <w:ind w:firstLine="640" w:firstLineChars="200"/>
        <w:rPr>
          <w:rFonts w:ascii="仿宋_GB2312" w:hAnsi="仿宋" w:eastAsia="仿宋_GB2312"/>
          <w:sz w:val="32"/>
          <w:szCs w:val="32"/>
        </w:rPr>
      </w:pPr>
      <w:r>
        <w:rPr>
          <w:rFonts w:hint="eastAsia"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年度收、支总计</w:t>
      </w:r>
      <w:r>
        <w:rPr>
          <w:rFonts w:hint="eastAsia" w:ascii="仿宋" w:hAnsi="仿宋" w:eastAsia="仿宋"/>
          <w:sz w:val="32"/>
          <w:szCs w:val="32"/>
          <w:lang w:val="en-US" w:eastAsia="zh-CN"/>
        </w:rPr>
        <w:t>359.21</w:t>
      </w:r>
      <w:r>
        <w:rPr>
          <w:rFonts w:hint="eastAsia" w:ascii="仿宋" w:hAnsi="仿宋" w:eastAsia="仿宋"/>
          <w:sz w:val="32"/>
          <w:szCs w:val="32"/>
        </w:rPr>
        <w:t>万元。与202</w:t>
      </w:r>
      <w:r>
        <w:rPr>
          <w:rFonts w:hint="eastAsia" w:ascii="仿宋" w:hAnsi="仿宋" w:eastAsia="仿宋"/>
          <w:sz w:val="32"/>
          <w:szCs w:val="32"/>
          <w:lang w:val="en-US" w:eastAsia="zh-CN"/>
        </w:rPr>
        <w:t>1</w:t>
      </w:r>
      <w:r>
        <w:rPr>
          <w:rFonts w:hint="eastAsia" w:ascii="仿宋" w:hAnsi="仿宋" w:eastAsia="仿宋"/>
          <w:sz w:val="32"/>
          <w:szCs w:val="32"/>
        </w:rPr>
        <w:t>年相比，收、支</w:t>
      </w:r>
      <w:r>
        <w:rPr>
          <w:rFonts w:hint="eastAsia" w:ascii="仿宋" w:hAnsi="仿宋" w:eastAsia="仿宋"/>
          <w:sz w:val="32"/>
          <w:szCs w:val="32"/>
          <w:u w:val="none" w:color="FFFFFF"/>
          <w:shd w:val="clear" w:fill="FFFFFF"/>
        </w:rPr>
        <w:t>总计各</w:t>
      </w:r>
      <w:r>
        <w:rPr>
          <w:rFonts w:hint="eastAsia" w:ascii="仿宋" w:hAnsi="仿宋" w:eastAsia="仿宋"/>
          <w:sz w:val="32"/>
          <w:szCs w:val="32"/>
          <w:lang w:eastAsia="zh-CN"/>
        </w:rPr>
        <w:t>减少</w:t>
      </w:r>
      <w:r>
        <w:rPr>
          <w:rFonts w:hint="eastAsia" w:ascii="仿宋" w:hAnsi="仿宋" w:eastAsia="仿宋"/>
          <w:sz w:val="32"/>
          <w:szCs w:val="32"/>
          <w:lang w:val="en-US" w:eastAsia="zh-CN"/>
        </w:rPr>
        <w:t>5.2</w:t>
      </w:r>
      <w:r>
        <w:rPr>
          <w:rFonts w:hint="eastAsia" w:ascii="仿宋" w:hAnsi="仿宋" w:eastAsia="仿宋"/>
          <w:sz w:val="32"/>
          <w:szCs w:val="32"/>
        </w:rPr>
        <w:t>万元，</w:t>
      </w:r>
      <w:r>
        <w:rPr>
          <w:rFonts w:hint="eastAsia" w:ascii="仿宋" w:hAnsi="仿宋" w:eastAsia="仿宋"/>
          <w:sz w:val="32"/>
          <w:szCs w:val="32"/>
          <w:lang w:eastAsia="zh-CN"/>
        </w:rPr>
        <w:t>减少</w:t>
      </w:r>
      <w:r>
        <w:rPr>
          <w:rFonts w:hint="eastAsia" w:ascii="仿宋" w:hAnsi="仿宋" w:eastAsia="仿宋"/>
          <w:sz w:val="32"/>
          <w:szCs w:val="32"/>
          <w:lang w:val="en-US" w:eastAsia="zh-CN"/>
        </w:rPr>
        <w:t>1.4</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 w:eastAsia="仿宋_GB2312"/>
          <w:sz w:val="32"/>
          <w:szCs w:val="32"/>
          <w:lang w:eastAsia="zh-CN"/>
        </w:rPr>
        <w:t>教职工减少</w:t>
      </w:r>
      <w:r>
        <w:rPr>
          <w:rFonts w:hint="eastAsia" w:ascii="仿宋_GB2312" w:hAnsi="仿宋" w:eastAsia="仿宋_GB2312"/>
          <w:sz w:val="32"/>
          <w:szCs w:val="32"/>
        </w:rPr>
        <w:t>。</w:t>
      </w:r>
    </w:p>
    <w:p>
      <w:pPr>
        <w:pStyle w:val="2"/>
        <w:spacing w:before="93"/>
      </w:pPr>
      <w:r>
        <w:drawing>
          <wp:inline distT="0" distB="0" distL="114300" distR="114300">
            <wp:extent cx="4572000" cy="2600325"/>
            <wp:effectExtent l="4445" t="4445" r="14605" b="5080"/>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w:t>
      </w:r>
      <w:r>
        <w:rPr>
          <w:rFonts w:hint="eastAsia" w:ascii="仿宋" w:hAnsi="仿宋" w:eastAsia="仿宋"/>
          <w:sz w:val="32"/>
          <w:szCs w:val="32"/>
          <w:u w:val="none" w:color="FFFFFF"/>
          <w:shd w:val="clear" w:fill="FFFFFF"/>
        </w:rPr>
        <w:t>收、支</w:t>
      </w:r>
      <w:r>
        <w:rPr>
          <w:rFonts w:hint="eastAsia" w:ascii="仿宋" w:hAnsi="仿宋" w:eastAsia="仿宋"/>
          <w:sz w:val="32"/>
          <w:szCs w:val="32"/>
        </w:rPr>
        <w:t>决算总计变动情况</w:t>
      </w:r>
      <w:r>
        <w:rPr>
          <w:rFonts w:hint="eastAsia" w:ascii="仿宋" w:hAnsi="仿宋" w:eastAsia="仿宋"/>
          <w:sz w:val="32"/>
          <w:szCs w:val="32"/>
          <w:u w:val="none" w:color="FFFFFF"/>
          <w:shd w:val="clear" w:fill="FFFFFF"/>
        </w:rPr>
        <w:t>）</w:t>
      </w:r>
    </w:p>
    <w:p>
      <w:pPr>
        <w:spacing w:line="600" w:lineRule="exact"/>
        <w:ind w:firstLine="640"/>
        <w:rPr>
          <w:rFonts w:ascii="仿宋" w:hAnsi="仿宋" w:eastAsia="仿宋"/>
          <w:b/>
          <w:sz w:val="32"/>
          <w:szCs w:val="32"/>
        </w:rPr>
      </w:pPr>
    </w:p>
    <w:p>
      <w:pPr>
        <w:spacing w:line="600" w:lineRule="exact"/>
        <w:ind w:firstLine="640" w:firstLineChars="200"/>
        <w:outlineLvl w:val="1"/>
        <w:rPr>
          <w:rStyle w:val="26"/>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26"/>
          <w:rFonts w:hint="eastAsia" w:ascii="黑体" w:hAnsi="黑体" w:eastAsia="黑体"/>
          <w:b w:val="0"/>
        </w:rPr>
        <w:t>般公共预算财政拨款支出决算情况说明</w:t>
      </w:r>
      <w:bookmarkEnd w:id="26"/>
      <w:bookmarkEnd w:id="27"/>
    </w:p>
    <w:p>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pPr>
        <w:spacing w:line="600" w:lineRule="exact"/>
        <w:ind w:firstLine="640" w:firstLineChars="200"/>
        <w:rPr>
          <w:rFonts w:ascii="仿宋_GB2312" w:hAnsi="仿宋" w:eastAsia="仿宋_GB2312"/>
          <w:sz w:val="32"/>
          <w:szCs w:val="32"/>
        </w:rPr>
      </w:pPr>
      <w:r>
        <w:rPr>
          <w:rFonts w:hint="eastAsia" w:ascii="仿宋" w:hAnsi="仿宋" w:eastAsia="仿宋"/>
          <w:sz w:val="32"/>
          <w:szCs w:val="32"/>
        </w:rPr>
        <w:t>2021年度收、支总计</w:t>
      </w:r>
      <w:r>
        <w:rPr>
          <w:rFonts w:hint="eastAsia" w:ascii="仿宋" w:hAnsi="仿宋" w:eastAsia="仿宋"/>
          <w:sz w:val="32"/>
          <w:szCs w:val="32"/>
          <w:lang w:val="en-US" w:eastAsia="zh-CN"/>
        </w:rPr>
        <w:t>359.21</w:t>
      </w:r>
      <w:r>
        <w:rPr>
          <w:rFonts w:hint="eastAsia" w:ascii="仿宋" w:hAnsi="仿宋" w:eastAsia="仿宋"/>
          <w:sz w:val="32"/>
          <w:szCs w:val="32"/>
        </w:rPr>
        <w:t>万元。与202</w:t>
      </w:r>
      <w:r>
        <w:rPr>
          <w:rFonts w:hint="eastAsia" w:ascii="仿宋" w:hAnsi="仿宋" w:eastAsia="仿宋"/>
          <w:sz w:val="32"/>
          <w:szCs w:val="32"/>
          <w:lang w:val="en-US" w:eastAsia="zh-CN"/>
        </w:rPr>
        <w:t>1</w:t>
      </w:r>
      <w:r>
        <w:rPr>
          <w:rFonts w:hint="eastAsia" w:ascii="仿宋" w:hAnsi="仿宋" w:eastAsia="仿宋"/>
          <w:sz w:val="32"/>
          <w:szCs w:val="32"/>
        </w:rPr>
        <w:t>年相比，收、支</w:t>
      </w:r>
      <w:r>
        <w:rPr>
          <w:rFonts w:hint="eastAsia" w:ascii="仿宋" w:hAnsi="仿宋" w:eastAsia="仿宋"/>
          <w:sz w:val="32"/>
          <w:szCs w:val="32"/>
          <w:u w:val="none" w:color="FFFFFF"/>
          <w:shd w:val="clear" w:fill="FFFFFF"/>
        </w:rPr>
        <w:t>总计各</w:t>
      </w:r>
      <w:r>
        <w:rPr>
          <w:rFonts w:hint="eastAsia" w:ascii="仿宋" w:hAnsi="仿宋" w:eastAsia="仿宋"/>
          <w:sz w:val="32"/>
          <w:szCs w:val="32"/>
          <w:lang w:eastAsia="zh-CN"/>
        </w:rPr>
        <w:t>减少</w:t>
      </w:r>
      <w:r>
        <w:rPr>
          <w:rFonts w:hint="eastAsia" w:ascii="仿宋" w:hAnsi="仿宋" w:eastAsia="仿宋"/>
          <w:sz w:val="32"/>
          <w:szCs w:val="32"/>
          <w:lang w:val="en-US" w:eastAsia="zh-CN"/>
        </w:rPr>
        <w:t>5.2</w:t>
      </w:r>
      <w:r>
        <w:rPr>
          <w:rFonts w:hint="eastAsia" w:ascii="仿宋" w:hAnsi="仿宋" w:eastAsia="仿宋"/>
          <w:sz w:val="32"/>
          <w:szCs w:val="32"/>
        </w:rPr>
        <w:t>万元，</w:t>
      </w:r>
      <w:r>
        <w:rPr>
          <w:rFonts w:hint="eastAsia" w:ascii="仿宋" w:hAnsi="仿宋" w:eastAsia="仿宋"/>
          <w:sz w:val="32"/>
          <w:szCs w:val="32"/>
          <w:lang w:eastAsia="zh-CN"/>
        </w:rPr>
        <w:t>减少</w:t>
      </w:r>
      <w:r>
        <w:rPr>
          <w:rFonts w:hint="eastAsia" w:ascii="仿宋" w:hAnsi="仿宋" w:eastAsia="仿宋"/>
          <w:sz w:val="32"/>
          <w:szCs w:val="32"/>
          <w:lang w:val="en-US" w:eastAsia="zh-CN"/>
        </w:rPr>
        <w:t>1.4</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 w:eastAsia="仿宋_GB2312"/>
          <w:sz w:val="32"/>
          <w:szCs w:val="32"/>
          <w:lang w:eastAsia="zh-CN"/>
        </w:rPr>
        <w:t>教职工减少</w:t>
      </w:r>
      <w:r>
        <w:rPr>
          <w:rFonts w:hint="eastAsia" w:ascii="仿宋_GB2312" w:hAnsi="仿宋" w:eastAsia="仿宋_GB2312"/>
          <w:sz w:val="32"/>
          <w:szCs w:val="32"/>
        </w:rPr>
        <w:t>。</w:t>
      </w:r>
    </w:p>
    <w:p>
      <w:pPr>
        <w:pStyle w:val="2"/>
        <w:spacing w:before="93"/>
      </w:pPr>
    </w:p>
    <w:p>
      <w:pPr>
        <w:pStyle w:val="2"/>
        <w:spacing w:before="93"/>
      </w:pPr>
    </w:p>
    <w:p>
      <w:pPr>
        <w:pStyle w:val="2"/>
        <w:spacing w:before="93"/>
      </w:pPr>
      <w:r>
        <w:drawing>
          <wp:inline distT="0" distB="0" distL="114300" distR="114300">
            <wp:extent cx="4886325" cy="2353310"/>
            <wp:effectExtent l="4445" t="4445" r="5080" b="23495"/>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r>
        <w:rPr>
          <w:rFonts w:hint="eastAsia" w:ascii="仿宋" w:hAnsi="仿宋" w:eastAsia="仿宋"/>
          <w:sz w:val="32"/>
          <w:szCs w:val="32"/>
          <w:u w:val="none" w:color="FFFFFF"/>
          <w:shd w:val="clear" w:fill="FFFFFF"/>
        </w:rPr>
        <w:t>）</w:t>
      </w:r>
    </w:p>
    <w:p>
      <w:pPr>
        <w:spacing w:line="600" w:lineRule="exact"/>
        <w:ind w:firstLine="640" w:firstLineChars="200"/>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年一般公共预算财政拨款支出</w:t>
      </w:r>
      <w:r>
        <w:rPr>
          <w:rFonts w:hint="eastAsia" w:ascii="仿宋" w:hAnsi="仿宋" w:eastAsia="仿宋"/>
          <w:sz w:val="32"/>
          <w:szCs w:val="32"/>
          <w:lang w:val="en-US" w:eastAsia="zh-CN"/>
        </w:rPr>
        <w:t>359.21</w:t>
      </w:r>
      <w:r>
        <w:rPr>
          <w:rFonts w:hint="eastAsia" w:ascii="仿宋" w:hAnsi="仿宋" w:eastAsia="仿宋"/>
          <w:sz w:val="32"/>
          <w:szCs w:val="32"/>
        </w:rPr>
        <w:t>万元，主要用于以下方面</w:t>
      </w:r>
      <w:r>
        <w:rPr>
          <w:rFonts w:hint="eastAsia" w:ascii="仿宋" w:hAnsi="仿宋" w:eastAsia="仿宋"/>
          <w:sz w:val="32"/>
          <w:szCs w:val="32"/>
          <w:u w:val="none" w:color="FFFFFF"/>
          <w:shd w:val="clear" w:fill="FFFFFF"/>
          <w:lang w:eastAsia="zh-CN"/>
        </w:rPr>
        <w:t>：</w:t>
      </w:r>
      <w:r>
        <w:rPr>
          <w:rFonts w:hint="eastAsia" w:ascii="仿宋" w:hAnsi="仿宋" w:eastAsia="仿宋"/>
          <w:b/>
          <w:sz w:val="32"/>
          <w:szCs w:val="32"/>
        </w:rPr>
        <w:t>一般公共服务（类）</w:t>
      </w:r>
      <w:r>
        <w:rPr>
          <w:rFonts w:hint="eastAsia" w:ascii="仿宋" w:hAnsi="仿宋" w:eastAsia="仿宋"/>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r>
        <w:rPr>
          <w:rFonts w:hint="eastAsia" w:ascii="仿宋" w:hAnsi="仿宋" w:eastAsia="仿宋"/>
          <w:b/>
          <w:sz w:val="32"/>
          <w:szCs w:val="32"/>
          <w:u w:val="none" w:color="FFFFFF"/>
          <w:shd w:val="clear" w:fill="FFFFFF"/>
        </w:rPr>
        <w:t>教育支出</w:t>
      </w:r>
      <w:r>
        <w:rPr>
          <w:rFonts w:hint="eastAsia" w:ascii="仿宋" w:hAnsi="仿宋" w:eastAsia="仿宋"/>
          <w:b/>
          <w:sz w:val="32"/>
          <w:szCs w:val="32"/>
        </w:rPr>
        <w:t>（类）</w:t>
      </w:r>
      <w:r>
        <w:rPr>
          <w:rFonts w:hint="eastAsia" w:ascii="仿宋" w:hAnsi="仿宋" w:eastAsia="仿宋"/>
          <w:sz w:val="32"/>
          <w:szCs w:val="32"/>
          <w:lang w:val="en-US" w:eastAsia="zh-CN"/>
        </w:rPr>
        <w:t>282.59</w:t>
      </w:r>
      <w:r>
        <w:rPr>
          <w:rFonts w:hint="eastAsia" w:ascii="仿宋" w:hAnsi="仿宋" w:eastAsia="仿宋"/>
          <w:sz w:val="32"/>
          <w:szCs w:val="32"/>
        </w:rPr>
        <w:t>万元，占</w:t>
      </w:r>
      <w:r>
        <w:rPr>
          <w:rFonts w:hint="eastAsia" w:ascii="仿宋" w:hAnsi="仿宋" w:eastAsia="仿宋"/>
          <w:sz w:val="32"/>
          <w:szCs w:val="32"/>
          <w:lang w:val="en-US" w:eastAsia="zh-CN"/>
        </w:rPr>
        <w:t>78.9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科学技术（类）</w:t>
      </w:r>
      <w:r>
        <w:rPr>
          <w:rFonts w:hint="eastAsia" w:ascii="仿宋" w:hAnsi="仿宋" w:eastAsia="仿宋"/>
          <w:sz w:val="32"/>
          <w:szCs w:val="32"/>
        </w:rPr>
        <w:t>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r>
        <w:rPr>
          <w:rFonts w:hint="eastAsia" w:ascii="仿宋" w:hAnsi="仿宋" w:eastAsia="仿宋"/>
          <w:b/>
          <w:bCs/>
          <w:sz w:val="32"/>
          <w:szCs w:val="32"/>
        </w:rPr>
        <w:t>文化旅游体育与传媒（类）支出</w:t>
      </w:r>
      <w:r>
        <w:rPr>
          <w:rFonts w:ascii="仿宋" w:hAnsi="仿宋" w:eastAsia="仿宋"/>
          <w:b/>
          <w:bCs/>
          <w:sz w:val="32"/>
          <w:szCs w:val="32"/>
        </w:rPr>
        <w:t>0</w:t>
      </w:r>
      <w:r>
        <w:rPr>
          <w:rFonts w:hint="eastAsia" w:ascii="仿宋" w:hAnsi="仿宋" w:eastAsia="仿宋"/>
          <w:b/>
          <w:bCs/>
          <w:sz w:val="32"/>
          <w:szCs w:val="32"/>
        </w:rPr>
        <w:t>万元，占</w:t>
      </w:r>
      <w:r>
        <w:rPr>
          <w:rFonts w:ascii="仿宋" w:hAnsi="仿宋" w:eastAsia="仿宋"/>
          <w:b/>
          <w:bCs/>
          <w:sz w:val="32"/>
          <w:szCs w:val="32"/>
        </w:rPr>
        <w:t>0%</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w:t>
      </w:r>
      <w:r>
        <w:rPr>
          <w:rFonts w:hint="eastAsia" w:ascii="仿宋" w:hAnsi="仿宋" w:eastAsia="仿宋"/>
          <w:sz w:val="32"/>
          <w:szCs w:val="32"/>
          <w:lang w:val="en-US" w:eastAsia="zh-CN"/>
        </w:rPr>
        <w:t>35.28</w:t>
      </w:r>
      <w:r>
        <w:rPr>
          <w:rFonts w:hint="eastAsia" w:ascii="仿宋" w:hAnsi="仿宋" w:eastAsia="仿宋"/>
          <w:sz w:val="32"/>
          <w:szCs w:val="32"/>
        </w:rPr>
        <w:t>万元，占</w:t>
      </w:r>
      <w:r>
        <w:rPr>
          <w:rFonts w:hint="eastAsia" w:ascii="仿宋" w:hAnsi="仿宋" w:eastAsia="仿宋"/>
          <w:sz w:val="32"/>
          <w:szCs w:val="32"/>
          <w:lang w:val="en-US" w:eastAsia="zh-CN"/>
        </w:rPr>
        <w:t>9.8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21.11</w:t>
      </w:r>
      <w:r>
        <w:rPr>
          <w:rFonts w:hint="eastAsia" w:ascii="仿宋" w:hAnsi="仿宋" w:eastAsia="仿宋"/>
          <w:sz w:val="32"/>
          <w:szCs w:val="32"/>
        </w:rPr>
        <w:t>万元，占</w:t>
      </w:r>
      <w:r>
        <w:rPr>
          <w:rFonts w:hint="eastAsia" w:ascii="仿宋" w:hAnsi="仿宋" w:eastAsia="仿宋"/>
          <w:sz w:val="32"/>
          <w:szCs w:val="32"/>
          <w:lang w:val="en-US" w:eastAsia="zh-CN"/>
        </w:rPr>
        <w:t>5.8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color w:val="000000"/>
          <w:sz w:val="32"/>
          <w:szCs w:val="32"/>
        </w:rPr>
        <w:t>农林水支出（类）支出</w:t>
      </w:r>
      <w:r>
        <w:rPr>
          <w:rFonts w:hint="eastAsia" w:ascii="仿宋" w:hAnsi="仿宋" w:eastAsia="仿宋"/>
          <w:b/>
          <w:bCs/>
          <w:color w:val="000000"/>
          <w:sz w:val="32"/>
          <w:szCs w:val="32"/>
          <w:lang w:val="en-US" w:eastAsia="zh-CN"/>
        </w:rPr>
        <w:t>0.5</w:t>
      </w:r>
      <w:r>
        <w:rPr>
          <w:rFonts w:hint="eastAsia" w:ascii="仿宋" w:hAnsi="仿宋" w:eastAsia="仿宋"/>
          <w:b/>
          <w:bCs/>
          <w:color w:val="000000"/>
          <w:sz w:val="32"/>
          <w:szCs w:val="32"/>
        </w:rPr>
        <w:t>万元，占0.</w:t>
      </w:r>
      <w:r>
        <w:rPr>
          <w:rFonts w:hint="eastAsia" w:ascii="仿宋" w:hAnsi="仿宋" w:eastAsia="仿宋"/>
          <w:b/>
          <w:bCs/>
          <w:color w:val="000000"/>
          <w:sz w:val="32"/>
          <w:szCs w:val="32"/>
          <w:lang w:val="en-US" w:eastAsia="zh-CN"/>
        </w:rPr>
        <w:t>13</w:t>
      </w:r>
      <w:r>
        <w:rPr>
          <w:rFonts w:ascii="仿宋" w:hAnsi="仿宋" w:eastAsia="仿宋"/>
          <w:b/>
          <w:bCs/>
          <w:color w:val="000000"/>
          <w:sz w:val="32"/>
          <w:szCs w:val="32"/>
        </w:rPr>
        <w:t>%</w:t>
      </w:r>
      <w:r>
        <w:rPr>
          <w:rFonts w:hint="eastAsia" w:ascii="仿宋" w:hAnsi="仿宋" w:eastAsia="仿宋"/>
          <w:b/>
          <w:bCs/>
          <w:color w:val="000000"/>
          <w:sz w:val="32"/>
          <w:szCs w:val="32"/>
        </w:rPr>
        <w:t>；</w:t>
      </w:r>
      <w:r>
        <w:rPr>
          <w:rFonts w:hint="eastAsia" w:ascii="仿宋" w:hAnsi="仿宋" w:eastAsia="仿宋"/>
          <w:sz w:val="32"/>
          <w:szCs w:val="32"/>
        </w:rPr>
        <w:t>住房保障支出</w:t>
      </w:r>
      <w:r>
        <w:rPr>
          <w:rFonts w:hint="eastAsia" w:ascii="仿宋" w:hAnsi="仿宋" w:eastAsia="仿宋"/>
          <w:sz w:val="32"/>
          <w:szCs w:val="32"/>
          <w:lang w:val="en-US" w:eastAsia="zh-CN"/>
        </w:rPr>
        <w:t>19.25</w:t>
      </w:r>
      <w:r>
        <w:rPr>
          <w:rFonts w:hint="eastAsia" w:ascii="仿宋" w:hAnsi="仿宋" w:eastAsia="仿宋"/>
          <w:sz w:val="32"/>
          <w:szCs w:val="32"/>
        </w:rPr>
        <w:t>万元，占</w:t>
      </w:r>
      <w:r>
        <w:rPr>
          <w:rFonts w:hint="eastAsia" w:ascii="仿宋" w:hAnsi="仿宋" w:eastAsia="仿宋"/>
          <w:sz w:val="32"/>
          <w:szCs w:val="32"/>
          <w:lang w:val="en-US" w:eastAsia="zh-CN"/>
        </w:rPr>
        <w:t>5.37</w:t>
      </w:r>
      <w:r>
        <w:rPr>
          <w:rFonts w:ascii="仿宋" w:hAnsi="仿宋" w:eastAsia="仿宋"/>
          <w:sz w:val="32"/>
          <w:szCs w:val="32"/>
        </w:rPr>
        <w:t>%</w:t>
      </w:r>
      <w:r>
        <w:rPr>
          <w:rFonts w:hint="eastAsia" w:ascii="仿宋" w:hAnsi="仿宋" w:eastAsia="仿宋"/>
          <w:sz w:val="32"/>
          <w:szCs w:val="32"/>
        </w:rPr>
        <w:t>。</w:t>
      </w:r>
    </w:p>
    <w:p>
      <w:pPr>
        <w:spacing w:line="600" w:lineRule="exact"/>
        <w:ind w:firstLine="640"/>
        <w:rPr>
          <w:rFonts w:ascii="仿宋" w:hAnsi="仿宋" w:eastAsia="仿宋"/>
          <w:sz w:val="32"/>
          <w:szCs w:val="32"/>
        </w:rPr>
      </w:pPr>
    </w:p>
    <w:p>
      <w:pPr>
        <w:pStyle w:val="2"/>
        <w:spacing w:before="93"/>
      </w:pPr>
    </w:p>
    <w:p>
      <w:pPr>
        <w:pStyle w:val="2"/>
        <w:spacing w:before="93"/>
      </w:pPr>
      <w:r>
        <w:drawing>
          <wp:inline distT="0" distB="0" distL="114300" distR="114300">
            <wp:extent cx="4572000" cy="2600325"/>
            <wp:effectExtent l="4445" t="4445" r="14605" b="508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r>
        <w:rPr>
          <w:rFonts w:hint="eastAsia" w:ascii="仿宋" w:hAnsi="仿宋" w:eastAsia="仿宋"/>
          <w:sz w:val="32"/>
          <w:szCs w:val="32"/>
          <w:u w:val="none" w:color="FFFFFF"/>
          <w:shd w:val="clear" w:fill="FFFFFF"/>
        </w:rPr>
        <w:t>）</w:t>
      </w:r>
    </w:p>
    <w:p>
      <w:pPr>
        <w:spacing w:line="600" w:lineRule="exact"/>
        <w:ind w:firstLine="640" w:firstLineChars="200"/>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pPr>
        <w:spacing w:line="600" w:lineRule="exact"/>
        <w:ind w:firstLine="643" w:firstLineChars="200"/>
        <w:outlineLvl w:val="2"/>
        <w:rPr>
          <w:rFonts w:ascii="仿宋" w:hAnsi="仿宋" w:eastAsia="仿宋"/>
          <w:sz w:val="32"/>
          <w:szCs w:val="32"/>
        </w:rPr>
      </w:pPr>
      <w:bookmarkStart w:id="31" w:name="_Toc15377213"/>
      <w:bookmarkStart w:id="32" w:name="_Toc15378460"/>
      <w:bookmarkStart w:id="33" w:name="_Toc15377444"/>
      <w:r>
        <w:rPr>
          <w:rFonts w:hint="eastAsia" w:ascii="仿宋" w:hAnsi="仿宋" w:eastAsia="仿宋"/>
          <w:b/>
          <w:sz w:val="32"/>
          <w:szCs w:val="32"/>
        </w:rPr>
        <w:t>202</w:t>
      </w:r>
      <w:r>
        <w:rPr>
          <w:rFonts w:hint="eastAsia" w:ascii="仿宋" w:hAnsi="仿宋" w:eastAsia="仿宋"/>
          <w:b/>
          <w:sz w:val="32"/>
          <w:szCs w:val="32"/>
          <w:lang w:val="en-US" w:eastAsia="zh-CN"/>
        </w:rPr>
        <w:t>2</w:t>
      </w:r>
      <w:r>
        <w:rPr>
          <w:rFonts w:hint="eastAsia" w:ascii="仿宋" w:hAnsi="仿宋" w:eastAsia="仿宋"/>
          <w:b/>
          <w:sz w:val="32"/>
          <w:szCs w:val="32"/>
        </w:rPr>
        <w:t>年一般公共预算支出决算数为</w:t>
      </w:r>
      <w:r>
        <w:rPr>
          <w:rFonts w:hint="eastAsia" w:ascii="仿宋" w:hAnsi="仿宋" w:eastAsia="仿宋"/>
          <w:sz w:val="32"/>
          <w:szCs w:val="32"/>
          <w:lang w:val="en-US" w:eastAsia="zh-CN"/>
        </w:rPr>
        <w:t>359.21</w:t>
      </w:r>
      <w:r>
        <w:rPr>
          <w:rFonts w:hint="eastAsia" w:ascii="仿宋" w:hAnsi="仿宋" w:eastAsia="仿宋"/>
          <w:sz w:val="32"/>
          <w:szCs w:val="32"/>
        </w:rPr>
        <w:t>，</w:t>
      </w:r>
      <w:r>
        <w:rPr>
          <w:rStyle w:val="15"/>
          <w:rFonts w:hint="eastAsia" w:ascii="仿宋" w:hAnsi="仿宋" w:eastAsia="仿宋"/>
          <w:bCs/>
          <w:sz w:val="32"/>
          <w:szCs w:val="32"/>
        </w:rPr>
        <w:t>完成预算</w:t>
      </w:r>
      <w:r>
        <w:rPr>
          <w:rStyle w:val="15"/>
          <w:rFonts w:ascii="仿宋" w:hAnsi="仿宋" w:eastAsia="仿宋"/>
          <w:bCs/>
          <w:sz w:val="32"/>
          <w:szCs w:val="32"/>
        </w:rPr>
        <w:t>100%</w:t>
      </w:r>
      <w:r>
        <w:rPr>
          <w:rStyle w:val="15"/>
          <w:rFonts w:hint="eastAsia" w:ascii="仿宋" w:hAnsi="仿宋" w:eastAsia="仿宋"/>
          <w:bCs/>
          <w:sz w:val="32"/>
          <w:szCs w:val="32"/>
        </w:rPr>
        <w:t>。其中</w:t>
      </w:r>
      <w:r>
        <w:rPr>
          <w:rStyle w:val="15"/>
          <w:rFonts w:hint="eastAsia" w:ascii="仿宋" w:hAnsi="仿宋" w:eastAsia="仿宋"/>
          <w:bCs/>
          <w:sz w:val="32"/>
          <w:szCs w:val="32"/>
          <w:u w:val="none" w:color="FFFFFF"/>
          <w:shd w:val="clear" w:fill="FFFFFF"/>
        </w:rPr>
        <w:t>：</w:t>
      </w:r>
      <w:bookmarkEnd w:id="31"/>
      <w:bookmarkEnd w:id="32"/>
      <w:bookmarkEnd w:id="33"/>
    </w:p>
    <w:p>
      <w:pPr>
        <w:spacing w:line="600" w:lineRule="exact"/>
        <w:ind w:firstLine="643" w:firstLineChars="200"/>
        <w:rPr>
          <w:rFonts w:ascii="仿宋" w:hAnsi="仿宋" w:eastAsia="仿宋"/>
          <w:b/>
          <w:color w:val="000000"/>
          <w:sz w:val="32"/>
          <w:szCs w:val="32"/>
        </w:rPr>
      </w:pPr>
      <w:r>
        <w:rPr>
          <w:rStyle w:val="15"/>
          <w:rFonts w:hint="eastAsia" w:ascii="仿宋" w:hAnsi="仿宋" w:eastAsia="仿宋"/>
          <w:bCs/>
          <w:color w:val="000000"/>
          <w:sz w:val="32"/>
          <w:szCs w:val="32"/>
          <w:u w:val="none" w:color="FFFFFF"/>
          <w:shd w:val="clear" w:fill="FFFFFF"/>
        </w:rPr>
        <w:t>1</w:t>
      </w:r>
      <w:r>
        <w:rPr>
          <w:rStyle w:val="15"/>
          <w:rFonts w:ascii="仿宋" w:hAnsi="仿宋" w:eastAsia="仿宋"/>
          <w:bCs/>
          <w:color w:val="000000"/>
          <w:sz w:val="32"/>
          <w:szCs w:val="32"/>
          <w:u w:val="none" w:color="FFFFFF"/>
          <w:shd w:val="clear" w:fill="FFFFFF"/>
        </w:rPr>
        <w:t>.</w:t>
      </w:r>
      <w:r>
        <w:rPr>
          <w:rStyle w:val="15"/>
          <w:rFonts w:hint="eastAsia" w:ascii="仿宋" w:hAnsi="仿宋" w:eastAsia="仿宋"/>
          <w:bCs/>
          <w:color w:val="000000"/>
          <w:sz w:val="32"/>
          <w:szCs w:val="32"/>
          <w:u w:val="none" w:color="FFFFFF"/>
          <w:shd w:val="clear" w:fill="FFFFFF"/>
        </w:rPr>
        <w:t>教育（类）普通教育（款）小学教育（项）</w:t>
      </w:r>
      <w:r>
        <w:rPr>
          <w:rStyle w:val="15"/>
          <w:rFonts w:ascii="仿宋" w:hAnsi="仿宋" w:eastAsia="仿宋"/>
          <w:bCs/>
          <w:color w:val="000000"/>
          <w:sz w:val="32"/>
          <w:szCs w:val="32"/>
          <w:u w:val="none" w:color="FFFFFF"/>
          <w:shd w:val="clear" w:fill="FFFFFF"/>
        </w:rPr>
        <w:t>:</w:t>
      </w:r>
      <w:r>
        <w:rPr>
          <w:rStyle w:val="15"/>
          <w:rFonts w:ascii="仿宋" w:hAnsi="仿宋" w:eastAsia="仿宋"/>
          <w:b w:val="0"/>
          <w:bCs/>
          <w:color w:val="000000"/>
          <w:sz w:val="32"/>
          <w:szCs w:val="32"/>
          <w:u w:val="none" w:color="FFFFFF"/>
          <w:shd w:val="clear" w:fill="FFFFFF"/>
        </w:rPr>
        <w:t xml:space="preserve"> </w:t>
      </w:r>
      <w:r>
        <w:rPr>
          <w:rStyle w:val="15"/>
          <w:rFonts w:hint="eastAsia" w:ascii="仿宋" w:hAnsi="仿宋" w:eastAsia="仿宋"/>
          <w:b w:val="0"/>
          <w:bCs/>
          <w:color w:val="000000"/>
          <w:sz w:val="32"/>
          <w:szCs w:val="32"/>
          <w:u w:val="none" w:color="FFFFFF"/>
          <w:shd w:val="clear" w:fill="FFFFFF"/>
        </w:rPr>
        <w:t>支出决算为</w:t>
      </w:r>
      <w:r>
        <w:rPr>
          <w:rFonts w:hint="eastAsia" w:ascii="仿宋" w:hAnsi="仿宋" w:eastAsia="仿宋"/>
          <w:sz w:val="32"/>
          <w:szCs w:val="32"/>
          <w:u w:val="none" w:color="FFFFFF"/>
          <w:shd w:val="clear" w:fill="FFFFFF"/>
          <w:lang w:val="en-US" w:eastAsia="zh-CN"/>
        </w:rPr>
        <w:t>282.59</w:t>
      </w:r>
      <w:r>
        <w:rPr>
          <w:rStyle w:val="15"/>
          <w:rFonts w:hint="eastAsia" w:ascii="仿宋" w:hAnsi="仿宋" w:eastAsia="仿宋"/>
          <w:b w:val="0"/>
          <w:bCs/>
          <w:color w:val="000000"/>
          <w:sz w:val="32"/>
          <w:szCs w:val="32"/>
          <w:u w:val="none" w:color="FFFFFF"/>
          <w:shd w:val="clear" w:fill="FFFFFF"/>
        </w:rPr>
        <w:t>万元，完成预算</w:t>
      </w:r>
      <w:r>
        <w:rPr>
          <w:rStyle w:val="15"/>
          <w:rFonts w:hint="eastAsia" w:ascii="仿宋" w:hAnsi="仿宋" w:eastAsia="仿宋"/>
          <w:b w:val="0"/>
          <w:bCs/>
          <w:color w:val="000000"/>
          <w:sz w:val="32"/>
          <w:szCs w:val="32"/>
          <w:u w:val="none" w:color="FFFFFF"/>
          <w:shd w:val="clear" w:fill="FFFFFF"/>
          <w:lang w:val="en-US" w:eastAsia="zh-CN"/>
        </w:rPr>
        <w:t>100</w:t>
      </w:r>
      <w:r>
        <w:rPr>
          <w:rStyle w:val="15"/>
          <w:rFonts w:ascii="仿宋" w:hAnsi="仿宋" w:eastAsia="仿宋"/>
          <w:b w:val="0"/>
          <w:bCs/>
          <w:color w:val="000000"/>
          <w:sz w:val="32"/>
          <w:szCs w:val="32"/>
          <w:u w:val="none" w:color="FFFFFF"/>
          <w:shd w:val="clear" w:fill="FFFFFF"/>
        </w:rPr>
        <w:t>%</w:t>
      </w:r>
      <w:r>
        <w:rPr>
          <w:rStyle w:val="15"/>
          <w:rFonts w:hint="eastAsia" w:ascii="仿宋" w:hAnsi="仿宋" w:eastAsia="仿宋"/>
          <w:b w:val="0"/>
          <w:bCs/>
          <w:color w:val="000000"/>
          <w:sz w:val="32"/>
          <w:szCs w:val="32"/>
          <w:u w:val="none" w:color="FFFFFF"/>
          <w:shd w:val="clear" w:fill="FFFFFF"/>
        </w:rPr>
        <w:t>，决算</w:t>
      </w:r>
      <w:r>
        <w:rPr>
          <w:rStyle w:val="15"/>
          <w:rFonts w:hint="eastAsia" w:ascii="仿宋" w:hAnsi="仿宋" w:eastAsia="仿宋"/>
          <w:b w:val="0"/>
          <w:bCs/>
          <w:color w:val="000000"/>
          <w:sz w:val="32"/>
          <w:szCs w:val="32"/>
          <w:u w:val="none" w:color="FFFFFF"/>
          <w:shd w:val="clear" w:fill="FFFFFF"/>
          <w:lang w:eastAsia="zh-CN"/>
        </w:rPr>
        <w:t>等于</w:t>
      </w:r>
      <w:r>
        <w:rPr>
          <w:rStyle w:val="15"/>
          <w:rFonts w:hint="eastAsia" w:ascii="仿宋" w:hAnsi="仿宋" w:eastAsia="仿宋"/>
          <w:b w:val="0"/>
          <w:bCs/>
          <w:color w:val="000000"/>
          <w:sz w:val="32"/>
          <w:szCs w:val="32"/>
          <w:u w:val="none" w:color="FFFFFF"/>
          <w:shd w:val="clear" w:fill="FFFFFF"/>
        </w:rPr>
        <w:t>预算数。</w:t>
      </w:r>
    </w:p>
    <w:p>
      <w:pPr>
        <w:spacing w:line="600" w:lineRule="exact"/>
        <w:ind w:firstLine="643" w:firstLineChars="200"/>
        <w:rPr>
          <w:rFonts w:ascii="仿宋" w:hAnsi="仿宋" w:eastAsia="仿宋"/>
          <w:b/>
          <w:color w:val="000000"/>
          <w:sz w:val="32"/>
          <w:szCs w:val="32"/>
        </w:rPr>
      </w:pPr>
      <w:r>
        <w:rPr>
          <w:rStyle w:val="15"/>
          <w:rFonts w:hint="eastAsia" w:ascii="仿宋" w:hAnsi="仿宋" w:eastAsia="仿宋"/>
          <w:bCs/>
          <w:color w:val="000000"/>
          <w:sz w:val="32"/>
          <w:szCs w:val="32"/>
        </w:rPr>
        <w:t>2</w:t>
      </w:r>
      <w:r>
        <w:rPr>
          <w:rStyle w:val="15"/>
          <w:rFonts w:ascii="仿宋" w:hAnsi="仿宋" w:eastAsia="仿宋"/>
          <w:bCs/>
          <w:color w:val="000000"/>
          <w:sz w:val="32"/>
          <w:szCs w:val="32"/>
        </w:rPr>
        <w:t>.</w:t>
      </w:r>
      <w:r>
        <w:rPr>
          <w:rStyle w:val="15"/>
          <w:rFonts w:hint="eastAsia" w:ascii="仿宋" w:hAnsi="仿宋" w:eastAsia="仿宋"/>
          <w:bCs/>
          <w:color w:val="000000"/>
          <w:sz w:val="32"/>
          <w:szCs w:val="32"/>
        </w:rPr>
        <w:t>社会保障和就业（类）行政事业单位养老保险（款）机关事业单位基本养老保险（项）</w:t>
      </w:r>
      <w:r>
        <w:rPr>
          <w:rStyle w:val="15"/>
          <w:rFonts w:ascii="仿宋" w:hAnsi="仿宋" w:eastAsia="仿宋"/>
          <w:bCs/>
          <w:color w:val="000000"/>
          <w:sz w:val="32"/>
          <w:szCs w:val="32"/>
        </w:rPr>
        <w:t>:</w:t>
      </w:r>
      <w:r>
        <w:rPr>
          <w:rStyle w:val="15"/>
          <w:rFonts w:ascii="仿宋" w:hAnsi="仿宋" w:eastAsia="仿宋"/>
          <w:b w:val="0"/>
          <w:bCs/>
          <w:color w:val="000000"/>
          <w:sz w:val="32"/>
          <w:szCs w:val="32"/>
        </w:rPr>
        <w:t xml:space="preserve"> </w:t>
      </w:r>
      <w:r>
        <w:rPr>
          <w:rStyle w:val="15"/>
          <w:rFonts w:hint="eastAsia" w:ascii="仿宋" w:hAnsi="仿宋" w:eastAsia="仿宋"/>
          <w:b w:val="0"/>
          <w:bCs/>
          <w:color w:val="000000"/>
          <w:sz w:val="32"/>
          <w:szCs w:val="32"/>
        </w:rPr>
        <w:t>支出决算为</w:t>
      </w:r>
      <w:r>
        <w:rPr>
          <w:rFonts w:hint="eastAsia" w:ascii="仿宋" w:hAnsi="仿宋" w:eastAsia="仿宋"/>
          <w:sz w:val="32"/>
          <w:szCs w:val="32"/>
          <w:lang w:val="en-US" w:eastAsia="zh-CN"/>
        </w:rPr>
        <w:t>35.28</w:t>
      </w:r>
      <w:r>
        <w:rPr>
          <w:rStyle w:val="15"/>
          <w:rFonts w:hint="eastAsia" w:ascii="仿宋" w:hAnsi="仿宋" w:eastAsia="仿宋"/>
          <w:b w:val="0"/>
          <w:bCs/>
          <w:color w:val="000000"/>
          <w:sz w:val="32"/>
          <w:szCs w:val="32"/>
        </w:rPr>
        <w:t>万元，完成预算100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15"/>
          <w:rFonts w:hint="eastAsia" w:ascii="仿宋" w:hAnsi="仿宋" w:eastAsia="仿宋"/>
          <w:bCs/>
          <w:color w:val="000000"/>
          <w:sz w:val="32"/>
          <w:szCs w:val="32"/>
        </w:rPr>
        <w:t>3</w:t>
      </w:r>
      <w:r>
        <w:rPr>
          <w:rStyle w:val="15"/>
          <w:rFonts w:ascii="仿宋" w:hAnsi="仿宋" w:eastAsia="仿宋"/>
          <w:bCs/>
          <w:color w:val="000000"/>
          <w:sz w:val="32"/>
          <w:szCs w:val="32"/>
        </w:rPr>
        <w:t>.</w:t>
      </w:r>
      <w:r>
        <w:rPr>
          <w:rFonts w:hint="eastAsia" w:ascii="仿宋" w:hAnsi="仿宋" w:eastAsia="仿宋"/>
          <w:b/>
          <w:bCs/>
          <w:color w:val="000000"/>
          <w:sz w:val="32"/>
          <w:szCs w:val="32"/>
        </w:rPr>
        <w:t>卫生健康</w:t>
      </w:r>
      <w:r>
        <w:rPr>
          <w:rStyle w:val="15"/>
          <w:rFonts w:hint="eastAsia" w:ascii="仿宋" w:hAnsi="仿宋" w:eastAsia="仿宋"/>
          <w:bCs/>
          <w:color w:val="000000"/>
          <w:sz w:val="32"/>
          <w:szCs w:val="32"/>
        </w:rPr>
        <w:t>（类）行政事业单位医疗（款）事业单位医疗（项）</w:t>
      </w:r>
      <w:r>
        <w:rPr>
          <w:rStyle w:val="15"/>
          <w:rFonts w:ascii="仿宋" w:hAnsi="仿宋" w:eastAsia="仿宋"/>
          <w:bCs/>
          <w:color w:val="000000"/>
          <w:sz w:val="32"/>
          <w:szCs w:val="32"/>
        </w:rPr>
        <w:t>:</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21.11</w:t>
      </w:r>
      <w:r>
        <w:rPr>
          <w:rStyle w:val="15"/>
          <w:rFonts w:hint="eastAsia" w:ascii="仿宋" w:hAnsi="仿宋" w:eastAsia="仿宋"/>
          <w:b w:val="0"/>
          <w:bCs/>
          <w:color w:val="000000"/>
          <w:sz w:val="32"/>
          <w:szCs w:val="32"/>
        </w:rPr>
        <w:t>万元，完成预算100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643" w:firstLineChars="200"/>
        <w:rPr>
          <w:rFonts w:ascii="仿宋" w:hAnsi="仿宋" w:eastAsia="仿宋"/>
          <w:b/>
          <w:color w:val="000000"/>
          <w:sz w:val="32"/>
          <w:szCs w:val="32"/>
        </w:rPr>
      </w:pPr>
      <w:r>
        <w:rPr>
          <w:rStyle w:val="15"/>
          <w:rFonts w:hint="eastAsia" w:ascii="仿宋" w:hAnsi="仿宋" w:eastAsia="仿宋"/>
          <w:bCs/>
          <w:color w:val="000000"/>
          <w:sz w:val="32"/>
          <w:szCs w:val="32"/>
        </w:rPr>
        <w:t>4</w:t>
      </w:r>
      <w:r>
        <w:rPr>
          <w:rStyle w:val="15"/>
          <w:rFonts w:ascii="仿宋" w:hAnsi="仿宋" w:eastAsia="仿宋"/>
          <w:bCs/>
          <w:color w:val="000000"/>
          <w:sz w:val="32"/>
          <w:szCs w:val="32"/>
        </w:rPr>
        <w:t>.</w:t>
      </w:r>
      <w:r>
        <w:rPr>
          <w:rFonts w:hint="eastAsia"/>
        </w:rPr>
        <w:t xml:space="preserve"> </w:t>
      </w:r>
      <w:r>
        <w:rPr>
          <w:rStyle w:val="15"/>
          <w:rFonts w:hint="eastAsia" w:ascii="仿宋" w:hAnsi="仿宋" w:eastAsia="仿宋"/>
          <w:bCs/>
          <w:color w:val="000000"/>
          <w:sz w:val="32"/>
          <w:szCs w:val="32"/>
        </w:rPr>
        <w:t>农林水支出（类）扶贫（款）  其他扶贫支出（项）</w:t>
      </w:r>
      <w:r>
        <w:rPr>
          <w:rStyle w:val="15"/>
          <w:rFonts w:ascii="仿宋" w:hAnsi="仿宋" w:eastAsia="仿宋"/>
          <w:bCs/>
          <w:color w:val="000000"/>
          <w:sz w:val="32"/>
          <w:szCs w:val="32"/>
        </w:rPr>
        <w:t>:</w:t>
      </w:r>
      <w:r>
        <w:rPr>
          <w:rStyle w:val="15"/>
          <w:rFonts w:ascii="仿宋" w:hAnsi="仿宋" w:eastAsia="仿宋"/>
          <w:b w:val="0"/>
          <w:bCs/>
          <w:color w:val="000000"/>
          <w:sz w:val="32"/>
          <w:szCs w:val="32"/>
        </w:rPr>
        <w:t xml:space="preserve"> </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0.5</w:t>
      </w:r>
      <w:r>
        <w:rPr>
          <w:rStyle w:val="15"/>
          <w:rFonts w:hint="eastAsia" w:ascii="仿宋" w:hAnsi="仿宋" w:eastAsia="仿宋"/>
          <w:b w:val="0"/>
          <w:bCs/>
          <w:color w:val="000000"/>
          <w:sz w:val="32"/>
          <w:szCs w:val="32"/>
        </w:rPr>
        <w:t>万元，完成预算100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spacing w:line="600" w:lineRule="exact"/>
        <w:ind w:firstLine="480" w:firstLineChars="150"/>
        <w:rPr>
          <w:rFonts w:ascii="仿宋" w:hAnsi="仿宋" w:eastAsia="仿宋"/>
          <w:b/>
          <w:color w:val="000000"/>
          <w:sz w:val="32"/>
          <w:szCs w:val="32"/>
        </w:rPr>
      </w:pPr>
      <w:r>
        <w:rPr>
          <w:rFonts w:hint="eastAsia" w:ascii="仿宋" w:hAnsi="仿宋" w:eastAsia="仿宋"/>
          <w:color w:val="000000"/>
          <w:sz w:val="32"/>
          <w:szCs w:val="32"/>
        </w:rPr>
        <w:t xml:space="preserve"> </w:t>
      </w:r>
      <w:r>
        <w:rPr>
          <w:rStyle w:val="15"/>
          <w:rFonts w:hint="eastAsia" w:ascii="仿宋" w:hAnsi="仿宋" w:eastAsia="仿宋"/>
          <w:bCs/>
          <w:color w:val="000000"/>
          <w:sz w:val="32"/>
          <w:szCs w:val="32"/>
        </w:rPr>
        <w:t>5</w:t>
      </w:r>
      <w:r>
        <w:rPr>
          <w:rStyle w:val="15"/>
          <w:rFonts w:ascii="仿宋" w:hAnsi="仿宋" w:eastAsia="仿宋"/>
          <w:bCs/>
          <w:color w:val="000000"/>
          <w:sz w:val="32"/>
          <w:szCs w:val="32"/>
        </w:rPr>
        <w:t>.</w:t>
      </w:r>
      <w:r>
        <w:rPr>
          <w:rFonts w:hint="eastAsia"/>
        </w:rPr>
        <w:t xml:space="preserve"> </w:t>
      </w:r>
      <w:r>
        <w:rPr>
          <w:rStyle w:val="15"/>
          <w:rFonts w:hint="eastAsia" w:ascii="仿宋" w:hAnsi="仿宋" w:eastAsia="仿宋"/>
          <w:bCs/>
          <w:color w:val="000000"/>
          <w:sz w:val="32"/>
          <w:szCs w:val="32"/>
        </w:rPr>
        <w:t>住房保障支出（类）住房改革支出（款）  住房公积金（项）</w:t>
      </w:r>
      <w:r>
        <w:rPr>
          <w:rStyle w:val="15"/>
          <w:rFonts w:ascii="仿宋" w:hAnsi="仿宋" w:eastAsia="仿宋"/>
          <w:bCs/>
          <w:color w:val="000000"/>
          <w:sz w:val="32"/>
          <w:szCs w:val="32"/>
        </w:rPr>
        <w:t>:</w:t>
      </w:r>
      <w:r>
        <w:rPr>
          <w:rStyle w:val="15"/>
          <w:rFonts w:ascii="仿宋" w:hAnsi="仿宋" w:eastAsia="仿宋"/>
          <w:b w:val="0"/>
          <w:bCs/>
          <w:color w:val="000000"/>
          <w:sz w:val="32"/>
          <w:szCs w:val="32"/>
        </w:rPr>
        <w:t xml:space="preserve"> </w:t>
      </w:r>
      <w:r>
        <w:rPr>
          <w:rStyle w:val="15"/>
          <w:rFonts w:hint="eastAsia" w:ascii="仿宋" w:hAnsi="仿宋" w:eastAsia="仿宋"/>
          <w:b w:val="0"/>
          <w:bCs/>
          <w:color w:val="000000"/>
          <w:sz w:val="32"/>
          <w:szCs w:val="32"/>
        </w:rPr>
        <w:t>支出决算为</w:t>
      </w:r>
      <w:r>
        <w:rPr>
          <w:rStyle w:val="15"/>
          <w:rFonts w:hint="eastAsia" w:ascii="仿宋" w:hAnsi="仿宋" w:eastAsia="仿宋"/>
          <w:b w:val="0"/>
          <w:bCs/>
          <w:color w:val="000000"/>
          <w:sz w:val="32"/>
          <w:szCs w:val="32"/>
          <w:lang w:val="en-US" w:eastAsia="zh-CN"/>
        </w:rPr>
        <w:t>19.25</w:t>
      </w:r>
      <w:r>
        <w:rPr>
          <w:rStyle w:val="15"/>
          <w:rFonts w:hint="eastAsia" w:ascii="仿宋" w:hAnsi="仿宋" w:eastAsia="仿宋"/>
          <w:b w:val="0"/>
          <w:bCs/>
          <w:color w:val="000000"/>
          <w:sz w:val="32"/>
          <w:szCs w:val="32"/>
        </w:rPr>
        <w:t>万元，完成预算100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，决算数等于预算数。</w:t>
      </w:r>
    </w:p>
    <w:p>
      <w:pPr>
        <w:tabs>
          <w:tab w:val="right" w:pos="8306"/>
        </w:tabs>
        <w:spacing w:line="600" w:lineRule="exact"/>
        <w:ind w:firstLine="640"/>
        <w:outlineLvl w:val="1"/>
        <w:rPr>
          <w:rStyle w:val="26"/>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6"/>
          <w:rFonts w:hint="eastAsia" w:ascii="黑体" w:hAnsi="黑体" w:eastAsia="黑体"/>
          <w:b w:val="0"/>
        </w:rPr>
        <w:t>般公共预算财政拨</w:t>
      </w:r>
      <w:r>
        <w:rPr>
          <w:rStyle w:val="26"/>
          <w:rFonts w:hint="eastAsia" w:ascii="黑体" w:hAnsi="黑体" w:eastAsia="黑体"/>
          <w:b w:val="0"/>
          <w:u w:val="none" w:color="FFFFFF"/>
          <w:shd w:val="clear" w:fill="FFFFFF"/>
        </w:rPr>
        <w:t>款</w:t>
      </w:r>
      <w:r>
        <w:rPr>
          <w:rStyle w:val="26"/>
          <w:rFonts w:hint="eastAsia" w:ascii="黑体" w:hAnsi="黑体" w:eastAsia="黑体"/>
          <w:b w:val="0"/>
        </w:rPr>
        <w:t>基本支出决算情况说明</w:t>
      </w:r>
      <w:bookmarkEnd w:id="34"/>
      <w:bookmarkEnd w:id="35"/>
      <w:r>
        <w:rPr>
          <w:rStyle w:val="26"/>
          <w:rFonts w:ascii="黑体" w:hAnsi="黑体" w:eastAsia="黑体"/>
          <w:b w:val="0"/>
        </w:rPr>
        <w:tab/>
      </w:r>
    </w:p>
    <w:p>
      <w:pPr>
        <w:spacing w:line="600" w:lineRule="exact"/>
        <w:ind w:firstLine="645"/>
        <w:jc w:val="both"/>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年一般公共预算财政拨款基本支出</w:t>
      </w:r>
      <w:r>
        <w:rPr>
          <w:rFonts w:hint="eastAsia" w:ascii="仿宋" w:hAnsi="仿宋" w:eastAsia="仿宋"/>
          <w:sz w:val="32"/>
          <w:szCs w:val="32"/>
          <w:lang w:val="en-US" w:eastAsia="zh-CN"/>
        </w:rPr>
        <w:t>359.21</w:t>
      </w:r>
      <w:r>
        <w:rPr>
          <w:rFonts w:hint="eastAsia" w:ascii="仿宋" w:hAnsi="仿宋" w:eastAsia="仿宋"/>
          <w:sz w:val="32"/>
          <w:szCs w:val="32"/>
        </w:rPr>
        <w:t>万元，其中：</w:t>
      </w:r>
    </w:p>
    <w:p>
      <w:pPr>
        <w:spacing w:line="600" w:lineRule="exact"/>
        <w:ind w:firstLine="645"/>
        <w:jc w:val="both"/>
        <w:rPr>
          <w:rFonts w:hint="eastAsia" w:ascii="仿宋" w:hAnsi="仿宋" w:eastAsia="仿宋"/>
          <w:sz w:val="32"/>
          <w:szCs w:val="32"/>
          <w:lang w:eastAsia="zh-CN"/>
        </w:rPr>
      </w:pPr>
      <w:r>
        <w:rPr>
          <w:rFonts w:hint="eastAsia" w:ascii="仿宋" w:hAnsi="仿宋" w:eastAsia="仿宋"/>
          <w:sz w:val="32"/>
          <w:szCs w:val="32"/>
        </w:rPr>
        <w:t>人员经费</w:t>
      </w:r>
      <w:r>
        <w:rPr>
          <w:rFonts w:hint="eastAsia" w:ascii="仿宋" w:hAnsi="仿宋" w:eastAsia="仿宋"/>
          <w:sz w:val="32"/>
          <w:szCs w:val="32"/>
          <w:lang w:val="en-US" w:eastAsia="zh-CN"/>
        </w:rPr>
        <w:t>322.04</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firstLine="640" w:firstLineChars="200"/>
        <w:jc w:val="both"/>
        <w:rPr>
          <w:rFonts w:ascii="仿宋" w:hAnsi="仿宋" w:eastAsia="仿宋"/>
          <w:sz w:val="32"/>
          <w:szCs w:val="32"/>
        </w:rPr>
      </w:pPr>
      <w:r>
        <w:rPr>
          <w:rFonts w:hint="eastAsia" w:ascii="仿宋" w:hAnsi="仿宋" w:eastAsia="仿宋"/>
          <w:sz w:val="32"/>
          <w:szCs w:val="32"/>
        </w:rPr>
        <w:t>公用经费</w:t>
      </w:r>
      <w:r>
        <w:rPr>
          <w:rFonts w:hint="eastAsia" w:ascii="仿宋" w:hAnsi="仿宋" w:eastAsia="仿宋"/>
          <w:sz w:val="32"/>
          <w:szCs w:val="32"/>
          <w:lang w:val="en-US" w:eastAsia="zh-CN"/>
        </w:rPr>
        <w:t>20</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0"/>
        <w:outlineLvl w:val="1"/>
        <w:rPr>
          <w:rStyle w:val="26"/>
          <w:rFonts w:ascii="黑体" w:hAnsi="黑体" w:eastAsia="黑体"/>
        </w:rPr>
      </w:pPr>
      <w:bookmarkStart w:id="36" w:name="_Toc15396610"/>
      <w:bookmarkStart w:id="37" w:name="_Toc15377218"/>
      <w:r>
        <w:rPr>
          <w:rFonts w:hint="eastAsia" w:ascii="黑体" w:eastAsia="黑体"/>
          <w:sz w:val="32"/>
          <w:szCs w:val="32"/>
          <w:lang w:val="en-US" w:eastAsia="zh-CN"/>
        </w:rPr>
        <w:t>七</w:t>
      </w:r>
      <w:r>
        <w:rPr>
          <w:rFonts w:hint="eastAsia" w:ascii="黑体" w:eastAsia="黑体"/>
          <w:sz w:val="32"/>
          <w:szCs w:val="32"/>
        </w:rPr>
        <w:t>、</w:t>
      </w:r>
      <w:r>
        <w:rPr>
          <w:rStyle w:val="26"/>
          <w:rFonts w:hint="eastAsia" w:ascii="黑体" w:hAnsi="黑体" w:eastAsia="黑体"/>
          <w:b w:val="0"/>
        </w:rPr>
        <w:t>政府性基金预算支出决算情况说明</w:t>
      </w:r>
      <w:bookmarkEnd w:id="36"/>
      <w:bookmarkEnd w:id="37"/>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年政府性基金预算财政拨款支出</w:t>
      </w:r>
      <w:r>
        <w:rPr>
          <w:rFonts w:ascii="仿宋_GB2312" w:eastAsia="仿宋_GB2312"/>
          <w:sz w:val="32"/>
          <w:szCs w:val="32"/>
        </w:rPr>
        <w:t>0</w:t>
      </w:r>
      <w:r>
        <w:rPr>
          <w:rFonts w:hint="eastAsia" w:ascii="仿宋_GB2312" w:eastAsia="仿宋_GB2312"/>
          <w:sz w:val="32"/>
          <w:szCs w:val="32"/>
        </w:rPr>
        <w:t>万元。</w:t>
      </w:r>
    </w:p>
    <w:p>
      <w:pPr>
        <w:numPr>
          <w:ilvl w:val="0"/>
          <w:numId w:val="0"/>
        </w:numPr>
        <w:spacing w:line="600" w:lineRule="exact"/>
        <w:ind w:firstLine="640" w:firstLineChars="200"/>
        <w:outlineLvl w:val="1"/>
        <w:rPr>
          <w:rStyle w:val="26"/>
          <w:rFonts w:ascii="黑体" w:hAnsi="黑体" w:eastAsia="黑体"/>
          <w:b w:val="0"/>
        </w:rPr>
      </w:pPr>
      <w:bookmarkStart w:id="38" w:name="_Toc15377219"/>
      <w:bookmarkStart w:id="39" w:name="_Toc15396611"/>
      <w:r>
        <w:rPr>
          <w:rStyle w:val="26"/>
          <w:rFonts w:hint="eastAsia" w:ascii="黑体" w:hAnsi="黑体" w:eastAsia="黑体"/>
          <w:b w:val="0"/>
          <w:lang w:val="en-US" w:eastAsia="zh-CN"/>
        </w:rPr>
        <w:t>八、</w:t>
      </w:r>
      <w:r>
        <w:rPr>
          <w:rStyle w:val="26"/>
          <w:rFonts w:hint="eastAsia" w:ascii="黑体" w:hAnsi="黑体" w:eastAsia="黑体"/>
          <w:b w:val="0"/>
        </w:rPr>
        <w:t>国有资本经营预算支出决算情况说明</w:t>
      </w:r>
      <w:bookmarkEnd w:id="38"/>
      <w:bookmarkEnd w:id="39"/>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年国有资本经营预算财政拨款支出</w:t>
      </w:r>
      <w:r>
        <w:rPr>
          <w:rFonts w:ascii="仿宋_GB2312" w:eastAsia="仿宋_GB2312"/>
          <w:sz w:val="32"/>
          <w:szCs w:val="32"/>
        </w:rPr>
        <w:t>0</w:t>
      </w:r>
      <w:r>
        <w:rPr>
          <w:rFonts w:hint="eastAsia" w:ascii="仿宋_GB2312" w:eastAsia="仿宋_GB2312"/>
          <w:sz w:val="32"/>
          <w:szCs w:val="32"/>
        </w:rPr>
        <w:t>万元。</w:t>
      </w:r>
    </w:p>
    <w:p>
      <w:pPr>
        <w:numPr>
          <w:ilvl w:val="0"/>
          <w:numId w:val="2"/>
        </w:numPr>
        <w:spacing w:line="600" w:lineRule="exact"/>
        <w:ind w:firstLine="640"/>
        <w:outlineLvl w:val="1"/>
        <w:rPr>
          <w:rStyle w:val="26"/>
          <w:rFonts w:ascii="黑体" w:hAnsi="黑体" w:eastAsia="黑体"/>
          <w:b w:val="0"/>
        </w:rPr>
      </w:pPr>
      <w:bookmarkStart w:id="40" w:name="_Toc15396612"/>
      <w:bookmarkStart w:id="41" w:name="_Toc15377221"/>
      <w:r>
        <w:rPr>
          <w:rStyle w:val="26"/>
          <w:rFonts w:hint="eastAsia" w:ascii="黑体" w:hAnsi="黑体" w:eastAsia="黑体"/>
          <w:b w:val="0"/>
        </w:rPr>
        <w:t>其他重要事项的情况说明</w:t>
      </w:r>
      <w:bookmarkEnd w:id="40"/>
      <w:bookmarkEnd w:id="41"/>
    </w:p>
    <w:p>
      <w:pPr>
        <w:spacing w:line="600" w:lineRule="exact"/>
        <w:ind w:firstLine="643" w:firstLineChars="200"/>
        <w:outlineLvl w:val="2"/>
        <w:rPr>
          <w:rFonts w:ascii="仿宋" w:hAnsi="仿宋" w:eastAsia="仿宋"/>
          <w:sz w:val="32"/>
          <w:szCs w:val="32"/>
        </w:rPr>
      </w:pPr>
      <w:bookmarkStart w:id="42" w:name="_Toc15377222"/>
      <w:r>
        <w:rPr>
          <w:rFonts w:hint="eastAsia" w:ascii="仿宋" w:hAnsi="仿宋" w:eastAsia="仿宋"/>
          <w:b/>
          <w:sz w:val="32"/>
          <w:szCs w:val="32"/>
        </w:rPr>
        <w:t>（一）机关运行经费支出情况</w:t>
      </w:r>
      <w:bookmarkEnd w:id="42"/>
    </w:p>
    <w:p>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双泉小学</w:t>
      </w:r>
      <w:r>
        <w:rPr>
          <w:rFonts w:hint="eastAsia" w:ascii="仿宋_GB2312" w:eastAsia="仿宋_GB2312"/>
          <w:color w:val="000000"/>
          <w:sz w:val="32"/>
          <w:szCs w:val="32"/>
        </w:rPr>
        <w:t>无机关运行经费支出。</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3" w:name="_Toc15377223"/>
      <w:r>
        <w:rPr>
          <w:rFonts w:hint="eastAsia" w:ascii="仿宋" w:hAnsi="仿宋" w:eastAsia="仿宋"/>
          <w:b/>
          <w:sz w:val="32"/>
          <w:szCs w:val="32"/>
        </w:rPr>
        <w:t>（二）政府采购支出情况</w:t>
      </w:r>
      <w:bookmarkEnd w:id="43"/>
    </w:p>
    <w:p>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双泉小学</w:t>
      </w:r>
      <w:r>
        <w:rPr>
          <w:rFonts w:hint="eastAsia" w:ascii="仿宋_GB2312" w:eastAsia="仿宋_GB2312"/>
          <w:color w:val="000000"/>
          <w:sz w:val="32"/>
          <w:szCs w:val="32"/>
        </w:rPr>
        <w:t>无政府采购。</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4" w:name="_Toc15377224"/>
      <w:r>
        <w:rPr>
          <w:rFonts w:hint="eastAsia" w:ascii="仿宋" w:hAnsi="仿宋" w:eastAsia="仿宋"/>
          <w:b/>
          <w:sz w:val="32"/>
          <w:szCs w:val="32"/>
        </w:rPr>
        <w:t>（三）国有资产占</w:t>
      </w:r>
      <w:r>
        <w:rPr>
          <w:rFonts w:hint="eastAsia" w:ascii="仿宋" w:hAnsi="仿宋" w:eastAsia="仿宋"/>
          <w:b/>
          <w:sz w:val="32"/>
          <w:szCs w:val="32"/>
          <w:u w:val="none" w:color="FFFFFF"/>
          <w:shd w:val="clear" w:fill="FFFFFF"/>
        </w:rPr>
        <w:t>有</w:t>
      </w:r>
      <w:r>
        <w:rPr>
          <w:rFonts w:hint="eastAsia" w:ascii="仿宋" w:hAnsi="仿宋" w:eastAsia="仿宋"/>
          <w:b/>
          <w:sz w:val="32"/>
          <w:szCs w:val="32"/>
        </w:rPr>
        <w:t>使用情况</w:t>
      </w:r>
      <w:bookmarkEnd w:id="44"/>
    </w:p>
    <w:p>
      <w:pPr>
        <w:autoSpaceDE w:val="0"/>
        <w:autoSpaceDN w:val="0"/>
        <w:adjustRightInd w:val="0"/>
        <w:spacing w:line="600" w:lineRule="exact"/>
        <w:ind w:firstLine="960" w:firstLineChars="300"/>
        <w:jc w:val="left"/>
        <w:rPr>
          <w:rFonts w:ascii="仿宋" w:hAnsi="仿宋" w:eastAsia="仿宋"/>
          <w:b/>
          <w:color w:val="FF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eastAsia="zh-CN"/>
        </w:rPr>
        <w:t>双泉小学</w:t>
      </w:r>
      <w:r>
        <w:rPr>
          <w:rFonts w:hint="eastAsia" w:ascii="仿宋_GB2312" w:eastAsia="仿宋_GB2312"/>
          <w:color w:val="000000"/>
          <w:sz w:val="32"/>
          <w:szCs w:val="32"/>
        </w:rPr>
        <w:t>共有车辆0辆。</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autoSpaceDE w:val="0"/>
        <w:autoSpaceDN w:val="0"/>
        <w:adjustRightInd w:val="0"/>
        <w:spacing w:line="600" w:lineRule="exact"/>
        <w:ind w:firstLine="960" w:firstLineChars="300"/>
        <w:jc w:val="left"/>
        <w:rPr>
          <w:rFonts w:hint="eastAsia" w:ascii="仿宋_GB2312" w:eastAsia="仿宋_GB2312"/>
          <w:color w:val="000000"/>
          <w:sz w:val="32"/>
          <w:szCs w:val="32"/>
        </w:rPr>
      </w:pPr>
      <w:r>
        <w:rPr>
          <w:rFonts w:hint="eastAsia" w:ascii="仿宋_GB2312" w:eastAsia="仿宋_GB2312"/>
          <w:color w:val="000000"/>
          <w:sz w:val="32"/>
          <w:szCs w:val="32"/>
        </w:rPr>
        <w:t>根据预算绩效管理要求，本单位在202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 xml:space="preserve">年度预算编制阶段，组织对“三儿资助”“贫困寄宿生生活补助” </w:t>
      </w:r>
      <w:r>
        <w:rPr>
          <w:rFonts w:hint="default" w:ascii="仿宋_GB2312" w:eastAsia="仿宋_GB2312"/>
          <w:color w:val="000000"/>
          <w:sz w:val="32"/>
          <w:szCs w:val="32"/>
          <w:lang w:val="en-US" w:eastAsia="zh-CN"/>
        </w:rPr>
        <w:t>“</w:t>
      </w:r>
      <w:r>
        <w:rPr>
          <w:rFonts w:hint="eastAsia" w:ascii="仿宋_GB2312" w:eastAsia="仿宋_GB2312"/>
          <w:color w:val="000000"/>
          <w:sz w:val="32"/>
          <w:szCs w:val="32"/>
          <w:lang w:val="en-US" w:eastAsia="zh-CN"/>
        </w:rPr>
        <w:t>整体绩效评价</w:t>
      </w:r>
      <w:r>
        <w:rPr>
          <w:rFonts w:hint="default" w:ascii="仿宋_GB2312" w:eastAsia="仿宋_GB2312"/>
          <w:color w:val="000000"/>
          <w:sz w:val="32"/>
          <w:szCs w:val="32"/>
          <w:lang w:val="en-US" w:eastAsia="zh-CN"/>
        </w:rPr>
        <w:t>”</w:t>
      </w:r>
      <w:r>
        <w:rPr>
          <w:rFonts w:hint="eastAsia" w:ascii="仿宋_GB2312" w:eastAsia="仿宋_GB2312"/>
          <w:color w:val="000000"/>
          <w:sz w:val="32"/>
          <w:szCs w:val="32"/>
        </w:rPr>
        <w:t>“学生营养餐及作业本费”“扶贫经费”项目等5个项目开展了预算事前绩效评估，对5个项目编制了绩效目标，预算执行过程中，选取5个项目开展绩效监控，年终执行完毕后，对5个项目开展了</w:t>
      </w:r>
      <w:r>
        <w:rPr>
          <w:rFonts w:hint="eastAsia" w:ascii="仿宋_GB2312" w:eastAsia="仿宋_GB2312"/>
          <w:color w:val="000000"/>
          <w:sz w:val="32"/>
          <w:szCs w:val="32"/>
          <w:u w:val="none" w:color="FFFFFF"/>
          <w:shd w:val="clear" w:fill="FFFFFF"/>
        </w:rPr>
        <w:t>绩效</w:t>
      </w:r>
      <w:r>
        <w:rPr>
          <w:rFonts w:hint="eastAsia" w:ascii="仿宋_GB2312" w:eastAsia="仿宋_GB2312"/>
          <w:color w:val="000000"/>
          <w:sz w:val="32"/>
          <w:szCs w:val="32"/>
        </w:rPr>
        <w:t>自评，2021年特定目标类部门预算项目绩效目标自评表见附件（第四部分）。</w:t>
      </w:r>
    </w:p>
    <w:p>
      <w:pPr>
        <w:pStyle w:val="2"/>
      </w:pPr>
    </w:p>
    <w:p>
      <w:pPr>
        <w:numPr>
          <w:ilvl w:val="0"/>
          <w:numId w:val="3"/>
        </w:numPr>
        <w:spacing w:line="600" w:lineRule="exact"/>
        <w:ind w:firstLine="660" w:firstLineChars="150"/>
        <w:jc w:val="center"/>
        <w:outlineLvl w:val="0"/>
        <w:rPr>
          <w:rStyle w:val="25"/>
          <w:rFonts w:ascii="黑体" w:hAnsi="黑体" w:eastAsia="黑体"/>
          <w:b w:val="0"/>
        </w:rPr>
      </w:pPr>
      <w:bookmarkStart w:id="45" w:name="_Toc15377225"/>
      <w:bookmarkStart w:id="46" w:name="_Toc15396613"/>
      <w:r>
        <w:rPr>
          <w:rFonts w:hint="eastAsia" w:ascii="黑体" w:hAnsi="黑体" w:eastAsia="黑体"/>
          <w:sz w:val="44"/>
          <w:szCs w:val="44"/>
        </w:rPr>
        <w:t>名</w:t>
      </w:r>
      <w:r>
        <w:rPr>
          <w:rStyle w:val="25"/>
          <w:rFonts w:hint="eastAsia" w:ascii="黑体" w:hAnsi="黑体" w:eastAsia="黑体"/>
          <w:b w:val="0"/>
        </w:rPr>
        <w:t>词解释</w:t>
      </w:r>
      <w:bookmarkEnd w:id="45"/>
      <w:bookmarkEnd w:id="46"/>
    </w:p>
    <w:p>
      <w:pPr>
        <w:spacing w:line="600" w:lineRule="exact"/>
        <w:jc w:val="left"/>
        <w:rPr>
          <w:rFonts w:ascii="宋体"/>
          <w:b/>
          <w:sz w:val="44"/>
          <w:szCs w:val="44"/>
        </w:rPr>
      </w:pP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bookmarkStart w:id="47" w:name="_Toc15377226"/>
      <w:r>
        <w:rPr>
          <w:rFonts w:hint="eastAsia" w:ascii="仿宋_GB2312" w:eastAsia="仿宋_GB2312"/>
          <w:sz w:val="32"/>
          <w:szCs w:val="32"/>
        </w:rPr>
        <w:t>1.财政拨款收入：指单位从同级财政部门取得的财政预算资金。</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2.事业收入：指事业单位开展专业业务活动及辅助活动取得的收入。</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3.经营收入：指事业单位在专业业务活动及其辅助活动之外开展非独立核算经营活动取得的收入。</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 xml:space="preserve">4.其他收入：指单位取得的除上述收入以外的各项收入。 </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 xml:space="preserve">5.使用非财政拨款结余：指事业单位使用以前年度积累的非财政拨款结余弥补当年收支差额的金额。 </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6.年初结转和结余：指以前年度尚未完成、结转到</w:t>
      </w:r>
      <w:r>
        <w:rPr>
          <w:rFonts w:hint="eastAsia" w:ascii="仿宋_GB2312" w:eastAsia="仿宋_GB2312"/>
          <w:sz w:val="32"/>
          <w:szCs w:val="32"/>
          <w:u w:val="none" w:color="FFFFFF"/>
          <w:shd w:val="clear" w:color="auto" w:fill="FFFFFF"/>
        </w:rPr>
        <w:t>本年</w:t>
      </w:r>
      <w:r>
        <w:rPr>
          <w:rFonts w:hint="eastAsia" w:ascii="仿宋_GB2312" w:eastAsia="仿宋_GB2312"/>
          <w:sz w:val="32"/>
          <w:szCs w:val="32"/>
        </w:rPr>
        <w:t xml:space="preserve">按有关规定继续使用的资金。 </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7.结余分配：指事业单位按照会计制度规定缴纳的所得税、提取的专用结余以及转入非财政拨款结余的金额等。</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8、年末结转和结余：指单位按有关规定结转到下年或以后年度继续使用的资金。</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lang w:val="en-US" w:eastAsia="zh-CN"/>
        </w:rPr>
      </w:pPr>
      <w:r>
        <w:rPr>
          <w:rFonts w:hint="eastAsia" w:ascii="仿宋_GB2312" w:hAnsi="Times New Roman" w:eastAsia="仿宋_GB2312"/>
          <w:color w:val="000000"/>
          <w:sz w:val="32"/>
          <w:szCs w:val="24"/>
          <w:u w:val="none" w:color="FFFFFF"/>
          <w:shd w:val="clear" w:color="auto" w:fill="FFFFFF"/>
          <w:lang w:val="en-US" w:eastAsia="zh-CN"/>
        </w:rPr>
        <w:t>9</w:t>
      </w:r>
      <w:r>
        <w:rPr>
          <w:rFonts w:hint="eastAsia" w:ascii="仿宋_GB2312" w:hAnsi="Times New Roman" w:eastAsia="仿宋_GB2312"/>
          <w:color w:val="000000"/>
          <w:sz w:val="32"/>
          <w:szCs w:val="24"/>
          <w:u w:val="none" w:color="FFFFFF"/>
          <w:shd w:val="clear" w:color="auto" w:fill="FFFFFF"/>
        </w:rPr>
        <w:t>.</w:t>
      </w:r>
      <w:r>
        <w:rPr>
          <w:rFonts w:hint="eastAsia" w:ascii="仿宋_GB2312" w:hAnsi="Times New Roman" w:eastAsia="仿宋_GB2312"/>
          <w:color w:val="000000"/>
          <w:sz w:val="32"/>
          <w:szCs w:val="24"/>
        </w:rPr>
        <w:t>教育（类）</w:t>
      </w:r>
      <w:r>
        <w:rPr>
          <w:rFonts w:hint="eastAsia" w:ascii="仿宋_GB2312" w:hAnsi="Times New Roman" w:eastAsia="仿宋_GB2312"/>
          <w:color w:val="000000"/>
          <w:sz w:val="32"/>
          <w:szCs w:val="24"/>
          <w:lang w:eastAsia="zh-CN"/>
        </w:rPr>
        <w:t>普通教育</w:t>
      </w:r>
      <w:r>
        <w:rPr>
          <w:rFonts w:hint="eastAsia" w:ascii="仿宋_GB2312" w:hAnsi="Times New Roman" w:eastAsia="仿宋_GB2312"/>
          <w:color w:val="000000"/>
          <w:sz w:val="32"/>
          <w:szCs w:val="24"/>
        </w:rPr>
        <w:t>（款）</w:t>
      </w:r>
      <w:r>
        <w:rPr>
          <w:rFonts w:hint="eastAsia" w:ascii="仿宋_GB2312" w:hAnsi="Times New Roman" w:eastAsia="仿宋_GB2312"/>
          <w:color w:val="000000"/>
          <w:sz w:val="32"/>
          <w:szCs w:val="24"/>
          <w:lang w:eastAsia="zh-CN"/>
        </w:rPr>
        <w:t>小学教育</w:t>
      </w:r>
      <w:r>
        <w:rPr>
          <w:rFonts w:hint="eastAsia" w:ascii="仿宋_GB2312" w:hAnsi="Times New Roman" w:eastAsia="仿宋_GB2312"/>
          <w:color w:val="000000"/>
          <w:sz w:val="32"/>
          <w:szCs w:val="24"/>
        </w:rPr>
        <w:t>（项）：指</w:t>
      </w:r>
      <w:r>
        <w:rPr>
          <w:rFonts w:hint="eastAsia" w:ascii="仿宋_GB2312" w:hAnsi="Times New Roman" w:eastAsia="仿宋_GB2312"/>
          <w:color w:val="000000"/>
          <w:sz w:val="32"/>
          <w:szCs w:val="24"/>
          <w:lang w:eastAsia="zh-CN"/>
        </w:rPr>
        <w:t>反映各部门举办的小学教育支出，政府各部门对社会组织等举办的小学的资助</w:t>
      </w:r>
      <w:r>
        <w:rPr>
          <w:rFonts w:hint="eastAsia" w:ascii="仿宋_GB2312" w:hAnsi="Times New Roman" w:eastAsia="仿宋_GB2312"/>
          <w:color w:val="000000"/>
          <w:sz w:val="32"/>
          <w:szCs w:val="24"/>
          <w:u w:val="none" w:color="FFFFFF"/>
          <w:shd w:val="clear" w:color="auto" w:fill="FFFFFF"/>
          <w:lang w:val="en-US" w:eastAsia="zh-CN"/>
        </w:rPr>
        <w:t>，</w:t>
      </w:r>
      <w:r>
        <w:rPr>
          <w:rFonts w:hint="eastAsia" w:ascii="仿宋_GB2312" w:hAnsi="Times New Roman" w:eastAsia="仿宋_GB2312"/>
          <w:color w:val="000000"/>
          <w:sz w:val="32"/>
          <w:szCs w:val="24"/>
          <w:lang w:val="en-US" w:eastAsia="zh-CN"/>
        </w:rPr>
        <w:t>如捐赠、补贴等，也在本科目中反映。</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lang w:eastAsia="zh-CN"/>
        </w:rPr>
      </w:pPr>
      <w:r>
        <w:rPr>
          <w:rFonts w:hint="eastAsia" w:ascii="仿宋_GB2312" w:hAnsi="Times New Roman" w:eastAsia="仿宋_GB2312"/>
          <w:color w:val="000000"/>
          <w:sz w:val="32"/>
          <w:szCs w:val="24"/>
        </w:rPr>
        <w:t>1</w:t>
      </w:r>
      <w:r>
        <w:rPr>
          <w:rFonts w:hint="eastAsia" w:ascii="仿宋_GB2312" w:hAnsi="Times New Roman" w:eastAsia="仿宋_GB2312"/>
          <w:color w:val="000000"/>
          <w:sz w:val="32"/>
          <w:szCs w:val="24"/>
          <w:lang w:val="en-US" w:eastAsia="zh-CN"/>
        </w:rPr>
        <w:t>0</w:t>
      </w:r>
      <w:r>
        <w:rPr>
          <w:rFonts w:hint="eastAsia" w:ascii="仿宋_GB2312" w:hAnsi="Times New Roman" w:eastAsia="仿宋_GB2312"/>
          <w:color w:val="000000"/>
          <w:sz w:val="32"/>
          <w:szCs w:val="24"/>
        </w:rPr>
        <w:t>.社会保障和就业（类）人力资源和社会保障管理事务（款）社会保险经办机构（项）：指</w:t>
      </w:r>
      <w:r>
        <w:rPr>
          <w:rFonts w:hint="eastAsia" w:ascii="仿宋_GB2312" w:hAnsi="Times New Roman" w:eastAsia="仿宋_GB2312"/>
          <w:color w:val="000000"/>
          <w:sz w:val="32"/>
          <w:szCs w:val="24"/>
          <w:lang w:eastAsia="zh-CN"/>
        </w:rPr>
        <w:t>反映机关事业单位实施养老保险制度由单位缴纳的基本养老保险费支出。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rPr>
        <w:t>1</w:t>
      </w:r>
      <w:r>
        <w:rPr>
          <w:rFonts w:hint="eastAsia" w:ascii="仿宋_GB2312" w:hAnsi="Times New Roman" w:eastAsia="仿宋_GB2312"/>
          <w:color w:val="000000"/>
          <w:sz w:val="32"/>
          <w:szCs w:val="24"/>
          <w:lang w:val="en-US" w:eastAsia="zh-CN"/>
        </w:rPr>
        <w:t>1</w:t>
      </w:r>
      <w:r>
        <w:rPr>
          <w:rFonts w:hint="eastAsia" w:ascii="仿宋_GB2312" w:hAnsi="Times New Roman" w:eastAsia="仿宋_GB2312"/>
          <w:color w:val="000000"/>
          <w:sz w:val="32"/>
          <w:szCs w:val="24"/>
        </w:rPr>
        <w:t>.医疗卫生与计划生育（类）行政事业单位医疗（款） 事业单位医疗（项）：指</w:t>
      </w:r>
      <w:r>
        <w:rPr>
          <w:rFonts w:hint="eastAsia" w:ascii="仿宋_GB2312" w:hAnsi="Times New Roman" w:eastAsia="仿宋_GB2312"/>
          <w:color w:val="000000"/>
          <w:sz w:val="32"/>
          <w:szCs w:val="24"/>
          <w:lang w:eastAsia="zh-CN"/>
        </w:rPr>
        <w:t>反映财政部门安排的事业单位基本医疗保险缴费经费，未参加医疗保险的事业单位的公费医疗经费，按国家规定享受离休人员待遇的医疗经费。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rPr>
        <w:t>1</w:t>
      </w:r>
      <w:r>
        <w:rPr>
          <w:rFonts w:hint="eastAsia" w:ascii="仿宋_GB2312" w:hAnsi="Times New Roman" w:eastAsia="仿宋_GB2312"/>
          <w:color w:val="000000"/>
          <w:sz w:val="32"/>
          <w:szCs w:val="24"/>
          <w:lang w:val="en-US" w:eastAsia="zh-CN"/>
        </w:rPr>
        <w:t>2</w:t>
      </w:r>
      <w:r>
        <w:rPr>
          <w:rFonts w:hint="eastAsia" w:ascii="仿宋_GB2312" w:hAnsi="Times New Roman" w:eastAsia="仿宋_GB2312"/>
          <w:color w:val="000000"/>
          <w:sz w:val="32"/>
          <w:szCs w:val="24"/>
        </w:rPr>
        <w:t>.农林水（类）扶贫（款）</w:t>
      </w:r>
      <w:r>
        <w:rPr>
          <w:rFonts w:hint="eastAsia" w:ascii="仿宋_GB2312" w:hAnsi="Times New Roman" w:eastAsia="仿宋_GB2312"/>
          <w:color w:val="000000"/>
          <w:sz w:val="32"/>
          <w:szCs w:val="24"/>
          <w:lang w:eastAsia="zh-CN"/>
        </w:rPr>
        <w:t>其他扶贫支出</w:t>
      </w:r>
      <w:r>
        <w:rPr>
          <w:rFonts w:hint="eastAsia" w:ascii="仿宋_GB2312" w:hAnsi="Times New Roman" w:eastAsia="仿宋_GB2312"/>
          <w:color w:val="000000"/>
          <w:sz w:val="32"/>
          <w:szCs w:val="24"/>
        </w:rPr>
        <w:t>（项）：指</w:t>
      </w:r>
      <w:r>
        <w:rPr>
          <w:rFonts w:hint="eastAsia" w:ascii="仿宋_GB2312" w:hAnsi="Times New Roman" w:eastAsia="仿宋_GB2312"/>
          <w:color w:val="000000"/>
          <w:sz w:val="32"/>
          <w:szCs w:val="24"/>
          <w:lang w:eastAsia="zh-CN"/>
        </w:rPr>
        <w:t>反映其他用于巩固拓展脱贫攻坚成果同乡村振兴有效衔接方面的支出</w:t>
      </w:r>
      <w:r>
        <w:rPr>
          <w:rFonts w:hint="eastAsia" w:ascii="仿宋_GB2312" w:hAnsi="Times New Roman" w:eastAsia="仿宋_GB2312"/>
          <w:color w:val="000000"/>
          <w:sz w:val="32"/>
          <w:szCs w:val="24"/>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lang w:val="en-US" w:eastAsia="zh-CN"/>
        </w:rPr>
        <w:t>13</w:t>
      </w:r>
      <w:r>
        <w:rPr>
          <w:rFonts w:hint="eastAsia" w:ascii="仿宋_GB2312" w:hAnsi="Times New Roman" w:eastAsia="仿宋_GB2312"/>
          <w:color w:val="000000"/>
          <w:sz w:val="32"/>
          <w:szCs w:val="24"/>
        </w:rPr>
        <w:t>.住房保障（类）住房保障</w:t>
      </w:r>
      <w:r>
        <w:rPr>
          <w:rFonts w:hint="eastAsia" w:ascii="仿宋_GB2312" w:hAnsi="Times New Roman" w:eastAsia="仿宋_GB2312"/>
          <w:color w:val="000000"/>
          <w:sz w:val="32"/>
          <w:szCs w:val="24"/>
          <w:lang w:eastAsia="zh-CN"/>
        </w:rPr>
        <w:t>（款） 住房公积金（项）</w:t>
      </w:r>
      <w:r>
        <w:rPr>
          <w:rFonts w:hint="eastAsia" w:ascii="仿宋_GB2312" w:hAnsi="Times New Roman" w:eastAsia="仿宋_GB2312"/>
          <w:color w:val="000000"/>
          <w:sz w:val="32"/>
          <w:szCs w:val="24"/>
        </w:rPr>
        <w:t>：指</w:t>
      </w:r>
      <w:r>
        <w:rPr>
          <w:rFonts w:hint="eastAsia" w:ascii="仿宋_GB2312" w:hAnsi="Times New Roman" w:eastAsia="仿宋_GB2312"/>
          <w:color w:val="000000"/>
          <w:sz w:val="32"/>
          <w:szCs w:val="24"/>
          <w:lang w:eastAsia="zh-CN"/>
        </w:rPr>
        <w:t>反映行政事业单位按人力资源和社会保障部、财政部规定的基本工资和津贴补贴以及规定比例为职工缴纳的住房公积金</w:t>
      </w:r>
      <w:r>
        <w:rPr>
          <w:rFonts w:hint="eastAsia" w:ascii="仿宋_GB2312" w:hAnsi="Times New Roman" w:eastAsia="仿宋_GB2312"/>
          <w:color w:val="000000"/>
          <w:sz w:val="32"/>
          <w:szCs w:val="24"/>
        </w:rPr>
        <w:t>。</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lang w:val="en-US" w:eastAsia="zh-CN"/>
        </w:rPr>
        <w:t>14</w:t>
      </w:r>
      <w:r>
        <w:rPr>
          <w:rFonts w:hint="eastAsia" w:ascii="仿宋_GB2312" w:hAnsi="Times New Roman" w:eastAsia="仿宋_GB2312"/>
          <w:color w:val="000000"/>
          <w:sz w:val="32"/>
          <w:szCs w:val="24"/>
        </w:rPr>
        <w:t>.基本支出：指为保障机构正常运转、完成日常工作任务而发生的人员支出和公用支出。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lang w:val="en-US" w:eastAsia="zh-CN"/>
        </w:rPr>
        <w:t>15</w:t>
      </w:r>
      <w:r>
        <w:rPr>
          <w:rFonts w:hint="eastAsia" w:ascii="仿宋_GB2312" w:hAnsi="Times New Roman" w:eastAsia="仿宋_GB2312"/>
          <w:color w:val="000000"/>
          <w:sz w:val="32"/>
          <w:szCs w:val="24"/>
        </w:rPr>
        <w:t>.项目支出：指在基本支出之</w:t>
      </w:r>
      <w:r>
        <w:rPr>
          <w:rFonts w:hint="eastAsia" w:ascii="仿宋_GB2312" w:hAnsi="Times New Roman" w:eastAsia="仿宋_GB2312"/>
          <w:color w:val="000000"/>
          <w:sz w:val="32"/>
          <w:szCs w:val="24"/>
          <w:u w:val="none" w:color="FFFFFF"/>
          <w:shd w:val="clear" w:color="auto" w:fill="FFFFFF"/>
        </w:rPr>
        <w:t>外</w:t>
      </w:r>
      <w:r>
        <w:rPr>
          <w:rFonts w:hint="eastAsia" w:ascii="仿宋_GB2312" w:hAnsi="Times New Roman" w:eastAsia="仿宋_GB2312"/>
          <w:color w:val="000000"/>
          <w:sz w:val="32"/>
          <w:szCs w:val="24"/>
        </w:rPr>
        <w:t xml:space="preserve">为完成特定行政任务和事业发展目标所发生的支出。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hAnsi="Times New Roman" w:eastAsia="仿宋_GB2312"/>
          <w:color w:val="000000"/>
          <w:sz w:val="32"/>
          <w:szCs w:val="24"/>
        </w:rPr>
      </w:pPr>
      <w:r>
        <w:rPr>
          <w:rFonts w:hint="eastAsia" w:ascii="仿宋_GB2312" w:hAnsi="Times New Roman" w:eastAsia="仿宋_GB2312"/>
          <w:color w:val="000000"/>
          <w:sz w:val="32"/>
          <w:szCs w:val="24"/>
          <w:lang w:val="en-US" w:eastAsia="zh-CN"/>
        </w:rPr>
        <w:t>16</w:t>
      </w:r>
      <w:r>
        <w:rPr>
          <w:rFonts w:hint="eastAsia" w:ascii="仿宋_GB2312" w:hAnsi="Times New Roman" w:eastAsia="仿宋_GB2312"/>
          <w:color w:val="000000"/>
          <w:sz w:val="32"/>
          <w:szCs w:val="24"/>
        </w:rPr>
        <w:t>.经营支出：指事业单位在专业业务活动及其辅助活动之外开展非独立核算经营活动发生的支出。</w:t>
      </w:r>
    </w:p>
    <w:p>
      <w:pPr>
        <w:pStyle w:val="23"/>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17.“三公”经费：指部门用财政拨款安排的因公出国（境）费、公务用车购置及运行费和公务接待费。</w:t>
      </w:r>
      <w:r>
        <w:rPr>
          <w:rFonts w:hint="eastAsia" w:ascii="仿宋_GB2312" w:eastAsia="仿宋_GB2312"/>
          <w:sz w:val="32"/>
          <w:szCs w:val="32"/>
          <w:u w:val="none" w:color="FFFFFF"/>
          <w:shd w:val="clear" w:color="auto" w:fill="FFFFFF"/>
        </w:rPr>
        <w:t>其中，因公出国（境）费反映单位公务出国（境）的国际旅费、国外城市间交通费、住宿费、伙食费、培训费、公杂费等支出；</w:t>
      </w:r>
      <w:r>
        <w:rPr>
          <w:rFonts w:hint="eastAsia" w:ascii="仿宋_GB2312" w:eastAsia="仿宋_GB2312"/>
          <w:sz w:val="32"/>
          <w:szCs w:val="32"/>
        </w:rPr>
        <w:t>公务用车购置及运行费反映单位公务用车车辆购置支出（含车辆购置税）及租用费、燃料费、维修费、过路过桥费、保险费等支出；公务接待费反映单位按规定开支的各类公务接待（含外宾接待）支出。</w:t>
      </w:r>
    </w:p>
    <w:p>
      <w:pPr>
        <w:keepNext w:val="0"/>
        <w:keepLines w:val="0"/>
        <w:pageBreakBefore w:val="0"/>
        <w:widowControl w:val="0"/>
        <w:kinsoku/>
        <w:wordWrap/>
        <w:overflowPunct/>
        <w:topLinePunct w:val="0"/>
        <w:bidi w:val="0"/>
        <w:snapToGrid/>
        <w:spacing w:line="600" w:lineRule="exact"/>
        <w:ind w:firstLine="640" w:firstLineChars="200"/>
        <w:jc w:val="center"/>
        <w:textAlignment w:val="auto"/>
        <w:outlineLvl w:val="0"/>
        <w:rPr>
          <w:rStyle w:val="25"/>
          <w:rFonts w:ascii="黑体" w:hAnsi="黑体" w:eastAsia="黑体"/>
          <w:b w:val="0"/>
        </w:rPr>
      </w:pPr>
      <w:r>
        <w:rPr>
          <w:rFonts w:hint="eastAsia" w:ascii="仿宋_GB2312" w:eastAsia="仿宋_GB2312"/>
          <w:sz w:val="32"/>
          <w:szCs w:val="32"/>
        </w:rPr>
        <w:t>18.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ascii="宋体"/>
          <w:b/>
          <w:sz w:val="44"/>
          <w:szCs w:val="44"/>
        </w:rPr>
        <w:br w:type="page"/>
      </w:r>
      <w:bookmarkStart w:id="48" w:name="_Toc15396614"/>
      <w:r>
        <w:rPr>
          <w:rFonts w:hint="eastAsia" w:ascii="黑体" w:hAnsi="黑体" w:eastAsia="黑体"/>
          <w:sz w:val="44"/>
          <w:szCs w:val="44"/>
        </w:rPr>
        <w:t>第</w:t>
      </w:r>
      <w:r>
        <w:rPr>
          <w:rStyle w:val="25"/>
          <w:rFonts w:hint="eastAsia" w:ascii="黑体" w:hAnsi="黑体" w:eastAsia="黑体"/>
          <w:b w:val="0"/>
        </w:rPr>
        <w:t>四</w:t>
      </w:r>
      <w:r>
        <w:rPr>
          <w:rStyle w:val="25"/>
          <w:rFonts w:hint="eastAsia" w:ascii="黑体" w:hAnsi="黑体" w:eastAsia="黑体"/>
          <w:b w:val="0"/>
          <w:u w:val="none" w:color="FFFFFF"/>
          <w:shd w:val="clear" w:fill="FFFFFF"/>
        </w:rPr>
        <w:t xml:space="preserve">部分 </w:t>
      </w:r>
      <w:r>
        <w:rPr>
          <w:rStyle w:val="25"/>
          <w:rFonts w:hint="eastAsia" w:ascii="黑体" w:hAnsi="黑体" w:eastAsia="黑体"/>
          <w:b w:val="0"/>
        </w:rPr>
        <w:t>附件</w:t>
      </w:r>
      <w:bookmarkEnd w:id="48"/>
    </w:p>
    <w:p>
      <w:pPr>
        <w:spacing w:line="572" w:lineRule="exact"/>
        <w:jc w:val="left"/>
        <w:outlineLvl w:val="0"/>
        <w:rPr>
          <w:rFonts w:ascii="黑体" w:hAnsi="黑体" w:eastAsia="黑体" w:cs="黑体"/>
          <w:sz w:val="32"/>
          <w:szCs w:val="32"/>
        </w:rPr>
      </w:pPr>
      <w:r>
        <w:rPr>
          <w:rFonts w:hint="eastAsia" w:ascii="黑体" w:hAnsi="黑体" w:eastAsia="黑体" w:cs="黑体"/>
          <w:sz w:val="32"/>
          <w:szCs w:val="32"/>
        </w:rPr>
        <w:t>附件：</w:t>
      </w:r>
    </w:p>
    <w:p>
      <w:pPr>
        <w:pStyle w:val="2"/>
        <w:spacing w:before="93"/>
        <w:rPr>
          <w:rFonts w:hint="eastAsia" w:eastAsia="仿宋_GB2312"/>
          <w:lang w:eastAsia="zh-CN"/>
        </w:rPr>
      </w:pPr>
      <w:r>
        <w:rPr>
          <w:rFonts w:hint="eastAsia" w:eastAsia="仿宋_GB2312"/>
          <w:lang w:eastAsia="zh-CN"/>
        </w:rPr>
        <w:drawing>
          <wp:inline distT="0" distB="0" distL="114300" distR="114300">
            <wp:extent cx="5266690" cy="7073265"/>
            <wp:effectExtent l="0" t="0" r="10160" b="13335"/>
            <wp:docPr id="2" name="图片 2" descr="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整体"/>
                    <pic:cNvPicPr>
                      <a:picLocks noChangeAspect="1"/>
                    </pic:cNvPicPr>
                  </pic:nvPicPr>
                  <pic:blipFill>
                    <a:blip r:embed="rId12"/>
                    <a:stretch>
                      <a:fillRect/>
                    </a:stretch>
                  </pic:blipFill>
                  <pic:spPr>
                    <a:xfrm>
                      <a:off x="0" y="0"/>
                      <a:ext cx="5266690" cy="7073265"/>
                    </a:xfrm>
                    <a:prstGeom prst="rect">
                      <a:avLst/>
                    </a:prstGeom>
                  </pic:spPr>
                </pic:pic>
              </a:graphicData>
            </a:graphic>
          </wp:inline>
        </w:drawing>
      </w:r>
    </w:p>
    <w:p>
      <w:pPr>
        <w:pStyle w:val="2"/>
        <w:spacing w:before="93"/>
        <w:rPr>
          <w:rFonts w:hint="eastAsia" w:eastAsia="仿宋_GB2312"/>
          <w:lang w:eastAsia="zh-CN"/>
        </w:rPr>
      </w:pPr>
      <w:r>
        <w:drawing>
          <wp:inline distT="0" distB="0" distL="114300" distR="114300">
            <wp:extent cx="5266690" cy="7583805"/>
            <wp:effectExtent l="0" t="0" r="10160" b="17145"/>
            <wp:docPr id="4" name="图片 4" descr="城乡义务补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城乡义务补足"/>
                    <pic:cNvPicPr>
                      <a:picLocks noChangeAspect="1"/>
                    </pic:cNvPicPr>
                  </pic:nvPicPr>
                  <pic:blipFill>
                    <a:blip r:embed="rId13"/>
                    <a:stretch>
                      <a:fillRect/>
                    </a:stretch>
                  </pic:blipFill>
                  <pic:spPr>
                    <a:xfrm>
                      <a:off x="0" y="0"/>
                      <a:ext cx="5266690" cy="7583805"/>
                    </a:xfrm>
                    <a:prstGeom prst="rect">
                      <a:avLst/>
                    </a:prstGeom>
                  </pic:spPr>
                </pic:pic>
              </a:graphicData>
            </a:graphic>
          </wp:inline>
        </w:drawing>
      </w:r>
      <w:r>
        <w:drawing>
          <wp:inline distT="0" distB="0" distL="114300" distR="114300">
            <wp:extent cx="5266690" cy="7023735"/>
            <wp:effectExtent l="0" t="0" r="10160" b="5715"/>
            <wp:docPr id="5" name="图片 5" descr="周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周转"/>
                    <pic:cNvPicPr>
                      <a:picLocks noChangeAspect="1"/>
                    </pic:cNvPicPr>
                  </pic:nvPicPr>
                  <pic:blipFill>
                    <a:blip r:embed="rId14"/>
                    <a:stretch>
                      <a:fillRect/>
                    </a:stretch>
                  </pic:blipFill>
                  <pic:spPr>
                    <a:xfrm>
                      <a:off x="0" y="0"/>
                      <a:ext cx="5266690" cy="7023735"/>
                    </a:xfrm>
                    <a:prstGeom prst="rect">
                      <a:avLst/>
                    </a:prstGeom>
                  </pic:spPr>
                </pic:pic>
              </a:graphicData>
            </a:graphic>
          </wp:inline>
        </w:drawing>
      </w:r>
      <w:r>
        <w:drawing>
          <wp:inline distT="0" distB="0" distL="114300" distR="114300">
            <wp:extent cx="5266690" cy="7023735"/>
            <wp:effectExtent l="0" t="0" r="10160" b="5715"/>
            <wp:docPr id="7" name="图片 7" descr="校舍维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舍维修"/>
                    <pic:cNvPicPr>
                      <a:picLocks noChangeAspect="1"/>
                    </pic:cNvPicPr>
                  </pic:nvPicPr>
                  <pic:blipFill>
                    <a:blip r:embed="rId15"/>
                    <a:stretch>
                      <a:fillRect/>
                    </a:stretch>
                  </pic:blipFill>
                  <pic:spPr>
                    <a:xfrm>
                      <a:off x="0" y="0"/>
                      <a:ext cx="5266690" cy="7023735"/>
                    </a:xfrm>
                    <a:prstGeom prst="rect">
                      <a:avLst/>
                    </a:prstGeom>
                  </pic:spPr>
                </pic:pic>
              </a:graphicData>
            </a:graphic>
          </wp:inline>
        </w:drawing>
      </w:r>
      <w:r>
        <w:rPr>
          <w:rFonts w:hint="eastAsia" w:eastAsia="仿宋_GB2312"/>
          <w:lang w:eastAsia="zh-CN"/>
        </w:rPr>
        <w:drawing>
          <wp:inline distT="0" distB="0" distL="114300" distR="114300">
            <wp:extent cx="5266690" cy="7538085"/>
            <wp:effectExtent l="0" t="0" r="10160" b="5715"/>
            <wp:docPr id="8" name="图片 8" descr="自评扶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评扶贫"/>
                    <pic:cNvPicPr>
                      <a:picLocks noChangeAspect="1"/>
                    </pic:cNvPicPr>
                  </pic:nvPicPr>
                  <pic:blipFill>
                    <a:blip r:embed="rId16"/>
                    <a:stretch>
                      <a:fillRect/>
                    </a:stretch>
                  </pic:blipFill>
                  <pic:spPr>
                    <a:xfrm>
                      <a:off x="0" y="0"/>
                      <a:ext cx="5266690" cy="7538085"/>
                    </a:xfrm>
                    <a:prstGeom prst="rect">
                      <a:avLst/>
                    </a:prstGeom>
                  </pic:spPr>
                </pic:pic>
              </a:graphicData>
            </a:graphic>
          </wp:inline>
        </w:drawing>
      </w:r>
    </w:p>
    <w:p>
      <w:pPr>
        <w:pStyle w:val="2"/>
        <w:spacing w:before="93"/>
      </w:pPr>
    </w:p>
    <w:p>
      <w:pPr>
        <w:pStyle w:val="2"/>
        <w:spacing w:before="93"/>
      </w:pPr>
    </w:p>
    <w:p>
      <w:pPr>
        <w:pStyle w:val="2"/>
        <w:spacing w:before="93"/>
        <w:rPr>
          <w:rFonts w:hint="eastAsia" w:eastAsia="仿宋_GB2312"/>
          <w:lang w:eastAsia="zh-CN"/>
        </w:rPr>
      </w:pPr>
      <w:r>
        <w:rPr>
          <w:rFonts w:hint="eastAsia" w:eastAsia="仿宋_GB2312"/>
          <w:lang w:eastAsia="zh-CN"/>
        </w:rPr>
        <w:drawing>
          <wp:inline distT="0" distB="0" distL="114300" distR="114300">
            <wp:extent cx="5266690" cy="7003415"/>
            <wp:effectExtent l="0" t="0" r="10160" b="6985"/>
            <wp:docPr id="9" name="图片 9" descr="免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免作业"/>
                    <pic:cNvPicPr>
                      <a:picLocks noChangeAspect="1"/>
                    </pic:cNvPicPr>
                  </pic:nvPicPr>
                  <pic:blipFill>
                    <a:blip r:embed="rId17"/>
                    <a:stretch>
                      <a:fillRect/>
                    </a:stretch>
                  </pic:blipFill>
                  <pic:spPr>
                    <a:xfrm>
                      <a:off x="0" y="0"/>
                      <a:ext cx="5266690" cy="7003415"/>
                    </a:xfrm>
                    <a:prstGeom prst="rect">
                      <a:avLst/>
                    </a:prstGeom>
                  </pic:spPr>
                </pic:pic>
              </a:graphicData>
            </a:graphic>
          </wp:inline>
        </w:drawing>
      </w:r>
    </w:p>
    <w:p>
      <w:pPr>
        <w:pStyle w:val="2"/>
        <w:spacing w:before="93"/>
      </w:pPr>
    </w:p>
    <w:p>
      <w:pPr>
        <w:pStyle w:val="2"/>
        <w:spacing w:before="93"/>
      </w:pPr>
    </w:p>
    <w:p>
      <w:pPr>
        <w:pStyle w:val="2"/>
        <w:spacing w:before="93"/>
      </w:pPr>
    </w:p>
    <w:p>
      <w:pPr>
        <w:numPr>
          <w:numId w:val="0"/>
        </w:numPr>
        <w:spacing w:line="600" w:lineRule="exact"/>
        <w:jc w:val="center"/>
        <w:outlineLvl w:val="0"/>
        <w:rPr>
          <w:rStyle w:val="25"/>
          <w:rFonts w:hint="eastAsia" w:ascii="黑体" w:hAnsi="黑体" w:eastAsia="黑体"/>
          <w:b w:val="0"/>
        </w:rPr>
      </w:pPr>
      <w:bookmarkStart w:id="49" w:name="_Toc15396618"/>
      <w:r>
        <w:rPr>
          <w:rStyle w:val="25"/>
          <w:rFonts w:hint="eastAsia" w:ascii="黑体" w:hAnsi="黑体" w:eastAsia="黑体"/>
          <w:b w:val="0"/>
          <w:lang w:val="en-US" w:eastAsia="zh-CN"/>
        </w:rPr>
        <w:t>第五</w:t>
      </w:r>
      <w:r>
        <w:rPr>
          <w:rStyle w:val="25"/>
          <w:rFonts w:hint="eastAsia" w:ascii="黑体" w:hAnsi="黑体" w:eastAsia="黑体"/>
          <w:b w:val="0"/>
          <w:u w:val="none" w:color="FFFFFF"/>
          <w:shd w:val="clear" w:fill="FFFFFF"/>
          <w:lang w:val="en-US" w:eastAsia="zh-CN"/>
        </w:rPr>
        <w:t xml:space="preserve">部分 </w:t>
      </w:r>
      <w:r>
        <w:rPr>
          <w:rStyle w:val="25"/>
          <w:rFonts w:hint="eastAsia" w:ascii="黑体" w:hAnsi="黑体" w:eastAsia="黑体"/>
          <w:b w:val="0"/>
        </w:rPr>
        <w:t>附表</w:t>
      </w:r>
      <w:bookmarkEnd w:id="47"/>
      <w:bookmarkEnd w:id="49"/>
      <w:bookmarkStart w:id="50" w:name="_Toc15396619"/>
    </w:p>
    <w:p>
      <w:pPr>
        <w:pStyle w:val="2"/>
        <w:rPr>
          <w:rFonts w:hint="eastAsia"/>
        </w:rPr>
      </w:pPr>
    </w:p>
    <w:p>
      <w:pPr>
        <w:pStyle w:val="4"/>
        <w:pageBreakBefore w:val="0"/>
        <w:widowControl w:val="0"/>
        <w:kinsoku/>
        <w:wordWrap/>
        <w:overflowPunct/>
        <w:topLinePunct w:val="0"/>
        <w:autoSpaceDE/>
        <w:autoSpaceDN/>
        <w:bidi w:val="0"/>
        <w:adjustRightInd/>
        <w:snapToGrid/>
        <w:spacing w:before="0" w:after="0" w:line="520" w:lineRule="exact"/>
        <w:textAlignment w:val="auto"/>
        <w:rPr>
          <w:rStyle w:val="26"/>
          <w:rFonts w:hint="eastAsia" w:ascii="仿宋" w:hAnsi="仿宋" w:eastAsia="仿宋"/>
          <w:b w:val="0"/>
          <w:bCs w:val="0"/>
        </w:rPr>
      </w:pPr>
      <w:r>
        <w:rPr>
          <w:rFonts w:hint="eastAsia" w:ascii="仿宋" w:hAnsi="仿宋" w:eastAsia="仿宋"/>
          <w:b w:val="0"/>
        </w:rPr>
        <w:t>一、收</w:t>
      </w:r>
      <w:r>
        <w:rPr>
          <w:rStyle w:val="26"/>
          <w:rFonts w:hint="eastAsia" w:ascii="仿宋" w:hAnsi="仿宋" w:eastAsia="仿宋"/>
          <w:b w:val="0"/>
          <w:bCs w:val="0"/>
        </w:rPr>
        <w:t>入支出决算总表</w:t>
      </w:r>
      <w:bookmarkEnd w:id="50"/>
      <w:bookmarkStart w:id="62" w:name="_GoBack"/>
      <w:bookmarkEnd w:id="62"/>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1" w:name="_Toc15396620"/>
      <w:r>
        <w:rPr>
          <w:rFonts w:hint="eastAsia" w:ascii="仿宋" w:hAnsi="仿宋" w:eastAsia="仿宋"/>
          <w:b w:val="0"/>
        </w:rPr>
        <w:t>二、收</w:t>
      </w:r>
      <w:r>
        <w:rPr>
          <w:rStyle w:val="26"/>
          <w:rFonts w:hint="eastAsia" w:ascii="仿宋" w:hAnsi="仿宋" w:eastAsia="仿宋"/>
          <w:b w:val="0"/>
          <w:bCs w:val="0"/>
        </w:rPr>
        <w:t>入决算表</w:t>
      </w:r>
      <w:bookmarkEnd w:id="51"/>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2" w:name="_Toc15396621"/>
      <w:r>
        <w:rPr>
          <w:rStyle w:val="26"/>
          <w:rFonts w:hint="eastAsia" w:ascii="仿宋" w:hAnsi="仿宋" w:eastAsia="仿宋"/>
          <w:b w:val="0"/>
          <w:bCs w:val="0"/>
        </w:rPr>
        <w:t>三、</w:t>
      </w:r>
      <w:r>
        <w:rPr>
          <w:rFonts w:hint="eastAsia" w:ascii="仿宋" w:hAnsi="仿宋" w:eastAsia="仿宋"/>
          <w:b w:val="0"/>
        </w:rPr>
        <w:t>支</w:t>
      </w:r>
      <w:r>
        <w:rPr>
          <w:rStyle w:val="26"/>
          <w:rFonts w:hint="eastAsia" w:ascii="仿宋" w:hAnsi="仿宋" w:eastAsia="仿宋"/>
          <w:b w:val="0"/>
          <w:bCs w:val="0"/>
        </w:rPr>
        <w:t>出决算表</w:t>
      </w:r>
      <w:bookmarkEnd w:id="52"/>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b w:val="0"/>
        </w:rPr>
      </w:pPr>
      <w:bookmarkStart w:id="53" w:name="_Toc15396622"/>
      <w:r>
        <w:rPr>
          <w:rStyle w:val="26"/>
          <w:rFonts w:hint="eastAsia" w:ascii="仿宋" w:hAnsi="仿宋" w:eastAsia="仿宋"/>
          <w:b w:val="0"/>
          <w:bCs w:val="0"/>
        </w:rPr>
        <w:t>四、</w:t>
      </w:r>
      <w:r>
        <w:rPr>
          <w:rFonts w:hint="eastAsia" w:ascii="仿宋" w:hAnsi="仿宋" w:eastAsia="仿宋"/>
          <w:b w:val="0"/>
        </w:rPr>
        <w:t>财</w:t>
      </w:r>
      <w:r>
        <w:rPr>
          <w:rStyle w:val="26"/>
          <w:rFonts w:hint="eastAsia" w:ascii="仿宋" w:hAnsi="仿宋" w:eastAsia="仿宋"/>
          <w:b w:val="0"/>
          <w:bCs w:val="0"/>
        </w:rPr>
        <w:t>政拨款收入支出决算总表</w:t>
      </w:r>
      <w:bookmarkEnd w:id="53"/>
    </w:p>
    <w:p>
      <w:pPr>
        <w:pStyle w:val="4"/>
        <w:pageBreakBefore w:val="0"/>
        <w:widowControl w:val="0"/>
        <w:kinsoku/>
        <w:wordWrap/>
        <w:overflowPunct/>
        <w:topLinePunct w:val="0"/>
        <w:autoSpaceDE/>
        <w:autoSpaceDN/>
        <w:bidi w:val="0"/>
        <w:adjustRightInd/>
        <w:snapToGrid/>
        <w:spacing w:before="0" w:after="0" w:line="520" w:lineRule="exact"/>
        <w:textAlignment w:val="auto"/>
        <w:rPr>
          <w:rStyle w:val="26"/>
          <w:rFonts w:ascii="仿宋" w:hAnsi="仿宋" w:eastAsia="仿宋"/>
          <w:b w:val="0"/>
          <w:bCs w:val="0"/>
        </w:rPr>
      </w:pPr>
      <w:bookmarkStart w:id="54" w:name="_Toc15396623"/>
      <w:r>
        <w:rPr>
          <w:rStyle w:val="26"/>
          <w:rFonts w:hint="eastAsia" w:ascii="仿宋" w:hAnsi="仿宋" w:eastAsia="仿宋"/>
          <w:b w:val="0"/>
          <w:bCs w:val="0"/>
        </w:rPr>
        <w:t>五、</w:t>
      </w:r>
      <w:r>
        <w:rPr>
          <w:rFonts w:hint="eastAsia" w:ascii="仿宋" w:hAnsi="仿宋" w:eastAsia="仿宋"/>
          <w:b w:val="0"/>
        </w:rPr>
        <w:t>财</w:t>
      </w:r>
      <w:r>
        <w:rPr>
          <w:rStyle w:val="26"/>
          <w:rFonts w:hint="eastAsia" w:ascii="仿宋" w:hAnsi="仿宋" w:eastAsia="仿宋"/>
          <w:b w:val="0"/>
          <w:bCs w:val="0"/>
        </w:rPr>
        <w:t>政拨款支出决算明细表</w:t>
      </w:r>
      <w:bookmarkEnd w:id="54"/>
      <w:bookmarkStart w:id="55" w:name="_Toc15396624"/>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r>
        <w:rPr>
          <w:rStyle w:val="26"/>
          <w:rFonts w:hint="eastAsia" w:ascii="仿宋" w:hAnsi="仿宋" w:eastAsia="仿宋"/>
          <w:b w:val="0"/>
          <w:bCs w:val="0"/>
        </w:rPr>
        <w:t>六、</w:t>
      </w:r>
      <w:r>
        <w:rPr>
          <w:rFonts w:hint="eastAsia" w:ascii="仿宋" w:hAnsi="仿宋" w:eastAsia="仿宋"/>
          <w:b w:val="0"/>
        </w:rPr>
        <w:t>一</w:t>
      </w:r>
      <w:r>
        <w:rPr>
          <w:rStyle w:val="26"/>
          <w:rFonts w:hint="eastAsia" w:ascii="仿宋" w:hAnsi="仿宋" w:eastAsia="仿宋"/>
          <w:b w:val="0"/>
          <w:bCs w:val="0"/>
        </w:rPr>
        <w:t>般公共预算财政拨款支出决算表</w:t>
      </w:r>
      <w:bookmarkEnd w:id="55"/>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6" w:name="_Toc15396625"/>
      <w:r>
        <w:rPr>
          <w:rStyle w:val="26"/>
          <w:rFonts w:hint="eastAsia" w:ascii="仿宋" w:hAnsi="仿宋" w:eastAsia="仿宋"/>
          <w:b w:val="0"/>
          <w:bCs w:val="0"/>
        </w:rPr>
        <w:t>七、</w:t>
      </w:r>
      <w:r>
        <w:rPr>
          <w:rFonts w:hint="eastAsia" w:ascii="仿宋" w:hAnsi="仿宋" w:eastAsia="仿宋"/>
          <w:b w:val="0"/>
        </w:rPr>
        <w:t>一</w:t>
      </w:r>
      <w:r>
        <w:rPr>
          <w:rStyle w:val="26"/>
          <w:rFonts w:hint="eastAsia" w:ascii="仿宋" w:hAnsi="仿宋" w:eastAsia="仿宋"/>
          <w:b w:val="0"/>
          <w:bCs w:val="0"/>
        </w:rPr>
        <w:t>般公共预算财政拨款支出决算明细表</w:t>
      </w:r>
      <w:bookmarkEnd w:id="56"/>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7" w:name="_Toc15396626"/>
      <w:r>
        <w:rPr>
          <w:rStyle w:val="26"/>
          <w:rFonts w:hint="eastAsia" w:ascii="仿宋" w:hAnsi="仿宋" w:eastAsia="仿宋"/>
          <w:b w:val="0"/>
          <w:bCs w:val="0"/>
        </w:rPr>
        <w:t>八、</w:t>
      </w:r>
      <w:r>
        <w:rPr>
          <w:rFonts w:hint="eastAsia" w:ascii="仿宋" w:hAnsi="仿宋" w:eastAsia="仿宋"/>
          <w:b w:val="0"/>
        </w:rPr>
        <w:t>一</w:t>
      </w:r>
      <w:r>
        <w:rPr>
          <w:rStyle w:val="26"/>
          <w:rFonts w:hint="eastAsia" w:ascii="仿宋" w:hAnsi="仿宋" w:eastAsia="仿宋"/>
          <w:b w:val="0"/>
          <w:bCs w:val="0"/>
        </w:rPr>
        <w:t>般公共预算财政拨款基本支出决算表</w:t>
      </w:r>
      <w:bookmarkEnd w:id="57"/>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8" w:name="_Toc15396627"/>
      <w:r>
        <w:rPr>
          <w:rStyle w:val="26"/>
          <w:rFonts w:hint="eastAsia" w:ascii="仿宋" w:hAnsi="仿宋" w:eastAsia="仿宋"/>
          <w:b w:val="0"/>
          <w:bCs w:val="0"/>
        </w:rPr>
        <w:t>九、</w:t>
      </w:r>
      <w:r>
        <w:rPr>
          <w:rFonts w:hint="eastAsia" w:ascii="仿宋" w:hAnsi="仿宋" w:eastAsia="仿宋"/>
          <w:b w:val="0"/>
        </w:rPr>
        <w:t>一</w:t>
      </w:r>
      <w:r>
        <w:rPr>
          <w:rStyle w:val="26"/>
          <w:rFonts w:hint="eastAsia" w:ascii="仿宋" w:hAnsi="仿宋" w:eastAsia="仿宋"/>
          <w:b w:val="0"/>
          <w:bCs w:val="0"/>
        </w:rPr>
        <w:t>般公共预算财政拨款项目支出决算表</w:t>
      </w:r>
      <w:bookmarkEnd w:id="58"/>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59" w:name="_Toc15396629"/>
      <w:r>
        <w:rPr>
          <w:rStyle w:val="26"/>
          <w:rFonts w:hint="eastAsia" w:ascii="仿宋" w:hAnsi="仿宋" w:eastAsia="仿宋"/>
          <w:b w:val="0"/>
          <w:bCs w:val="0"/>
        </w:rPr>
        <w:t>十、</w:t>
      </w:r>
      <w:r>
        <w:rPr>
          <w:rFonts w:hint="eastAsia" w:ascii="仿宋" w:hAnsi="仿宋" w:eastAsia="仿宋"/>
          <w:b w:val="0"/>
        </w:rPr>
        <w:t>政</w:t>
      </w:r>
      <w:r>
        <w:rPr>
          <w:rStyle w:val="26"/>
          <w:rFonts w:hint="eastAsia" w:ascii="仿宋" w:hAnsi="仿宋" w:eastAsia="仿宋"/>
          <w:b w:val="0"/>
          <w:bCs w:val="0"/>
        </w:rPr>
        <w:t>府性基金预</w:t>
      </w:r>
      <w:r>
        <w:rPr>
          <w:rStyle w:val="26"/>
          <w:rFonts w:hint="eastAsia" w:ascii="仿宋" w:hAnsi="仿宋" w:eastAsia="仿宋"/>
          <w:b w:val="0"/>
          <w:bCs w:val="0"/>
          <w:u w:val="none" w:color="FFFFFF"/>
          <w:shd w:val="clear" w:fill="FFFFFF"/>
        </w:rPr>
        <w:t>算</w:t>
      </w:r>
      <w:r>
        <w:rPr>
          <w:rStyle w:val="26"/>
          <w:rFonts w:hint="eastAsia" w:ascii="仿宋" w:hAnsi="仿宋" w:eastAsia="仿宋"/>
          <w:b w:val="0"/>
          <w:bCs w:val="0"/>
        </w:rPr>
        <w:t>财政拨款收入支出决算表</w:t>
      </w:r>
      <w:bookmarkEnd w:id="59"/>
    </w:p>
    <w:p>
      <w:pPr>
        <w:pStyle w:val="4"/>
        <w:pageBreakBefore w:val="0"/>
        <w:widowControl w:val="0"/>
        <w:kinsoku/>
        <w:wordWrap/>
        <w:overflowPunct/>
        <w:topLinePunct w:val="0"/>
        <w:autoSpaceDE/>
        <w:autoSpaceDN/>
        <w:bidi w:val="0"/>
        <w:adjustRightInd/>
        <w:snapToGrid/>
        <w:spacing w:before="0" w:after="0" w:line="520" w:lineRule="exact"/>
        <w:textAlignment w:val="auto"/>
        <w:rPr>
          <w:rFonts w:ascii="仿宋" w:hAnsi="仿宋" w:eastAsia="仿宋"/>
        </w:rPr>
      </w:pPr>
      <w:bookmarkStart w:id="60" w:name="_Toc15396630"/>
      <w:r>
        <w:rPr>
          <w:rStyle w:val="26"/>
          <w:rFonts w:hint="eastAsia" w:ascii="仿宋" w:hAnsi="仿宋" w:eastAsia="仿宋"/>
          <w:b w:val="0"/>
          <w:bCs w:val="0"/>
        </w:rPr>
        <w:t>十</w:t>
      </w:r>
      <w:r>
        <w:rPr>
          <w:rStyle w:val="26"/>
          <w:rFonts w:hint="eastAsia" w:ascii="仿宋" w:hAnsi="仿宋" w:eastAsia="仿宋"/>
          <w:b w:val="0"/>
          <w:bCs w:val="0"/>
          <w:lang w:val="en-US" w:eastAsia="zh-CN"/>
        </w:rPr>
        <w:t>一</w:t>
      </w:r>
      <w:r>
        <w:rPr>
          <w:rStyle w:val="26"/>
          <w:rFonts w:hint="eastAsia" w:ascii="仿宋" w:hAnsi="仿宋" w:eastAsia="仿宋"/>
          <w:b w:val="0"/>
          <w:bCs w:val="0"/>
        </w:rPr>
        <w:t>、</w:t>
      </w:r>
      <w:r>
        <w:rPr>
          <w:rFonts w:hint="eastAsia" w:ascii="仿宋" w:hAnsi="仿宋" w:eastAsia="仿宋"/>
          <w:b w:val="0"/>
        </w:rPr>
        <w:t>政</w:t>
      </w:r>
      <w:r>
        <w:rPr>
          <w:rStyle w:val="26"/>
          <w:rFonts w:hint="eastAsia" w:ascii="仿宋" w:hAnsi="仿宋" w:eastAsia="仿宋"/>
          <w:b w:val="0"/>
          <w:bCs w:val="0"/>
        </w:rPr>
        <w:t>府性基金预</w:t>
      </w:r>
      <w:r>
        <w:rPr>
          <w:rStyle w:val="26"/>
          <w:rFonts w:hint="eastAsia" w:ascii="仿宋" w:hAnsi="仿宋" w:eastAsia="仿宋"/>
          <w:b w:val="0"/>
          <w:bCs w:val="0"/>
          <w:u w:val="none" w:color="FFFFFF"/>
          <w:shd w:val="clear" w:fill="FFFFFF"/>
        </w:rPr>
        <w:t>算</w:t>
      </w:r>
      <w:r>
        <w:rPr>
          <w:rStyle w:val="26"/>
          <w:rFonts w:hint="eastAsia" w:ascii="仿宋" w:hAnsi="仿宋" w:eastAsia="仿宋"/>
          <w:b w:val="0"/>
          <w:bCs w:val="0"/>
        </w:rPr>
        <w:t>财政拨</w:t>
      </w:r>
      <w:r>
        <w:rPr>
          <w:rStyle w:val="26"/>
          <w:rFonts w:hint="eastAsia" w:ascii="仿宋" w:hAnsi="仿宋" w:eastAsia="仿宋"/>
          <w:b w:val="0"/>
          <w:bCs w:val="0"/>
          <w:u w:val="none" w:color="FFFFFF"/>
          <w:shd w:val="clear" w:fill="FFFFFF"/>
        </w:rPr>
        <w:t>款</w:t>
      </w:r>
      <w:r>
        <w:rPr>
          <w:rStyle w:val="26"/>
          <w:rFonts w:hint="eastAsia" w:ascii="仿宋" w:hAnsi="仿宋" w:eastAsia="仿宋"/>
          <w:b w:val="0"/>
          <w:bCs w:val="0"/>
        </w:rPr>
        <w:t>“三公”经费支出决算表</w:t>
      </w:r>
      <w:bookmarkEnd w:id="60"/>
    </w:p>
    <w:p>
      <w:pPr>
        <w:pStyle w:val="4"/>
        <w:pageBreakBefore w:val="0"/>
        <w:widowControl w:val="0"/>
        <w:kinsoku/>
        <w:wordWrap/>
        <w:overflowPunct/>
        <w:topLinePunct w:val="0"/>
        <w:autoSpaceDE/>
        <w:autoSpaceDN/>
        <w:bidi w:val="0"/>
        <w:adjustRightInd/>
        <w:snapToGrid/>
        <w:spacing w:before="0" w:after="0" w:line="520" w:lineRule="exact"/>
        <w:textAlignment w:val="auto"/>
        <w:rPr>
          <w:rStyle w:val="26"/>
          <w:rFonts w:ascii="仿宋" w:hAnsi="仿宋" w:eastAsia="仿宋"/>
          <w:b w:val="0"/>
          <w:bCs w:val="0"/>
        </w:rPr>
      </w:pPr>
      <w:bookmarkStart w:id="61" w:name="_Toc15396631"/>
      <w:r>
        <w:rPr>
          <w:rStyle w:val="26"/>
          <w:rFonts w:hint="eastAsia" w:ascii="仿宋" w:hAnsi="仿宋" w:eastAsia="仿宋"/>
          <w:b w:val="0"/>
          <w:bCs w:val="0"/>
        </w:rPr>
        <w:t>十</w:t>
      </w:r>
      <w:r>
        <w:rPr>
          <w:rStyle w:val="26"/>
          <w:rFonts w:hint="eastAsia" w:ascii="仿宋" w:hAnsi="仿宋" w:eastAsia="仿宋"/>
          <w:b w:val="0"/>
          <w:bCs w:val="0"/>
          <w:lang w:val="en-US" w:eastAsia="zh-CN"/>
        </w:rPr>
        <w:t>二</w:t>
      </w:r>
      <w:r>
        <w:rPr>
          <w:rStyle w:val="26"/>
          <w:rFonts w:hint="eastAsia" w:ascii="仿宋" w:hAnsi="仿宋" w:eastAsia="仿宋"/>
          <w:b w:val="0"/>
          <w:bCs w:val="0"/>
        </w:rPr>
        <w:t>、</w:t>
      </w:r>
      <w:r>
        <w:rPr>
          <w:rFonts w:hint="eastAsia" w:ascii="仿宋" w:hAnsi="仿宋" w:eastAsia="仿宋"/>
          <w:b w:val="0"/>
        </w:rPr>
        <w:t>国</w:t>
      </w:r>
      <w:r>
        <w:rPr>
          <w:rStyle w:val="26"/>
          <w:rFonts w:hint="eastAsia" w:ascii="仿宋" w:hAnsi="仿宋" w:eastAsia="仿宋"/>
          <w:b w:val="0"/>
          <w:bCs w:val="0"/>
        </w:rPr>
        <w:t>有资本经营预</w:t>
      </w:r>
      <w:r>
        <w:rPr>
          <w:rStyle w:val="26"/>
          <w:rFonts w:hint="eastAsia" w:ascii="仿宋" w:hAnsi="仿宋" w:eastAsia="仿宋"/>
          <w:b w:val="0"/>
          <w:bCs w:val="0"/>
          <w:u w:val="none" w:color="FFFFFF"/>
          <w:shd w:val="clear" w:fill="FFFFFF"/>
        </w:rPr>
        <w:t>算</w:t>
      </w:r>
      <w:r>
        <w:rPr>
          <w:rStyle w:val="26"/>
          <w:rFonts w:hint="eastAsia" w:ascii="仿宋" w:hAnsi="仿宋" w:eastAsia="仿宋"/>
          <w:b w:val="0"/>
          <w:bCs w:val="0"/>
        </w:rPr>
        <w:t>财政拨款收入支出决算表</w:t>
      </w:r>
      <w:bookmarkEnd w:id="61"/>
    </w:p>
    <w:p>
      <w:pPr>
        <w:pageBreakBefore w:val="0"/>
        <w:widowControl w:val="0"/>
        <w:kinsoku/>
        <w:wordWrap/>
        <w:overflowPunct/>
        <w:topLinePunct w:val="0"/>
        <w:autoSpaceDE/>
        <w:autoSpaceDN/>
        <w:bidi w:val="0"/>
        <w:adjustRightInd/>
        <w:snapToGrid/>
        <w:spacing w:line="520" w:lineRule="exact"/>
        <w:textAlignment w:val="auto"/>
        <w:rPr>
          <w:rFonts w:eastAsia="仿宋"/>
        </w:rPr>
      </w:pPr>
      <w:r>
        <w:rPr>
          <w:rStyle w:val="26"/>
          <w:rFonts w:hint="eastAsia" w:ascii="仿宋" w:hAnsi="仿宋" w:eastAsia="仿宋"/>
          <w:b w:val="0"/>
          <w:bCs w:val="0"/>
        </w:rPr>
        <w:t>十</w:t>
      </w:r>
      <w:r>
        <w:rPr>
          <w:rStyle w:val="26"/>
          <w:rFonts w:hint="eastAsia" w:ascii="仿宋" w:hAnsi="仿宋" w:eastAsia="仿宋"/>
          <w:b w:val="0"/>
          <w:bCs w:val="0"/>
          <w:lang w:val="en-US" w:eastAsia="zh-CN"/>
        </w:rPr>
        <w:t>三</w:t>
      </w:r>
      <w:r>
        <w:rPr>
          <w:rStyle w:val="26"/>
          <w:rFonts w:hint="eastAsia" w:ascii="仿宋" w:hAnsi="仿宋" w:eastAsia="仿宋"/>
          <w:b w:val="0"/>
          <w:bCs w:val="0"/>
        </w:rPr>
        <w:t>、国有资本经营预算财政拨款支出决算表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0000600000000000000"/>
    <w:charset w:val="86"/>
    <w:family w:val="script"/>
    <w:pitch w:val="default"/>
    <w:sig w:usb0="800002BF" w:usb1="184F6CF8" w:usb2="00000012" w:usb3="00000000" w:csb0="00160001" w:csb1="1203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3</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kNzU4MGEzZWU1N2EyOWI1ZjNmYWFlMDYwMDRkMjAifQ=="/>
  </w:docVars>
  <w:rsids>
    <w:rsidRoot w:val="00F1361C"/>
    <w:rsid w:val="0002214D"/>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510F"/>
    <w:rsid w:val="0025559E"/>
    <w:rsid w:val="00260C38"/>
    <w:rsid w:val="002616C0"/>
    <w:rsid w:val="00265372"/>
    <w:rsid w:val="002662AA"/>
    <w:rsid w:val="00280496"/>
    <w:rsid w:val="00294DC9"/>
    <w:rsid w:val="00295495"/>
    <w:rsid w:val="002A0852"/>
    <w:rsid w:val="002A31DE"/>
    <w:rsid w:val="002B2613"/>
    <w:rsid w:val="002D6D05"/>
    <w:rsid w:val="002F1818"/>
    <w:rsid w:val="002F567B"/>
    <w:rsid w:val="002F68B5"/>
    <w:rsid w:val="003216A9"/>
    <w:rsid w:val="00335A74"/>
    <w:rsid w:val="003563B2"/>
    <w:rsid w:val="0036561B"/>
    <w:rsid w:val="0037013F"/>
    <w:rsid w:val="00380C92"/>
    <w:rsid w:val="00380EC5"/>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119"/>
    <w:rsid w:val="004223DE"/>
    <w:rsid w:val="00425A2B"/>
    <w:rsid w:val="00434489"/>
    <w:rsid w:val="00437085"/>
    <w:rsid w:val="00443880"/>
    <w:rsid w:val="004464F4"/>
    <w:rsid w:val="00471401"/>
    <w:rsid w:val="00473F31"/>
    <w:rsid w:val="004820D7"/>
    <w:rsid w:val="0048263A"/>
    <w:rsid w:val="00487E5D"/>
    <w:rsid w:val="004A711F"/>
    <w:rsid w:val="004B199D"/>
    <w:rsid w:val="004B4690"/>
    <w:rsid w:val="004E0A2D"/>
    <w:rsid w:val="004E206B"/>
    <w:rsid w:val="004E6DF7"/>
    <w:rsid w:val="004F0FBD"/>
    <w:rsid w:val="00505A47"/>
    <w:rsid w:val="00512FDA"/>
    <w:rsid w:val="00520DA0"/>
    <w:rsid w:val="00542B0A"/>
    <w:rsid w:val="005601EF"/>
    <w:rsid w:val="005664BB"/>
    <w:rsid w:val="00566FFA"/>
    <w:rsid w:val="0057481D"/>
    <w:rsid w:val="0058486E"/>
    <w:rsid w:val="00585B33"/>
    <w:rsid w:val="0059014D"/>
    <w:rsid w:val="005A5810"/>
    <w:rsid w:val="005B5C64"/>
    <w:rsid w:val="005C5337"/>
    <w:rsid w:val="005C6BD0"/>
    <w:rsid w:val="005D0B6B"/>
    <w:rsid w:val="005D1C8B"/>
    <w:rsid w:val="005D468D"/>
    <w:rsid w:val="005D5CED"/>
    <w:rsid w:val="005F1A4C"/>
    <w:rsid w:val="00605688"/>
    <w:rsid w:val="006070AF"/>
    <w:rsid w:val="00607E6C"/>
    <w:rsid w:val="006101B1"/>
    <w:rsid w:val="00614E44"/>
    <w:rsid w:val="0062270A"/>
    <w:rsid w:val="00622830"/>
    <w:rsid w:val="00623DA0"/>
    <w:rsid w:val="00625310"/>
    <w:rsid w:val="00630AEF"/>
    <w:rsid w:val="006325F8"/>
    <w:rsid w:val="00633463"/>
    <w:rsid w:val="00634C9A"/>
    <w:rsid w:val="006440E4"/>
    <w:rsid w:val="00650686"/>
    <w:rsid w:val="0066343B"/>
    <w:rsid w:val="00664777"/>
    <w:rsid w:val="006748A4"/>
    <w:rsid w:val="00681A31"/>
    <w:rsid w:val="00683E73"/>
    <w:rsid w:val="00695798"/>
    <w:rsid w:val="006A3141"/>
    <w:rsid w:val="006A5E34"/>
    <w:rsid w:val="006B2422"/>
    <w:rsid w:val="006B2B9A"/>
    <w:rsid w:val="006C1937"/>
    <w:rsid w:val="006F020C"/>
    <w:rsid w:val="006F43B8"/>
    <w:rsid w:val="007057A3"/>
    <w:rsid w:val="007127B7"/>
    <w:rsid w:val="0071798E"/>
    <w:rsid w:val="007416B6"/>
    <w:rsid w:val="00746F48"/>
    <w:rsid w:val="0075404D"/>
    <w:rsid w:val="0076182A"/>
    <w:rsid w:val="00767B7E"/>
    <w:rsid w:val="007770C3"/>
    <w:rsid w:val="00784D24"/>
    <w:rsid w:val="00785FBA"/>
    <w:rsid w:val="00786E4A"/>
    <w:rsid w:val="007875EB"/>
    <w:rsid w:val="00790115"/>
    <w:rsid w:val="0079426B"/>
    <w:rsid w:val="007D1682"/>
    <w:rsid w:val="007D312A"/>
    <w:rsid w:val="007D3F19"/>
    <w:rsid w:val="007E0D64"/>
    <w:rsid w:val="007E23B0"/>
    <w:rsid w:val="007E23E5"/>
    <w:rsid w:val="007F1991"/>
    <w:rsid w:val="007F2C2F"/>
    <w:rsid w:val="007F55FC"/>
    <w:rsid w:val="007F5665"/>
    <w:rsid w:val="00800112"/>
    <w:rsid w:val="00813348"/>
    <w:rsid w:val="00813385"/>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D5BB4"/>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A4E20"/>
    <w:rsid w:val="009A7509"/>
    <w:rsid w:val="009B2C43"/>
    <w:rsid w:val="009B4EAE"/>
    <w:rsid w:val="009B7573"/>
    <w:rsid w:val="009C22F4"/>
    <w:rsid w:val="009C2A4B"/>
    <w:rsid w:val="009C2E98"/>
    <w:rsid w:val="009D3447"/>
    <w:rsid w:val="009D4711"/>
    <w:rsid w:val="009F1185"/>
    <w:rsid w:val="009F18CD"/>
    <w:rsid w:val="009F2A13"/>
    <w:rsid w:val="009F7527"/>
    <w:rsid w:val="00A018DD"/>
    <w:rsid w:val="00A04EB0"/>
    <w:rsid w:val="00A11B72"/>
    <w:rsid w:val="00A13CC1"/>
    <w:rsid w:val="00A16847"/>
    <w:rsid w:val="00A237D8"/>
    <w:rsid w:val="00A268C4"/>
    <w:rsid w:val="00A307CD"/>
    <w:rsid w:val="00A3303C"/>
    <w:rsid w:val="00A331C8"/>
    <w:rsid w:val="00A40A00"/>
    <w:rsid w:val="00A4142F"/>
    <w:rsid w:val="00A422EB"/>
    <w:rsid w:val="00A45BB7"/>
    <w:rsid w:val="00A56DF2"/>
    <w:rsid w:val="00A56E6E"/>
    <w:rsid w:val="00A67AB5"/>
    <w:rsid w:val="00A733B2"/>
    <w:rsid w:val="00A741C2"/>
    <w:rsid w:val="00A90E9C"/>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1788B"/>
    <w:rsid w:val="00C33E72"/>
    <w:rsid w:val="00C354B2"/>
    <w:rsid w:val="00C35554"/>
    <w:rsid w:val="00C42709"/>
    <w:rsid w:val="00C533CC"/>
    <w:rsid w:val="00C5751C"/>
    <w:rsid w:val="00C61BFC"/>
    <w:rsid w:val="00C62B79"/>
    <w:rsid w:val="00C62B85"/>
    <w:rsid w:val="00C65438"/>
    <w:rsid w:val="00C87FD8"/>
    <w:rsid w:val="00C91381"/>
    <w:rsid w:val="00C91CBB"/>
    <w:rsid w:val="00CB4E70"/>
    <w:rsid w:val="00CC0673"/>
    <w:rsid w:val="00CC09B6"/>
    <w:rsid w:val="00CC666F"/>
    <w:rsid w:val="00CD1E3F"/>
    <w:rsid w:val="00CE44F6"/>
    <w:rsid w:val="00CE49DA"/>
    <w:rsid w:val="00CE7B61"/>
    <w:rsid w:val="00CF4E22"/>
    <w:rsid w:val="00D00095"/>
    <w:rsid w:val="00D10B9E"/>
    <w:rsid w:val="00D114F0"/>
    <w:rsid w:val="00D20620"/>
    <w:rsid w:val="00D254F7"/>
    <w:rsid w:val="00D26091"/>
    <w:rsid w:val="00D2685C"/>
    <w:rsid w:val="00D34E7C"/>
    <w:rsid w:val="00D35489"/>
    <w:rsid w:val="00D36AFE"/>
    <w:rsid w:val="00D51276"/>
    <w:rsid w:val="00D7035F"/>
    <w:rsid w:val="00DA4CF3"/>
    <w:rsid w:val="00DA634F"/>
    <w:rsid w:val="00DA65AC"/>
    <w:rsid w:val="00DB1913"/>
    <w:rsid w:val="00DC410D"/>
    <w:rsid w:val="00DC5A81"/>
    <w:rsid w:val="00DC68CA"/>
    <w:rsid w:val="00DC7CBA"/>
    <w:rsid w:val="00DD73B7"/>
    <w:rsid w:val="00DF28BC"/>
    <w:rsid w:val="00DF34B9"/>
    <w:rsid w:val="00E01053"/>
    <w:rsid w:val="00E07ACF"/>
    <w:rsid w:val="00E27D5D"/>
    <w:rsid w:val="00E331A1"/>
    <w:rsid w:val="00E33202"/>
    <w:rsid w:val="00E336A9"/>
    <w:rsid w:val="00E472B1"/>
    <w:rsid w:val="00E50624"/>
    <w:rsid w:val="00E543BC"/>
    <w:rsid w:val="00E568DF"/>
    <w:rsid w:val="00E64269"/>
    <w:rsid w:val="00E82267"/>
    <w:rsid w:val="00E853CE"/>
    <w:rsid w:val="00E867B6"/>
    <w:rsid w:val="00EA010F"/>
    <w:rsid w:val="00ED1B63"/>
    <w:rsid w:val="00ED3C1F"/>
    <w:rsid w:val="00ED4085"/>
    <w:rsid w:val="00ED420E"/>
    <w:rsid w:val="00ED6FBE"/>
    <w:rsid w:val="00ED7D6F"/>
    <w:rsid w:val="00EE2F57"/>
    <w:rsid w:val="00EF4C34"/>
    <w:rsid w:val="00EF77C6"/>
    <w:rsid w:val="00F05438"/>
    <w:rsid w:val="00F107F8"/>
    <w:rsid w:val="00F1361C"/>
    <w:rsid w:val="00F156F0"/>
    <w:rsid w:val="00F160C7"/>
    <w:rsid w:val="00F2408F"/>
    <w:rsid w:val="00F240E9"/>
    <w:rsid w:val="00F36D8F"/>
    <w:rsid w:val="00F417B1"/>
    <w:rsid w:val="00F45853"/>
    <w:rsid w:val="00F545DD"/>
    <w:rsid w:val="00F602DF"/>
    <w:rsid w:val="00F754A1"/>
    <w:rsid w:val="00F81FD9"/>
    <w:rsid w:val="00F841AA"/>
    <w:rsid w:val="00F84A94"/>
    <w:rsid w:val="00F87E96"/>
    <w:rsid w:val="00F91BAC"/>
    <w:rsid w:val="00FA23E8"/>
    <w:rsid w:val="00FA322A"/>
    <w:rsid w:val="00FD3CC1"/>
    <w:rsid w:val="00FF1E02"/>
    <w:rsid w:val="00FF30B4"/>
    <w:rsid w:val="06B42839"/>
    <w:rsid w:val="0A2032A3"/>
    <w:rsid w:val="0B8A37D8"/>
    <w:rsid w:val="0CFA1B57"/>
    <w:rsid w:val="10C055FF"/>
    <w:rsid w:val="118107EC"/>
    <w:rsid w:val="11DD6519"/>
    <w:rsid w:val="12505D75"/>
    <w:rsid w:val="16BB723D"/>
    <w:rsid w:val="18015F3F"/>
    <w:rsid w:val="186A1BFD"/>
    <w:rsid w:val="1A5C53D2"/>
    <w:rsid w:val="1BE8440E"/>
    <w:rsid w:val="1D155CEE"/>
    <w:rsid w:val="1DC67CA9"/>
    <w:rsid w:val="20F57F95"/>
    <w:rsid w:val="240371BF"/>
    <w:rsid w:val="247B4A6E"/>
    <w:rsid w:val="25C741E6"/>
    <w:rsid w:val="2712713E"/>
    <w:rsid w:val="27842671"/>
    <w:rsid w:val="29C87F1D"/>
    <w:rsid w:val="29FD04D3"/>
    <w:rsid w:val="2A4D3FAA"/>
    <w:rsid w:val="2ABE7A3E"/>
    <w:rsid w:val="2C380EA8"/>
    <w:rsid w:val="2C785E93"/>
    <w:rsid w:val="2EFA178C"/>
    <w:rsid w:val="30186433"/>
    <w:rsid w:val="30562C99"/>
    <w:rsid w:val="30B46D73"/>
    <w:rsid w:val="3132718D"/>
    <w:rsid w:val="319F7F4E"/>
    <w:rsid w:val="32CA7070"/>
    <w:rsid w:val="331570DA"/>
    <w:rsid w:val="39057A53"/>
    <w:rsid w:val="39AE70AB"/>
    <w:rsid w:val="3C0C0783"/>
    <w:rsid w:val="3C505A63"/>
    <w:rsid w:val="3F1F47A7"/>
    <w:rsid w:val="3F9F3A96"/>
    <w:rsid w:val="425828A0"/>
    <w:rsid w:val="454B23AE"/>
    <w:rsid w:val="48771DCB"/>
    <w:rsid w:val="493C27E9"/>
    <w:rsid w:val="496F39ED"/>
    <w:rsid w:val="49FF41D3"/>
    <w:rsid w:val="4BE068DB"/>
    <w:rsid w:val="4BF6002B"/>
    <w:rsid w:val="4E8A2033"/>
    <w:rsid w:val="4ECE2238"/>
    <w:rsid w:val="51DB4B86"/>
    <w:rsid w:val="54976AA9"/>
    <w:rsid w:val="55333C3E"/>
    <w:rsid w:val="57260EE8"/>
    <w:rsid w:val="647C6246"/>
    <w:rsid w:val="64CA39A1"/>
    <w:rsid w:val="65AA4920"/>
    <w:rsid w:val="6C4A05C8"/>
    <w:rsid w:val="72734D90"/>
    <w:rsid w:val="79E7B28D"/>
    <w:rsid w:val="7A300B74"/>
    <w:rsid w:val="7DBF4FA6"/>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uiPriority w:val="0"/>
    <w:pPr>
      <w:spacing w:beforeAutospacing="1" w:afterAutospacing="1"/>
      <w:jc w:val="left"/>
    </w:pPr>
    <w:rPr>
      <w:rFonts w:ascii="Calibri" w:hAnsi="Calibri"/>
      <w:kern w:val="0"/>
      <w:sz w:val="24"/>
    </w:r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9"/>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8"/>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b/>
      <w:bCs/>
      <w:kern w:val="44"/>
      <w:sz w:val="44"/>
      <w:szCs w:val="44"/>
    </w:rPr>
  </w:style>
  <w:style w:type="character" w:customStyle="1" w:styleId="26">
    <w:name w:val="标题 2 Char"/>
    <w:basedOn w:val="14"/>
    <w:link w:val="4"/>
    <w:qFormat/>
    <w:uiPriority w:val="9"/>
    <w:rPr>
      <w:rFonts w:asciiTheme="majorHAnsi" w:hAnsiTheme="majorHAnsi" w:eastAsiaTheme="majorEastAsia" w:cstheme="majorBidi"/>
      <w:b/>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7"/>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b/>
      <w:bCs/>
      <w:kern w:val="2"/>
      <w:sz w:val="32"/>
      <w:szCs w:val="32"/>
    </w:rPr>
  </w:style>
  <w:style w:type="paragraph" w:customStyle="1" w:styleId="3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Documents\WeChat%20Files\wxid_pu5a0th4iwv221\FileStorage\File\2022-09\ds&#22270;&#34920;&#33258;&#21160;&#29983;&#2510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WeChat%20Files\liubo15283599736\FileStorage\File\2022-09\ds&#22270;&#34920;&#33258;&#21160;&#29983;&#25104;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WeChat%20Files\liubo15283599736\FileStorage\File\2022-09\ds&#22270;&#34920;&#33258;&#21160;&#29983;&#25104;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WeChat%20Files\liubo15283599736\FileStorage\File\2022-09\ds&#22270;&#34920;&#33258;&#21160;&#29983;&#25104;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WeChat%20Files\liubo15283599736\FileStorage\File\2022-09\ds&#22270;&#34920;&#33258;&#21160;&#29983;&#25104;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WeChat%20Files\liubo15283599736\FileStorage\File\2022-09\ds&#22270;&#34920;&#33258;&#21160;&#29983;&#2510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364.41</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359.21</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[ds图表自动生成1.xlsx]收支总体说明图4!$A$1:$A$2</c:f>
              <c:strCache>
                <c:ptCount val="2"/>
                <c:pt idx="0">
                  <c:v>2020年</c:v>
                </c:pt>
                <c:pt idx="1">
                  <c:v>2021年</c:v>
                </c:pt>
              </c:strCache>
            </c:strRef>
          </c:cat>
          <c:val>
            <c:numRef>
              <c:f>[ds图表自动生成1.xlsx]收支总体说明图4!$B$1:$B$2</c:f>
              <c:numCache>
                <c:formatCode>General</c:formatCode>
                <c:ptCount val="2"/>
                <c:pt idx="0">
                  <c:v>383.81</c:v>
                </c:pt>
                <c:pt idx="1">
                  <c:v>364.41</c:v>
                </c:pt>
              </c:numCache>
            </c:numRef>
          </c:val>
        </c:ser>
        <c:dLbls>
          <c:showLegendKey val="0"/>
          <c:showVal val="1"/>
          <c:showCatName val="0"/>
          <c:showSerName val="0"/>
          <c:showPercent val="0"/>
          <c:showBubbleSize val="0"/>
        </c:dLbls>
        <c:gapWidth val="150"/>
        <c:overlap val="100"/>
        <c:axId val="262521392"/>
        <c:axId val="262553024"/>
      </c:barChart>
      <c:catAx>
        <c:axId val="26252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2553024"/>
        <c:crosses val="autoZero"/>
        <c:auto val="1"/>
        <c:lblAlgn val="ctr"/>
        <c:lblOffset val="100"/>
        <c:noMultiLvlLbl val="0"/>
      </c:catAx>
      <c:valAx>
        <c:axId val="26255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252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cene3d>
                <a:camera prst="orthographicFront"/>
                <a:lightRig rig="threePt" dir="t"/>
              </a:scene3d>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[ds图表自动生成1.xlsx]收入决算说明图2!$A$1:$A$7</c:f>
              <c:strCache>
                <c:ptCount val="7"/>
                <c:pt idx="0">
                  <c:v>一般公共预算</c:v>
                </c:pt>
                <c:pt idx="1">
                  <c:v>政府性基金</c:v>
                </c:pt>
                <c:pt idx="2">
                  <c:v>上级补助</c:v>
                </c:pt>
                <c:pt idx="3">
                  <c:v>事业收入</c:v>
                </c:pt>
                <c:pt idx="4">
                  <c:v>经营收入</c:v>
                </c:pt>
                <c:pt idx="5">
                  <c:v>附属单位上缴</c:v>
                </c:pt>
                <c:pt idx="6">
                  <c:v>其他收入</c:v>
                </c:pt>
              </c:strCache>
            </c:strRef>
          </c:cat>
          <c:val>
            <c:numRef>
              <c:f>[ds图表自动生成1.xlsx]收入决算说明图2!$B$1:$B$7</c:f>
              <c:numCache>
                <c:formatCode>General</c:formatCode>
                <c:ptCount val="7"/>
                <c:pt idx="0">
                  <c:v>364.41</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lang="zh-CN" altLang="en-US"/>
              <a:t>支出决算结构图</a:t>
            </a:r>
            <a:endParaRPr lang="zh-CN" altLang="en-US"/>
          </a:p>
        </c:rich>
      </c:tx>
      <c:layout>
        <c:manualLayout>
          <c:xMode val="edge"/>
          <c:yMode val="edge"/>
          <c:x val="0.257020757020757"/>
          <c:y val="0.0487455197132617"/>
        </c:manualLayout>
      </c:layout>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95.1</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4.1</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[ds图表自动生成1.xlsx]支出决算情况说明图3!$A$1:$A$5</c:f>
              <c:strCache>
                <c:ptCount val="5"/>
                <c:pt idx="0">
                  <c:v>基本支出</c:v>
                </c:pt>
                <c:pt idx="1">
                  <c:v>项目支出</c:v>
                </c:pt>
                <c:pt idx="2">
                  <c:v>上缴上级</c:v>
                </c:pt>
                <c:pt idx="3">
                  <c:v>经营支出</c:v>
                </c:pt>
                <c:pt idx="4">
                  <c:v>对附属单位补助</c:v>
                </c:pt>
              </c:strCache>
            </c:strRef>
          </c:cat>
          <c:val>
            <c:numRef>
              <c:f>[ds图表自动生成1.xlsx]支出决算情况说明图3!$B$1:$B$5</c:f>
              <c:numCache>
                <c:formatCode>General</c:formatCode>
                <c:ptCount val="5"/>
                <c:pt idx="0">
                  <c:v>1125.77</c:v>
                </c:pt>
                <c:pt idx="1">
                  <c:v>210.63</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03611111111111"/>
          <c:y val="0.094993894993895"/>
          <c:w val="0.894638888888889"/>
          <c:h val="0.784468864468865"/>
        </c:manualLayout>
      </c:layout>
      <c:barChart>
        <c:barDir val="col"/>
        <c:grouping val="stack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364.4</a:t>
                    </a:r>
                    <a:r>
                      <a:t>1</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359.2</a:t>
                    </a:r>
                    <a:r>
                      <a:t>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[ds图表自动生成1.xlsx]收支总体说明图4!$A$1:$A$2</c:f>
              <c:strCache>
                <c:ptCount val="2"/>
                <c:pt idx="0">
                  <c:v>2020年</c:v>
                </c:pt>
                <c:pt idx="1">
                  <c:v>2021年</c:v>
                </c:pt>
              </c:strCache>
            </c:strRef>
          </c:cat>
          <c:val>
            <c:numRef>
              <c:f>[ds图表自动生成1.xlsx]收支总体说明图4!$B$1:$B$2</c:f>
              <c:numCache>
                <c:formatCode>General</c:formatCode>
                <c:ptCount val="2"/>
                <c:pt idx="0">
                  <c:v>383.81</c:v>
                </c:pt>
                <c:pt idx="1">
                  <c:v>364.41</c:v>
                </c:pt>
              </c:numCache>
            </c:numRef>
          </c:val>
        </c:ser>
        <c:dLbls>
          <c:showLegendKey val="0"/>
          <c:showVal val="1"/>
          <c:showCatName val="0"/>
          <c:showSerName val="0"/>
          <c:showPercent val="0"/>
          <c:showBubbleSize val="0"/>
        </c:dLbls>
        <c:gapWidth val="150"/>
        <c:overlap val="100"/>
        <c:axId val="262521392"/>
        <c:axId val="262553024"/>
      </c:barChart>
      <c:catAx>
        <c:axId val="262521392"/>
        <c:scaling>
          <c:orientation val="minMax"/>
        </c:scaling>
        <c:delete val="0"/>
        <c:axPos val="b"/>
        <c:numFmt formatCode="#,##0.00_);[Red]\(#,##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262553024"/>
        <c:crosses val="autoZero"/>
        <c:auto val="1"/>
        <c:lblAlgn val="ctr"/>
        <c:lblOffset val="100"/>
        <c:noMultiLvlLbl val="0"/>
      </c:catAx>
      <c:valAx>
        <c:axId val="2625530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26252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47222222222222"/>
          <c:y val="0.154578754578755"/>
          <c:w val="0.938888888888889"/>
          <c:h val="0.691282051282051"/>
        </c:manualLayout>
      </c:layout>
      <c:barChart>
        <c:barDir val="col"/>
        <c:grouping val="stacked"/>
        <c:varyColors val="0"/>
        <c:ser>
          <c:idx val="0"/>
          <c:order val="0"/>
          <c:spPr>
            <a:solidFill>
              <a:schemeClr val="accent1"/>
            </a:solidFill>
            <a:ln>
              <a:noFill/>
            </a:ln>
            <a:effectLst/>
            <a:sp3d/>
          </c:spPr>
          <c:invertIfNegative val="0"/>
          <c:dLbls>
            <c:dLbl>
              <c:idx val="0"/>
              <c:layout/>
              <c:tx>
                <c:rich>
                  <a:bodyPr rot="0" spcFirstLastPara="1" vertOverflow="ellipsis" vert="horz" wrap="square" lIns="38100" tIns="19050" rIns="38100" bIns="19050" anchor="ctr" anchorCtr="1"/>
                  <a:lstStyle/>
                  <a:p>
                    <a:pPr defTabSz="914400">
                      <a:defRPr lang="zh-CN" sz="800" b="1" i="0" u="none" strike="noStrike" kern="1200" baseline="0">
                        <a:solidFill>
                          <a:schemeClr val="lt1"/>
                        </a:solidFill>
                        <a:latin typeface="+mn-lt"/>
                        <a:ea typeface="+mn-ea"/>
                        <a:cs typeface="+mn-cs"/>
                      </a:defRPr>
                    </a:pPr>
                    <a:r>
                      <a:rPr lang="en-US" altLang="zh-CN"/>
                      <a:t>364.41</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defTabSz="914400">
                      <a:defRPr lang="zh-CN" sz="800" b="1" i="0" u="none" strike="noStrike" kern="1200" baseline="0">
                        <a:solidFill>
                          <a:schemeClr val="lt1"/>
                        </a:solidFill>
                        <a:latin typeface="+mn-lt"/>
                        <a:ea typeface="+mn-ea"/>
                        <a:cs typeface="+mn-cs"/>
                      </a:defRPr>
                    </a:pPr>
                    <a:r>
                      <a:rPr lang="en-US" altLang="zh-CN"/>
                      <a:t>359.2</a:t>
                    </a:r>
                    <a:r>
                      <a:t>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[ds图表自动生成1.xlsx]图5!$A$1:$A$2</c:f>
              <c:strCache>
                <c:ptCount val="2"/>
                <c:pt idx="0">
                  <c:v>2020年</c:v>
                </c:pt>
                <c:pt idx="1">
                  <c:v>2021年</c:v>
                </c:pt>
              </c:strCache>
            </c:strRef>
          </c:cat>
          <c:val>
            <c:numRef>
              <c:f>[ds图表自动生成1.xlsx]图5!$B$1:$B$2</c:f>
              <c:numCache>
                <c:formatCode>General</c:formatCode>
                <c:ptCount val="2"/>
                <c:pt idx="0">
                  <c:v>383.81</c:v>
                </c:pt>
                <c:pt idx="1">
                  <c:v>364.41</c:v>
                </c:pt>
              </c:numCache>
            </c:numRef>
          </c:val>
        </c:ser>
        <c:dLbls>
          <c:showLegendKey val="0"/>
          <c:showVal val="1"/>
          <c:showCatName val="0"/>
          <c:showSerName val="0"/>
          <c:showPercent val="0"/>
          <c:showBubbleSize val="0"/>
        </c:dLbls>
        <c:gapWidth val="79"/>
        <c:overlap val="100"/>
        <c:axId val="262555264"/>
        <c:axId val="262555824"/>
      </c:barChart>
      <c:catAx>
        <c:axId val="2625552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262555824"/>
        <c:crosses val="autoZero"/>
        <c:auto val="1"/>
        <c:lblAlgn val="ctr"/>
        <c:lblOffset val="100"/>
        <c:noMultiLvlLbl val="0"/>
      </c:catAx>
      <c:valAx>
        <c:axId val="262555824"/>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2555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spPr>
          </c:dPt>
          <c:dPt>
            <c:idx val="4"/>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c:spPr>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manualLayout>
                  <c:x val="-0.0500006529025226"/>
                  <c:y val="0.18944585890997"/>
                </c:manualLayout>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0.13</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78.9</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9.8</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0.143474124739986"/>
                  <c:y val="0.29066493732396"/>
                </c:manualLayout>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5.8</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delete val="1"/>
            </c:dLbl>
            <c:dLbl>
              <c:idx val="5"/>
              <c:layout>
                <c:manualLayout>
                  <c:x val="0.0232099375856745"/>
                  <c:y val="0.111451842292907"/>
                </c:manualLayout>
              </c:layout>
              <c:tx>
                <c:rich>
                  <a:bodyPr rot="0" spcFirstLastPara="1"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5.37</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[ds图表自动生成1.xlsx]图6有公共服务!$A$1:$A$6</c:f>
              <c:strCache>
                <c:ptCount val="6"/>
                <c:pt idx="0">
                  <c:v>一般公共服务支出</c:v>
                </c:pt>
                <c:pt idx="1">
                  <c:v>小学教育支出</c:v>
                </c:pt>
                <c:pt idx="2">
                  <c:v>社会保障和就业类支出</c:v>
                </c:pt>
                <c:pt idx="3">
                  <c:v>卫生健康支出</c:v>
                </c:pt>
                <c:pt idx="4">
                  <c:v>农林水支出</c:v>
                </c:pt>
                <c:pt idx="5">
                  <c:v>住房保障支出</c:v>
                </c:pt>
              </c:strCache>
            </c:strRef>
          </c:cat>
          <c:val>
            <c:numRef>
              <c:f>[ds图表自动生成1.xlsx]图6有公共服务!$B$1:$B$6</c:f>
              <c:numCache>
                <c:formatCode>General</c:formatCode>
                <c:ptCount val="6"/>
                <c:pt idx="0">
                  <c:v>0</c:v>
                </c:pt>
                <c:pt idx="1">
                  <c:v>299.99</c:v>
                </c:pt>
                <c:pt idx="2">
                  <c:v>26.86</c:v>
                </c:pt>
                <c:pt idx="3">
                  <c:v>16.98</c:v>
                </c:pt>
                <c:pt idx="4">
                  <c:v>0.5</c:v>
                </c:pt>
                <c:pt idx="5">
                  <c:v>20.08</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19</Pages>
  <Words>3720</Words>
  <Characters>5795</Characters>
  <Lines>50</Lines>
  <Paragraphs>14</Paragraphs>
  <TotalTime>3</TotalTime>
  <ScaleCrop>false</ScaleCrop>
  <LinksUpToDate>false</LinksUpToDate>
  <CharactersWithSpaces>5839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菌-</cp:lastModifiedBy>
  <cp:lastPrinted>2022-08-06T02:23:00Z</cp:lastPrinted>
  <dcterms:modified xsi:type="dcterms:W3CDTF">2023-11-27T02:12:55Z</dcterms:modified>
  <dc:title>四川省***</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A3B1776CD492402E990DB3D3553685F4</vt:lpwstr>
  </property>
</Properties>
</file>