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pacing w:before="0" w:beforeAutospacing="0" w:after="0" w:afterAutospacing="0" w:line="672" w:lineRule="atLeast"/>
        <w:ind w:left="0" w:right="0"/>
        <w:jc w:val="center"/>
        <w:rPr>
          <w:rFonts w:hint="eastAsia" w:ascii="宋体" w:hAnsi="宋体" w:eastAsia="宋体" w:cs="宋体"/>
          <w:b/>
          <w:bCs w:val="0"/>
          <w:color w:val="333333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333333"/>
          <w:w w:val="90"/>
          <w:sz w:val="44"/>
          <w:szCs w:val="44"/>
          <w:shd w:val="clear" w:fill="FFFFFF"/>
          <w:lang w:val="en-US" w:eastAsia="zh-CN"/>
        </w:rPr>
        <w:t>2018年通江县国民经济和社会发展统计公报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2018年，面对错综复杂的宏观经济形势和艰巨繁重的工作任务，县委、县政府团结带领全县人民，认真贯彻落实中央和省、市各项决策部署，始终坚持“思想解放、追赶跨越、绿色崛起、同步小康”工作思路，紧紧抓住发展机遇，着力破解制约瓶颈，统筹做好改革、发展、稳定各项工作，全县经济实现进中求稳、加快赶超的崭新局面，为建设川陕革命老区振兴发展示范县奠定了坚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sz w:val="32"/>
          <w:szCs w:val="32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一、综</w:t>
      </w: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en-US" w:eastAsia="zh-CN" w:bidi="ar-SA"/>
        </w:rPr>
        <w:t xml:space="preserve">  </w:t>
      </w: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合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经巴中市统计局审定，全年实现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instrText xml:space="preserve"> HYPERLINK "http://tjj.sc.gov.cn/tjxx/zxfb/201903/t20190306_276519.html" </w:instrTex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地区生产总值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（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instrText xml:space="preserve"> HYPERLINK "http://tjj.sc.gov.cn/tjxx/zxfb/201903/t20190306_276519.html" </w:instrTex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GDP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）123.54亿元，按可比价格计算，比上年增长8.1%。其中，第一产业增加值21.89亿元，增长3.9%；第二产业增加值49.49亿元，增长9.0%；第三产业增加值52.16亿元，增长9.0%。三次产业对经济增长的贡献率分别为9.1%、46.3%和44.6%。人均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instrText xml:space="preserve"> HYPERLINK "http://tjj.sc.gov.cn/tjxx/zxfb/201903/t20190306_276519.html" </w:instrTex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地区生产总值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17608元，增长9.2%。三次产业结构由上年的18.0：38.6：43.4调整为17.7：40.1：42.2。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553720</wp:posOffset>
                </wp:positionV>
                <wp:extent cx="367030" cy="26162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hAnsi="叶根友毛笔行书2.0版" w:eastAsia="叶根友毛笔行书2.0版" w:cs="叶根友毛笔行书2.0版" w:asciiTheme="majorAscii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hAnsi="叶根友毛笔行书2.0版" w:eastAsia="叶根友毛笔行书2.0版" w:cs="叶根友毛笔行书2.0版" w:asciiTheme="majorAscii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25pt;margin-top:43.6pt;height:20.6pt;width:28.9pt;z-index:251660288;mso-width-relative:page;mso-height-relative:page;" filled="f" stroked="f" coordsize="21600,21600" o:gfxdata="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EG&#10;orPbAAAACgEAAA8AAAAAAAAAAQAgAAAAIgAAAGRycy9kb3ducmV2LnhtbFBLAQIUABQAAAAIAIdO&#10;4kDYZNGj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hAnsi="叶根友毛笔行书2.0版" w:eastAsia="叶根友毛笔行书2.0版" w:cs="叶根友毛笔行书2.0版" w:asciiTheme="majorAscii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hAnsi="叶根友毛笔行书2.0版" w:eastAsia="叶根友毛笔行书2.0版" w:cs="叶根友毛笔行书2.0版" w:asciiTheme="majorAscii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553720</wp:posOffset>
                </wp:positionV>
                <wp:extent cx="367030" cy="26162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亿元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43.6pt;height:20.6pt;width:28.9pt;z-index:251661312;mso-width-relative:page;mso-height-relative:page;" filled="f" stroked="f" coordsize="21600,21600" o:gfxdata="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E1rG&#10;9dkAAAAIAQAADwAAAAAAAAABACAAAAAiAAAAZHJzL2Rvd25yZXYueG1sUEsBAhQAFAAAAAgAh07i&#10;QIIbEkshAgAAGQQAAA4AAAAAAAAAAQAgAAAAK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亿元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162550" cy="2362200"/>
            <wp:effectExtent l="4445" t="4445" r="14605" b="10795"/>
            <wp:docPr id="9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589915</wp:posOffset>
                </wp:positionV>
                <wp:extent cx="367030" cy="26162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hAnsi="叶根友毛笔行书2.0版" w:eastAsia="叶根友毛笔行书2.0版" w:cs="叶根友毛笔行书2.0版" w:asciiTheme="majorAscii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hAnsi="叶根友毛笔行书2.0版" w:eastAsia="叶根友毛笔行书2.0版" w:cs="叶根友毛笔行书2.0版" w:asciiTheme="majorAscii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5pt;margin-top:46.45pt;height:20.6pt;width:28.9pt;z-index:251664384;mso-width-relative:page;mso-height-relative:page;" filled="f" stroked="f" coordsize="21600,21600" o:gfxdata="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iVzc&#10;ENkAAAAIAQAADwAAAAAAAAABACAAAAAiAAAAZHJzL2Rvd25yZXYueG1sUEsBAhQAFAAAAAgAh07i&#10;QHMNtxYhAgAAGQQAAA4AAAAAAAAAAQAgAAAAK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hAnsi="叶根友毛笔行书2.0版" w:eastAsia="叶根友毛笔行书2.0版" w:cs="叶根友毛笔行书2.0版" w:asciiTheme="majorAscii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hAnsi="叶根友毛笔行书2.0版" w:eastAsia="叶根友毛笔行书2.0版" w:cs="叶根友毛笔行书2.0版" w:asciiTheme="majorAscii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42560" cy="2357755"/>
            <wp:effectExtent l="4445" t="4445" r="10795" b="15240"/>
            <wp:docPr id="1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/>
          <w:lang w:val="zh-CN" w:eastAsia="zh-CN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居民消费价格比上年上涨1.4%，其中，城市上涨1.5%，农村上涨1.2%。分类别看，食品烟酒价格上涨0.6%，衣着上涨3.3%，居住上涨1.2%，生活用品及服务上涨0.3%，交通和通信上涨2.4%，教育文化和娱乐上涨2.2%，医疗保健上涨0.3%，其他用品和服务上涨2.7%。在食品烟酒价格中，粮食价格下降1.7%，猪肉价格下降10.9%，鲜菜价格上涨2.4%。全年工业生产者出厂价格（PPI）比上年上涨5.1%，涨幅比上年提高0.2个百分点。全年工业生产者购进价格（IPI）比上年上涨3.4%。全年农业生产资料价格累计同比下降2.2%，涨幅比上年回落4.0个百分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二、民营经济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全年民营经济增加值74.09亿元，比上年增长8.2%，占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instrText xml:space="preserve"> HYPERLINK "http://tjj.sc.gov.cn/tjxx/zxfb/201903/t20190306_276519.html" </w:instrTex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GDP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的比重为60.0%，对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instrText xml:space="preserve"> HYPERLINK "http://tjj.sc.gov.cn/tjxx/zxfb/201903/t20190306_276519.html" </w:instrTex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GDP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增长的贡献率为59.0%。其中，第一产业增加值7.67亿元，增长3.8%；第二产业增加值36.74亿元，增长8.8%；第三产业增加值29.67亿元，增长8.5%。民营经济三次产业对民营经济增加值的贡献率分别为5.0%、51.9%、43.1%。民营经济三次产业结构由上年的10.7：49.4：39.9调整为10.4：49.6：40.1。 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4876800</wp:posOffset>
                </wp:positionH>
                <wp:positionV relativeFrom="paragraph">
                  <wp:posOffset>485775</wp:posOffset>
                </wp:positionV>
                <wp:extent cx="271780" cy="26162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4pt;margin-top:38.25pt;height:20.6pt;width:21.4pt;z-index:251666432;mso-width-relative:page;mso-height-relative:page;" filled="f" stroked="f" coordsize="21600,21600" o:gfxdata="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cwF&#10;tdkAAAAKAQAADwAAAAAAAAABACAAAAAiAAAAZHJzL2Rvd25yZXYueG1sUEsBAhQAFAAAAAgAh07i&#10;QMeZDDUhAgAAGQQAAA4AAAAAAAAAAQAgAAAAK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476250</wp:posOffset>
                </wp:positionV>
                <wp:extent cx="367030" cy="26162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亿元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37.5pt;height:20.6pt;width:28.9pt;z-index:251658240;mso-width-relative:page;mso-height-relative:page;" filled="f" stroked="f" coordsize="21600,21600" o:gfxdata="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p76ijY&#10;AAAACAEAAA8AAAAAAAAAAQAgAAAAIgAAAGRycy9kb3ducmV2LnhtbFBLAQIUABQAAAAIAIdO4kAT&#10;jhaXIAIAABkEAAAOAAAAAAAAAAEAIAAAACc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亿元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67960" cy="2266315"/>
            <wp:effectExtent l="0" t="0" r="5080" b="4445"/>
            <wp:docPr id="17" name="图表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right="0"/>
        <w:textAlignment w:val="auto"/>
        <w:rPr>
          <w:rFonts w:hint="eastAsia" w:eastAsiaTheme="minor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563880</wp:posOffset>
                </wp:positionV>
                <wp:extent cx="271780" cy="26162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25pt;margin-top:44.4pt;height:20.6pt;width:21.4pt;z-index:251668480;mso-width-relative:page;mso-height-relative:page;" filled="f" stroked="f" coordsize="21600,21600" o:gfxdata="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1vJt&#10;lNkAAAAIAQAADwAAAAAAAAABACAAAAAiAAAAZHJzL2Rvd25yZXYueG1sUEsBAhQAFAAAAAgAh07i&#10;QGgeONchAgAAGQQAAA4AAAAAAAAAAQAgAAAAK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146675" cy="2172970"/>
            <wp:effectExtent l="4445" t="4445" r="15240" b="17145"/>
            <wp:docPr id="18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年末全县民营经济主体达到2.09万户，比上年增长5.8%，其中私营企业实有数量达到2327户，增长15.3%；个体工商户登记为16802户，增长3.9%。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三、农</w:t>
      </w: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en-US" w:eastAsia="zh-CN" w:bidi="ar-SA"/>
        </w:rPr>
        <w:t xml:space="preserve">  </w:t>
      </w: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业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00" w:firstLineChars="200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全年农林牧渔业总产值达到41.41亿元，同比增长3.9%。其中农业产值21.95亿元，增长4.8%；林业产值0.78亿元，增长4.4%；畜牧业产值16.09亿元，增长2.6%；渔业产值1.57亿元，增长5.1%;服务业产值1.03亿元，增长4.5%。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粮食作物播种面积83565公顷，比上年增长2.1%。其中：大春粮食作物播种面积64158公顷，增长2.6%；油料作物播种面积18973公顷，比上年增长0.6%；中草药材播种面积921公顷，增长5.5%；蔬菜播种面积9483公顷，增长3.3%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粮食产量46.85万吨，比上年增长2.5%，其中小春粮食产量7.65万吨，增长1.6%；大春粮食产量39.19万吨，增长2.7%。经济作物中，油料产量4.12万吨，增长1.6%；蔬菜及食用菌产量24.53万吨，增长7.1%；水果产量1.3万吨，增长1.6%；茶叶产量1569吨，增长73.4%；中草药材产量1934吨，增长5.5%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肉猪出栏80.96万头，比上年增长0.8%；牛出栏5.06万头，增长0.9%；羊出栏19.76万只，增长7.0%；家禽出栏227.82万只，下降1.8%。全年肉类总产量7.04万吨，同比增长1.7%；猪肉产量5.84万吨，增长1.0%；牛肉产量5279吨，增长7.2%；羊肉产量3091吨，增长9.1%；禽蛋产量8585吨，增长0.1%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全县森林面积27.07万公顷，活立木蓄积量1311万立方米，森林覆盖率达到66.0%，比上年末提高3.5个百分点。当年造林面积5444公顷，其中退耕造林面积667公顷。国家级森林公园1个。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县水域面积66.7平方公里，水资源总量25.48亿立方米。全年水利工程建设总投资10.2亿元，当年治理水土流失面积4900公顷，恢复改善灌面600公顷。全县水利工程蓄水能力7987万立方米，当年新增20万立方米，年末有效灌溉面积18640公顷。年末农业机械总动力45万千瓦，其中农用排灌动力9万千瓦。全年农村用电量2.78亿千瓦小时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全年水产养殖面积7266公顷，比上年增长3.8%；水产品产量1.85万吨，与上年持平。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zh-CN" w:eastAsia="zh-CN" w:bidi="ar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四、工业和建筑业 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全年工业增加值25.41亿元，比上年增长8.4%，对经济增长的贡献率为18.5%。其中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instrText xml:space="preserve"> HYPERLINK "http://tjj.sc.gov.cn/tjxx/zxfb/201903/t20190306_276519.html" </w:instrTex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规模以上工业增加值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增长8.7%。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eastAsiaTheme="minorEastAsia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584835</wp:posOffset>
                </wp:positionV>
                <wp:extent cx="271780" cy="26162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5pt;margin-top:46.05pt;height:20.6pt;width:21.4pt;z-index:251670528;mso-width-relative:page;mso-height-relative:page;" filled="f" stroked="f" coordsize="21600,21600" o:gfxdata="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QHb&#10;ONkAAAAIAQAADwAAAAAAAAABACAAAAAiAAAAZHJzL2Rvd25yZXYueG1sUEsBAhQAFAAAAAgAh07i&#10;QDJh+z8hAgAAGQQAAA4AAAAAAAAAAQAgAAAAK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29860" cy="2406015"/>
            <wp:effectExtent l="4445" t="4445" r="8255" b="12700"/>
            <wp:docPr id="20" name="图表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年末规模以上工业企业户数50户，实现工业总产值88.75亿元，比上年增长13.6%。其中轻工业产值71.84亿元，增长12.0%；重工业产值16.91亿元，增长21.0%。非公有企业实现工业总产值82.24亿元，增长13.6%，占规上工业总产值比重92.7%。 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0"/>
          <w:szCs w:val="30"/>
          <w:lang w:val="en-US" w:eastAsia="zh-CN" w:bidi="ar"/>
        </w:rPr>
        <w:t>全县规模以上工业企业实现销售产值78.02亿元，比上年增长11.5%，产品销售率达到87.9%；实现主营业务收入77.66亿元, 比上年增长10.4 %；实现利润总额3.08亿元，比上年增长18.3%；实现利税总额3.95亿元，比上年增长18.0%。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49户资质内建筑企业实现建筑业总产值123.8亿元，比上年增长47.9%。其中建筑工程产值106.1亿元，增长51.2%；安装工程产值9.8亿元，下降2.3 %。建筑业增加值达到24.09亿元，比上年增长9.5%。全年房屋建筑施工面积470万平方米，增长13.7%。其中本年新开工面积248万平方米，增长27.4%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zh-CN" w:eastAsia="zh-CN"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566420</wp:posOffset>
                </wp:positionV>
                <wp:extent cx="367030" cy="26162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亿元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pt;margin-top:44.6pt;height:20.6pt;width:28.9pt;z-index:251671552;mso-width-relative:page;mso-height-relative:page;" filled="f" stroked="f" coordsize="21600,21600" o:gfxdata="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4PMCS&#10;2QAAAAgBAAAPAAAAAAAAAAEAIAAAACIAAABkcnMvZG93bnJldi54bWxQSwECFAAUAAAACACHTuJA&#10;TR+HKCACAAAZBAAADgAAAAAAAAABACAAAAAo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亿元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563245</wp:posOffset>
                </wp:positionV>
                <wp:extent cx="271780" cy="261620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pt;margin-top:44.35pt;height:20.6pt;width:21.4pt;z-index:251673600;mso-width-relative:page;mso-height-relative:page;" filled="f" stroked="f" coordsize="21600,21600" o:gfxdata="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7&#10;N2h/2wAAAAoBAAAPAAAAAAAAAAEAIAAAACIAAABkcnMvZG93bnJldi54bWxQSwECFAAUAAAACACH&#10;TuJA+Ys8CyECAAAZ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drawing>
          <wp:inline distT="0" distB="0" distL="114300" distR="114300">
            <wp:extent cx="5211445" cy="2376170"/>
            <wp:effectExtent l="4445" t="4445" r="11430" b="12065"/>
            <wp:docPr id="21" name="图表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五、固定资产投资</w:t>
      </w:r>
      <w:r>
        <w:rPr>
          <w:rFonts w:hint="eastAsia" w:ascii="宋体" w:hAnsi="宋体" w:eastAsia="宋体" w:cs="宋体"/>
          <w:color w:val="333333"/>
          <w:sz w:val="14"/>
          <w:szCs w:val="14"/>
          <w:shd w:val="clear" w:fill="FFFFFF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当年入库投资项目101个，计划总投资152.39亿元；累计完成全社会固定资产投资191.81亿元，比上年增长10.2%。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207010</wp:posOffset>
                </wp:positionV>
                <wp:extent cx="271780" cy="261620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25pt;margin-top:16.3pt;height:20.6pt;width:21.4pt;z-index:251675648;mso-width-relative:page;mso-height-relative:page;" filled="f" stroked="f" coordsize="21600,21600" o:gfxdata="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6j+b1wAA&#10;AAcBAAAPAAAAAAAAAAEAIAAAACIAAABkcnMvZG93bnJldi54bWxQSwECFAAUAAAACACHTuJAHnlh&#10;zh8CAAAZBAAADgAAAAAAAAABACAAAAAmAQAAZHJzL2Uyb0RvYy54bWxQSwUGAAAAAAYABgBZAQAA&#10;t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59070" cy="2426970"/>
            <wp:effectExtent l="4445" t="4445" r="9525" b="6985"/>
            <wp:docPr id="14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分产业看，第一产业投资4.71亿元，比上年下降47.9%；第二产业投资19.91亿元，下降51.7%；第三产业投资167.18亿元，增长76.1%。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从性质上看，基本建设投资和建安工程投资分别完成109.79亿元和176.07亿元，比上年分别增长49.4%、11.6%；更新改造投资和工业性投资分别完成3.13亿元和19.55亿元，比上年分别下降88.3%和52.1%。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从构成上看，全年房地产开发投资7.97亿元，比上年下降34.1%。商品房施工面积46.5万平方米，增长10.3%；商品房销售面积20.46万平方米，增长1.8%；商品房竣工面积1.1万平方米，下降86.9 %。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六、国内贸易、招商引资及旅游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instrText xml:space="preserve"> HYPERLINK "http://tjj.sc.gov.cn/tjxx/zxfb/201903/t20190306_276519.html" </w:instrTex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社会消费品零售总额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65.27亿元，比上年增长11.6%。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eastAsiaTheme="minor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275590</wp:posOffset>
                </wp:positionV>
                <wp:extent cx="271780" cy="26162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5pt;margin-top:21.7pt;height:20.6pt;width:21.4pt;z-index:251659264;mso-width-relative:page;mso-height-relative:page;" filled="f" stroked="f" coordsize="21600,21600" o:gfxdata="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3zGeE&#10;2QAAAAcBAAAPAAAAAAAAAAEAIAAAACIAAABkcnMvZG93bnJldi54bWxQSwECFAAUAAAACACHTuJA&#10;pxqttCACAAAZBAAADgAAAAAAAAABACAAAAAo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163820" cy="2541905"/>
            <wp:effectExtent l="0" t="0" r="2540" b="3175"/>
            <wp:docPr id="22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按经营单位所在地分，城镇消费品零售额50.44亿元，比上年增长12.0%；乡村消费品零售额14.83亿元，增长10.2%。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按消费形态分，餐饮收入5.8亿元，增长7.2%；商品零售59.5亿元，增长12.0%。在商品零售中，限额以上企业（单位）商品零售额32.3亿元，增长12.7%。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从限额以上企业（单位）主要商品零售额看，粮油、食品、饮料、烟酒类零售额同比增长12.9%，服装、鞋帽、针纺织品类增长10.5%，家用电器和音响器材类增长27.8%，通讯器材类增长28.2%，汽车类下降0.1%。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全年进出口贸易总额939万美元，比上年增长10.5%，当年实际使用外资130万美元，下降42.7%。全年招商引资签约项目53个，实际到位项目47个；签约金额140.19亿元，实际到位资金92.1亿元。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color w:val="FF0000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全年共接待县内外游客达633.25万人次，比上年增长9.9%；实现旅游总收入54.62亿元，增长17.9%；年末旅游相关行业从业人数2.35万人，增长6.2%。年末旅行社（分社、服务网点）7个。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七、交通、通信和邮电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00" w:firstLineChars="200"/>
        <w:textAlignment w:val="baseline"/>
        <w:outlineLvl w:val="9"/>
        <w:rPr>
          <w:rFonts w:hint="default" w:ascii="Times New Roman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共计完成交通建设投资40.0亿元，年末公路通车里程5075公里，其中省道公路604公里、县道公路117公里、乡道公路329公里。年末载客汽车699辆，载货汽车1248辆，公交车数量51辆，出租车数量144辆。全年公路运输货运周转量8.16亿吨公里，客运周转量8.48亿人公里；年末公交车路数12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00" w:firstLineChars="200"/>
        <w:textAlignment w:val="baseline"/>
        <w:outlineLvl w:val="9"/>
        <w:rPr>
          <w:rFonts w:hint="eastAsia" w:ascii="黑体" w:hAnsi="华文中宋" w:eastAsia="黑体" w:cs="方正小标宋简体"/>
          <w:b/>
          <w:bCs/>
          <w:kern w:val="0"/>
          <w:sz w:val="36"/>
          <w:szCs w:val="36"/>
          <w:lang w:val="zh-CN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邮电主营业务收入4.91亿元，同比增长7.0%。其中邮政主营业务收入1.01亿元，同比增长13.1%；电信主营业务收入3.9亿元，同比增长5.4%。移动电话用户78.32万户，同比增长6.9%；互联网宽带接入用户14.88万户，同比增长14.9%，用户普及率达到57.2%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八、财政和金融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全年地方一般公共预算收入4.62亿元，比上年增长0.3%，其中税收收入2.63亿元，增长0.2%。一般公共预算支出57.82亿元，增长31.2%。  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eastAsiaTheme="minor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530860</wp:posOffset>
                </wp:positionV>
                <wp:extent cx="367030" cy="26162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亿元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75pt;margin-top:41.8pt;height:20.6pt;width:28.9pt;z-index:251692032;mso-width-relative:page;mso-height-relative:page;" filled="f" stroked="f" coordsize="21600,21600" o:gfxdata="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WGu&#10;wdkAAAAIAQAADwAAAAAAAAABACAAAAAiAAAAZHJzL2Rvd25yZXYueG1sUEsBAhQAFAAAAAgAh07i&#10;QAVq7g8hAgAAGQQAAA4AAAAAAAAAAQAgAAAAK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亿元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513715</wp:posOffset>
                </wp:positionV>
                <wp:extent cx="271780" cy="26162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5.75pt;margin-top:40.45pt;height:20.6pt;width:21.4pt;z-index:251677696;mso-width-relative:page;mso-height-relative:page;" filled="f" stroked="f" coordsize="21600,21600" o:gfxdata="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NWX&#10;LYnbAAAACgEAAA8AAAAAAAAAAQAgAAAAIgAAAGRycy9kb3ducmV2LnhtbFBLAQIUABQAAAAIAIdO&#10;4kBEBqIm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194300" cy="2183765"/>
            <wp:effectExtent l="0" t="0" r="2540" b="10795"/>
            <wp:docPr id="23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年末金融机构人民币各项存款余额206.44亿元，比上年末增长4.5%。其中，住户存款余额162.95亿元，增长12.3%。人民币各项贷款余额98.26亿元，增长19.1%。其中，短期贷款余额11.91亿元，增长37.4%；中长期贷款余额84.29亿元，增长14.1%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eastAsiaTheme="minor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530225</wp:posOffset>
                </wp:positionV>
                <wp:extent cx="271780" cy="261620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25pt;margin-top:41.75pt;height:20.6pt;width:21.4pt;z-index:251747328;mso-width-relative:page;mso-height-relative:page;" filled="f" stroked="f" coordsize="21600,21600" o:gfxdata="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AG4BdwAAAAKAQAADwAAAAAAAAABACAAAAAiAAAAZHJzL2Rvd25yZXYueG1sUEsBAhQAFAAAAAgA&#10;h07iQPSIjtshAgAAGQ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3"/>
                          <w:szCs w:val="13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499745</wp:posOffset>
                </wp:positionV>
                <wp:extent cx="367030" cy="26162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亿元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5pt;margin-top:39.35pt;height:20.6pt;width:28.9pt;z-index:251726848;mso-width-relative:page;mso-height-relative:page;" filled="f" stroked="f" coordsize="21600,21600" o:gfxdata="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RnY&#10;PtkAAAAIAQAADwAAAAAAAAABACAAAAAiAAAAZHJzL2Rvd25yZXYueG1sUEsBAhQAFAAAAAgAh07i&#10;QF8VLechAgAAGQQAAA4AAAAAAAAAAQAgAAAAK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亿元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166360" cy="2211705"/>
            <wp:effectExtent l="5080" t="4445" r="10160" b="8890"/>
            <wp:docPr id="25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年末共有保险公司13家，全年保险保费收入7.22亿元，比上年增长25.8%。其中，财产险公司保险保费收入9854万元，下降3.4%；人身险公司保险保费收入6.24亿元，增长32.1%。全年支付各项赔款和给付1.36亿元，下降1.2%。其中，财产险赔款支出5848万元，增长4.5%；人身险赔付支出7768万元，下降5.1%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九、教育、科技与扶贫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00" w:firstLineChars="200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教育经费支出9.56亿元，各级各类学校（不含幼儿园）107所，有专任教师6466人，在校学生7.87万人。年末幼儿园131所，在园幼儿人数1.86万人；小学73所，在校学生3.96万人，小学学龄儿童净入学率100%；中学30所，在校学生3.48万人，初中学龄人口净入学率100%，初中毕业生升学率92.8%，九年义务教育巩固率95.1%，高中阶段毛入学率91.3%，高中毕业生升学率68.5%；职业中学3所，在校学生4144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表</w:t>
      </w: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 xml:space="preserve">  201</w:t>
      </w: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年各级各类学校在校学生数及其构成</w:t>
      </w:r>
    </w:p>
    <w:tbl>
      <w:tblPr>
        <w:tblStyle w:val="5"/>
        <w:tblW w:w="80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8"/>
        <w:gridCol w:w="2045"/>
        <w:gridCol w:w="2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3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指标</w:t>
            </w:r>
          </w:p>
        </w:tc>
        <w:tc>
          <w:tcPr>
            <w:tcW w:w="2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数量（人）</w:t>
            </w:r>
          </w:p>
        </w:tc>
        <w:tc>
          <w:tcPr>
            <w:tcW w:w="23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比重（</w:t>
            </w:r>
            <w:r>
              <w:rPr>
                <w:rFonts w:ascii="Times New Roman" w:hAnsi="Times New Roman" w:eastAsia="宋体" w:cs="Times New Roman"/>
                <w:b/>
                <w:sz w:val="28"/>
                <w:szCs w:val="28"/>
              </w:rPr>
              <w:t>%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atLeast"/>
          <w:jc w:val="center"/>
        </w:trPr>
        <w:tc>
          <w:tcPr>
            <w:tcW w:w="3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各级各类学校在校学生数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其中：幼儿园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小  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初  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高  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职业中学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特殊教育学校</w:t>
            </w:r>
          </w:p>
        </w:tc>
        <w:tc>
          <w:tcPr>
            <w:tcW w:w="2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97333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18633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39659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19576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15221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4144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23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100.0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19.14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40.75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20.11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15.64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4.26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left="0" w:leftChars="0" w:right="0" w:rightChars="0" w:firstLine="560" w:firstLineChars="20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0.10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本年参加普通高校招生统考人数8423人，录入各级各类大专院校新生人数6499人，占报考人数的77.2％。本年成人高考参考人数1287人，上线人数1056人，上线率82.1％；参加全国高等教育自学考试600人，当年取得大专及以上毕业证书7人，历年累计取得大专及以上毕业证书人数达到1495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科学研究与实验发展（R&amp;D）经费支出1.24亿元，比上年增长14.8%。当年实施重点科研项目10项，其中国家级项目1项，省级项目9项。全年共申请专利228项，获得专利证书50项，实施专利13项。当年科技扶贫户数0.5万户，科技扶贫受益人数1.5万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00" w:firstLineChars="200"/>
        <w:jc w:val="both"/>
        <w:textAlignment w:val="baseline"/>
        <w:outlineLvl w:val="9"/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当年投入扶贫资金13.09亿元，其中整合财政资金6.52亿元，金融资金投入1.16亿元，社会资金投入3.67亿元，农户自筹1.75亿元。全县累计减贫26579户91957人，其中当年减贫7419户25606人。当年易地移民搬迁6426户22384人，扶贫培训安置就业427人，贫困村摘帽50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十、卫生、文化和体育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jc w:val="both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年末全县医疗卫生机构数686个，其中医院17家，乡镇卫生院49家，社区卫生服务站5个，村卫生室524个，诊所（医务室）89个，疾病预防控制中心和卫生执法监督大队各1个；卫生技术人员3748人，其中执业医师865人，执业助理医师293人，注册护士1212人。全年门诊总诊疗人次257.42万人次，住院入院人次12.16万人次。当年婴儿死亡率2.42‰，新生儿死亡率1.55‰，孕产妇系统管理率96.73%，住院分娩率100.0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表2   201</w:t>
      </w: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年全县医疗卫生机构技术人员数及其构成</w:t>
      </w:r>
    </w:p>
    <w:tbl>
      <w:tblPr>
        <w:tblStyle w:val="5"/>
        <w:tblW w:w="79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5"/>
        <w:gridCol w:w="1932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指标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数量（人）</w:t>
            </w:r>
          </w:p>
        </w:tc>
        <w:tc>
          <w:tcPr>
            <w:tcW w:w="17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比重（%）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4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全县医疗卫生机构技术人员数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其中：医  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乡镇卫生院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社区卫生服务中心站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疾病预防控制中心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卫生执法监督大队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 w:firstLine="1400" w:firstLineChars="5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诊所（医务室）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村卫生室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3748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1803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875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883</w:t>
            </w:r>
          </w:p>
        </w:tc>
        <w:tc>
          <w:tcPr>
            <w:tcW w:w="17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100.0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48.11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23.35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0.45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1.65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0.21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2.67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23.56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广电系统和电信系统年末电视用户分别为12.04万户和13.73万户，有线电视乡通率和村通率分别为100%和89%，电视人口覆盖率99.3%。全县文物保护单位数859个，“三馆一站”55个，电视差转台和影剧院各1个。共有文物藏品9087件，公共图书藏量85千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00" w:firstLineChars="200"/>
        <w:jc w:val="both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全县体育场馆数42个，全年举办各级各类体育运动会29次，参赛运动员达2.7万人次，其中县级体育运动会13次,参赛运动员1.3万人次。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outlineLvl w:val="9"/>
        <w:rPr>
          <w:rFonts w:hint="eastAsia" w:ascii="黑体" w:hAnsi="华文中宋" w:eastAsia="黑体" w:cs="方正小标宋简体"/>
          <w:b/>
          <w:bCs/>
          <w:kern w:val="0"/>
          <w:sz w:val="36"/>
          <w:szCs w:val="36"/>
          <w:lang w:val="zh-CN" w:eastAsia="zh-CN" w:bidi="ar-SA"/>
        </w:rPr>
      </w:pPr>
      <w:r>
        <w:rPr>
          <w:rFonts w:hint="eastAsia" w:ascii="黑体" w:hAnsi="华文中宋" w:eastAsia="黑体" w:cs="方正小标宋简体"/>
          <w:b/>
          <w:bCs/>
          <w:kern w:val="0"/>
          <w:sz w:val="36"/>
          <w:szCs w:val="36"/>
          <w:lang w:val="zh-CN" w:eastAsia="zh-CN" w:bidi="ar-SA"/>
        </w:rPr>
        <w:t>十一、人口与就业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00" w:firstLineChars="200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年末全县总户数26.03万户，其中农业户数16.62万户；全县户籍人口72.86万人，其中农业人口58.16万人，城镇人口为14.7万人，少数民族人口667人；全县常住人口69.69万人，其中城镇常住人口24.66万人，常住人口城镇化率提高到35.39%。当年人口出生率8.6‰，出生人口性别比107（以女孩为100），人口死亡率5.7‰，人口自然增长率2.9‰，人口符合政策生育率98.6%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表3  201</w:t>
      </w: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年末全县户籍人口数及其构成</w:t>
      </w:r>
    </w:p>
    <w:tbl>
      <w:tblPr>
        <w:tblStyle w:val="5"/>
        <w:tblW w:w="80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2077"/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3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指标</w:t>
            </w: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年末数（人）</w:t>
            </w:r>
          </w:p>
        </w:tc>
        <w:tc>
          <w:tcPr>
            <w:tcW w:w="26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比重（%）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3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全县户籍人口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其中：农业人口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   非农业人口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其中：男  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   女  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其中：0－4周岁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   0－1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周岁</w:t>
            </w: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728554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581589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146965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380053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348501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19785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110615</w:t>
            </w:r>
          </w:p>
        </w:tc>
        <w:tc>
          <w:tcPr>
            <w:tcW w:w="26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100.0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79.8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20.2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52.2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47.8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2.7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 w:right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15.2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00" w:firstLineChars="200"/>
        <w:jc w:val="both"/>
        <w:textAlignment w:val="baseline"/>
        <w:outlineLvl w:val="9"/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当年新增就业人数4012人，再就业救助对象实现再就业人数884人，其中“4050”人员679人。年末实有城镇登记失业人数1567人，城镇登记失业率3.23%。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十二、人民生活和社会保障</w:t>
      </w:r>
      <w:r>
        <w:rPr>
          <w:rFonts w:hint="eastAsia" w:ascii="宋体" w:hAnsi="宋体" w:eastAsia="宋体" w:cs="宋体"/>
          <w:color w:val="333333"/>
          <w:sz w:val="14"/>
          <w:szCs w:val="14"/>
          <w:shd w:val="clear" w:fill="FFFFFF"/>
        </w:rPr>
        <w:t> 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全年全体居民人均可支配收入18435元，比上年增长10.1%。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color w:val="0D0D0D" w:themeColor="text1" w:themeTint="F2"/>
          <w:kern w:val="2"/>
          <w:sz w:val="30"/>
          <w:szCs w:val="30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按常住地分，全年城镇居民人均可支配收入30575元，比上年增加2497元，比上年增长8.9%。其中，工资性收入17576元，增长8.9%；经营净收入5567元，增长9.1%；财产净收入2497元，增长8.6%；转移净收入4935元，增长8.9%。人均消费性支出21645元，增长5.4%。其中，居住支出增长4.0%，生活用品及服务支出增长4.1%，交通通信支出增长4.9%。城镇居民恩</w:t>
      </w:r>
      <w:r>
        <w:rPr>
          <w:rFonts w:hint="eastAsia" w:ascii="Times New Roman" w:hAnsi="Times New Roman" w:eastAsia="仿宋_GB2312" w:cs="仿宋_GB2312"/>
          <w:color w:val="0D0D0D" w:themeColor="text1" w:themeTint="F2"/>
          <w:kern w:val="2"/>
          <w:sz w:val="30"/>
          <w:szCs w:val="30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格尔系数40.9%。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eastAsiaTheme="minor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191770</wp:posOffset>
                </wp:positionV>
                <wp:extent cx="367030" cy="261620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pt;margin-top:15.1pt;height:20.6pt;width:28.9pt;z-index:251816960;mso-width-relative:page;mso-height-relative:page;" filled="f" stroked="f" coordsize="21600,21600" o:gfxdata="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PmMM3Z&#10;AAAACAEAAA8AAAAAAAAAAQAgAAAAIgAAAGRycy9kb3ducmV2LnhtbFBLAQIUABQAAAAIAIdO4kBA&#10;HDX4HwIAABkEAAAOAAAAAAAAAAEAIAAAACg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154295" cy="2131695"/>
            <wp:effectExtent l="4445" t="4445" r="22860" b="16510"/>
            <wp:docPr id="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农村居民人均可支配收入11906元，比上年增加1073元，比上年增长9.9%。其中，工资性收入3510元，增长9.5%；经营净收入5134元，增长9.7%；财产净收入305元，增长21.3%；转移净收入2957元，增长9.6%。农村居民人均生活消费支出10436元，增长10.1%。其中，居住消费支出增长10.1%，生活用品及服务消费支出增长14.2%，交通通信支出增长14.8%，医疗保健消费支出增长13.5%。农村居民</w:t>
      </w:r>
      <w:r>
        <w:rPr>
          <w:rFonts w:hint="eastAsia" w:ascii="Times New Roman" w:hAnsi="Times New Roman" w:eastAsia="仿宋_GB2312" w:cs="仿宋_GB2312"/>
          <w:color w:val="0D0D0D" w:themeColor="text1" w:themeTint="F2"/>
          <w:kern w:val="2"/>
          <w:sz w:val="30"/>
          <w:szCs w:val="30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恩格尔系数</w:t>
      </w: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44.8%。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eastAsiaTheme="minor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262890</wp:posOffset>
                </wp:positionV>
                <wp:extent cx="367030" cy="26162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75pt;margin-top:20.7pt;height:20.6pt;width:28.9pt;z-index:251976704;mso-width-relative:page;mso-height-relative:page;" filled="f" stroked="f" coordsize="21600,21600" o:gfxdata="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MzzNW&#10;2QAAAAgBAAAPAAAAAAAAAAEAIAAAACIAAABkcnMvZG93bnJldi54bWxQSwECFAAUAAAACACHTuJA&#10;75sBGiACAAAZBAAADgAAAAAAAAABACAAAAAo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1"/>
                          <w:szCs w:val="1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20335" cy="2396490"/>
            <wp:effectExtent l="4445" t="4445" r="13970" b="18415"/>
            <wp:docPr id="3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firstLine="600" w:firstLineChars="200"/>
        <w:textAlignment w:val="auto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年末参加城镇职工基本养老保险人数7.64万人，参加城乡居民基本养老保险人数32.52万人，参加基本医疗保险人数73.12万人，参加失业保险人数2.58万人，参加工伤保险人数2.3万人，参加生育保险人数2.47万人。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00" w:firstLineChars="200"/>
        <w:textAlignment w:val="baseline"/>
        <w:outlineLvl w:val="9"/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县敬老院19所，集中供养老人760人，孤儿院1所，集中供养孤儿人数53人。当年享受定期抚恤人数530人，发放抚恤金1310万元；享受定期补助人数9170人，发放补助金6240万元；优待优抚人数9170人，发放优待优抚金600万元；五保户供养人数2907人，发放救济费1916万元。城镇居民享受最低生活保障人数1.23万人，领取最低生活保障金4293万元；农村居民享受最低生活保障人数6.47万人，发放最低生活保障金14201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小标宋简体" w:cstheme="minorBidi"/>
          <w:b/>
          <w:bCs w:val="0"/>
          <w:color w:val="000000"/>
          <w:kern w:val="2"/>
          <w:sz w:val="32"/>
          <w:szCs w:val="32"/>
          <w:lang w:val="zh-CN" w:eastAsia="zh-CN" w:bidi="ar-SA"/>
        </w:rPr>
        <w:t>十三、环境保护和安全生产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00" w:firstLineChars="200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当年单位GDP能耗0.5232吨标准煤/万元，同比下降1.15%；单位工业增加值能耗0.3734吨标准煤/万元，同比下降8.81%。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00" w:firstLineChars="200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全县环境治理重点监测单位11个，完成环境污染治理投资2.63亿元。县城生活垃圾无害化处理率达到97.9%，污水处理率达到83.7%。全年城区空气质量优良以上天数336天。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00" w:firstLineChars="200"/>
        <w:textAlignment w:val="baseline"/>
        <w:outlineLvl w:val="9"/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30"/>
          <w:szCs w:val="30"/>
          <w:lang w:val="en-US" w:eastAsia="zh-CN" w:bidi="ar"/>
        </w:rPr>
        <w:t>全年发生各类安全生产事故10件，同比下降16.7%；各类安全生产事故伤亡人数12人，同比下降7.7%；各类安全事故直接经济损失550万元，同比下降5.2%。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/>
        <w:rPr>
          <w:rFonts w:hint="eastAsia" w:ascii="宋体" w:hAnsi="宋体" w:eastAsia="宋体" w:cs="宋体"/>
          <w:color w:val="333333"/>
          <w:sz w:val="15"/>
          <w:szCs w:val="15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/>
      </w:pP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t>注：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t>1.公报中各项数据为初步统计数，正式数据以《通江统计年鉴—2019》为准。部分数据因四舍五入的原因，存在着总计与分项合计不等的情况。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t>2、公报中地区生产总值、三次产业增加值、民营经济增加值、工业和建筑业增加值绝对数按现价计算，增减速度按可比价计算。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t>3.农业历史数据根据第三次全国农业普查结果进行了修订。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t>4.2018年，计划总投资500-5000万元投资项目由形象进度法更改为按财务支出法进行统计，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instrText xml:space="preserve"> HYPERLINK "http://tjj.sc.gov.cn/tjxx/zxfb/201903/t20190306_276519.html" </w:instrTex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fldChar w:fldCharType="separate"/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t>全社会固定资产投资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t>增速为同口径增长速度。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ar"/>
        </w:rPr>
        <w:t>5.公报中户籍人口、林业、渔业、农业机械化、交通运输、邮政、电信、金融、旅游、对外贸易、财政、保险、教育、科技、文化、卫生、体育、城市建设、环境保护、居民生活、社会保障、国土资源和安全生产等数据来源于相关部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C1EF2"/>
    <w:rsid w:val="004D6651"/>
    <w:rsid w:val="00B43F50"/>
    <w:rsid w:val="00C00585"/>
    <w:rsid w:val="00EE246C"/>
    <w:rsid w:val="0157622B"/>
    <w:rsid w:val="019C3DD6"/>
    <w:rsid w:val="01FF225A"/>
    <w:rsid w:val="02077ABD"/>
    <w:rsid w:val="02C80830"/>
    <w:rsid w:val="03372D53"/>
    <w:rsid w:val="03601C78"/>
    <w:rsid w:val="0388253E"/>
    <w:rsid w:val="03BD5384"/>
    <w:rsid w:val="03FE03B1"/>
    <w:rsid w:val="040C1EF2"/>
    <w:rsid w:val="04A1690F"/>
    <w:rsid w:val="066245C3"/>
    <w:rsid w:val="06677804"/>
    <w:rsid w:val="069D1A74"/>
    <w:rsid w:val="06FD2634"/>
    <w:rsid w:val="07962D95"/>
    <w:rsid w:val="08157D58"/>
    <w:rsid w:val="08441815"/>
    <w:rsid w:val="08617FE9"/>
    <w:rsid w:val="09C64203"/>
    <w:rsid w:val="0A162053"/>
    <w:rsid w:val="0A5E2DDB"/>
    <w:rsid w:val="0B3126AC"/>
    <w:rsid w:val="0B7170B9"/>
    <w:rsid w:val="0BB14E6A"/>
    <w:rsid w:val="0BD8044A"/>
    <w:rsid w:val="0C715A44"/>
    <w:rsid w:val="0DAA1EA9"/>
    <w:rsid w:val="0DEB53A9"/>
    <w:rsid w:val="0E4D35E5"/>
    <w:rsid w:val="0EB01B2C"/>
    <w:rsid w:val="0EF35979"/>
    <w:rsid w:val="0F0226C9"/>
    <w:rsid w:val="0F3F31FD"/>
    <w:rsid w:val="0F75338F"/>
    <w:rsid w:val="10034BA1"/>
    <w:rsid w:val="103B2341"/>
    <w:rsid w:val="104F484F"/>
    <w:rsid w:val="104F5976"/>
    <w:rsid w:val="10834C01"/>
    <w:rsid w:val="10F47040"/>
    <w:rsid w:val="11221BFE"/>
    <w:rsid w:val="115B7A37"/>
    <w:rsid w:val="11C428C0"/>
    <w:rsid w:val="1239496D"/>
    <w:rsid w:val="12A37249"/>
    <w:rsid w:val="130351D1"/>
    <w:rsid w:val="132E5CF5"/>
    <w:rsid w:val="135F5C37"/>
    <w:rsid w:val="14072CA1"/>
    <w:rsid w:val="14697474"/>
    <w:rsid w:val="14CD2E18"/>
    <w:rsid w:val="150B1752"/>
    <w:rsid w:val="15E05E9C"/>
    <w:rsid w:val="15FA0BFB"/>
    <w:rsid w:val="15FE3285"/>
    <w:rsid w:val="161A4D2F"/>
    <w:rsid w:val="18753F05"/>
    <w:rsid w:val="18C66B91"/>
    <w:rsid w:val="19157BBF"/>
    <w:rsid w:val="1934744F"/>
    <w:rsid w:val="19835BDA"/>
    <w:rsid w:val="1A401E6F"/>
    <w:rsid w:val="1A8E4C1E"/>
    <w:rsid w:val="1AC66ED3"/>
    <w:rsid w:val="1B250163"/>
    <w:rsid w:val="1BC553CF"/>
    <w:rsid w:val="1C2C3150"/>
    <w:rsid w:val="1C65731E"/>
    <w:rsid w:val="1CD86D57"/>
    <w:rsid w:val="1D15202D"/>
    <w:rsid w:val="1D267736"/>
    <w:rsid w:val="1D424806"/>
    <w:rsid w:val="1E195226"/>
    <w:rsid w:val="1E550E94"/>
    <w:rsid w:val="1E6026DA"/>
    <w:rsid w:val="1E807DAB"/>
    <w:rsid w:val="1ECD52E6"/>
    <w:rsid w:val="1F14391F"/>
    <w:rsid w:val="1F5C53A8"/>
    <w:rsid w:val="1FE91DC2"/>
    <w:rsid w:val="20115307"/>
    <w:rsid w:val="20DC1FD3"/>
    <w:rsid w:val="219F7EC9"/>
    <w:rsid w:val="221E3C8C"/>
    <w:rsid w:val="224C11B3"/>
    <w:rsid w:val="22E22DDB"/>
    <w:rsid w:val="22F70CD7"/>
    <w:rsid w:val="23682CDD"/>
    <w:rsid w:val="23A61392"/>
    <w:rsid w:val="23C52C92"/>
    <w:rsid w:val="240C57D4"/>
    <w:rsid w:val="245E2918"/>
    <w:rsid w:val="251A79CB"/>
    <w:rsid w:val="252D4A83"/>
    <w:rsid w:val="26001148"/>
    <w:rsid w:val="26A65A41"/>
    <w:rsid w:val="271C48DA"/>
    <w:rsid w:val="276F2EB6"/>
    <w:rsid w:val="277A4763"/>
    <w:rsid w:val="2788067C"/>
    <w:rsid w:val="27960439"/>
    <w:rsid w:val="28455DD9"/>
    <w:rsid w:val="28BB1FAC"/>
    <w:rsid w:val="29D61C47"/>
    <w:rsid w:val="2A9A3C47"/>
    <w:rsid w:val="2ADF439F"/>
    <w:rsid w:val="2B3E697B"/>
    <w:rsid w:val="2BBB1013"/>
    <w:rsid w:val="2C7B07E7"/>
    <w:rsid w:val="2C895EC0"/>
    <w:rsid w:val="2CE20DBF"/>
    <w:rsid w:val="2DB2398E"/>
    <w:rsid w:val="2E8F73FA"/>
    <w:rsid w:val="2E96741F"/>
    <w:rsid w:val="2EC90EB1"/>
    <w:rsid w:val="2EDB1CF8"/>
    <w:rsid w:val="2EEF523A"/>
    <w:rsid w:val="2F074F61"/>
    <w:rsid w:val="2F143351"/>
    <w:rsid w:val="2F45134C"/>
    <w:rsid w:val="2F5E592F"/>
    <w:rsid w:val="2FA577E8"/>
    <w:rsid w:val="3127117F"/>
    <w:rsid w:val="313D69B4"/>
    <w:rsid w:val="31A61B8D"/>
    <w:rsid w:val="33146683"/>
    <w:rsid w:val="337A44CA"/>
    <w:rsid w:val="34043972"/>
    <w:rsid w:val="343865B9"/>
    <w:rsid w:val="344E5E80"/>
    <w:rsid w:val="355064E4"/>
    <w:rsid w:val="35A80BEF"/>
    <w:rsid w:val="35C3178D"/>
    <w:rsid w:val="365020E9"/>
    <w:rsid w:val="36790C62"/>
    <w:rsid w:val="36886443"/>
    <w:rsid w:val="36C53CFB"/>
    <w:rsid w:val="36F45C75"/>
    <w:rsid w:val="37545821"/>
    <w:rsid w:val="37D94756"/>
    <w:rsid w:val="3834233F"/>
    <w:rsid w:val="38766B00"/>
    <w:rsid w:val="387C4306"/>
    <w:rsid w:val="389B124F"/>
    <w:rsid w:val="3906548B"/>
    <w:rsid w:val="3948240B"/>
    <w:rsid w:val="39530331"/>
    <w:rsid w:val="3A052931"/>
    <w:rsid w:val="3A263D77"/>
    <w:rsid w:val="3AC47069"/>
    <w:rsid w:val="3ACC5E7F"/>
    <w:rsid w:val="3ACF4688"/>
    <w:rsid w:val="3B287A2F"/>
    <w:rsid w:val="3B546439"/>
    <w:rsid w:val="3C010178"/>
    <w:rsid w:val="3C05313A"/>
    <w:rsid w:val="3C452635"/>
    <w:rsid w:val="3C551778"/>
    <w:rsid w:val="3CAC1454"/>
    <w:rsid w:val="3CF130F2"/>
    <w:rsid w:val="3D194599"/>
    <w:rsid w:val="3D2C4A60"/>
    <w:rsid w:val="3D953D19"/>
    <w:rsid w:val="3E000009"/>
    <w:rsid w:val="3E4335D2"/>
    <w:rsid w:val="3E8B0EAC"/>
    <w:rsid w:val="3EDA4C7C"/>
    <w:rsid w:val="3EE1260E"/>
    <w:rsid w:val="3F9E0EB4"/>
    <w:rsid w:val="40877E7F"/>
    <w:rsid w:val="40A113B1"/>
    <w:rsid w:val="40D04C4B"/>
    <w:rsid w:val="40EA6764"/>
    <w:rsid w:val="412A268D"/>
    <w:rsid w:val="4201407F"/>
    <w:rsid w:val="431D417B"/>
    <w:rsid w:val="43215DDB"/>
    <w:rsid w:val="449C0FFC"/>
    <w:rsid w:val="44D2665F"/>
    <w:rsid w:val="44F24556"/>
    <w:rsid w:val="46217976"/>
    <w:rsid w:val="46CC54F0"/>
    <w:rsid w:val="46CE6BAE"/>
    <w:rsid w:val="471F44E7"/>
    <w:rsid w:val="472063C9"/>
    <w:rsid w:val="47672A84"/>
    <w:rsid w:val="48651EFE"/>
    <w:rsid w:val="486E42E1"/>
    <w:rsid w:val="48D90FAA"/>
    <w:rsid w:val="48DE0CC5"/>
    <w:rsid w:val="4A253C6A"/>
    <w:rsid w:val="4A33742D"/>
    <w:rsid w:val="4A3F3D68"/>
    <w:rsid w:val="4A6B50D3"/>
    <w:rsid w:val="4AE622BD"/>
    <w:rsid w:val="4B4D3061"/>
    <w:rsid w:val="4C0B4DB1"/>
    <w:rsid w:val="4CE863A0"/>
    <w:rsid w:val="4CFC6108"/>
    <w:rsid w:val="4DAA6CFE"/>
    <w:rsid w:val="4DF25540"/>
    <w:rsid w:val="4E4434BA"/>
    <w:rsid w:val="4E715469"/>
    <w:rsid w:val="4E963C02"/>
    <w:rsid w:val="4F7B2FEF"/>
    <w:rsid w:val="511E2423"/>
    <w:rsid w:val="517F6485"/>
    <w:rsid w:val="521665BB"/>
    <w:rsid w:val="52205630"/>
    <w:rsid w:val="52342547"/>
    <w:rsid w:val="52C227D3"/>
    <w:rsid w:val="52C73DEB"/>
    <w:rsid w:val="52E87C4E"/>
    <w:rsid w:val="533875EF"/>
    <w:rsid w:val="533F5787"/>
    <w:rsid w:val="534A1976"/>
    <w:rsid w:val="539F7701"/>
    <w:rsid w:val="54003378"/>
    <w:rsid w:val="548714EC"/>
    <w:rsid w:val="54C33617"/>
    <w:rsid w:val="55185CB8"/>
    <w:rsid w:val="55E15D32"/>
    <w:rsid w:val="55E65501"/>
    <w:rsid w:val="56006290"/>
    <w:rsid w:val="561D0277"/>
    <w:rsid w:val="5669556E"/>
    <w:rsid w:val="56C4076A"/>
    <w:rsid w:val="57664FFA"/>
    <w:rsid w:val="57BE4035"/>
    <w:rsid w:val="57DA5D42"/>
    <w:rsid w:val="5854026A"/>
    <w:rsid w:val="58E70F26"/>
    <w:rsid w:val="5AE825C4"/>
    <w:rsid w:val="5AFE660D"/>
    <w:rsid w:val="5B940419"/>
    <w:rsid w:val="5BAE0B13"/>
    <w:rsid w:val="5C2073DF"/>
    <w:rsid w:val="5C32367A"/>
    <w:rsid w:val="5C59271A"/>
    <w:rsid w:val="5C620714"/>
    <w:rsid w:val="5CEC53FC"/>
    <w:rsid w:val="5D833862"/>
    <w:rsid w:val="5DC12901"/>
    <w:rsid w:val="5F1968DD"/>
    <w:rsid w:val="607A6D1F"/>
    <w:rsid w:val="60C444F9"/>
    <w:rsid w:val="61021EB8"/>
    <w:rsid w:val="61780128"/>
    <w:rsid w:val="61B34D27"/>
    <w:rsid w:val="620310F9"/>
    <w:rsid w:val="62084E7A"/>
    <w:rsid w:val="6277560B"/>
    <w:rsid w:val="628D011D"/>
    <w:rsid w:val="630F43C6"/>
    <w:rsid w:val="641611B1"/>
    <w:rsid w:val="64423C18"/>
    <w:rsid w:val="645F586E"/>
    <w:rsid w:val="658F48C8"/>
    <w:rsid w:val="66307719"/>
    <w:rsid w:val="66395F14"/>
    <w:rsid w:val="66B626A2"/>
    <w:rsid w:val="66DA7228"/>
    <w:rsid w:val="67E802D5"/>
    <w:rsid w:val="67FA2F9E"/>
    <w:rsid w:val="68D17933"/>
    <w:rsid w:val="68FA41A3"/>
    <w:rsid w:val="69473260"/>
    <w:rsid w:val="6988528E"/>
    <w:rsid w:val="69CB7911"/>
    <w:rsid w:val="6A5A2D0C"/>
    <w:rsid w:val="6A5D7655"/>
    <w:rsid w:val="6B0A597D"/>
    <w:rsid w:val="6B877957"/>
    <w:rsid w:val="6BB15108"/>
    <w:rsid w:val="6BBE66EF"/>
    <w:rsid w:val="6E2A3384"/>
    <w:rsid w:val="6F234446"/>
    <w:rsid w:val="6FBD0957"/>
    <w:rsid w:val="6FE448CA"/>
    <w:rsid w:val="701B6D21"/>
    <w:rsid w:val="71581723"/>
    <w:rsid w:val="71906478"/>
    <w:rsid w:val="71D939FC"/>
    <w:rsid w:val="723B4008"/>
    <w:rsid w:val="726678B4"/>
    <w:rsid w:val="72C63C55"/>
    <w:rsid w:val="730F2B09"/>
    <w:rsid w:val="73241B9B"/>
    <w:rsid w:val="737105F4"/>
    <w:rsid w:val="73916BDC"/>
    <w:rsid w:val="73B400B2"/>
    <w:rsid w:val="74017C53"/>
    <w:rsid w:val="747A6D0D"/>
    <w:rsid w:val="74D64E58"/>
    <w:rsid w:val="752849BF"/>
    <w:rsid w:val="759B22C1"/>
    <w:rsid w:val="76734A9B"/>
    <w:rsid w:val="76A323D1"/>
    <w:rsid w:val="76ED7F35"/>
    <w:rsid w:val="774A0719"/>
    <w:rsid w:val="77E50345"/>
    <w:rsid w:val="77EC6D56"/>
    <w:rsid w:val="78407CA0"/>
    <w:rsid w:val="78FC543A"/>
    <w:rsid w:val="78FC5C62"/>
    <w:rsid w:val="79136D45"/>
    <w:rsid w:val="791F668D"/>
    <w:rsid w:val="79BB65CA"/>
    <w:rsid w:val="79EB7F8F"/>
    <w:rsid w:val="7A1548E7"/>
    <w:rsid w:val="7A5E581E"/>
    <w:rsid w:val="7B8E3C80"/>
    <w:rsid w:val="7B942AD5"/>
    <w:rsid w:val="7B9B0090"/>
    <w:rsid w:val="7BA20BB7"/>
    <w:rsid w:val="7BA46848"/>
    <w:rsid w:val="7C1E24A9"/>
    <w:rsid w:val="7C3F723B"/>
    <w:rsid w:val="7C6A5F28"/>
    <w:rsid w:val="7D5B7AD4"/>
    <w:rsid w:val="7E0C60CB"/>
    <w:rsid w:val="7EBD12A1"/>
    <w:rsid w:val="7EC80D4B"/>
    <w:rsid w:val="7F1269B7"/>
    <w:rsid w:val="7F5A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6.xml"/><Relationship Id="rId8" Type="http://schemas.openxmlformats.org/officeDocument/2006/relationships/chart" Target="charts/chart5.xml"/><Relationship Id="rId7" Type="http://schemas.openxmlformats.org/officeDocument/2006/relationships/chart" Target="charts/chart4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chart" Target="charts/chart12.xml"/><Relationship Id="rId14" Type="http://schemas.openxmlformats.org/officeDocument/2006/relationships/chart" Target="charts/chart11.xml"/><Relationship Id="rId13" Type="http://schemas.openxmlformats.org/officeDocument/2006/relationships/chart" Target="charts/chart10.xml"/><Relationship Id="rId12" Type="http://schemas.openxmlformats.org/officeDocument/2006/relationships/chart" Target="charts/chart9.xml"/><Relationship Id="rId11" Type="http://schemas.openxmlformats.org/officeDocument/2006/relationships/chart" Target="charts/chart8.xml"/><Relationship Id="rId10" Type="http://schemas.openxmlformats.org/officeDocument/2006/relationships/chart" Target="charts/chart7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4" Type="http://schemas.microsoft.com/office/2011/relationships/chartColorStyle" Target="colors1.xml"/><Relationship Id="rId3" Type="http://schemas.microsoft.com/office/2011/relationships/chartStyle" Target="style1.xml"/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Administrator\Desktop\&#24037;&#20316;&#31807;2.xlsx" TargetMode="External"/></Relationships>
</file>

<file path=word/charts/_rels/chart10.xml.rels><?xml version="1.0" encoding="UTF-8" standalone="yes"?>
<Relationships xmlns="http://schemas.openxmlformats.org/package/2006/relationships"><Relationship Id="rId4" Type="http://schemas.microsoft.com/office/2011/relationships/chartColorStyle" Target="colors3.xml"/><Relationship Id="rId3" Type="http://schemas.microsoft.com/office/2011/relationships/chartStyle" Target="style3.xml"/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Administrator\Desktop\&#24037;&#20316;&#31807;2.xlsx" TargetMode="External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oleObject" Target="file:///C:\Users\Administrator\Desktop\&#24037;&#20316;&#31807;2.xlsx" TargetMode="External"/></Relationships>
</file>

<file path=word/charts/_rels/chart12.xml.rels><?xml version="1.0" encoding="UTF-8" standalone="yes"?>
<Relationships xmlns="http://schemas.openxmlformats.org/package/2006/relationships"><Relationship Id="rId4" Type="http://schemas.microsoft.com/office/2011/relationships/chartColorStyle" Target="colors4.xml"/><Relationship Id="rId3" Type="http://schemas.microsoft.com/office/2011/relationships/chartStyle" Target="style4.xml"/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Administrator\Desktop\&#24037;&#20316;&#31807;2.xlsx" TargetMode="External"/></Relationships>
</file>

<file path=word/charts/_rels/chart2.xml.rels><?xml version="1.0" encoding="UTF-8" standalone="yes"?>
<Relationships xmlns="http://schemas.openxmlformats.org/package/2006/relationships"><Relationship Id="rId4" Type="http://schemas.microsoft.com/office/2011/relationships/chartColorStyle" Target="colors2.xml"/><Relationship Id="rId3" Type="http://schemas.microsoft.com/office/2011/relationships/chartStyle" Target="style2.xml"/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Administrator\Desktop\&#24037;&#20316;&#31807;2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oleObject" Target="file:///C:\Users\Administrator\Desktop\&#24037;&#20316;&#31807;2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oleObject" Target="file:///C:\Users\Administrator\Desktop\&#24037;&#20316;&#31807;2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oleObject" Target="file:///C:\Users\Administrator\Desktop\&#24037;&#20316;&#31807;2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oleObject" Target="file:///C:\Users\Administrator\Desktop\&#24037;&#20316;&#31807;2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oleObject" Target="file:///C:\Users\Administrator\Desktop\&#24037;&#20316;&#31807;2.xlsx" TargetMode="External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oleObject" Target="file:///C:\Users\Administrator\Desktop\&#24037;&#20316;&#31807;2.xlsx" TargetMode="External"/></Relationships>
</file>

<file path=word/charts/_rels/chart9.xml.rels><?xml version="1.0" encoding="UTF-8" standalone="yes"?>
<Relationships xmlns="http://schemas.openxmlformats.org/package/2006/relationships"><Relationship Id="rId4" Type="http://schemas.microsoft.com/office/2011/relationships/chartColorStyle" Target="colors11.xml"/><Relationship Id="rId3" Type="http://schemas.microsoft.com/office/2011/relationships/chartStyle" Target="style11.xml"/><Relationship Id="rId2" Type="http://schemas.openxmlformats.org/officeDocument/2006/relationships/chartUserShapes" Target="../drawings/drawing5.xml"/><Relationship Id="rId1" Type="http://schemas.openxmlformats.org/officeDocument/2006/relationships/oleObject" Target="file:///C:\Users\Administrator\Desktop\&#24037;&#20316;&#31807;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ln>
                  <a:noFill/>
                </a:ln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ln>
                  <a:noFill/>
                </a:ln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ln>
                  <a:noFill/>
                </a:ln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1</a:t>
            </a:r>
            <a:r>
              <a:rPr sz="1200" b="1">
                <a:ln>
                  <a:noFill/>
                </a:ln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  2013-2018年地区生产总值及增长速度</a:t>
            </a:r>
            <a:endParaRPr sz="1200" b="1">
              <a:ln>
                <a:noFill/>
              </a:ln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198177006762717"/>
          <c:y val="0.0423579244617014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[工作簿2.xlsx]Sheet1!$A$2</c:f>
              <c:strCache>
                <c:ptCount val="1"/>
                <c:pt idx="0">
                  <c:v>地区生产总值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innerShdw blurRad="114300">
                <a:prstClr val="black"/>
              </a:innerShdw>
            </a:effectLst>
          </c:spPr>
          <c:invertIfNegative val="0"/>
          <c:dLbls>
            <c:dLbl>
              <c:idx val="0"/>
              <c:layout>
                <c:manualLayout>
                  <c:x val="0"/>
                  <c:y val="0.013391241404270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034020991675714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00146713615023474"/>
                  <c:y val="0.023887079261672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0.027144408251900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0.037278320665942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00410798122065728"/>
                  <c:y val="0.033659066232356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[工作簿2.xlsx]Sheet1!$B$1:$G$1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[工作簿2.xlsx]Sheet1!$B$2:$G$2</c:f>
              <c:numCache>
                <c:formatCode>General</c:formatCode>
                <c:ptCount val="6"/>
                <c:pt idx="0">
                  <c:v>82.18</c:v>
                </c:pt>
                <c:pt idx="1">
                  <c:v>90.41</c:v>
                </c:pt>
                <c:pt idx="2">
                  <c:v>97.38</c:v>
                </c:pt>
                <c:pt idx="3">
                  <c:v>104.45</c:v>
                </c:pt>
                <c:pt idx="4">
                  <c:v>115.11</c:v>
                </c:pt>
                <c:pt idx="5">
                  <c:v>123.54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-27"/>
        <c:axId val="491289124"/>
        <c:axId val="790817485"/>
      </c:barChart>
      <c:lineChart>
        <c:grouping val="standard"/>
        <c:varyColors val="0"/>
        <c:ser>
          <c:idx val="1"/>
          <c:order val="1"/>
          <c:tx>
            <c:strRef>
              <c:f>[工作簿2.xlsx]Sheet1!$A$3</c:f>
              <c:strCache>
                <c:ptCount val="1"/>
                <c:pt idx="0">
                  <c:v>增长速度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0509096244131455"/>
                  <c:y val="0.054650741947158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0412265258215962"/>
                  <c:y val="0.06116539992761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413732394366197"/>
                  <c:y val="0.06442272891784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440140845070423"/>
                  <c:y val="0.051031487513572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384389671361502"/>
                  <c:y val="0.060803474484256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42693661971831"/>
                  <c:y val="0.05428881650380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[工作簿2.xlsx]Sheet1!$B$1:$G$1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[工作簿2.xlsx]Sheet1!$B$3:$G$3</c:f>
              <c:numCache>
                <c:formatCode>General</c:formatCode>
                <c:ptCount val="6"/>
                <c:pt idx="0">
                  <c:v>10.6</c:v>
                </c:pt>
                <c:pt idx="1">
                  <c:v>9.3</c:v>
                </c:pt>
                <c:pt idx="2">
                  <c:v>7.7</c:v>
                </c:pt>
                <c:pt idx="3">
                  <c:v>6.4</c:v>
                </c:pt>
                <c:pt idx="4">
                  <c:v>7.1</c:v>
                </c:pt>
                <c:pt idx="5">
                  <c:v>8.1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59254485"/>
        <c:axId val="614307060"/>
      </c:lineChart>
      <c:catAx>
        <c:axId val="491289124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90817485"/>
        <c:crosses val="autoZero"/>
        <c:auto val="1"/>
        <c:lblAlgn val="ctr"/>
        <c:lblOffset val="100"/>
        <c:noMultiLvlLbl val="0"/>
      </c:catAx>
      <c:valAx>
        <c:axId val="790817485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t" anchorCtr="0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491289124"/>
        <c:crosses val="autoZero"/>
        <c:crossBetween val="between"/>
        <c:majorUnit val="30"/>
      </c:valAx>
      <c:catAx>
        <c:axId val="259254485"/>
        <c:scaling>
          <c:orientation val="minMax"/>
        </c:scaling>
        <c:delete val="1"/>
        <c:axPos val="b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14307060"/>
        <c:crosses val="autoZero"/>
        <c:auto val="1"/>
        <c:lblAlgn val="ctr"/>
        <c:lblOffset val="100"/>
        <c:noMultiLvlLbl val="0"/>
      </c:catAx>
      <c:valAx>
        <c:axId val="614307060"/>
        <c:scaling>
          <c:orientation val="minMax"/>
          <c:max val="25"/>
        </c:scaling>
        <c:delete val="0"/>
        <c:axPos val="r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259254485"/>
        <c:crosses val="max"/>
        <c:crossBetween val="between"/>
        <c:majorUnit val="5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>
        <c:manualLayout>
          <c:xMode val="edge"/>
          <c:yMode val="edge"/>
          <c:x val="0.314637146371464"/>
          <c:y val="0.171311234966266"/>
          <c:w val="0.393972939729397"/>
          <c:h val="0.097682604869463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ln>
                <a:noFill/>
              </a:ln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>
          <a:ln>
            <a:noFill/>
          </a:ln>
        </a:defRPr>
      </a:pPr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10  2013-2018</a:t>
            </a:r>
            <a:r>
              <a:rPr altLang="en-US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年金融机构存款余额及增长速度</a:t>
            </a:r>
            <a:endParaRPr altLang="en-US"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171951951951952"/>
          <c:y val="0.038461538461538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[工作簿2.xlsx]Sheet1!$A$153</c:f>
              <c:strCache>
                <c:ptCount val="1"/>
                <c:pt idx="0">
                  <c:v>存款余额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innerShdw blurRad="114300">
                <a:prstClr val="black"/>
              </a:innerShdw>
            </a:effectLst>
          </c:spPr>
          <c:invertIfNegative val="0"/>
          <c:dLbls>
            <c:dLbl>
              <c:idx val="2"/>
              <c:layout>
                <c:manualLayout>
                  <c:x val="-0.00131964809384164"/>
                  <c:y val="0.033586132177681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0131964809384164"/>
                  <c:y val="0.03719754423979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0.03719754423979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0278592375366569"/>
                  <c:y val="0.03719754423979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[工作簿2.xlsx]Sheet1!$B$152:$G$152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[工作簿2.xlsx]Sheet1!$B$153:$G$153</c:f>
              <c:numCache>
                <c:formatCode>General</c:formatCode>
                <c:ptCount val="6"/>
                <c:pt idx="0">
                  <c:v>104.78</c:v>
                </c:pt>
                <c:pt idx="1">
                  <c:v>113.68</c:v>
                </c:pt>
                <c:pt idx="2">
                  <c:v>145.46</c:v>
                </c:pt>
                <c:pt idx="3">
                  <c:v>186.27</c:v>
                </c:pt>
                <c:pt idx="4">
                  <c:v>197.47</c:v>
                </c:pt>
                <c:pt idx="5">
                  <c:v>206.44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-27"/>
        <c:axId val="54761844"/>
        <c:axId val="882486740"/>
      </c:barChart>
      <c:lineChart>
        <c:grouping val="standard"/>
        <c:varyColors val="0"/>
        <c:ser>
          <c:idx val="1"/>
          <c:order val="1"/>
          <c:tx>
            <c:strRef>
              <c:f>[工作簿2.xlsx]Sheet1!$A$154</c:f>
              <c:strCache>
                <c:ptCount val="1"/>
                <c:pt idx="0">
                  <c:v>比上年增长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0453079178885631"/>
                  <c:y val="0.03755868544600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0439882697947214"/>
                  <c:y val="0.060671722643553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439882697947214"/>
                  <c:y val="-0.061032863849765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467741935483871"/>
                  <c:y val="-0.0541711809317443"/>
                </c:manualLayout>
              </c:layout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 defTabSz="914400">
                      <a:defRPr lang="zh-CN" sz="900" b="0" i="0" u="none" strike="noStrike" kern="1200" baseline="0">
                        <a:solidFill>
                          <a:schemeClr val="tx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t>2</a:t>
                    </a:r>
                    <a:r>
                      <a:rPr lang="en-US" altLang="zh-CN"/>
                      <a:t>8</a:t>
                    </a:r>
                    <a:r>
                      <a:t>.1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288856304985337"/>
                  <c:y val="-0.067894546767786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426686217008798"/>
                  <c:y val="-0.064283134705669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[工作簿2.xlsx]Sheet1!$B$152:$G$152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[工作簿2.xlsx]Sheet1!$B$154:$G$154</c:f>
              <c:numCache>
                <c:formatCode>General</c:formatCode>
                <c:ptCount val="6"/>
                <c:pt idx="0">
                  <c:v>6.1</c:v>
                </c:pt>
                <c:pt idx="1">
                  <c:v>8.5</c:v>
                </c:pt>
                <c:pt idx="2">
                  <c:v>28</c:v>
                </c:pt>
                <c:pt idx="3">
                  <c:v>28.1</c:v>
                </c:pt>
                <c:pt idx="4">
                  <c:v>6</c:v>
                </c:pt>
                <c:pt idx="5">
                  <c:v>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13296151"/>
        <c:axId val="627936117"/>
      </c:lineChart>
      <c:catAx>
        <c:axId val="54761844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882486740"/>
        <c:crosses val="autoZero"/>
        <c:auto val="1"/>
        <c:lblAlgn val="ctr"/>
        <c:lblOffset val="100"/>
        <c:noMultiLvlLbl val="0"/>
      </c:catAx>
      <c:valAx>
        <c:axId val="882486740"/>
        <c:scaling>
          <c:orientation val="minMax"/>
          <c:max val="240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54761844"/>
        <c:crosses val="autoZero"/>
        <c:crossBetween val="between"/>
        <c:majorUnit val="40"/>
      </c:valAx>
      <c:catAx>
        <c:axId val="613296151"/>
        <c:scaling>
          <c:orientation val="minMax"/>
        </c:scaling>
        <c:delete val="1"/>
        <c:axPos val="b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27936117"/>
        <c:crosses val="autoZero"/>
        <c:auto val="1"/>
        <c:lblAlgn val="ctr"/>
        <c:lblOffset val="100"/>
        <c:noMultiLvlLbl val="0"/>
      </c:catAx>
      <c:valAx>
        <c:axId val="627936117"/>
        <c:scaling>
          <c:orientation val="minMax"/>
          <c:max val="30"/>
          <c:min val="0"/>
        </c:scaling>
        <c:delete val="0"/>
        <c:axPos val="r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613296151"/>
        <c:crosses val="max"/>
        <c:crossBetween val="between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>
        <c:manualLayout>
          <c:xMode val="edge"/>
          <c:yMode val="edge"/>
          <c:x val="0.300024582104228"/>
          <c:y val="0.170461354104254"/>
          <c:w val="0.420845624385447"/>
          <c:h val="0.0997603355302576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11</a:t>
            </a: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  2013-2018年城镇居民人均可支配收入</a:t>
            </a:r>
            <a:endParaRPr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236232598250585"/>
          <c:y val="0.0580875781948168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[工作簿2.xlsx]Sheet1!$A$196</c:f>
              <c:strCache>
                <c:ptCount val="1"/>
                <c:pt idx="0">
                  <c:v>城镇居民可支配收入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innerShdw blurRad="114300">
                <a:prstClr val="black"/>
              </a:innerShdw>
            </a:effectLst>
          </c:spPr>
          <c:invertIfNegative val="0"/>
          <c:dLbls>
            <c:dLbl>
              <c:idx val="0"/>
              <c:layout>
                <c:manualLayout>
                  <c:x val="0"/>
                  <c:y val="0.030303030303030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00278755868544601"/>
                  <c:y val="0.033910533910533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00146713615023474"/>
                  <c:y val="0.040404040404040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0410798122065728"/>
                  <c:y val="0.037518037518037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0146713615023474"/>
                  <c:y val="0.037157287157287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0.033910533910533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[工作簿2.xlsx]Sheet1!$B$195:$G$195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[工作簿2.xlsx]Sheet1!$B$196:$G$196</c:f>
              <c:numCache>
                <c:formatCode>General</c:formatCode>
                <c:ptCount val="6"/>
                <c:pt idx="0">
                  <c:v>19414</c:v>
                </c:pt>
                <c:pt idx="1">
                  <c:v>21666</c:v>
                </c:pt>
                <c:pt idx="2">
                  <c:v>23660</c:v>
                </c:pt>
                <c:pt idx="3">
                  <c:v>25792</c:v>
                </c:pt>
                <c:pt idx="4">
                  <c:v>28078</c:v>
                </c:pt>
                <c:pt idx="5">
                  <c:v>30575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-27"/>
        <c:axId val="357325818"/>
        <c:axId val="924246710"/>
      </c:barChart>
      <c:catAx>
        <c:axId val="357325818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924246710"/>
        <c:crosses val="autoZero"/>
        <c:auto val="1"/>
        <c:lblAlgn val="ctr"/>
        <c:lblOffset val="100"/>
        <c:noMultiLvlLbl val="0"/>
      </c:catAx>
      <c:valAx>
        <c:axId val="92424671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7325818"/>
        <c:crosses val="autoZero"/>
        <c:crossBetween val="between"/>
        <c:majorUnit val="7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图12  2013年-2018年农村居民人均可支配收入</a:t>
            </a:r>
            <a:endParaRPr lang="en-US" altLang="zh-CN"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227461936549063"/>
          <c:y val="0.0589709601833536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876535701252889"/>
          <c:y val="0.186804451510334"/>
          <c:w val="0.885585695170904"/>
          <c:h val="0.6890302066772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[工作簿2.xlsx]Sheet1!$A$174</c:f>
              <c:strCache>
                <c:ptCount val="1"/>
                <c:pt idx="0">
                  <c:v>农村居民可支配收入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innerShdw blurRad="114300">
                <a:prstClr val="black"/>
              </a:innerShdw>
            </a:effectLst>
          </c:spPr>
          <c:invertIfNegative val="0"/>
          <c:dLbls>
            <c:dLbl>
              <c:idx val="0"/>
              <c:layout>
                <c:manualLayout>
                  <c:x val="-0.00146713615023474"/>
                  <c:y val="0.030697002527988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00132042253521127"/>
                  <c:y val="0.033947273383893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0146713615023474"/>
                  <c:y val="0.033586132177681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00410798122065728"/>
                  <c:y val="0.03719754423979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0146713615023474"/>
                  <c:y val="0.030697002527988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0278755868544601"/>
                  <c:y val="0.040447815095702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[工作簿2.xlsx]Sheet1!$B$173:$G$173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[工作簿2.xlsx]Sheet1!$B$174:$G$174</c:f>
              <c:numCache>
                <c:formatCode>General</c:formatCode>
                <c:ptCount val="6"/>
                <c:pt idx="0">
                  <c:v>7203</c:v>
                </c:pt>
                <c:pt idx="1">
                  <c:v>8103</c:v>
                </c:pt>
                <c:pt idx="2">
                  <c:v>8973</c:v>
                </c:pt>
                <c:pt idx="3">
                  <c:v>9863</c:v>
                </c:pt>
                <c:pt idx="4">
                  <c:v>10833</c:v>
                </c:pt>
                <c:pt idx="5">
                  <c:v>11906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-27"/>
        <c:axId val="14763009"/>
        <c:axId val="981740982"/>
      </c:barChart>
      <c:catAx>
        <c:axId val="14763009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981740982"/>
        <c:crosses val="autoZero"/>
        <c:auto val="1"/>
        <c:lblAlgn val="ctr"/>
        <c:lblOffset val="100"/>
        <c:noMultiLvlLbl val="0"/>
      </c:catAx>
      <c:valAx>
        <c:axId val="98174098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4763009"/>
        <c:crosses val="autoZero"/>
        <c:crossBetween val="between"/>
        <c:majorUnit val="3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2</a:t>
            </a: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  2013-2018年三次产业增加值占GDP比重</a:t>
            </a:r>
            <a:endParaRPr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[工作簿2.xlsx]Sheet1!$A$211</c:f>
              <c:strCache>
                <c:ptCount val="1"/>
                <c:pt idx="0">
                  <c:v>一产业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[工作簿2.xlsx]Sheet1!$B$210:$G$210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[工作簿2.xlsx]Sheet1!$B$211:$G$211</c:f>
              <c:numCache>
                <c:formatCode>General</c:formatCode>
                <c:ptCount val="6"/>
                <c:pt idx="0">
                  <c:v>21.6</c:v>
                </c:pt>
                <c:pt idx="1">
                  <c:v>20</c:v>
                </c:pt>
                <c:pt idx="2">
                  <c:v>19.2</c:v>
                </c:pt>
                <c:pt idx="3">
                  <c:v>19.2</c:v>
                </c:pt>
                <c:pt idx="4">
                  <c:v>18</c:v>
                </c:pt>
                <c:pt idx="5">
                  <c:v>17.7</c:v>
                </c:pt>
              </c:numCache>
            </c:numRef>
          </c:val>
        </c:ser>
        <c:ser>
          <c:idx val="1"/>
          <c:order val="1"/>
          <c:tx>
            <c:strRef>
              <c:f>[工作簿2.xlsx]Sheet1!$A$212</c:f>
              <c:strCache>
                <c:ptCount val="1"/>
                <c:pt idx="0">
                  <c:v>二产业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.00147015583651867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[工作簿2.xlsx]Sheet1!$B$210:$G$210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[工作簿2.xlsx]Sheet1!$B$212:$G$212</c:f>
              <c:numCache>
                <c:formatCode>General</c:formatCode>
                <c:ptCount val="6"/>
                <c:pt idx="0">
                  <c:v>44.2</c:v>
                </c:pt>
                <c:pt idx="1">
                  <c:v>42.8</c:v>
                </c:pt>
                <c:pt idx="2">
                  <c:v>42.3</c:v>
                </c:pt>
                <c:pt idx="3">
                  <c:v>42</c:v>
                </c:pt>
                <c:pt idx="4">
                  <c:v>38.6</c:v>
                </c:pt>
                <c:pt idx="5">
                  <c:v>40.1</c:v>
                </c:pt>
              </c:numCache>
            </c:numRef>
          </c:val>
        </c:ser>
        <c:ser>
          <c:idx val="2"/>
          <c:order val="2"/>
          <c:tx>
            <c:strRef>
              <c:f>[工作簿2.xlsx]Sheet1!$A$213</c:f>
              <c:strCache>
                <c:ptCount val="1"/>
                <c:pt idx="0">
                  <c:v>三产业</c:v>
                </c:pt>
              </c:strCache>
            </c:strRef>
          </c:tx>
          <c:spPr>
            <a:gradFill>
              <a:gsLst>
                <a:gs pos="0">
                  <a:srgbClr val="9EE256"/>
                </a:gs>
                <a:gs pos="100000">
                  <a:srgbClr val="52762D"/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[工作簿2.xlsx]Sheet1!$B$210:$G$210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[工作簿2.xlsx]Sheet1!$B$213:$G$213</c:f>
              <c:numCache>
                <c:formatCode>General</c:formatCode>
                <c:ptCount val="6"/>
                <c:pt idx="0">
                  <c:v>34.2</c:v>
                </c:pt>
                <c:pt idx="1">
                  <c:v>37.2</c:v>
                </c:pt>
                <c:pt idx="2">
                  <c:v>38.5</c:v>
                </c:pt>
                <c:pt idx="3">
                  <c:v>38.8</c:v>
                </c:pt>
                <c:pt idx="4">
                  <c:v>43.4</c:v>
                </c:pt>
                <c:pt idx="5">
                  <c:v>42.2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100"/>
        <c:axId val="646613611"/>
        <c:axId val="713563872"/>
      </c:barChart>
      <c:catAx>
        <c:axId val="646613611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13563872"/>
        <c:crosses val="autoZero"/>
        <c:auto val="1"/>
        <c:lblAlgn val="ctr"/>
        <c:lblOffset val="100"/>
        <c:noMultiLvlLbl val="0"/>
      </c:catAx>
      <c:valAx>
        <c:axId val="71356387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646613611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2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>
        <c:manualLayout>
          <c:xMode val="edge"/>
          <c:yMode val="edge"/>
          <c:x val="0.337451550387597"/>
          <c:y val="0.171060339777387"/>
          <c:w val="0.351017441860465"/>
          <c:h val="0.0975395430579965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100" b="1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3</a:t>
            </a: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  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2013-2018</a:t>
            </a:r>
            <a:r>
              <a:rPr altLang="en-US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年民营经济增加值及增长速度</a:t>
            </a:r>
            <a:endParaRPr altLang="en-US"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215814738327979"/>
          <c:y val="0.095473357584125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[工作簿2.xlsx]Sheet1!$A$25</c:f>
              <c:strCache>
                <c:ptCount val="1"/>
                <c:pt idx="0">
                  <c:v>民营经济增加值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innerShdw blurRad="114300">
                <a:prstClr val="black"/>
              </a:innerShdw>
            </a:effectLst>
          </c:spPr>
          <c:invertIfNegative val="0"/>
          <c:dLbls>
            <c:dLbl>
              <c:idx val="0"/>
              <c:layout>
                <c:manualLayout>
                  <c:x val="0.00264084507042254"/>
                  <c:y val="0.047360809833694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00410798122065728"/>
                  <c:y val="0.010122921185827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0.040853217642805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0.033984092552422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00278755868544601"/>
                  <c:y val="0.03723788864786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00132042253521127"/>
                  <c:y val="0.040853217642805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[工作簿2.xlsx]Sheet1!$B$24:$G$24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[工作簿2.xlsx]Sheet1!$B$25:$G$25</c:f>
              <c:numCache>
                <c:formatCode>General</c:formatCode>
                <c:ptCount val="6"/>
                <c:pt idx="0">
                  <c:v>46.5</c:v>
                </c:pt>
                <c:pt idx="1">
                  <c:v>52.18</c:v>
                </c:pt>
                <c:pt idx="2">
                  <c:v>56.86</c:v>
                </c:pt>
                <c:pt idx="3">
                  <c:v>62.01</c:v>
                </c:pt>
                <c:pt idx="4">
                  <c:v>68.68</c:v>
                </c:pt>
                <c:pt idx="5">
                  <c:v>74.09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-27"/>
        <c:axId val="906947080"/>
        <c:axId val="511832941"/>
      </c:barChart>
      <c:lineChart>
        <c:grouping val="standard"/>
        <c:varyColors val="0"/>
        <c:ser>
          <c:idx val="1"/>
          <c:order val="1"/>
          <c:tx>
            <c:strRef>
              <c:f>[工作簿2.xlsx]Sheet1!$A$26</c:f>
              <c:strCache>
                <c:ptCount val="1"/>
                <c:pt idx="0">
                  <c:v>增速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0660211267605634"/>
                  <c:y val="-0.04049168474331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0509096244131455"/>
                  <c:y val="0.057845263919016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425469483568075"/>
                  <c:y val="0.054229934924078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42693661971831"/>
                  <c:y val="0.054229934924078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407486388979767"/>
                  <c:y val="0.062969295063094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441327150396253"/>
                  <c:y val="0.063240349161516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noFill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[工作簿2.xlsx]Sheet1!$B$24:$G$24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[工作簿2.xlsx]Sheet1!$B$26:$G$26</c:f>
              <c:numCache>
                <c:formatCode>General</c:formatCode>
                <c:ptCount val="6"/>
                <c:pt idx="0">
                  <c:v>12.4</c:v>
                </c:pt>
                <c:pt idx="1">
                  <c:v>10.1</c:v>
                </c:pt>
                <c:pt idx="2">
                  <c:v>8.3</c:v>
                </c:pt>
                <c:pt idx="3">
                  <c:v>6.7</c:v>
                </c:pt>
                <c:pt idx="4">
                  <c:v>7.2</c:v>
                </c:pt>
                <c:pt idx="5">
                  <c:v>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2506525"/>
        <c:axId val="695519348"/>
      </c:lineChart>
      <c:catAx>
        <c:axId val="906947080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511832941"/>
        <c:crosses val="autoZero"/>
        <c:auto val="1"/>
        <c:lblAlgn val="ctr"/>
        <c:lblOffset val="100"/>
        <c:noMultiLvlLbl val="0"/>
      </c:catAx>
      <c:valAx>
        <c:axId val="511832941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906947080"/>
        <c:crosses val="autoZero"/>
        <c:crossBetween val="between"/>
        <c:majorUnit val="20"/>
      </c:valAx>
      <c:catAx>
        <c:axId val="82506525"/>
        <c:scaling>
          <c:orientation val="minMax"/>
        </c:scaling>
        <c:delete val="1"/>
        <c:axPos val="b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95519348"/>
        <c:crosses val="autoZero"/>
        <c:auto val="1"/>
        <c:lblAlgn val="ctr"/>
        <c:lblOffset val="100"/>
        <c:noMultiLvlLbl val="0"/>
      </c:catAx>
      <c:valAx>
        <c:axId val="695519348"/>
        <c:scaling>
          <c:orientation val="minMax"/>
        </c:scaling>
        <c:delete val="0"/>
        <c:axPos val="r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82506525"/>
        <c:crosses val="max"/>
        <c:crossBetween val="between"/>
        <c:majorUnit val="4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>
        <c:manualLayout>
          <c:xMode val="edge"/>
          <c:yMode val="edge"/>
          <c:x val="0.331243972999036"/>
          <c:y val="0.23967684021544"/>
          <c:w val="0.349445515911283"/>
          <c:h val="0.094254937163375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0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4  2013-2018</a:t>
            </a:r>
            <a:r>
              <a:rPr altLang="en-US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年民营经济三次产业增加值占比</a:t>
            </a:r>
            <a:endParaRPr altLang="en-US"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183381162212334"/>
          <c:y val="0.0522910294413826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[工作簿2.xlsx]Sheet1!$A$231</c:f>
              <c:strCache>
                <c:ptCount val="1"/>
                <c:pt idx="0">
                  <c:v>民营经济一产业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[工作簿2.xlsx]Sheet1!$B$230:$G$230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[工作簿2.xlsx]Sheet1!$B$231:$G$231</c:f>
              <c:numCache>
                <c:formatCode>General</c:formatCode>
                <c:ptCount val="6"/>
                <c:pt idx="0">
                  <c:v>12.3</c:v>
                </c:pt>
                <c:pt idx="1">
                  <c:v>10.8</c:v>
                </c:pt>
                <c:pt idx="2">
                  <c:v>10.8</c:v>
                </c:pt>
                <c:pt idx="3">
                  <c:v>10.7</c:v>
                </c:pt>
                <c:pt idx="4">
                  <c:v>10.7</c:v>
                </c:pt>
                <c:pt idx="5">
                  <c:v>10.4</c:v>
                </c:pt>
              </c:numCache>
            </c:numRef>
          </c:val>
        </c:ser>
        <c:ser>
          <c:idx val="1"/>
          <c:order val="1"/>
          <c:tx>
            <c:strRef>
              <c:f>[工作簿2.xlsx]Sheet1!$A$232</c:f>
              <c:strCache>
                <c:ptCount val="1"/>
                <c:pt idx="0">
                  <c:v>民营经济二产业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[工作簿2.xlsx]Sheet1!$B$230:$G$230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[工作簿2.xlsx]Sheet1!$B$232:$G$232</c:f>
              <c:numCache>
                <c:formatCode>General</c:formatCode>
                <c:ptCount val="6"/>
                <c:pt idx="0">
                  <c:v>45.6</c:v>
                </c:pt>
                <c:pt idx="1">
                  <c:v>46.6</c:v>
                </c:pt>
                <c:pt idx="2">
                  <c:v>47.1</c:v>
                </c:pt>
                <c:pt idx="3">
                  <c:v>47.3</c:v>
                </c:pt>
                <c:pt idx="4">
                  <c:v>49.4</c:v>
                </c:pt>
                <c:pt idx="5">
                  <c:v>49.6</c:v>
                </c:pt>
              </c:numCache>
            </c:numRef>
          </c:val>
        </c:ser>
        <c:ser>
          <c:idx val="2"/>
          <c:order val="2"/>
          <c:tx>
            <c:strRef>
              <c:f>[工作簿2.xlsx]Sheet1!$A$233</c:f>
              <c:strCache>
                <c:ptCount val="1"/>
                <c:pt idx="0">
                  <c:v>民营经济三产业</c:v>
                </c:pt>
              </c:strCache>
            </c:strRef>
          </c:tx>
          <c:spPr>
            <a:gradFill>
              <a:gsLst>
                <a:gs pos="0">
                  <a:srgbClr val="9EE256"/>
                </a:gs>
                <a:gs pos="100000">
                  <a:srgbClr val="52762D"/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b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[工作簿2.xlsx]Sheet1!$B$230:$G$230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[工作簿2.xlsx]Sheet1!$B$233:$G$233</c:f>
              <c:numCache>
                <c:formatCode>General</c:formatCode>
                <c:ptCount val="6"/>
                <c:pt idx="0">
                  <c:v>42.1</c:v>
                </c:pt>
                <c:pt idx="1">
                  <c:v>42.6</c:v>
                </c:pt>
                <c:pt idx="2">
                  <c:v>42.1</c:v>
                </c:pt>
                <c:pt idx="3">
                  <c:v>42</c:v>
                </c:pt>
                <c:pt idx="4">
                  <c:v>39.9</c:v>
                </c:pt>
                <c:pt idx="5">
                  <c:v>40.1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100"/>
        <c:axId val="396348282"/>
        <c:axId val="131042510"/>
      </c:barChart>
      <c:catAx>
        <c:axId val="396348282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31042510"/>
        <c:crosses val="autoZero"/>
        <c:auto val="1"/>
        <c:lblAlgn val="ctr"/>
        <c:lblOffset val="100"/>
        <c:noMultiLvlLbl val="0"/>
      </c:catAx>
      <c:valAx>
        <c:axId val="13104251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96348282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2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0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5</a:t>
            </a: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  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2013-2018</a:t>
            </a:r>
            <a:r>
              <a:rPr altLang="en-US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年全部工业及规上工业增长速度</a:t>
            </a:r>
            <a:endParaRPr altLang="en-US"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222810091629528"/>
          <c:y val="0.100922952676548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[工作簿2.xlsx]Sheet1!$A$46</c:f>
              <c:strCache>
                <c:ptCount val="1"/>
                <c:pt idx="0">
                  <c:v>全部工业增速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0"/>
                  <c:y val="-0.023508137432188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0542840375586854"/>
                  <c:y val="-0.027124773960217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0278755868544597"/>
                  <c:y val="-0.0292076661943458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-0.023508137432188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0580243419190487"/>
                  <c:y val="-0.020371358007081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[工作簿2.xlsx]Sheet1!$B$45:$G$45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[工作簿2.xlsx]Sheet1!$B$46:$G$46</c:f>
              <c:numCache>
                <c:formatCode>General</c:formatCode>
                <c:ptCount val="6"/>
                <c:pt idx="0">
                  <c:v>11.7</c:v>
                </c:pt>
                <c:pt idx="1">
                  <c:v>10.6</c:v>
                </c:pt>
                <c:pt idx="2">
                  <c:v>10.2</c:v>
                </c:pt>
                <c:pt idx="3">
                  <c:v>8.6</c:v>
                </c:pt>
                <c:pt idx="4">
                  <c:v>9.1</c:v>
                </c:pt>
                <c:pt idx="5">
                  <c:v>8.4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[工作簿2.xlsx]Sheet1!$A$47</c:f>
              <c:strCache>
                <c:ptCount val="1"/>
                <c:pt idx="0">
                  <c:v>规上工业增速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0.00146713615023474"/>
                  <c:y val="0.03037974683544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0.01699819168173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0.01699819168173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00146713615023474"/>
                  <c:y val="0.030741410488245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00264084507042254"/>
                  <c:y val="0.02386980108499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noFill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[工作簿2.xlsx]Sheet1!$B$45:$G$45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[工作簿2.xlsx]Sheet1!$B$47:$G$47</c:f>
              <c:numCache>
                <c:formatCode>General</c:formatCode>
                <c:ptCount val="6"/>
                <c:pt idx="0">
                  <c:v>11.2</c:v>
                </c:pt>
                <c:pt idx="1">
                  <c:v>11.8</c:v>
                </c:pt>
                <c:pt idx="2">
                  <c:v>10.8</c:v>
                </c:pt>
                <c:pt idx="3">
                  <c:v>10.7</c:v>
                </c:pt>
                <c:pt idx="4">
                  <c:v>9.6</c:v>
                </c:pt>
                <c:pt idx="5">
                  <c:v>8.7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83743039"/>
        <c:axId val="319543814"/>
      </c:lineChart>
      <c:catAx>
        <c:axId val="483743039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19543814"/>
        <c:crosses val="autoZero"/>
        <c:auto val="1"/>
        <c:lblAlgn val="ctr"/>
        <c:lblOffset val="100"/>
        <c:noMultiLvlLbl val="0"/>
      </c:catAx>
      <c:valAx>
        <c:axId val="319543814"/>
        <c:scaling>
          <c:orientation val="minMax"/>
          <c:max val="15"/>
          <c:min val="7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483743039"/>
        <c:crosses val="autoZero"/>
        <c:crossBetween val="between"/>
        <c:majorUnit val="2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>
        <c:manualLayout>
          <c:xMode val="edge"/>
          <c:yMode val="edge"/>
          <c:x val="0.324247207382224"/>
          <c:y val="0.246459694989107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6</a:t>
            </a: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  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2013-2018</a:t>
            </a:r>
            <a:r>
              <a:rPr altLang="en-US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年建筑业增加值及增长速度</a:t>
            </a:r>
            <a:endParaRPr altLang="en-US"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[工作簿2.xlsx]Sheet1!$A$67</c:f>
              <c:strCache>
                <c:ptCount val="1"/>
                <c:pt idx="0">
                  <c:v>建筑业增加值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innerShdw blurRad="114300">
                <a:prstClr val="black"/>
              </a:innerShdw>
            </a:effectLst>
          </c:spPr>
          <c:invertIfNegative val="0"/>
          <c:dLbls>
            <c:dLbl>
              <c:idx val="0"/>
              <c:layout>
                <c:manualLayout>
                  <c:x val="0.00132042253521127"/>
                  <c:y val="0.033947273383893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00132042253521127"/>
                  <c:y val="0.033586132177681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0146713615023474"/>
                  <c:y val="0.03719754423979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00264084507042254"/>
                  <c:y val="0.040447815095702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0132042253521127"/>
                  <c:y val="0.030335861321776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0.033947273383893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[工作簿2.xlsx]Sheet1!$B$66:$G$66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[工作簿2.xlsx]Sheet1!$B$67:$G$67</c:f>
              <c:numCache>
                <c:formatCode>General</c:formatCode>
                <c:ptCount val="6"/>
                <c:pt idx="0">
                  <c:v>22.16</c:v>
                </c:pt>
                <c:pt idx="1">
                  <c:v>23.26</c:v>
                </c:pt>
                <c:pt idx="2">
                  <c:v>24.01</c:v>
                </c:pt>
                <c:pt idx="3">
                  <c:v>25.43</c:v>
                </c:pt>
                <c:pt idx="4">
                  <c:v>22.57</c:v>
                </c:pt>
                <c:pt idx="5">
                  <c:v>24.09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-27"/>
        <c:axId val="221914886"/>
        <c:axId val="199824889"/>
      </c:barChart>
      <c:lineChart>
        <c:grouping val="standard"/>
        <c:varyColors val="0"/>
        <c:ser>
          <c:idx val="1"/>
          <c:order val="1"/>
          <c:tx>
            <c:strRef>
              <c:f>[工作簿2.xlsx]Sheet1!$A$68</c:f>
              <c:strCache>
                <c:ptCount val="1"/>
                <c:pt idx="0">
                  <c:v>比上年增长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0449739351383881"/>
                  <c:y val="0.05253267184599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0413732394366197"/>
                  <c:y val="0.061032863849765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389462526550392"/>
                  <c:y val="0.043527112914684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3661125908205"/>
                  <c:y val="0.054092092790738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412265258215962"/>
                  <c:y val="0.05055976886962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440140845070423"/>
                  <c:y val="0.05055976886962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[工作簿2.xlsx]Sheet1!$B$66:$G$66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[工作簿2.xlsx]Sheet1!$B$68:$G$68</c:f>
              <c:numCache>
                <c:formatCode>General</c:formatCode>
                <c:ptCount val="6"/>
                <c:pt idx="0">
                  <c:v>20.9</c:v>
                </c:pt>
                <c:pt idx="1">
                  <c:v>13</c:v>
                </c:pt>
                <c:pt idx="2">
                  <c:v>5.5</c:v>
                </c:pt>
                <c:pt idx="3">
                  <c:v>7.5</c:v>
                </c:pt>
                <c:pt idx="4">
                  <c:v>9.2</c:v>
                </c:pt>
                <c:pt idx="5">
                  <c:v>9.5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0854622"/>
        <c:axId val="807314767"/>
      </c:lineChart>
      <c:catAx>
        <c:axId val="221914886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99824889"/>
        <c:crosses val="autoZero"/>
        <c:auto val="1"/>
        <c:lblAlgn val="ctr"/>
        <c:lblOffset val="100"/>
        <c:noMultiLvlLbl val="0"/>
      </c:catAx>
      <c:valAx>
        <c:axId val="199824889"/>
        <c:scaling>
          <c:orientation val="minMax"/>
          <c:max val="30"/>
          <c:min val="0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221914886"/>
        <c:crosses val="autoZero"/>
        <c:crossBetween val="between"/>
        <c:majorUnit val="10"/>
      </c:valAx>
      <c:catAx>
        <c:axId val="340854622"/>
        <c:scaling>
          <c:orientation val="minMax"/>
        </c:scaling>
        <c:delete val="1"/>
        <c:axPos val="b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07314767"/>
        <c:crosses val="autoZero"/>
        <c:auto val="1"/>
        <c:lblAlgn val="ctr"/>
        <c:lblOffset val="100"/>
        <c:noMultiLvlLbl val="0"/>
      </c:catAx>
      <c:valAx>
        <c:axId val="807314767"/>
        <c:scaling>
          <c:orientation val="minMax"/>
          <c:max val="30"/>
        </c:scaling>
        <c:delete val="0"/>
        <c:axPos val="r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40854622"/>
        <c:crosses val="max"/>
        <c:crossBetween val="between"/>
        <c:majorUnit val="10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7  2013-2018</a:t>
            </a:r>
            <a:r>
              <a:rPr altLang="en-US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年全社会固定资产投资增长速度</a:t>
            </a:r>
            <a:endParaRPr altLang="en-US"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218518034227929"/>
          <c:y val="0.0616649868388354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[工作簿2.xlsx]Sheet1!$A$87</c:f>
              <c:strCache>
                <c:ptCount val="1"/>
                <c:pt idx="0">
                  <c:v>增长速度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00410798122065728"/>
                  <c:y val="-0.0303249097472924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00132042253521127"/>
                  <c:y val="-0.0375451263537906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0425469483568075"/>
                  <c:y val="-0.0335740072202166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0132042253521127"/>
                  <c:y val="-0.0375451263537906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0410798122065728"/>
                  <c:y val="-0.0339350180505415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0146713615023474"/>
                  <c:y val="-0.0371841155234657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[工作簿2.xlsx]Sheet1!$B$86:$G$86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[工作簿2.xlsx]Sheet1!$B$87:$G$87</c:f>
              <c:numCache>
                <c:formatCode>General</c:formatCode>
                <c:ptCount val="6"/>
                <c:pt idx="0">
                  <c:v>34.7</c:v>
                </c:pt>
                <c:pt idx="1">
                  <c:v>30.2</c:v>
                </c:pt>
                <c:pt idx="2">
                  <c:v>20.6</c:v>
                </c:pt>
                <c:pt idx="3">
                  <c:v>12.9</c:v>
                </c:pt>
                <c:pt idx="4">
                  <c:v>14.9</c:v>
                </c:pt>
                <c:pt idx="5">
                  <c:v>10.2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55341838"/>
        <c:axId val="543272172"/>
      </c:lineChart>
      <c:catAx>
        <c:axId val="655341838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543272172"/>
        <c:crosses val="autoZero"/>
        <c:auto val="1"/>
        <c:lblAlgn val="ctr"/>
        <c:lblOffset val="100"/>
        <c:noMultiLvlLbl val="0"/>
      </c:catAx>
      <c:valAx>
        <c:axId val="543272172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655341838"/>
        <c:crosses val="autoZero"/>
        <c:crossBetween val="between"/>
        <c:majorUnit val="10"/>
        <c:minorUnit val="0.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altLang="en-US" sz="1200" b="1">
                <a:solidFill>
                  <a:sysClr val="windowText" lastClr="000000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</a:rPr>
              <a:t>图</a:t>
            </a:r>
            <a:r>
              <a:rPr lang="en-US" altLang="zh-CN" sz="1200" b="1">
                <a:solidFill>
                  <a:sysClr val="windowText" lastClr="000000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</a:rPr>
              <a:t>8  2013-2018</a:t>
            </a:r>
            <a:r>
              <a:rPr altLang="en-US" sz="1200" b="1">
                <a:solidFill>
                  <a:sysClr val="windowText" lastClr="000000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</a:rPr>
              <a:t>年社会消费品零售总额增长速度</a:t>
            </a:r>
            <a:endParaRPr altLang="en-US" sz="1200" b="1">
              <a:solidFill>
                <a:sysClr val="windowText" lastClr="000000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</a:endParaRPr>
          </a:p>
        </c:rich>
      </c:tx>
      <c:layout>
        <c:manualLayout>
          <c:xMode val="edge"/>
          <c:yMode val="edge"/>
          <c:x val="0.220118052139695"/>
          <c:y val="0.059571088165210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[工作簿2.xlsx]Sheet1!$A$109</c:f>
              <c:strCache>
                <c:ptCount val="1"/>
                <c:pt idx="0">
                  <c:v>比上年增长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00410798122065728"/>
                  <c:y val="-0.0335497835497836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00278755868544601"/>
                  <c:y val="-0.0339105339105339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0410798122065728"/>
                  <c:y val="-0.037157287157287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0132042253521127"/>
                  <c:y val="-0.027056277056277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-0.027056277056277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0264084507042254"/>
                  <c:y val="-0.037157287157287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[工作簿2.xlsx]Sheet1!$B$108:$G$108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[工作簿2.xlsx]Sheet1!$B$109:$G$109</c:f>
              <c:numCache>
                <c:formatCode>General</c:formatCode>
                <c:ptCount val="6"/>
                <c:pt idx="0">
                  <c:v>14.9</c:v>
                </c:pt>
                <c:pt idx="1">
                  <c:v>12.6</c:v>
                </c:pt>
                <c:pt idx="2">
                  <c:v>13.2</c:v>
                </c:pt>
                <c:pt idx="3">
                  <c:v>12.8</c:v>
                </c:pt>
                <c:pt idx="4">
                  <c:v>12.5</c:v>
                </c:pt>
                <c:pt idx="5">
                  <c:v>11.6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73932495"/>
        <c:axId val="905335871"/>
      </c:lineChart>
      <c:catAx>
        <c:axId val="273932495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905335871"/>
        <c:crosses val="autoZero"/>
        <c:auto val="1"/>
        <c:lblAlgn val="ctr"/>
        <c:lblOffset val="100"/>
        <c:noMultiLvlLbl val="0"/>
      </c:catAx>
      <c:valAx>
        <c:axId val="905335871"/>
        <c:scaling>
          <c:orientation val="minMax"/>
          <c:max val="20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</a:p>
        </c:txPr>
        <c:crossAx val="273932495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200" b="1" i="0" u="none" strike="noStrike" kern="1200" spc="0" baseline="0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defRPr>
            </a:pPr>
            <a:r>
              <a:rPr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图</a:t>
            </a:r>
            <a:r>
              <a:rPr lang="en-US" altLang="zh-CN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9  2013-2018</a:t>
            </a:r>
            <a:r>
              <a:rPr altLang="en-US" sz="1200" b="1">
                <a:solidFill>
                  <a:schemeClr val="tx1"/>
                </a:solidFill>
                <a:latin typeface="楷体" panose="02010609060101010101" charset="-122"/>
                <a:ea typeface="楷体" panose="02010609060101010101" charset="-122"/>
                <a:cs typeface="楷体" panose="02010609060101010101" charset="-122"/>
                <a:sym typeface="楷体" panose="02010609060101010101" charset="-122"/>
              </a:rPr>
              <a:t>年地方一般公共预算收入及增长速度</a:t>
            </a:r>
            <a:endParaRPr altLang="en-US" sz="1200" b="1">
              <a:solidFill>
                <a:schemeClr val="tx1"/>
              </a:solidFill>
              <a:latin typeface="楷体" panose="02010609060101010101" charset="-122"/>
              <a:ea typeface="楷体" panose="02010609060101010101" charset="-122"/>
              <a:cs typeface="楷体" panose="02010609060101010101" charset="-122"/>
              <a:sym typeface="楷体" panose="02010609060101010101" charset="-122"/>
            </a:endParaRPr>
          </a:p>
        </c:rich>
      </c:tx>
      <c:layout>
        <c:manualLayout>
          <c:xMode val="edge"/>
          <c:yMode val="edge"/>
          <c:x val="0.175048427762228"/>
          <c:y val="0.0343432664852278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[工作簿2.xlsx]Sheet1!$A$129</c:f>
              <c:strCache>
                <c:ptCount val="1"/>
                <c:pt idx="0">
                  <c:v>地方一般公共预算收入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innerShdw blurRad="114300">
                <a:prstClr val="black"/>
              </a:innerShdw>
            </a:effectLst>
          </c:spPr>
          <c:invertIfNegative val="0"/>
          <c:dLbls>
            <c:dLbl>
              <c:idx val="0"/>
              <c:layout>
                <c:manualLayout>
                  <c:x val="0.00146670577882077"/>
                  <c:y val="0.040433212996389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037184115523465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0.033935018050541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00146670577882077"/>
                  <c:y val="0.037184115523465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0.04404332129963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00146670577882077"/>
                  <c:y val="0.033574007220216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[工作簿2.xlsx]Sheet1!$B$128:$G$128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[工作簿2.xlsx]Sheet1!$B$129:$G$129</c:f>
              <c:numCache>
                <c:formatCode>General</c:formatCode>
                <c:ptCount val="6"/>
                <c:pt idx="0">
                  <c:v>2.92</c:v>
                </c:pt>
                <c:pt idx="1">
                  <c:v>3.46</c:v>
                </c:pt>
                <c:pt idx="2">
                  <c:v>3.81</c:v>
                </c:pt>
                <c:pt idx="3">
                  <c:v>4.31</c:v>
                </c:pt>
                <c:pt idx="4">
                  <c:v>4.61</c:v>
                </c:pt>
                <c:pt idx="5">
                  <c:v>4.62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-27"/>
        <c:axId val="901497926"/>
        <c:axId val="97886316"/>
      </c:barChart>
      <c:lineChart>
        <c:grouping val="standard"/>
        <c:varyColors val="0"/>
        <c:ser>
          <c:idx val="1"/>
          <c:order val="1"/>
          <c:tx>
            <c:strRef>
              <c:f>[工作簿2.xlsx]Sheet1!$A$130</c:f>
              <c:strCache>
                <c:ptCount val="1"/>
                <c:pt idx="0">
                  <c:v>比上年增长</c:v>
                </c:pt>
              </c:strCache>
            </c:strRef>
          </c:tx>
          <c:spPr>
            <a:ln w="28575" cap="sq">
              <a:solidFill>
                <a:schemeClr val="accent2"/>
              </a:solidFill>
              <a:bevel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0481079495453212"/>
                  <c:y val="-0.047292418772563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049574655324142"/>
                  <c:y val="0.050541516245487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467879143443825"/>
                  <c:y val="-0.05090252707581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398943971839249"/>
                  <c:y val="-0.050541516245487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0412144323848636"/>
                  <c:y val="-0.061010830324909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035713209890976"/>
                  <c:y val="-0.071119133574007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noFill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[工作簿2.xlsx]Sheet1!$B$128:$G$128</c:f>
              <c:strCache>
                <c:ptCount val="6"/>
                <c:pt idx="0">
                  <c:v>2013年</c:v>
                </c:pt>
                <c:pt idx="1">
                  <c:v>2014年</c:v>
                </c:pt>
                <c:pt idx="2">
                  <c:v>2015年</c:v>
                </c:pt>
                <c:pt idx="3">
                  <c:v>2016年</c:v>
                </c:pt>
                <c:pt idx="4">
                  <c:v>2017年</c:v>
                </c:pt>
                <c:pt idx="5">
                  <c:v>2018年</c:v>
                </c:pt>
              </c:strCache>
            </c:strRef>
          </c:cat>
          <c:val>
            <c:numRef>
              <c:f>[工作簿2.xlsx]Sheet1!$B$130:$G$130</c:f>
              <c:numCache>
                <c:formatCode>General</c:formatCode>
                <c:ptCount val="6"/>
                <c:pt idx="0">
                  <c:v>34.1</c:v>
                </c:pt>
                <c:pt idx="1">
                  <c:v>18.2</c:v>
                </c:pt>
                <c:pt idx="2">
                  <c:v>10.4</c:v>
                </c:pt>
                <c:pt idx="3">
                  <c:v>13</c:v>
                </c:pt>
                <c:pt idx="4">
                  <c:v>6.9</c:v>
                </c:pt>
                <c:pt idx="5">
                  <c:v>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09556667"/>
        <c:axId val="509404647"/>
      </c:lineChart>
      <c:catAx>
        <c:axId val="901497926"/>
        <c:scaling>
          <c:orientation val="minMax"/>
        </c:scaling>
        <c:delete val="0"/>
        <c:axPos val="b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97886316"/>
        <c:crosses val="autoZero"/>
        <c:auto val="1"/>
        <c:lblAlgn val="ctr"/>
        <c:lblOffset val="100"/>
        <c:noMultiLvlLbl val="0"/>
      </c:catAx>
      <c:valAx>
        <c:axId val="97886316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901497926"/>
        <c:crosses val="autoZero"/>
        <c:crossBetween val="between"/>
        <c:majorUnit val="1"/>
      </c:valAx>
      <c:catAx>
        <c:axId val="509556667"/>
        <c:scaling>
          <c:orientation val="minMax"/>
        </c:scaling>
        <c:delete val="1"/>
        <c:axPos val="b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09404647"/>
        <c:crosses val="autoZero"/>
        <c:auto val="1"/>
        <c:lblAlgn val="ctr"/>
        <c:lblOffset val="100"/>
        <c:noMultiLvlLbl val="0"/>
      </c:catAx>
      <c:valAx>
        <c:axId val="509404647"/>
        <c:scaling>
          <c:orientation val="minMax"/>
          <c:max val="40"/>
        </c:scaling>
        <c:delete val="0"/>
        <c:axPos val="r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509556667"/>
        <c:crosses val="max"/>
        <c:crossBetween val="between"/>
        <c:majorUnit val="8"/>
      </c:valAx>
      <c:spPr>
        <a:noFill/>
        <a:ln>
          <a:noFill/>
        </a:ln>
        <a:effectLst/>
      </c:spPr>
    </c:plotArea>
    <c:legend>
      <c:legendPos val="t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  <c:userShapes r:id="rId2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0.0297029702970297</cdr:x>
      <cdr:y>0.151679674244995</cdr:y>
    </cdr:from>
    <cdr:to>
      <cdr:x>0.0715381397294659</cdr:x>
      <cdr:y>0.263657957244656</cdr:y>
    </cdr:to>
    <cdr:sp>
      <cdr:nvSpPr>
        <cdr:cNvPr id="2" name="矩形 1"/>
        <cdr:cNvSpPr/>
      </cdr:nvSpPr>
      <cdr:spPr xmlns:a="http://schemas.openxmlformats.org/drawingml/2006/main">
        <a:xfrm xmlns:a="http://schemas.openxmlformats.org/drawingml/2006/main">
          <a:off x="135255" y="283845"/>
          <a:ext cx="190500" cy="209550"/>
        </a:xfrm>
        <a:prstGeom xmlns:a="http://schemas.openxmlformats.org/drawingml/2006/main" prst="rect">
          <a:avLst/>
        </a:prstGeom>
      </cdr:spPr>
      <cdr:txBody xmlns:a="http://schemas.openxmlformats.org/drawingml/2006/main">
        <a:bodyPr vertOverflow="clip" horzOverflow="clip" vert="horz" wrap="square" lIns="45720" tIns="45720" rIns="45720" bIns="45720" rtlCol="0" anchor="t" anchorCtr="0">
          <a:normAutofit/>
        </a:bodyPr>
        <a:p>
          <a:endParaRPr lang="zh-CN" altLang="en-US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0.249529599495906</cdr:y>
    </cdr:from>
    <cdr:to>
      <cdr:x>0.10679164105716</cdr:x>
      <cdr:y>0.356661524809649</cdr:y>
    </cdr:to>
    <cdr:sp>
      <cdr:nvSpPr>
        <cdr:cNvPr id="2" name="矩形 1"/>
        <cdr:cNvSpPr/>
      </cdr:nvSpPr>
      <cdr:spPr xmlns:a="http://schemas.openxmlformats.org/drawingml/2006/main">
        <a:xfrm xmlns:a="http://schemas.openxmlformats.org/drawingml/2006/main">
          <a:off x="0" y="448893"/>
          <a:ext cx="461262" cy="192726"/>
        </a:xfrm>
        <a:prstGeom xmlns:a="http://schemas.openxmlformats.org/drawingml/2006/main" prst="rect">
          <a:avLst/>
        </a:prstGeom>
      </cdr:spPr>
      <cdr:txBody xmlns:a="http://schemas.openxmlformats.org/drawingml/2006/main">
        <a:bodyPr vertOverflow="clip" horzOverflow="clip" vert="horz" wrap="square" lIns="45720" tIns="45720" rIns="45720" bIns="45720" rtlCol="0" anchor="t" anchorCtr="0">
          <a:normAutofit/>
        </a:bodyPr>
        <a:p>
          <a:endParaRPr lang="zh-CN" altLang="en-US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0.214865303472898</cdr:y>
    </cdr:from>
    <cdr:to>
      <cdr:x>0.149326977005048</cdr:x>
      <cdr:y>0.326841934436871</cdr:y>
    </cdr:to>
    <cdr:sp>
      <cdr:nvSpPr>
        <cdr:cNvPr id="2" name="矩形 1"/>
        <cdr:cNvSpPr/>
      </cdr:nvSpPr>
      <cdr:spPr xmlns:a="http://schemas.openxmlformats.org/drawingml/2006/main">
        <a:xfrm xmlns:a="http://schemas.openxmlformats.org/drawingml/2006/main">
          <a:off x="0" y="420370"/>
          <a:ext cx="676275" cy="219075"/>
        </a:xfrm>
        <a:prstGeom xmlns:a="http://schemas.openxmlformats.org/drawingml/2006/main" prst="rect">
          <a:avLst/>
        </a:prstGeom>
      </cdr:spPr>
      <cdr:txBody xmlns:a="http://schemas.openxmlformats.org/drawingml/2006/main">
        <a:bodyPr vertOverflow="clip" horzOverflow="clip" vert="horz" wrap="square" lIns="45720" tIns="45720" rIns="45720" bIns="45720" rtlCol="0" anchor="t" anchorCtr="0">
          <a:normAutofit/>
        </a:bodyPr>
        <a:p>
          <a:endParaRPr lang="zh-CN" altLang="en-US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0.00308732725668921</cdr:x>
      <cdr:y>0.0667137310271797</cdr:y>
    </cdr:from>
    <cdr:to>
      <cdr:x>0.119376653925316</cdr:x>
      <cdr:y>0.200141193081539</cdr:y>
    </cdr:to>
    <cdr:sp>
      <cdr:nvSpPr>
        <cdr:cNvPr id="2" name="矩形 1"/>
        <cdr:cNvSpPr/>
      </cdr:nvSpPr>
      <cdr:spPr xmlns:a="http://schemas.openxmlformats.org/drawingml/2006/main">
        <a:xfrm xmlns:a="http://schemas.openxmlformats.org/drawingml/2006/main">
          <a:off x="13335" y="120015"/>
          <a:ext cx="502285" cy="240030"/>
        </a:xfrm>
        <a:prstGeom xmlns:a="http://schemas.openxmlformats.org/drawingml/2006/main" prst="rect">
          <a:avLst/>
        </a:prstGeom>
      </cdr:spPr>
      <cdr:txBody xmlns:a="http://schemas.openxmlformats.org/drawingml/2006/main">
        <a:bodyPr vertOverflow="clip" horzOverflow="clip" vert="horz" wrap="square" lIns="45720" tIns="45720" rIns="45720" bIns="45720" rtlCol="0" anchor="t" anchorCtr="0">
          <a:normAutofit/>
        </a:bodyPr>
        <a:p>
          <a:endParaRPr lang="zh-CN" altLang="en-US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0.0120992135511192</cdr:x>
      <cdr:y>0.226880877742947</cdr:y>
    </cdr:from>
    <cdr:to>
      <cdr:x>0.0966424682395644</cdr:x>
      <cdr:y>0.364420062695925</cdr:y>
    </cdr:to>
    <cdr:sp>
      <cdr:nvSpPr>
        <cdr:cNvPr id="2" name="矩形 1"/>
        <cdr:cNvSpPr/>
      </cdr:nvSpPr>
      <cdr:spPr xmlns:a="http://schemas.openxmlformats.org/drawingml/2006/main">
        <a:xfrm xmlns:a="http://schemas.openxmlformats.org/drawingml/2006/main">
          <a:off x="50800" y="367665"/>
          <a:ext cx="354965" cy="222885"/>
        </a:xfrm>
        <a:prstGeom xmlns:a="http://schemas.openxmlformats.org/drawingml/2006/main" prst="rect">
          <a:avLst/>
        </a:prstGeom>
      </cdr:spPr>
      <cdr:txBody xmlns:a="http://schemas.openxmlformats.org/drawingml/2006/main">
        <a:bodyPr vertOverflow="clip" horzOverflow="clip" vert="horz" wrap="square" lIns="45720" tIns="45720" rIns="45720" bIns="45720" rtlCol="0" anchor="t" anchorCtr="0">
          <a:normAutofit/>
        </a:bodyPr>
        <a:p>
          <a:endParaRPr lang="zh-CN" altLang="en-US"/>
        </a:p>
      </cdr:txBody>
    </cdr:sp>
  </cdr:relSizeAnchor>
  <cdr:relSizeAnchor xmlns:cdr="http://schemas.openxmlformats.org/drawingml/2006/chartDrawing">
    <cdr:from>
      <cdr:x>0</cdr:x>
      <cdr:y>0.219047619047619</cdr:y>
    </cdr:from>
    <cdr:to>
      <cdr:x>0.147015583651867</cdr:x>
      <cdr:y>0.328395061728395</cdr:y>
    </cdr:to>
    <cdr:sp>
      <cdr:nvSpPr>
        <cdr:cNvPr id="3" name="矩形 2"/>
        <cdr:cNvSpPr/>
      </cdr:nvSpPr>
      <cdr:spPr xmlns:a="http://schemas.openxmlformats.org/drawingml/2006/main">
        <a:xfrm xmlns:a="http://schemas.openxmlformats.org/drawingml/2006/main">
          <a:off x="0" y="394335"/>
          <a:ext cx="635000" cy="196850"/>
        </a:xfrm>
        <a:prstGeom xmlns:a="http://schemas.openxmlformats.org/drawingml/2006/main" prst="rect">
          <a:avLst/>
        </a:prstGeom>
      </cdr:spPr>
      <cdr:txBody xmlns:a="http://schemas.openxmlformats.org/drawingml/2006/main">
        <a:bodyPr vertOverflow="clip" horzOverflow="clip" vert="horz" wrap="square" lIns="45720" tIns="45720" rIns="45720" bIns="45720" rtlCol="0" anchor="t" anchorCtr="0">
          <a:normAutofit/>
        </a:bodyPr>
        <a:p>
          <a:endParaRPr lang="zh-CN" altLang="en-US"/>
        </a:p>
      </cdr:txBody>
    </cdr:sp>
  </cdr:relSizeAnchor>
</c:userShap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2019-03-25T08:50:00Z</dcterms:created>
  <dc:creator>123</dc:creator>
  <cp:lastModifiedBy>幸福万年长</cp:lastModifiedBy>
  <cp:lastPrinted>2019-04-15T09:03:00Z</cp:lastPrinted>
  <dcterms:modified xsi:type="dcterms:W3CDTF">2019-05-06T00:40:08Z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