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  <w:lang w:eastAsia="zh-CN"/>
        </w:rPr>
        <w:t>通江县行政审批和数据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  <w:lang w:eastAsia="zh-CN"/>
        </w:rPr>
        <w:t>局</w:t>
      </w:r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</w:rPr>
        <w:t>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NzFkYzQ1ZDI5YzY3ZjA2YTQ0MjMxM2M3MTc4MDcifQ=="/>
  </w:docVars>
  <w:rsids>
    <w:rsidRoot w:val="00000000"/>
    <w:rsid w:val="113B3829"/>
    <w:rsid w:val="18C1183C"/>
    <w:rsid w:val="56055A56"/>
    <w:rsid w:val="74E27089"/>
    <w:rsid w:val="78345C7C"/>
    <w:rsid w:val="7F7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378</Characters>
  <Lines>0</Lines>
  <Paragraphs>0</Paragraphs>
  <TotalTime>1</TotalTime>
  <ScaleCrop>false</ScaleCrop>
  <LinksUpToDate>false</LinksUpToDate>
  <CharactersWithSpaces>449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2024-05-14T06:37:35Z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62384A603E93453F991F00FD18584631</vt:lpwstr>
  </property>
</Properties>
</file>