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360" w:lineRule="auto"/>
        <w:jc w:val="center"/>
        <w:rPr>
          <w:rFonts w:hint="eastAsia" w:ascii="方正小标宋简体" w:hAnsi="方正小标宋简体" w:eastAsia="方正小标宋简体"/>
          <w:kern w:val="2"/>
          <w:sz w:val="72"/>
          <w:szCs w:val="24"/>
          <w:lang w:val="zh-CN"/>
        </w:rPr>
      </w:pPr>
    </w:p>
    <w:p>
      <w:pPr>
        <w:spacing w:beforeLines="0" w:afterLines="0" w:line="360" w:lineRule="auto"/>
        <w:jc w:val="center"/>
        <w:rPr>
          <w:rFonts w:hint="eastAsia" w:ascii="方正小标宋简体" w:hAnsi="方正小标宋简体" w:eastAsia="方正小标宋简体"/>
          <w:kern w:val="2"/>
          <w:sz w:val="72"/>
          <w:szCs w:val="24"/>
          <w:lang w:val="zh-CN"/>
        </w:rPr>
      </w:pPr>
    </w:p>
    <w:p>
      <w:pPr>
        <w:spacing w:beforeLines="0" w:afterLines="0" w:line="360" w:lineRule="auto"/>
        <w:jc w:val="center"/>
        <w:rPr>
          <w:rFonts w:hint="eastAsia" w:ascii="方正小标宋简体" w:hAnsi="方正小标宋简体" w:eastAsia="方正小标宋简体"/>
          <w:kern w:val="2"/>
          <w:sz w:val="72"/>
          <w:szCs w:val="24"/>
          <w:lang w:val="zh-CN"/>
        </w:rPr>
      </w:pPr>
    </w:p>
    <w:p>
      <w:pPr>
        <w:spacing w:beforeLines="0" w:afterLines="0"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2022年度</w:t>
      </w:r>
    </w:p>
    <w:p>
      <w:pPr>
        <w:spacing w:beforeLines="0" w:afterLines="0" w:line="360" w:lineRule="auto"/>
        <w:jc w:val="center"/>
        <w:outlineLvl w:val="9"/>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通江县沙溪镇板凳小学</w:t>
      </w:r>
    </w:p>
    <w:p>
      <w:pPr>
        <w:spacing w:beforeLines="0" w:afterLines="0"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单位决算</w:t>
      </w:r>
    </w:p>
    <w:p>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pPr>
        <w:spacing w:beforeLines="0" w:afterLines="0"/>
        <w:jc w:val="center"/>
        <w:rPr>
          <w:rFonts w:hint="eastAsia" w:ascii="黑体" w:hAnsi="黑体" w:eastAsia="黑体"/>
          <w:color w:val="auto"/>
          <w:kern w:val="2"/>
          <w:sz w:val="48"/>
          <w:szCs w:val="24"/>
          <w:lang w:val="zh-CN"/>
        </w:rPr>
      </w:pPr>
    </w:p>
    <w:p>
      <w:pPr>
        <w:spacing w:beforeLines="0" w:afterLines="0"/>
        <w:jc w:val="center"/>
        <w:rPr>
          <w:rFonts w:hint="eastAsia" w:ascii="黑体" w:hAnsi="黑体" w:eastAsia="黑体"/>
          <w:color w:val="auto"/>
          <w:kern w:val="2"/>
          <w:sz w:val="48"/>
          <w:szCs w:val="24"/>
          <w:lang w:val="zh-CN"/>
        </w:rPr>
      </w:pPr>
    </w:p>
    <w:p>
      <w:pPr>
        <w:spacing w:beforeLines="0" w:afterLines="0"/>
        <w:jc w:val="center"/>
        <w:rPr>
          <w:rFonts w:hint="eastAsia" w:ascii="黑体" w:hAnsi="黑体" w:eastAsia="黑体"/>
          <w:color w:val="auto"/>
          <w:kern w:val="2"/>
          <w:sz w:val="48"/>
          <w:szCs w:val="24"/>
          <w:lang w:val="zh-CN"/>
        </w:rPr>
      </w:pPr>
    </w:p>
    <w:p>
      <w:pPr>
        <w:spacing w:beforeLines="0" w:afterLines="0"/>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pPr>
        <w:spacing w:beforeLines="0" w:afterLines="0"/>
        <w:jc w:val="center"/>
        <w:rPr>
          <w:rFonts w:hint="eastAsia" w:ascii="黑体" w:hAnsi="黑体" w:eastAsia="黑体"/>
          <w:color w:val="auto"/>
          <w:kern w:val="2"/>
          <w:sz w:val="28"/>
          <w:szCs w:val="24"/>
          <w:lang w:val="zh-CN"/>
        </w:rPr>
      </w:pPr>
    </w:p>
    <w:p>
      <w:pPr>
        <w:tabs>
          <w:tab w:val="right" w:leader="dot" w:pos="8296"/>
        </w:tabs>
        <w:spacing w:before="93" w:beforeLines="0" w:afterLines="0"/>
        <w:jc w:val="center"/>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公开时间：2023年</w:t>
      </w:r>
      <w:r>
        <w:rPr>
          <w:rFonts w:hint="eastAsia" w:ascii="仿宋" w:hAnsi="仿宋" w:eastAsia="仿宋"/>
          <w:color w:val="auto"/>
          <w:kern w:val="2"/>
          <w:sz w:val="28"/>
          <w:szCs w:val="24"/>
          <w:lang w:val="en-US" w:eastAsia="zh-CN"/>
        </w:rPr>
        <w:t>8</w:t>
      </w:r>
      <w:r>
        <w:rPr>
          <w:rFonts w:hint="eastAsia" w:ascii="仿宋" w:hAnsi="仿宋" w:eastAsia="仿宋"/>
          <w:color w:val="auto"/>
          <w:kern w:val="2"/>
          <w:sz w:val="28"/>
          <w:szCs w:val="24"/>
          <w:lang w:val="zh-CN"/>
        </w:rPr>
        <w:t>月</w:t>
      </w:r>
      <w:r>
        <w:rPr>
          <w:rFonts w:hint="eastAsia" w:ascii="仿宋" w:hAnsi="仿宋" w:eastAsia="仿宋"/>
          <w:color w:val="auto"/>
          <w:kern w:val="2"/>
          <w:sz w:val="28"/>
          <w:szCs w:val="24"/>
          <w:lang w:val="en-US" w:eastAsia="zh-CN"/>
        </w:rPr>
        <w:t>30</w:t>
      </w:r>
      <w:r>
        <w:rPr>
          <w:rFonts w:hint="eastAsia" w:ascii="仿宋" w:hAnsi="仿宋" w:eastAsia="仿宋"/>
          <w:color w:val="auto"/>
          <w:kern w:val="2"/>
          <w:sz w:val="28"/>
          <w:szCs w:val="24"/>
          <w:lang w:val="zh-CN"/>
        </w:rPr>
        <w:t>日</w:t>
      </w:r>
    </w:p>
    <w:p>
      <w:pPr>
        <w:pStyle w:val="5"/>
        <w:tabs>
          <w:tab w:val="right" w:leader="dot" w:pos="8640"/>
        </w:tabs>
      </w:pPr>
      <w:r>
        <w:fldChar w:fldCharType="begin"/>
      </w:r>
      <w:r>
        <w:instrText xml:space="preserve">TOC \o "1-2" \h \u </w:instrText>
      </w:r>
      <w:r>
        <w:fldChar w:fldCharType="separate"/>
      </w:r>
      <w:r>
        <w:fldChar w:fldCharType="begin"/>
      </w:r>
      <w:r>
        <w:instrText xml:space="preserve"> HYPERLINK \l _Toc164 </w:instrText>
      </w:r>
      <w:r>
        <w:fldChar w:fldCharType="separate"/>
      </w:r>
      <w:r>
        <w:rPr>
          <w:rFonts w:hint="eastAsia" w:ascii="黑体" w:hAnsi="黑体" w:eastAsia="黑体"/>
          <w:kern w:val="44"/>
          <w:szCs w:val="24"/>
          <w:lang w:val="zh-CN"/>
        </w:rPr>
        <w:t>第一部分 单位概况</w:t>
      </w:r>
      <w:r>
        <w:tab/>
      </w:r>
      <w:r>
        <w:fldChar w:fldCharType="begin"/>
      </w:r>
      <w:r>
        <w:instrText xml:space="preserve"> PAGEREF _Toc164 \h </w:instrText>
      </w:r>
      <w:r>
        <w:fldChar w:fldCharType="separate"/>
      </w:r>
      <w:r>
        <w:t>3</w:t>
      </w:r>
      <w:r>
        <w:fldChar w:fldCharType="end"/>
      </w:r>
      <w:r>
        <w:fldChar w:fldCharType="end"/>
      </w:r>
    </w:p>
    <w:p>
      <w:pPr>
        <w:pStyle w:val="6"/>
        <w:tabs>
          <w:tab w:val="right" w:leader="dot" w:pos="8640"/>
        </w:tabs>
      </w:pPr>
      <w:r>
        <w:fldChar w:fldCharType="begin"/>
      </w:r>
      <w:r>
        <w:instrText xml:space="preserve"> HYPERLINK \l _Toc23392 </w:instrText>
      </w:r>
      <w:r>
        <w:fldChar w:fldCharType="separate"/>
      </w:r>
      <w:r>
        <w:rPr>
          <w:rFonts w:hint="eastAsia" w:ascii="黑体" w:hAnsi="黑体" w:eastAsia="黑体"/>
          <w:kern w:val="2"/>
          <w:szCs w:val="24"/>
          <w:lang w:val="zh-CN"/>
        </w:rPr>
        <w:t>一、主要职责</w:t>
      </w:r>
      <w:r>
        <w:tab/>
      </w:r>
      <w:r>
        <w:fldChar w:fldCharType="begin"/>
      </w:r>
      <w:r>
        <w:instrText xml:space="preserve"> PAGEREF _Toc23392 \h </w:instrText>
      </w:r>
      <w:r>
        <w:fldChar w:fldCharType="separate"/>
      </w:r>
      <w:r>
        <w:t>3</w:t>
      </w:r>
      <w:r>
        <w:fldChar w:fldCharType="end"/>
      </w:r>
      <w:r>
        <w:fldChar w:fldCharType="end"/>
      </w:r>
    </w:p>
    <w:p>
      <w:pPr>
        <w:pStyle w:val="6"/>
        <w:tabs>
          <w:tab w:val="right" w:leader="dot" w:pos="8640"/>
        </w:tabs>
      </w:pPr>
      <w:r>
        <w:fldChar w:fldCharType="begin"/>
      </w:r>
      <w:r>
        <w:instrText xml:space="preserve"> HYPERLINK \l _Toc20082 </w:instrText>
      </w:r>
      <w:r>
        <w:fldChar w:fldCharType="separate"/>
      </w:r>
      <w:r>
        <w:rPr>
          <w:rFonts w:hint="default" w:ascii="黑体" w:hAnsi="黑体" w:eastAsia="黑体"/>
          <w:kern w:val="2"/>
          <w:szCs w:val="24"/>
          <w:lang w:val="zh-CN"/>
        </w:rPr>
        <w:t xml:space="preserve">二、 </w:t>
      </w:r>
      <w:r>
        <w:rPr>
          <w:rFonts w:hint="eastAsia" w:ascii="黑体" w:hAnsi="黑体" w:eastAsia="黑体"/>
          <w:kern w:val="2"/>
          <w:szCs w:val="24"/>
          <w:lang w:val="zh-CN"/>
        </w:rPr>
        <w:t>机构设置</w:t>
      </w:r>
      <w:r>
        <w:tab/>
      </w:r>
      <w:r>
        <w:fldChar w:fldCharType="begin"/>
      </w:r>
      <w:r>
        <w:instrText xml:space="preserve"> PAGEREF _Toc20082 \h </w:instrText>
      </w:r>
      <w:r>
        <w:fldChar w:fldCharType="separate"/>
      </w:r>
      <w:r>
        <w:t>3</w:t>
      </w:r>
      <w:r>
        <w:fldChar w:fldCharType="end"/>
      </w:r>
      <w:r>
        <w:fldChar w:fldCharType="end"/>
      </w:r>
    </w:p>
    <w:p>
      <w:pPr>
        <w:pStyle w:val="5"/>
        <w:tabs>
          <w:tab w:val="right" w:leader="dot" w:pos="8640"/>
        </w:tabs>
      </w:pPr>
      <w:r>
        <w:fldChar w:fldCharType="begin"/>
      </w:r>
      <w:r>
        <w:instrText xml:space="preserve"> HYPERLINK \l _Toc12248 </w:instrText>
      </w:r>
      <w:r>
        <w:fldChar w:fldCharType="separate"/>
      </w:r>
      <w:r>
        <w:rPr>
          <w:rFonts w:hint="eastAsia" w:ascii="黑体" w:hAnsi="黑体" w:eastAsia="黑体"/>
          <w:kern w:val="44"/>
          <w:szCs w:val="24"/>
          <w:lang w:val="zh-CN"/>
        </w:rPr>
        <w:t>第二部分 2022年度单位决算情况说明</w:t>
      </w:r>
      <w:r>
        <w:tab/>
      </w:r>
      <w:r>
        <w:fldChar w:fldCharType="begin"/>
      </w:r>
      <w:r>
        <w:instrText xml:space="preserve"> PAGEREF _Toc12248 \h </w:instrText>
      </w:r>
      <w:r>
        <w:fldChar w:fldCharType="separate"/>
      </w:r>
      <w:r>
        <w:t>4</w:t>
      </w:r>
      <w:r>
        <w:fldChar w:fldCharType="end"/>
      </w:r>
      <w:r>
        <w:fldChar w:fldCharType="end"/>
      </w:r>
    </w:p>
    <w:p>
      <w:pPr>
        <w:pStyle w:val="6"/>
        <w:tabs>
          <w:tab w:val="right" w:leader="dot" w:pos="8640"/>
        </w:tabs>
      </w:pPr>
      <w:r>
        <w:fldChar w:fldCharType="begin"/>
      </w:r>
      <w:r>
        <w:instrText xml:space="preserve"> HYPERLINK \l _Toc20095 </w:instrText>
      </w:r>
      <w:r>
        <w:fldChar w:fldCharType="separate"/>
      </w:r>
      <w:r>
        <w:rPr>
          <w:rFonts w:hint="eastAsia" w:ascii="黑体" w:hAnsi="黑体" w:eastAsia="黑体"/>
          <w:kern w:val="2"/>
          <w:szCs w:val="24"/>
          <w:lang w:val="zh-CN"/>
        </w:rPr>
        <w:t>一、收入支出决算总体情况说明</w:t>
      </w:r>
      <w:r>
        <w:tab/>
      </w:r>
      <w:r>
        <w:fldChar w:fldCharType="begin"/>
      </w:r>
      <w:r>
        <w:instrText xml:space="preserve"> PAGEREF _Toc20095 \h </w:instrText>
      </w:r>
      <w:r>
        <w:fldChar w:fldCharType="separate"/>
      </w:r>
      <w:r>
        <w:t>4</w:t>
      </w:r>
      <w:r>
        <w:fldChar w:fldCharType="end"/>
      </w:r>
      <w:r>
        <w:fldChar w:fldCharType="end"/>
      </w:r>
    </w:p>
    <w:p>
      <w:pPr>
        <w:pStyle w:val="6"/>
        <w:tabs>
          <w:tab w:val="right" w:leader="dot" w:pos="8640"/>
        </w:tabs>
      </w:pPr>
      <w:r>
        <w:fldChar w:fldCharType="begin"/>
      </w:r>
      <w:r>
        <w:instrText xml:space="preserve"> HYPERLINK \l _Toc4591 </w:instrText>
      </w:r>
      <w:r>
        <w:fldChar w:fldCharType="separate"/>
      </w:r>
      <w:r>
        <w:rPr>
          <w:rFonts w:hint="eastAsia" w:ascii="黑体" w:hAnsi="黑体" w:eastAsia="黑体"/>
          <w:kern w:val="2"/>
          <w:szCs w:val="24"/>
          <w:lang w:val="zh-CN"/>
        </w:rPr>
        <w:t>二、收入决算情况说明</w:t>
      </w:r>
      <w:r>
        <w:tab/>
      </w:r>
      <w:r>
        <w:fldChar w:fldCharType="begin"/>
      </w:r>
      <w:r>
        <w:instrText xml:space="preserve"> PAGEREF _Toc4591 \h </w:instrText>
      </w:r>
      <w:r>
        <w:fldChar w:fldCharType="separate"/>
      </w:r>
      <w:r>
        <w:t>5</w:t>
      </w:r>
      <w:r>
        <w:fldChar w:fldCharType="end"/>
      </w:r>
      <w:r>
        <w:fldChar w:fldCharType="end"/>
      </w:r>
    </w:p>
    <w:p>
      <w:pPr>
        <w:pStyle w:val="6"/>
        <w:tabs>
          <w:tab w:val="right" w:leader="dot" w:pos="8640"/>
        </w:tabs>
      </w:pPr>
      <w:r>
        <w:fldChar w:fldCharType="begin"/>
      </w:r>
      <w:r>
        <w:instrText xml:space="preserve"> HYPERLINK \l _Toc29092 </w:instrText>
      </w:r>
      <w:r>
        <w:fldChar w:fldCharType="separate"/>
      </w:r>
      <w:r>
        <w:rPr>
          <w:rFonts w:hint="eastAsia" w:ascii="黑体" w:hAnsi="黑体" w:eastAsia="黑体"/>
          <w:kern w:val="2"/>
          <w:szCs w:val="24"/>
          <w:lang w:val="zh-CN"/>
        </w:rPr>
        <w:t>三、支出决算情况说明</w:t>
      </w:r>
      <w:r>
        <w:tab/>
      </w:r>
      <w:r>
        <w:fldChar w:fldCharType="begin"/>
      </w:r>
      <w:r>
        <w:instrText xml:space="preserve"> PAGEREF _Toc29092 \h </w:instrText>
      </w:r>
      <w:r>
        <w:fldChar w:fldCharType="separate"/>
      </w:r>
      <w:r>
        <w:t>6</w:t>
      </w:r>
      <w:r>
        <w:fldChar w:fldCharType="end"/>
      </w:r>
      <w:r>
        <w:fldChar w:fldCharType="end"/>
      </w:r>
    </w:p>
    <w:p>
      <w:pPr>
        <w:pStyle w:val="6"/>
        <w:tabs>
          <w:tab w:val="right" w:leader="dot" w:pos="8640"/>
        </w:tabs>
      </w:pPr>
      <w:r>
        <w:fldChar w:fldCharType="begin"/>
      </w:r>
      <w:r>
        <w:instrText xml:space="preserve"> HYPERLINK \l _Toc31721 </w:instrText>
      </w:r>
      <w:r>
        <w:fldChar w:fldCharType="separate"/>
      </w:r>
      <w:r>
        <w:rPr>
          <w:rFonts w:hint="eastAsia" w:ascii="黑体" w:hAnsi="黑体" w:eastAsia="黑体"/>
          <w:kern w:val="2"/>
          <w:szCs w:val="24"/>
          <w:lang w:val="zh-CN"/>
        </w:rPr>
        <w:t>四、财政拨款收入支出决算总体情况说明</w:t>
      </w:r>
      <w:r>
        <w:tab/>
      </w:r>
      <w:r>
        <w:fldChar w:fldCharType="begin"/>
      </w:r>
      <w:r>
        <w:instrText xml:space="preserve"> PAGEREF _Toc31721 \h </w:instrText>
      </w:r>
      <w:r>
        <w:fldChar w:fldCharType="separate"/>
      </w:r>
      <w:r>
        <w:t>6</w:t>
      </w:r>
      <w:r>
        <w:fldChar w:fldCharType="end"/>
      </w:r>
      <w:r>
        <w:fldChar w:fldCharType="end"/>
      </w:r>
    </w:p>
    <w:p>
      <w:pPr>
        <w:pStyle w:val="6"/>
        <w:tabs>
          <w:tab w:val="right" w:leader="dot" w:pos="8640"/>
        </w:tabs>
      </w:pPr>
      <w:r>
        <w:fldChar w:fldCharType="begin"/>
      </w:r>
      <w:r>
        <w:instrText xml:space="preserve"> HYPERLINK \l _Toc10903 </w:instrText>
      </w:r>
      <w:r>
        <w:fldChar w:fldCharType="separate"/>
      </w:r>
      <w:r>
        <w:rPr>
          <w:rFonts w:hint="default" w:ascii="黑体" w:hAnsi="黑体" w:eastAsia="黑体"/>
          <w:kern w:val="2"/>
          <w:szCs w:val="24"/>
          <w:lang w:val="zh-CN"/>
        </w:rPr>
        <w:t xml:space="preserve">五、 </w:t>
      </w:r>
      <w:r>
        <w:rPr>
          <w:rFonts w:hint="eastAsia" w:ascii="黑体" w:hAnsi="黑体" w:eastAsia="黑体"/>
          <w:kern w:val="2"/>
          <w:szCs w:val="24"/>
          <w:lang w:val="zh-CN"/>
        </w:rPr>
        <w:t>一般公共预算财政拨款支出决算情况说明</w:t>
      </w:r>
      <w:r>
        <w:tab/>
      </w:r>
      <w:r>
        <w:fldChar w:fldCharType="begin"/>
      </w:r>
      <w:r>
        <w:instrText xml:space="preserve"> PAGEREF _Toc10903 \h </w:instrText>
      </w:r>
      <w:r>
        <w:fldChar w:fldCharType="separate"/>
      </w:r>
      <w:r>
        <w:t>7</w:t>
      </w:r>
      <w:r>
        <w:fldChar w:fldCharType="end"/>
      </w:r>
      <w:r>
        <w:fldChar w:fldCharType="end"/>
      </w:r>
    </w:p>
    <w:p>
      <w:pPr>
        <w:pStyle w:val="6"/>
        <w:tabs>
          <w:tab w:val="right" w:leader="dot" w:pos="8640"/>
        </w:tabs>
      </w:pPr>
      <w:r>
        <w:fldChar w:fldCharType="begin"/>
      </w:r>
      <w:r>
        <w:instrText xml:space="preserve"> HYPERLINK \l _Toc6410 </w:instrText>
      </w:r>
      <w:r>
        <w:fldChar w:fldCharType="separate"/>
      </w:r>
      <w:r>
        <w:rPr>
          <w:rFonts w:hint="eastAsia" w:ascii="黑体" w:hAnsi="黑体" w:eastAsia="黑体"/>
          <w:kern w:val="2"/>
          <w:szCs w:val="24"/>
          <w:lang w:val="zh-CN"/>
        </w:rPr>
        <w:t>六、一般公共预算财政拨款基本支出决算情况说明</w:t>
      </w:r>
      <w:r>
        <w:tab/>
      </w:r>
      <w:r>
        <w:fldChar w:fldCharType="begin"/>
      </w:r>
      <w:r>
        <w:instrText xml:space="preserve"> PAGEREF _Toc6410 \h </w:instrText>
      </w:r>
      <w:r>
        <w:fldChar w:fldCharType="separate"/>
      </w:r>
      <w:r>
        <w:t>9</w:t>
      </w:r>
      <w:r>
        <w:fldChar w:fldCharType="end"/>
      </w:r>
      <w:r>
        <w:fldChar w:fldCharType="end"/>
      </w:r>
    </w:p>
    <w:p>
      <w:pPr>
        <w:pStyle w:val="6"/>
        <w:tabs>
          <w:tab w:val="right" w:leader="dot" w:pos="8640"/>
        </w:tabs>
      </w:pPr>
      <w:r>
        <w:fldChar w:fldCharType="begin"/>
      </w:r>
      <w:r>
        <w:instrText xml:space="preserve"> HYPERLINK \l _Toc30059 </w:instrText>
      </w:r>
      <w:r>
        <w:fldChar w:fldCharType="separate"/>
      </w:r>
      <w:r>
        <w:rPr>
          <w:rFonts w:hint="eastAsia" w:ascii="黑体" w:hAnsi="黑体" w:eastAsia="黑体"/>
          <w:kern w:val="2"/>
          <w:szCs w:val="24"/>
          <w:lang w:val="zh-CN"/>
        </w:rPr>
        <w:t>七、“三公”经费财政拨款支出决算情况说明</w:t>
      </w:r>
      <w:r>
        <w:tab/>
      </w:r>
      <w:r>
        <w:fldChar w:fldCharType="begin"/>
      </w:r>
      <w:r>
        <w:instrText xml:space="preserve"> PAGEREF _Toc30059 \h </w:instrText>
      </w:r>
      <w:r>
        <w:fldChar w:fldCharType="separate"/>
      </w:r>
      <w:r>
        <w:t>10</w:t>
      </w:r>
      <w:r>
        <w:fldChar w:fldCharType="end"/>
      </w:r>
      <w:r>
        <w:fldChar w:fldCharType="end"/>
      </w:r>
    </w:p>
    <w:p>
      <w:pPr>
        <w:pStyle w:val="6"/>
        <w:tabs>
          <w:tab w:val="right" w:leader="dot" w:pos="8640"/>
        </w:tabs>
      </w:pPr>
      <w:r>
        <w:fldChar w:fldCharType="begin"/>
      </w:r>
      <w:r>
        <w:instrText xml:space="preserve"> HYPERLINK \l _Toc25477 </w:instrText>
      </w:r>
      <w:r>
        <w:fldChar w:fldCharType="separate"/>
      </w:r>
      <w:r>
        <w:rPr>
          <w:rFonts w:hint="eastAsia" w:ascii="黑体" w:hAnsi="黑体" w:eastAsia="黑体"/>
          <w:kern w:val="2"/>
          <w:szCs w:val="24"/>
          <w:lang w:val="zh-CN"/>
        </w:rPr>
        <w:t>八、政府性基金预算支出决算情况说明</w:t>
      </w:r>
      <w:r>
        <w:tab/>
      </w:r>
      <w:r>
        <w:fldChar w:fldCharType="begin"/>
      </w:r>
      <w:r>
        <w:instrText xml:space="preserve"> PAGEREF _Toc25477 \h </w:instrText>
      </w:r>
      <w:r>
        <w:fldChar w:fldCharType="separate"/>
      </w:r>
      <w:r>
        <w:t>12</w:t>
      </w:r>
      <w:r>
        <w:fldChar w:fldCharType="end"/>
      </w:r>
      <w:r>
        <w:fldChar w:fldCharType="end"/>
      </w:r>
    </w:p>
    <w:p>
      <w:pPr>
        <w:pStyle w:val="6"/>
        <w:tabs>
          <w:tab w:val="right" w:leader="dot" w:pos="8640"/>
        </w:tabs>
      </w:pPr>
      <w:r>
        <w:fldChar w:fldCharType="begin"/>
      </w:r>
      <w:r>
        <w:instrText xml:space="preserve"> HYPERLINK \l _Toc24627 </w:instrText>
      </w:r>
      <w:r>
        <w:fldChar w:fldCharType="separate"/>
      </w:r>
      <w:r>
        <w:rPr>
          <w:rFonts w:hint="eastAsia" w:ascii="黑体" w:hAnsi="黑体" w:eastAsia="黑体"/>
          <w:kern w:val="2"/>
          <w:szCs w:val="24"/>
          <w:lang w:val="zh-CN"/>
        </w:rPr>
        <w:t>九、国有资本经营预算支出决算情况说明</w:t>
      </w:r>
      <w:r>
        <w:tab/>
      </w:r>
      <w:r>
        <w:fldChar w:fldCharType="begin"/>
      </w:r>
      <w:r>
        <w:instrText xml:space="preserve"> PAGEREF _Toc24627 \h </w:instrText>
      </w:r>
      <w:r>
        <w:fldChar w:fldCharType="separate"/>
      </w:r>
      <w:r>
        <w:t>12</w:t>
      </w:r>
      <w:r>
        <w:fldChar w:fldCharType="end"/>
      </w:r>
      <w:r>
        <w:fldChar w:fldCharType="end"/>
      </w:r>
    </w:p>
    <w:p>
      <w:pPr>
        <w:pStyle w:val="6"/>
        <w:tabs>
          <w:tab w:val="right" w:leader="dot" w:pos="8640"/>
        </w:tabs>
      </w:pPr>
      <w:r>
        <w:fldChar w:fldCharType="begin"/>
      </w:r>
      <w:r>
        <w:instrText xml:space="preserve"> HYPERLINK \l _Toc25385 </w:instrText>
      </w:r>
      <w:r>
        <w:fldChar w:fldCharType="separate"/>
      </w:r>
      <w:r>
        <w:rPr>
          <w:rFonts w:hint="eastAsia" w:ascii="黑体" w:hAnsi="黑体" w:eastAsia="黑体"/>
          <w:kern w:val="2"/>
          <w:szCs w:val="24"/>
          <w:lang w:val="zh-CN"/>
        </w:rPr>
        <w:t>十、其他重要事项的情况说明</w:t>
      </w:r>
      <w:r>
        <w:tab/>
      </w:r>
      <w:r>
        <w:fldChar w:fldCharType="begin"/>
      </w:r>
      <w:r>
        <w:instrText xml:space="preserve"> PAGEREF _Toc25385 \h </w:instrText>
      </w:r>
      <w:r>
        <w:fldChar w:fldCharType="separate"/>
      </w:r>
      <w:r>
        <w:t>12</w:t>
      </w:r>
      <w:r>
        <w:fldChar w:fldCharType="end"/>
      </w:r>
      <w:r>
        <w:fldChar w:fldCharType="end"/>
      </w:r>
    </w:p>
    <w:p>
      <w:pPr>
        <w:pStyle w:val="5"/>
        <w:tabs>
          <w:tab w:val="right" w:leader="dot" w:pos="8640"/>
        </w:tabs>
      </w:pPr>
      <w:r>
        <w:fldChar w:fldCharType="begin"/>
      </w:r>
      <w:r>
        <w:instrText xml:space="preserve"> HYPERLINK \l _Toc17782 </w:instrText>
      </w:r>
      <w:r>
        <w:fldChar w:fldCharType="separate"/>
      </w:r>
      <w:r>
        <w:rPr>
          <w:rFonts w:hint="eastAsia" w:ascii="黑体" w:hAnsi="黑体" w:eastAsia="黑体"/>
          <w:kern w:val="2"/>
          <w:szCs w:val="24"/>
          <w:lang w:val="zh-CN"/>
        </w:rPr>
        <w:t>第三部分 名</w:t>
      </w:r>
      <w:r>
        <w:rPr>
          <w:rFonts w:hint="eastAsia" w:ascii="黑体" w:hAnsi="黑体" w:eastAsia="黑体"/>
          <w:kern w:val="44"/>
          <w:szCs w:val="24"/>
          <w:lang w:val="zh-CN"/>
        </w:rPr>
        <w:t>词解释</w:t>
      </w:r>
      <w:r>
        <w:tab/>
      </w:r>
      <w:r>
        <w:fldChar w:fldCharType="begin"/>
      </w:r>
      <w:r>
        <w:instrText xml:space="preserve"> PAGEREF _Toc17782 \h </w:instrText>
      </w:r>
      <w:r>
        <w:fldChar w:fldCharType="separate"/>
      </w:r>
      <w:r>
        <w:t>13</w:t>
      </w:r>
      <w:r>
        <w:fldChar w:fldCharType="end"/>
      </w:r>
      <w:r>
        <w:fldChar w:fldCharType="end"/>
      </w:r>
    </w:p>
    <w:p>
      <w:pPr>
        <w:pStyle w:val="5"/>
        <w:tabs>
          <w:tab w:val="right" w:leader="dot" w:pos="8640"/>
        </w:tabs>
      </w:pPr>
      <w:r>
        <w:fldChar w:fldCharType="begin"/>
      </w:r>
      <w:r>
        <w:instrText xml:space="preserve"> HYPERLINK \l _Toc6765 </w:instrText>
      </w:r>
      <w:r>
        <w:fldChar w:fldCharType="separate"/>
      </w:r>
      <w:r>
        <w:rPr>
          <w:rFonts w:hint="eastAsia" w:ascii="黑体" w:hAnsi="黑体" w:eastAsia="黑体"/>
          <w:kern w:val="2"/>
          <w:szCs w:val="24"/>
          <w:lang w:val="en-US"/>
        </w:rPr>
        <w:t>第</w:t>
      </w:r>
      <w:r>
        <w:rPr>
          <w:rFonts w:hint="eastAsia" w:ascii="黑体" w:hAnsi="黑体" w:eastAsia="黑体"/>
          <w:kern w:val="44"/>
          <w:szCs w:val="24"/>
          <w:lang w:val="en-US"/>
        </w:rPr>
        <w:t>四部分 附件</w:t>
      </w:r>
      <w:r>
        <w:tab/>
      </w:r>
      <w:r>
        <w:fldChar w:fldCharType="begin"/>
      </w:r>
      <w:r>
        <w:instrText xml:space="preserve"> PAGEREF _Toc6765 \h </w:instrText>
      </w:r>
      <w:r>
        <w:fldChar w:fldCharType="separate"/>
      </w:r>
      <w:r>
        <w:t>15</w:t>
      </w:r>
      <w:r>
        <w:fldChar w:fldCharType="end"/>
      </w:r>
      <w:r>
        <w:fldChar w:fldCharType="end"/>
      </w:r>
    </w:p>
    <w:p>
      <w:pPr>
        <w:pStyle w:val="5"/>
        <w:tabs>
          <w:tab w:val="right" w:leader="dot" w:pos="8640"/>
        </w:tabs>
      </w:pPr>
      <w:r>
        <w:fldChar w:fldCharType="begin"/>
      </w:r>
      <w:r>
        <w:instrText xml:space="preserve"> HYPERLINK \l _Toc12191 </w:instrText>
      </w:r>
      <w:r>
        <w:fldChar w:fldCharType="separate"/>
      </w:r>
      <w:r>
        <w:rPr>
          <w:rFonts w:hint="eastAsia" w:ascii="黑体" w:hAnsi="黑体" w:eastAsia="黑体"/>
          <w:kern w:val="2"/>
          <w:szCs w:val="24"/>
          <w:lang w:val="en-US"/>
        </w:rPr>
        <w:t>第</w:t>
      </w:r>
      <w:r>
        <w:rPr>
          <w:rFonts w:hint="eastAsia" w:ascii="黑体" w:hAnsi="黑体" w:eastAsia="黑体"/>
          <w:kern w:val="44"/>
          <w:szCs w:val="24"/>
          <w:lang w:val="en-US"/>
        </w:rPr>
        <w:t>五部分 附表</w:t>
      </w:r>
      <w:r>
        <w:tab/>
      </w:r>
      <w:r>
        <w:fldChar w:fldCharType="begin"/>
      </w:r>
      <w:r>
        <w:instrText xml:space="preserve"> PAGEREF _Toc12191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_Toc23738 </w:instrText>
      </w:r>
      <w:r>
        <w:fldChar w:fldCharType="separate"/>
      </w:r>
      <w:r>
        <w:rPr>
          <w:rFonts w:hint="eastAsia" w:ascii="仿宋" w:hAnsi="仿宋" w:eastAsia="仿宋"/>
          <w:kern w:val="2"/>
          <w:szCs w:val="24"/>
          <w:lang w:val="en-US"/>
        </w:rPr>
        <w:t>一、收入支出决算总表</w:t>
      </w:r>
      <w:r>
        <w:tab/>
      </w:r>
      <w:r>
        <w:fldChar w:fldCharType="begin"/>
      </w:r>
      <w:r>
        <w:instrText xml:space="preserve"> PAGEREF _Toc23738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_Toc21641 </w:instrText>
      </w:r>
      <w:r>
        <w:fldChar w:fldCharType="separate"/>
      </w:r>
      <w:r>
        <w:rPr>
          <w:rFonts w:hint="eastAsia" w:ascii="仿宋" w:hAnsi="仿宋" w:eastAsia="仿宋"/>
          <w:kern w:val="2"/>
          <w:szCs w:val="24"/>
          <w:lang w:val="en-US"/>
        </w:rPr>
        <w:t>二、收入决算表</w:t>
      </w:r>
      <w:r>
        <w:tab/>
      </w:r>
      <w:r>
        <w:fldChar w:fldCharType="begin"/>
      </w:r>
      <w:r>
        <w:instrText xml:space="preserve"> PAGEREF _Toc21641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_Toc24615 </w:instrText>
      </w:r>
      <w:r>
        <w:fldChar w:fldCharType="separate"/>
      </w:r>
      <w:r>
        <w:rPr>
          <w:rFonts w:hint="eastAsia" w:ascii="仿宋" w:hAnsi="仿宋" w:eastAsia="仿宋"/>
          <w:kern w:val="2"/>
          <w:szCs w:val="24"/>
          <w:lang w:val="en-US"/>
        </w:rPr>
        <w:t>三、支出决算表</w:t>
      </w:r>
      <w:r>
        <w:tab/>
      </w:r>
      <w:r>
        <w:fldChar w:fldCharType="begin"/>
      </w:r>
      <w:r>
        <w:instrText xml:space="preserve"> PAGEREF _Toc24615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_Toc21211 </w:instrText>
      </w:r>
      <w:r>
        <w:fldChar w:fldCharType="separate"/>
      </w:r>
      <w:r>
        <w:rPr>
          <w:rFonts w:hint="eastAsia" w:ascii="仿宋" w:hAnsi="仿宋" w:eastAsia="仿宋"/>
          <w:kern w:val="2"/>
          <w:szCs w:val="24"/>
          <w:lang w:val="en-US"/>
        </w:rPr>
        <w:t>四、财政拨款收入支出决算总表</w:t>
      </w:r>
      <w:r>
        <w:tab/>
      </w:r>
      <w:r>
        <w:fldChar w:fldCharType="begin"/>
      </w:r>
      <w:r>
        <w:instrText xml:space="preserve"> PAGEREF _Toc21211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_Toc11784 </w:instrText>
      </w:r>
      <w:r>
        <w:fldChar w:fldCharType="separate"/>
      </w:r>
      <w:r>
        <w:rPr>
          <w:rFonts w:hint="eastAsia" w:ascii="仿宋" w:hAnsi="仿宋" w:eastAsia="仿宋"/>
          <w:kern w:val="2"/>
          <w:szCs w:val="24"/>
          <w:lang w:val="en-US"/>
        </w:rPr>
        <w:t>五、财政拨款支出决算明细表</w:t>
      </w:r>
      <w:r>
        <w:tab/>
      </w:r>
      <w:r>
        <w:fldChar w:fldCharType="begin"/>
      </w:r>
      <w:r>
        <w:instrText xml:space="preserve"> PAGEREF _Toc11784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_Toc26320 </w:instrText>
      </w:r>
      <w:r>
        <w:fldChar w:fldCharType="separate"/>
      </w:r>
      <w:r>
        <w:rPr>
          <w:rFonts w:hint="eastAsia" w:ascii="仿宋" w:hAnsi="仿宋" w:eastAsia="仿宋"/>
          <w:kern w:val="2"/>
          <w:szCs w:val="24"/>
          <w:lang w:val="en-US"/>
        </w:rPr>
        <w:t>六、一般公共预算财政拨款支出决算表</w:t>
      </w:r>
      <w:r>
        <w:tab/>
      </w:r>
      <w:r>
        <w:fldChar w:fldCharType="begin"/>
      </w:r>
      <w:r>
        <w:instrText xml:space="preserve"> PAGEREF _Toc26320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_Toc28925 </w:instrText>
      </w:r>
      <w:r>
        <w:fldChar w:fldCharType="separate"/>
      </w:r>
      <w:r>
        <w:rPr>
          <w:rFonts w:hint="eastAsia" w:ascii="仿宋" w:hAnsi="仿宋" w:eastAsia="仿宋"/>
          <w:kern w:val="2"/>
          <w:szCs w:val="24"/>
          <w:lang w:val="en-US"/>
        </w:rPr>
        <w:t>七、一般公共预算财政拨款支出决算明细表</w:t>
      </w:r>
      <w:r>
        <w:tab/>
      </w:r>
      <w:r>
        <w:fldChar w:fldCharType="begin"/>
      </w:r>
      <w:r>
        <w:instrText xml:space="preserve"> PAGEREF _Toc28925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_Toc14997 </w:instrText>
      </w:r>
      <w:r>
        <w:fldChar w:fldCharType="separate"/>
      </w:r>
      <w:r>
        <w:rPr>
          <w:rFonts w:hint="eastAsia" w:ascii="仿宋" w:hAnsi="仿宋" w:eastAsia="仿宋"/>
          <w:kern w:val="2"/>
          <w:szCs w:val="24"/>
          <w:lang w:val="en-US"/>
        </w:rPr>
        <w:t>八、一般公共预算财政拨款基本支出决算表</w:t>
      </w:r>
      <w:r>
        <w:tab/>
      </w:r>
      <w:r>
        <w:fldChar w:fldCharType="begin"/>
      </w:r>
      <w:r>
        <w:instrText xml:space="preserve"> PAGEREF _Toc14997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_Toc21601 </w:instrText>
      </w:r>
      <w:r>
        <w:fldChar w:fldCharType="separate"/>
      </w:r>
      <w:r>
        <w:rPr>
          <w:rFonts w:hint="eastAsia" w:ascii="仿宋" w:hAnsi="仿宋" w:eastAsia="仿宋"/>
          <w:kern w:val="2"/>
          <w:szCs w:val="24"/>
          <w:lang w:val="en-US"/>
        </w:rPr>
        <w:t>九、一般公共预算财政拨款项目支出决算表</w:t>
      </w:r>
      <w:r>
        <w:tab/>
      </w:r>
      <w:r>
        <w:fldChar w:fldCharType="begin"/>
      </w:r>
      <w:r>
        <w:instrText xml:space="preserve"> PAGEREF _Toc21601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_Toc22131 </w:instrText>
      </w:r>
      <w:r>
        <w:fldChar w:fldCharType="separate"/>
      </w:r>
      <w:r>
        <w:rPr>
          <w:rFonts w:hint="eastAsia" w:ascii="仿宋" w:hAnsi="仿宋" w:eastAsia="仿宋"/>
          <w:kern w:val="2"/>
          <w:szCs w:val="24"/>
          <w:lang w:val="en-US"/>
        </w:rPr>
        <w:t>十、政府性基金预算财政拨款收入支出决算表</w:t>
      </w:r>
      <w:r>
        <w:tab/>
      </w:r>
      <w:r>
        <w:fldChar w:fldCharType="begin"/>
      </w:r>
      <w:r>
        <w:instrText xml:space="preserve"> PAGEREF _Toc22131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_Toc2121 </w:instrText>
      </w:r>
      <w:r>
        <w:fldChar w:fldCharType="separate"/>
      </w:r>
      <w:r>
        <w:rPr>
          <w:rFonts w:hint="eastAsia" w:ascii="仿宋" w:hAnsi="仿宋" w:eastAsia="仿宋"/>
          <w:kern w:val="2"/>
          <w:szCs w:val="24"/>
          <w:lang w:val="en-US"/>
        </w:rPr>
        <w:t>十一、国有资本经营预算财政拨款收入支出决算表</w:t>
      </w:r>
      <w:r>
        <w:tab/>
      </w:r>
      <w:r>
        <w:fldChar w:fldCharType="begin"/>
      </w:r>
      <w:r>
        <w:instrText xml:space="preserve"> PAGEREF _Toc2121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_Toc5973 </w:instrText>
      </w:r>
      <w:r>
        <w:fldChar w:fldCharType="separate"/>
      </w:r>
      <w:r>
        <w:rPr>
          <w:rFonts w:hint="eastAsia" w:ascii="仿宋" w:hAnsi="仿宋" w:eastAsia="仿宋"/>
          <w:kern w:val="2"/>
          <w:szCs w:val="24"/>
          <w:lang w:val="en-US"/>
        </w:rPr>
        <w:t>十二、国有资本经营预算财政拨款支出决算表</w:t>
      </w:r>
      <w:r>
        <w:tab/>
      </w:r>
      <w:r>
        <w:fldChar w:fldCharType="begin"/>
      </w:r>
      <w:r>
        <w:instrText xml:space="preserve"> PAGEREF _Toc5973 \h </w:instrText>
      </w:r>
      <w:r>
        <w:fldChar w:fldCharType="separate"/>
      </w:r>
      <w:r>
        <w:t>18</w:t>
      </w:r>
      <w:r>
        <w:fldChar w:fldCharType="end"/>
      </w:r>
      <w:r>
        <w:fldChar w:fldCharType="end"/>
      </w:r>
    </w:p>
    <w:p>
      <w:pPr>
        <w:pStyle w:val="6"/>
        <w:tabs>
          <w:tab w:val="right" w:leader="dot" w:pos="8640"/>
        </w:tabs>
      </w:pPr>
      <w:r>
        <w:fldChar w:fldCharType="begin"/>
      </w:r>
      <w:r>
        <w:instrText xml:space="preserve"> HYPERLINK \l _Toc22136 </w:instrText>
      </w:r>
      <w:r>
        <w:fldChar w:fldCharType="separate"/>
      </w:r>
      <w:r>
        <w:rPr>
          <w:rFonts w:hint="eastAsia" w:ascii="仿宋" w:hAnsi="仿宋" w:eastAsia="仿宋"/>
          <w:kern w:val="2"/>
          <w:szCs w:val="24"/>
          <w:lang w:val="en-US"/>
        </w:rPr>
        <w:t>十三、财政拨款“三公”经费支出决算表</w:t>
      </w:r>
      <w:r>
        <w:tab/>
      </w:r>
      <w:r>
        <w:fldChar w:fldCharType="begin"/>
      </w:r>
      <w:r>
        <w:instrText xml:space="preserve"> PAGEREF _Toc22136 \h </w:instrText>
      </w:r>
      <w:r>
        <w:fldChar w:fldCharType="separate"/>
      </w:r>
      <w:r>
        <w:t>18</w:t>
      </w:r>
      <w:r>
        <w:fldChar w:fldCharType="end"/>
      </w:r>
      <w:r>
        <w:fldChar w:fldCharType="end"/>
      </w:r>
    </w:p>
    <w:p>
      <w:r>
        <w:fldChar w:fldCharType="end"/>
      </w:r>
    </w:p>
    <w:p>
      <w:pPr>
        <w:spacing w:beforeLines="0" w:afterLines="0" w:line="440" w:lineRule="exact"/>
        <w:rPr>
          <w:rFonts w:hint="eastAsia" w:ascii="仿宋" w:hAnsi="仿宋" w:eastAsia="仿宋"/>
          <w:color w:val="auto"/>
          <w:kern w:val="44"/>
          <w:sz w:val="24"/>
          <w:szCs w:val="24"/>
          <w:lang w:val="zh-CN"/>
        </w:rPr>
      </w:pPr>
      <w:r>
        <w:rPr>
          <w:rFonts w:hint="eastAsia" w:ascii="仿宋" w:hAnsi="仿宋" w:eastAsia="仿宋"/>
          <w:b/>
          <w:color w:val="auto"/>
          <w:kern w:val="2"/>
          <w:sz w:val="24"/>
          <w:szCs w:val="24"/>
          <w:lang w:val="zh-CN"/>
        </w:rPr>
        <w:br w:type="page"/>
      </w:r>
    </w:p>
    <w:p>
      <w:pPr>
        <w:pStyle w:val="2"/>
        <w:keepNext/>
        <w:keepLines/>
        <w:spacing w:before="340" w:beforeLines="0" w:after="330" w:afterLines="0" w:line="576" w:lineRule="auto"/>
        <w:jc w:val="center"/>
        <w:rPr>
          <w:rFonts w:hint="eastAsia" w:ascii="黑体" w:hAnsi="黑体" w:eastAsia="黑体"/>
          <w:b/>
          <w:color w:val="auto"/>
          <w:kern w:val="44"/>
          <w:sz w:val="44"/>
          <w:szCs w:val="24"/>
          <w:lang w:val="zh-CN"/>
        </w:rPr>
      </w:pPr>
      <w:bookmarkStart w:id="0" w:name="_Toc164"/>
      <w:r>
        <w:rPr>
          <w:rFonts w:hint="eastAsia" w:ascii="黑体" w:hAnsi="黑体" w:eastAsia="黑体"/>
          <w:color w:val="auto"/>
          <w:kern w:val="44"/>
          <w:sz w:val="44"/>
          <w:szCs w:val="24"/>
          <w:lang w:val="zh-CN"/>
        </w:rPr>
        <w:t>第一部分 单位概况</w:t>
      </w:r>
      <w:bookmarkEnd w:id="0"/>
    </w:p>
    <w:p>
      <w:pPr>
        <w:pStyle w:val="3"/>
        <w:keepNext/>
        <w:keepLines/>
        <w:spacing w:before="260" w:beforeLines="0" w:after="260" w:afterLines="0" w:line="576" w:lineRule="exact"/>
        <w:ind w:firstLine="640"/>
        <w:jc w:val="both"/>
        <w:outlineLvl w:val="1"/>
        <w:rPr>
          <w:rFonts w:hint="eastAsia" w:ascii="黑体" w:hAnsi="黑体" w:eastAsia="黑体"/>
          <w:color w:val="auto"/>
          <w:kern w:val="2"/>
          <w:sz w:val="32"/>
          <w:szCs w:val="24"/>
          <w:lang w:val="zh-CN"/>
        </w:rPr>
      </w:pPr>
      <w:bookmarkStart w:id="1" w:name="_Toc23392"/>
      <w:r>
        <w:rPr>
          <w:rFonts w:hint="eastAsia" w:ascii="黑体" w:hAnsi="黑体" w:eastAsia="黑体"/>
          <w:color w:val="000000"/>
          <w:kern w:val="2"/>
          <w:sz w:val="32"/>
          <w:szCs w:val="24"/>
          <w:lang w:val="zh-CN"/>
        </w:rPr>
        <w:t>一、主要</w:t>
      </w:r>
      <w:r>
        <w:rPr>
          <w:rFonts w:hint="eastAsia" w:ascii="黑体" w:hAnsi="黑体" w:eastAsia="黑体"/>
          <w:color w:val="auto"/>
          <w:kern w:val="2"/>
          <w:sz w:val="32"/>
          <w:szCs w:val="24"/>
          <w:lang w:val="zh-CN"/>
        </w:rPr>
        <w:t>职责</w:t>
      </w:r>
      <w:bookmarkEnd w:id="1"/>
    </w:p>
    <w:p>
      <w:pPr>
        <w:ind w:firstLine="6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贯彻落实党和国家的教育方针、政策，严格执行上级主管部门的决议和指示，全面实施素质教育，</w:t>
      </w:r>
      <w:r>
        <w:rPr>
          <w:rFonts w:hint="eastAsia" w:ascii="仿宋_GB2312" w:hAnsi="仿宋_GB2312" w:eastAsia="仿宋_GB2312" w:cs="仿宋_GB2312"/>
          <w:color w:val="000000"/>
          <w:kern w:val="2"/>
          <w:sz w:val="32"/>
          <w:szCs w:val="32"/>
          <w:u w:val="none" w:color="FFFFFF"/>
          <w:shd w:val="clear" w:fill="FFFFFF"/>
          <w:lang w:val="zh-CN"/>
        </w:rPr>
        <w:t>培养从</w:t>
      </w:r>
      <w:r>
        <w:rPr>
          <w:rFonts w:hint="eastAsia" w:ascii="仿宋_GB2312" w:hAnsi="仿宋_GB2312" w:eastAsia="仿宋_GB2312" w:cs="仿宋_GB2312"/>
          <w:color w:val="000000"/>
          <w:kern w:val="2"/>
          <w:sz w:val="32"/>
          <w:szCs w:val="32"/>
          <w:lang w:val="zh-CN"/>
        </w:rPr>
        <w:t>德、智、体、美等方面全面发展的社会主义事业的建设者和接班人，做到为党育人，为国育才。</w:t>
      </w:r>
    </w:p>
    <w:p>
      <w:pPr>
        <w:ind w:firstLine="6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 xml:space="preserve">（一）研究拟定学校教育发展规划，贯彻执行党和国家的教育方针、政策。 </w:t>
      </w:r>
    </w:p>
    <w:p>
      <w:pPr>
        <w:ind w:firstLine="6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（二）研究拟定学校</w:t>
      </w:r>
      <w:r>
        <w:rPr>
          <w:rFonts w:hint="eastAsia" w:ascii="仿宋_GB2312" w:hAnsi="仿宋_GB2312" w:eastAsia="仿宋_GB2312" w:cs="仿宋_GB2312"/>
          <w:color w:val="000000"/>
          <w:kern w:val="2"/>
          <w:sz w:val="32"/>
          <w:szCs w:val="32"/>
          <w:u w:val="none" w:color="FFFFFF"/>
          <w:shd w:val="clear" w:fill="FFFFFF"/>
          <w:lang w:val="zh-CN"/>
        </w:rPr>
        <w:t>年度教学计划</w:t>
      </w:r>
      <w:r>
        <w:rPr>
          <w:rFonts w:hint="eastAsia" w:ascii="仿宋_GB2312" w:hAnsi="仿宋_GB2312" w:eastAsia="仿宋_GB2312" w:cs="仿宋_GB2312"/>
          <w:color w:val="000000"/>
          <w:kern w:val="2"/>
          <w:sz w:val="32"/>
          <w:szCs w:val="32"/>
          <w:lang w:val="zh-CN"/>
        </w:rPr>
        <w:t>，组织实施教育教学</w:t>
      </w:r>
      <w:r>
        <w:rPr>
          <w:rFonts w:hint="eastAsia" w:ascii="仿宋_GB2312" w:hAnsi="仿宋_GB2312" w:eastAsia="仿宋_GB2312" w:cs="仿宋_GB2312"/>
          <w:color w:val="000000"/>
          <w:kern w:val="2"/>
          <w:sz w:val="32"/>
          <w:szCs w:val="32"/>
          <w:u w:val="none" w:color="FFFFFF"/>
          <w:shd w:val="clear" w:fill="FFFFFF"/>
          <w:lang w:val="zh-CN"/>
        </w:rPr>
        <w:t>活动</w:t>
      </w:r>
      <w:r>
        <w:rPr>
          <w:rFonts w:hint="eastAsia" w:ascii="仿宋_GB2312" w:hAnsi="仿宋_GB2312" w:eastAsia="仿宋_GB2312" w:cs="仿宋_GB2312"/>
          <w:color w:val="000000"/>
          <w:kern w:val="2"/>
          <w:sz w:val="32"/>
          <w:szCs w:val="32"/>
          <w:lang w:val="zh-CN"/>
        </w:rPr>
        <w:t>。</w:t>
      </w:r>
    </w:p>
    <w:p>
      <w:pPr>
        <w:ind w:firstLine="6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（三）管理和指导学校教育教学工作</w:t>
      </w:r>
      <w:r>
        <w:rPr>
          <w:rFonts w:hint="eastAsia" w:ascii="仿宋_GB2312" w:hAnsi="仿宋_GB2312" w:eastAsia="仿宋_GB2312" w:cs="仿宋_GB2312"/>
          <w:color w:val="000000"/>
          <w:kern w:val="2"/>
          <w:sz w:val="32"/>
          <w:szCs w:val="32"/>
          <w:u w:val="none" w:color="FFFFFF"/>
          <w:shd w:val="clear" w:fill="FFFFFF"/>
          <w:lang w:val="zh-CN"/>
        </w:rPr>
        <w:t>；</w:t>
      </w:r>
      <w:r>
        <w:rPr>
          <w:rFonts w:hint="eastAsia" w:ascii="仿宋_GB2312" w:hAnsi="仿宋_GB2312" w:eastAsia="仿宋_GB2312" w:cs="仿宋_GB2312"/>
          <w:color w:val="000000"/>
          <w:kern w:val="2"/>
          <w:sz w:val="32"/>
          <w:szCs w:val="32"/>
          <w:lang w:val="zh-CN"/>
        </w:rPr>
        <w:t>确保普及</w:t>
      </w:r>
      <w:r>
        <w:rPr>
          <w:rFonts w:hint="eastAsia" w:ascii="仿宋_GB2312" w:hAnsi="仿宋_GB2312" w:eastAsia="仿宋_GB2312" w:cs="仿宋_GB2312"/>
          <w:color w:val="000000"/>
          <w:kern w:val="2"/>
          <w:sz w:val="32"/>
          <w:szCs w:val="32"/>
          <w:u w:val="none" w:color="FFFFFF"/>
          <w:shd w:val="clear" w:fill="FFFFFF"/>
          <w:lang w:val="zh-CN"/>
        </w:rPr>
        <w:t>九年义务教育</w:t>
      </w:r>
      <w:r>
        <w:rPr>
          <w:rFonts w:hint="eastAsia" w:ascii="仿宋_GB2312" w:hAnsi="仿宋_GB2312" w:eastAsia="仿宋_GB2312" w:cs="仿宋_GB2312"/>
          <w:color w:val="000000"/>
          <w:kern w:val="2"/>
          <w:sz w:val="32"/>
          <w:szCs w:val="32"/>
          <w:lang w:val="zh-CN"/>
        </w:rPr>
        <w:t>工作成果。</w:t>
      </w:r>
    </w:p>
    <w:p>
      <w:pPr>
        <w:ind w:firstLine="6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（四）管理学校教育经费</w:t>
      </w:r>
      <w:r>
        <w:rPr>
          <w:rFonts w:hint="eastAsia" w:ascii="仿宋_GB2312" w:hAnsi="仿宋_GB2312" w:eastAsia="仿宋_GB2312" w:cs="仿宋_GB2312"/>
          <w:color w:val="000000"/>
          <w:kern w:val="2"/>
          <w:sz w:val="32"/>
          <w:szCs w:val="32"/>
          <w:u w:val="none" w:color="FFFFFF"/>
          <w:shd w:val="clear" w:fill="FFFFFF"/>
          <w:lang w:val="zh-CN"/>
        </w:rPr>
        <w:t>；</w:t>
      </w:r>
      <w:r>
        <w:rPr>
          <w:rFonts w:hint="eastAsia" w:ascii="仿宋_GB2312" w:hAnsi="仿宋_GB2312" w:eastAsia="仿宋_GB2312" w:cs="仿宋_GB2312"/>
          <w:color w:val="000000"/>
          <w:kern w:val="2"/>
          <w:sz w:val="32"/>
          <w:szCs w:val="32"/>
          <w:lang w:val="zh-CN"/>
        </w:rPr>
        <w:t>严格执行财务管理制度，保障学校教育教学活动正常开展。</w:t>
      </w:r>
    </w:p>
    <w:p>
      <w:pPr>
        <w:ind w:firstLine="6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（五）负责和指导学校教职工的思想政治工作，规划学校思想品德教育、体育卫生教育、安全教育、艺术教育和国防教育工作；负责做好社会治安综合治理及安全保卫工作。</w:t>
      </w:r>
    </w:p>
    <w:p>
      <w:pPr>
        <w:spacing w:before="72"/>
        <w:ind w:firstLine="600"/>
        <w:rPr>
          <w:rFonts w:hint="eastAsia" w:ascii="黑体" w:hAnsi="黑体" w:eastAsia="黑体"/>
          <w:color w:val="auto"/>
          <w:kern w:val="2"/>
          <w:sz w:val="32"/>
          <w:szCs w:val="24"/>
          <w:lang w:val="zh-CN"/>
        </w:rPr>
      </w:pPr>
      <w:r>
        <w:rPr>
          <w:rFonts w:hint="eastAsia" w:ascii="仿宋_GB2312" w:hAnsi="仿宋_GB2312" w:eastAsia="仿宋_GB2312" w:cs="仿宋_GB2312"/>
          <w:color w:val="000000"/>
          <w:kern w:val="2"/>
          <w:sz w:val="32"/>
          <w:szCs w:val="32"/>
          <w:lang w:val="zh-CN"/>
        </w:rPr>
        <w:t>（六）完成小学学历教育。</w:t>
      </w:r>
    </w:p>
    <w:p>
      <w:pPr>
        <w:pStyle w:val="3"/>
        <w:keepNext/>
        <w:keepLines/>
        <w:numPr>
          <w:ilvl w:val="0"/>
          <w:numId w:val="1"/>
        </w:numPr>
        <w:spacing w:before="260" w:beforeLines="0" w:after="260" w:afterLines="0" w:line="576" w:lineRule="exact"/>
        <w:ind w:firstLine="640"/>
        <w:jc w:val="both"/>
        <w:outlineLvl w:val="1"/>
        <w:rPr>
          <w:rFonts w:hint="eastAsia" w:ascii="黑体" w:hAnsi="黑体" w:eastAsia="黑体"/>
          <w:color w:val="auto"/>
          <w:kern w:val="2"/>
          <w:sz w:val="32"/>
          <w:szCs w:val="24"/>
          <w:lang w:val="zh-CN"/>
        </w:rPr>
      </w:pPr>
      <w:bookmarkStart w:id="2" w:name="_Toc20082"/>
      <w:r>
        <w:rPr>
          <w:rFonts w:hint="eastAsia" w:ascii="黑体" w:hAnsi="黑体" w:eastAsia="黑体"/>
          <w:color w:val="000000"/>
          <w:kern w:val="2"/>
          <w:sz w:val="32"/>
          <w:szCs w:val="24"/>
          <w:lang w:val="zh-CN"/>
        </w:rPr>
        <w:t>机</w:t>
      </w:r>
      <w:r>
        <w:rPr>
          <w:rFonts w:hint="eastAsia" w:ascii="黑体" w:hAnsi="黑体" w:eastAsia="黑体"/>
          <w:color w:val="auto"/>
          <w:kern w:val="2"/>
          <w:sz w:val="32"/>
          <w:szCs w:val="24"/>
          <w:lang w:val="zh-CN"/>
        </w:rPr>
        <w:t>构设置</w:t>
      </w:r>
      <w:bookmarkEnd w:id="2"/>
    </w:p>
    <w:p>
      <w:pPr>
        <w:ind w:firstLine="6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通江县沙溪镇</w:t>
      </w:r>
      <w:r>
        <w:rPr>
          <w:rFonts w:hint="eastAsia" w:ascii="仿宋_GB2312" w:hAnsi="仿宋_GB2312" w:eastAsia="仿宋_GB2312" w:cs="仿宋_GB2312"/>
          <w:color w:val="000000"/>
          <w:kern w:val="2"/>
          <w:sz w:val="32"/>
          <w:szCs w:val="32"/>
          <w:lang w:val="en-US" w:eastAsia="zh-CN"/>
        </w:rPr>
        <w:t>板凳</w:t>
      </w:r>
      <w:r>
        <w:rPr>
          <w:rFonts w:hint="eastAsia" w:ascii="仿宋_GB2312" w:hAnsi="仿宋_GB2312" w:eastAsia="仿宋_GB2312" w:cs="仿宋_GB2312"/>
          <w:color w:val="000000"/>
          <w:kern w:val="2"/>
          <w:sz w:val="32"/>
          <w:szCs w:val="32"/>
          <w:lang w:val="zh-CN"/>
        </w:rPr>
        <w:t>小学是一所农村小学，现有在编教职工</w:t>
      </w:r>
      <w:r>
        <w:rPr>
          <w:rFonts w:hint="eastAsia" w:ascii="仿宋_GB2312" w:hAnsi="仿宋_GB2312" w:eastAsia="仿宋_GB2312" w:cs="仿宋_GB2312"/>
          <w:color w:val="000000"/>
          <w:kern w:val="2"/>
          <w:sz w:val="32"/>
          <w:szCs w:val="32"/>
          <w:lang w:val="en-US" w:eastAsia="zh-CN"/>
        </w:rPr>
        <w:t>20</w:t>
      </w:r>
      <w:r>
        <w:rPr>
          <w:rFonts w:hint="eastAsia" w:ascii="仿宋_GB2312" w:hAnsi="仿宋_GB2312" w:eastAsia="仿宋_GB2312" w:cs="仿宋_GB2312"/>
          <w:color w:val="000000"/>
          <w:kern w:val="2"/>
          <w:sz w:val="32"/>
          <w:szCs w:val="32"/>
          <w:lang w:val="zh-CN"/>
        </w:rPr>
        <w:t>人，学生</w:t>
      </w:r>
      <w:r>
        <w:rPr>
          <w:rFonts w:hint="eastAsia" w:ascii="仿宋_GB2312" w:hAnsi="仿宋_GB2312" w:eastAsia="仿宋_GB2312" w:cs="仿宋_GB2312"/>
          <w:color w:val="000000"/>
          <w:kern w:val="2"/>
          <w:sz w:val="32"/>
          <w:szCs w:val="32"/>
          <w:lang w:val="en-US" w:eastAsia="zh-CN"/>
        </w:rPr>
        <w:t>72</w:t>
      </w:r>
      <w:r>
        <w:rPr>
          <w:rFonts w:hint="eastAsia" w:ascii="仿宋_GB2312" w:hAnsi="仿宋_GB2312" w:eastAsia="仿宋_GB2312" w:cs="仿宋_GB2312"/>
          <w:color w:val="000000"/>
          <w:kern w:val="2"/>
          <w:sz w:val="32"/>
          <w:szCs w:val="32"/>
          <w:lang w:val="zh-CN"/>
        </w:rPr>
        <w:t>人。学校设校长1人，副校长</w:t>
      </w: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color w:val="000000"/>
          <w:kern w:val="2"/>
          <w:sz w:val="32"/>
          <w:szCs w:val="32"/>
          <w:lang w:val="zh-CN"/>
        </w:rPr>
        <w:t>人，设办公室、教务处、总务处、安保处、教科室</w:t>
      </w:r>
      <w:r>
        <w:rPr>
          <w:rFonts w:hint="eastAsia" w:ascii="仿宋_GB2312" w:hAnsi="仿宋_GB2312" w:eastAsia="仿宋_GB2312" w:cs="仿宋_GB2312"/>
          <w:color w:val="000000"/>
          <w:kern w:val="2"/>
          <w:sz w:val="32"/>
          <w:szCs w:val="32"/>
          <w:u w:val="none" w:color="FFFFFF"/>
          <w:shd w:val="clear" w:fill="FFFFFF"/>
          <w:lang w:val="zh-CN"/>
        </w:rPr>
        <w:t>等</w:t>
      </w:r>
      <w:r>
        <w:rPr>
          <w:rFonts w:hint="eastAsia" w:ascii="仿宋_GB2312" w:hAnsi="仿宋_GB2312" w:eastAsia="仿宋_GB2312" w:cs="仿宋_GB2312"/>
          <w:color w:val="000000"/>
          <w:kern w:val="2"/>
          <w:sz w:val="32"/>
          <w:szCs w:val="32"/>
          <w:lang w:val="zh-CN"/>
        </w:rPr>
        <w:t>5个处室。通江县沙溪镇</w:t>
      </w:r>
      <w:r>
        <w:rPr>
          <w:rFonts w:hint="eastAsia" w:ascii="仿宋_GB2312" w:hAnsi="仿宋_GB2312" w:eastAsia="仿宋_GB2312" w:cs="仿宋_GB2312"/>
          <w:color w:val="000000"/>
          <w:kern w:val="2"/>
          <w:sz w:val="32"/>
          <w:szCs w:val="32"/>
          <w:lang w:val="en-US" w:eastAsia="zh-CN"/>
        </w:rPr>
        <w:t>板凳</w:t>
      </w:r>
      <w:r>
        <w:rPr>
          <w:rFonts w:hint="eastAsia" w:ascii="仿宋_GB2312" w:hAnsi="仿宋_GB2312" w:eastAsia="仿宋_GB2312" w:cs="仿宋_GB2312"/>
          <w:color w:val="000000"/>
          <w:kern w:val="2"/>
          <w:sz w:val="32"/>
          <w:szCs w:val="32"/>
          <w:lang w:val="zh-CN"/>
        </w:rPr>
        <w:t>小学在</w:t>
      </w:r>
      <w:r>
        <w:rPr>
          <w:rFonts w:hint="eastAsia" w:ascii="仿宋_GB2312" w:hAnsi="仿宋_GB2312" w:eastAsia="仿宋_GB2312" w:cs="仿宋_GB2312"/>
          <w:color w:val="000000"/>
          <w:kern w:val="2"/>
          <w:sz w:val="32"/>
          <w:szCs w:val="32"/>
          <w:u w:val="none" w:color="FFFFFF"/>
          <w:shd w:val="clear" w:fill="FFFFFF"/>
          <w:lang w:val="zh-CN"/>
        </w:rPr>
        <w:t>县委、县政府</w:t>
      </w:r>
      <w:r>
        <w:rPr>
          <w:rFonts w:hint="eastAsia" w:ascii="仿宋_GB2312" w:hAnsi="仿宋_GB2312" w:eastAsia="仿宋_GB2312" w:cs="仿宋_GB2312"/>
          <w:color w:val="000000"/>
          <w:kern w:val="2"/>
          <w:sz w:val="32"/>
          <w:szCs w:val="32"/>
          <w:lang w:val="zh-CN"/>
        </w:rPr>
        <w:t>的领导下，在上级主管部门的指导下，以健康、聪慧、高尚、快乐为办学理念，以传统文化、红色文化为引导，家校共育，文体艺术活动相结合全面促进学生身心发展办学特色，全面完成了2022年教育教学工作。</w:t>
      </w:r>
    </w:p>
    <w:p>
      <w:pPr>
        <w:pStyle w:val="3"/>
        <w:keepNext/>
        <w:keepLines/>
        <w:numPr>
          <w:ilvl w:val="0"/>
          <w:numId w:val="0"/>
        </w:numPr>
        <w:spacing w:before="260" w:beforeLines="0" w:after="260" w:afterLines="0" w:line="576" w:lineRule="exact"/>
        <w:jc w:val="both"/>
        <w:outlineLvl w:val="9"/>
        <w:rPr>
          <w:rFonts w:hint="eastAsia" w:ascii="黑体" w:hAnsi="黑体" w:eastAsia="黑体"/>
          <w:color w:val="auto"/>
          <w:kern w:val="2"/>
          <w:sz w:val="32"/>
          <w:szCs w:val="24"/>
          <w:lang w:val="zh-CN"/>
        </w:rPr>
      </w:pPr>
    </w:p>
    <w:p>
      <w:pPr>
        <w:pStyle w:val="2"/>
        <w:keepNext/>
        <w:keepLines/>
        <w:spacing w:before="340" w:beforeLines="0" w:after="330" w:afterLines="0" w:line="576" w:lineRule="exact"/>
        <w:ind w:right="442" w:firstLine="880"/>
        <w:jc w:val="center"/>
        <w:outlineLvl w:val="0"/>
        <w:rPr>
          <w:rFonts w:hint="eastAsia" w:ascii="Times New Roman" w:hAnsi="Times New Roman" w:eastAsia="Times New Roman"/>
          <w:b/>
          <w:color w:val="auto"/>
          <w:kern w:val="44"/>
          <w:sz w:val="44"/>
          <w:szCs w:val="24"/>
          <w:lang w:val="zh-CN"/>
        </w:rPr>
      </w:pPr>
      <w:bookmarkStart w:id="3" w:name="_Toc12248"/>
      <w:r>
        <w:rPr>
          <w:rFonts w:hint="eastAsia" w:ascii="黑体" w:hAnsi="黑体" w:eastAsia="黑体"/>
          <w:color w:val="000000"/>
          <w:kern w:val="44"/>
          <w:sz w:val="44"/>
          <w:szCs w:val="24"/>
          <w:u w:val="none" w:color="FFFFFF"/>
          <w:shd w:val="clear" w:fill="FFFFFF"/>
          <w:lang w:val="zh-CN"/>
        </w:rPr>
        <w:t>第二部分</w:t>
      </w:r>
      <w:r>
        <w:rPr>
          <w:rFonts w:hint="eastAsia" w:ascii="黑体" w:hAnsi="黑体" w:eastAsia="黑体"/>
          <w:b/>
          <w:color w:val="000000"/>
          <w:kern w:val="44"/>
          <w:sz w:val="44"/>
          <w:szCs w:val="24"/>
          <w:u w:val="none" w:color="FFFFFF"/>
          <w:shd w:val="clear" w:fill="FFFFFF"/>
          <w:lang w:val="zh-CN"/>
        </w:rPr>
        <w:t xml:space="preserve"> </w:t>
      </w:r>
      <w:r>
        <w:rPr>
          <w:rFonts w:hint="eastAsia" w:ascii="黑体" w:hAnsi="黑体" w:eastAsia="黑体"/>
          <w:color w:val="auto"/>
          <w:kern w:val="44"/>
          <w:sz w:val="44"/>
          <w:szCs w:val="24"/>
          <w:u w:val="none" w:color="FFFFFF"/>
          <w:shd w:val="clear" w:fill="FFFFFF"/>
          <w:lang w:val="zh-CN"/>
        </w:rPr>
        <w:t>2022年度单位决算情况说明</w:t>
      </w:r>
      <w:bookmarkEnd w:id="3"/>
    </w:p>
    <w:p>
      <w:pPr>
        <w:keepNext/>
        <w:keepLines/>
        <w:spacing w:beforeLines="0" w:afterLines="0" w:line="576" w:lineRule="exact"/>
        <w:jc w:val="both"/>
        <w:outlineLvl w:val="1"/>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w:t>
      </w:r>
      <w:bookmarkStart w:id="4" w:name="_Toc20095"/>
      <w:r>
        <w:rPr>
          <w:rFonts w:hint="eastAsia" w:ascii="黑体" w:hAnsi="黑体" w:eastAsia="黑体"/>
          <w:color w:val="000000"/>
          <w:kern w:val="2"/>
          <w:sz w:val="32"/>
          <w:szCs w:val="24"/>
          <w:lang w:val="zh-CN"/>
        </w:rPr>
        <w:t>一、收</w:t>
      </w:r>
      <w:r>
        <w:rPr>
          <w:rFonts w:hint="eastAsia" w:ascii="黑体" w:hAnsi="黑体" w:eastAsia="黑体"/>
          <w:color w:val="auto"/>
          <w:kern w:val="2"/>
          <w:sz w:val="32"/>
          <w:szCs w:val="24"/>
          <w:lang w:val="zh-CN"/>
        </w:rPr>
        <w:t>入支出决算总体情况说明</w:t>
      </w:r>
      <w:bookmarkEnd w:id="4"/>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2022年度收、支总计375.66万元。与2021年相比，收、支</w:t>
      </w:r>
      <w:r>
        <w:rPr>
          <w:rFonts w:hint="eastAsia" w:ascii="仿宋_GB2312" w:hAnsi="仿宋_GB2312" w:eastAsia="仿宋_GB2312"/>
          <w:color w:val="000000"/>
          <w:kern w:val="2"/>
          <w:sz w:val="32"/>
          <w:szCs w:val="24"/>
          <w:u w:val="none" w:color="FFFFFF"/>
          <w:shd w:val="clear" w:fill="FFFFFF"/>
          <w:lang w:val="zh-CN"/>
        </w:rPr>
        <w:t>总计各</w:t>
      </w:r>
      <w:r>
        <w:rPr>
          <w:rFonts w:hint="eastAsia" w:ascii="仿宋_GB2312" w:hAnsi="仿宋_GB2312" w:eastAsia="仿宋_GB2312"/>
          <w:color w:val="000000"/>
          <w:kern w:val="2"/>
          <w:sz w:val="32"/>
          <w:szCs w:val="24"/>
          <w:lang w:val="en-US" w:eastAsia="zh-CN"/>
        </w:rPr>
        <w:t>增加</w:t>
      </w:r>
      <w:r>
        <w:rPr>
          <w:rFonts w:hint="eastAsia" w:ascii="仿宋_GB2312" w:hAnsi="仿宋_GB2312" w:eastAsia="仿宋_GB2312"/>
          <w:color w:val="000000"/>
          <w:kern w:val="2"/>
          <w:sz w:val="32"/>
          <w:szCs w:val="24"/>
          <w:lang w:val="zh-CN"/>
        </w:rPr>
        <w:t>6.28万元，增长1.7%。主要变动原因是</w:t>
      </w:r>
      <w:r>
        <w:rPr>
          <w:rFonts w:hint="eastAsia" w:ascii="仿宋_GB2312" w:hAnsi="仿宋_GB2312" w:eastAsia="仿宋_GB2312"/>
          <w:color w:val="000000"/>
          <w:kern w:val="2"/>
          <w:sz w:val="32"/>
          <w:szCs w:val="24"/>
          <w:lang w:val="en-US" w:eastAsia="zh-CN"/>
        </w:rPr>
        <w:t>项目增加</w:t>
      </w:r>
      <w:r>
        <w:rPr>
          <w:rFonts w:hint="eastAsia" w:ascii="仿宋_GB2312" w:hAnsi="仿宋_GB2312" w:eastAsia="仿宋_GB2312"/>
          <w:color w:val="000000"/>
          <w:kern w:val="2"/>
          <w:sz w:val="32"/>
          <w:szCs w:val="24"/>
          <w:lang w:val="zh-CN"/>
        </w:rPr>
        <w:t>。</w:t>
      </w:r>
    </w:p>
    <w:p>
      <w:pPr>
        <w:spacing w:beforeLines="0" w:afterLines="0" w:line="600" w:lineRule="exact"/>
        <w:ind w:firstLine="640"/>
        <w:jc w:val="both"/>
        <w:rPr>
          <w:rFonts w:hint="eastAsia" w:ascii="仿宋" w:hAnsi="仿宋" w:eastAsia="仿宋"/>
          <w:color w:val="auto"/>
          <w:kern w:val="2"/>
          <w:sz w:val="32"/>
          <w:szCs w:val="24"/>
          <w:lang w:val="en-US" w:eastAsia="zh-CN"/>
        </w:rPr>
      </w:pPr>
      <w:r>
        <w:rPr>
          <w:rFonts w:hint="default"/>
          <w:sz w:val="24"/>
          <w:szCs w:val="24"/>
        </w:rPr>
        <w:pict>
          <v:shape id="Object 6" o:spid="_x0000_s1026" o:spt="75" type="#_x0000_t75" style="position:absolute;left:0pt;margin-left:57.8pt;margin-top:0.7pt;height:244.6pt;width:347.85pt;mso-wrap-distance-bottom:0pt;mso-wrap-distance-left:9pt;mso-wrap-distance-right:9pt;mso-wrap-distance-top:0pt;z-index:251659264;mso-width-relative:page;mso-height-relative:page;" o:ole="t" filled="f" o:preferrelative="t" stroked="f" coordsize="21600,21600">
            <v:path/>
            <v:fill on="f" focussize="0,0"/>
            <v:stroke on="f"/>
            <v:imagedata r:id="rId5" o:title=""/>
            <o:lock v:ext="edit" aspectratio="t"/>
            <w10:wrap type="square"/>
          </v:shape>
          <o:OLEObject Type="Embed" ProgID="Excel.Chart.8" ShapeID="Object 6" DrawAspect="Content" ObjectID="_1468075725" r:id="rId4">
            <o:LockedField>false</o:LockedField>
          </o:OLEObject>
        </w:pict>
      </w: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960" w:firstLineChars="300"/>
        <w:jc w:val="both"/>
        <w:rPr>
          <w:rFonts w:hint="eastAsia" w:ascii="仿宋" w:hAnsi="仿宋" w:eastAsia="仿宋"/>
          <w:color w:val="auto"/>
          <w:kern w:val="2"/>
          <w:sz w:val="32"/>
          <w:szCs w:val="24"/>
          <w:u w:val="none" w:color="FFFFFF"/>
          <w:shd w:val="clear" w:fill="FFFFFF"/>
          <w:lang w:val="en-US"/>
        </w:rPr>
      </w:pPr>
    </w:p>
    <w:p>
      <w:pPr>
        <w:spacing w:beforeLines="0" w:afterLines="0" w:line="600" w:lineRule="exact"/>
        <w:ind w:firstLine="960" w:firstLineChars="30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u w:val="none" w:color="FFFFFF"/>
          <w:shd w:val="clear" w:fill="FFFFFF"/>
          <w:lang w:val="en-US"/>
        </w:rPr>
        <w:t>（图1：收、支决算总计变动情况图）（柱状图</w:t>
      </w:r>
      <w:r>
        <w:rPr>
          <w:rFonts w:hint="eastAsia" w:ascii="仿宋" w:hAnsi="仿宋" w:eastAsia="仿宋"/>
          <w:color w:val="auto"/>
          <w:kern w:val="2"/>
          <w:sz w:val="32"/>
          <w:szCs w:val="24"/>
          <w:lang w:val="en-US"/>
        </w:rPr>
        <w:t>）</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5" w:name="_Toc4591"/>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bookmarkEnd w:id="5"/>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收入合计375.66万元，其中：一般公共预算财政拨款收入375.66万元，占100%；政府性基金预算财政拨款收入0万元，占0%；国有资本经营预算财政拨款收入0万元，占0%；上级补助收入0万元，占0%；事业收入0万元，占0%；经营收入0万元，占0%；附属单位上缴收入0万元，占0%；其他收入0万元，占0%。</w:t>
      </w:r>
    </w:p>
    <w:p>
      <w:pPr>
        <w:keepNext/>
        <w:keepLines/>
        <w:spacing w:beforeLines="0" w:afterLines="0" w:line="576" w:lineRule="exact"/>
        <w:ind w:firstLine="640"/>
        <w:jc w:val="both"/>
        <w:rPr>
          <w:rFonts w:hint="eastAsia" w:ascii="仿宋" w:hAnsi="仿宋" w:eastAsia="仿宋"/>
          <w:color w:val="auto"/>
          <w:kern w:val="2"/>
          <w:sz w:val="32"/>
          <w:szCs w:val="24"/>
          <w:lang w:val="en-US"/>
        </w:rPr>
      </w:pPr>
      <w:r>
        <w:rPr>
          <w:rFonts w:hint="default" w:ascii="仿宋" w:hAnsi="仿宋" w:eastAsia="仿宋" w:cs="仿宋"/>
          <w:kern w:val="2"/>
          <w:sz w:val="32"/>
          <w:szCs w:val="32"/>
        </w:rPr>
        <w:pict>
          <v:shape id="Object 2" o:spid="_x0000_s1027" o:spt="75" type="#_x0000_t75" style="position:absolute;left:0pt;margin-left:19.2pt;margin-top:15.4pt;height:294pt;width:406.2pt;mso-position-horizontal-relative:margin;mso-wrap-distance-bottom:0pt;mso-wrap-distance-left:9pt;mso-wrap-distance-right:9pt;mso-wrap-distance-top:0pt;z-index:251660288;mso-width-relative:page;mso-height-relative:page;" o:ole="t" filled="f" o:preferrelative="t" stroked="f" coordsize="21600,21600">
            <v:path/>
            <v:fill on="f" focussize="0,0"/>
            <v:stroke on="f"/>
            <v:imagedata r:id="rId7" o:title=""/>
            <o:lock v:ext="edit" aspectratio="f"/>
            <w10:wrap type="square"/>
          </v:shape>
          <o:OLEObject Type="Embed" ProgID="Excel.Sheet.8" ShapeID="Object 2" DrawAspect="Content" ObjectID="_1468075726" r:id="rId6">
            <o:LockedField>false</o:LockedField>
          </o:OLEObject>
        </w:pict>
      </w:r>
      <w:r>
        <w:rPr>
          <w:rFonts w:hint="eastAsia" w:ascii="仿宋" w:hAnsi="仿宋" w:eastAsia="仿宋"/>
          <w:color w:val="auto"/>
          <w:kern w:val="2"/>
          <w:sz w:val="32"/>
          <w:szCs w:val="24"/>
          <w:lang w:val="en-US"/>
        </w:rPr>
        <w:t>（图2：收入决算结构图）（饼状图）</w:t>
      </w:r>
    </w:p>
    <w:p>
      <w:pPr>
        <w:keepNext/>
        <w:keepLines/>
        <w:spacing w:beforeLines="0" w:afterLines="0" w:line="576" w:lineRule="exact"/>
        <w:ind w:firstLine="640"/>
        <w:jc w:val="both"/>
        <w:rPr>
          <w:rFonts w:hint="eastAsia" w:ascii="黑体" w:hAnsi="黑体" w:eastAsia="黑体"/>
          <w:color w:val="000000"/>
          <w:kern w:val="2"/>
          <w:sz w:val="32"/>
          <w:szCs w:val="24"/>
          <w:lang w:val="zh-CN"/>
        </w:rPr>
      </w:pPr>
    </w:p>
    <w:p>
      <w:pPr>
        <w:keepNext/>
        <w:keepLines/>
        <w:spacing w:beforeLines="0" w:afterLines="0" w:line="576" w:lineRule="exact"/>
        <w:ind w:firstLine="640"/>
        <w:jc w:val="both"/>
        <w:rPr>
          <w:rFonts w:hint="eastAsia" w:ascii="黑体" w:hAnsi="黑体" w:eastAsia="黑体"/>
          <w:color w:val="000000"/>
          <w:kern w:val="2"/>
          <w:sz w:val="32"/>
          <w:szCs w:val="24"/>
          <w:lang w:val="zh-CN"/>
        </w:rPr>
      </w:pPr>
    </w:p>
    <w:p>
      <w:pPr>
        <w:keepNext/>
        <w:keepLines/>
        <w:spacing w:beforeLines="0" w:afterLines="0" w:line="576" w:lineRule="exact"/>
        <w:ind w:firstLine="640"/>
        <w:jc w:val="both"/>
        <w:rPr>
          <w:rFonts w:hint="eastAsia" w:ascii="黑体" w:hAnsi="黑体" w:eastAsia="黑体"/>
          <w:color w:val="000000"/>
          <w:kern w:val="2"/>
          <w:sz w:val="32"/>
          <w:szCs w:val="24"/>
          <w:lang w:val="zh-CN"/>
        </w:rPr>
      </w:pP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6" w:name="_Toc29092"/>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bookmarkEnd w:id="6"/>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default" w:ascii="Times New Roman" w:hAnsi="Times New Roman" w:eastAsia="宋体"/>
          <w:sz w:val="24"/>
          <w:szCs w:val="24"/>
          <w:lang w:eastAsia="zh-CN"/>
        </w:rPr>
        <w:pict>
          <v:shape id="Object 8" o:spid="_x0000_s1028" o:spt="75" type="#_x0000_t75" style="position:absolute;left:0pt;margin-left:52.5pt;margin-top:96.25pt;height:259.7pt;width:303.6pt;z-index:-251655168;mso-width-relative:page;mso-height-relative:page;" o:ole="t" filled="f" o:preferrelative="t" stroked="f" coordsize="21600,21600">
            <v:path/>
            <v:fill on="f" focussize="0,0"/>
            <v:stroke on="f"/>
            <v:imagedata r:id="rId9" o:title=""/>
            <o:lock v:ext="edit" aspectratio="f"/>
          </v:shape>
          <o:OLEObject Type="Embed" ProgID="Excel.Sheet.8" ShapeID="Object 8" DrawAspect="Content" ObjectID="_1468075727" r:id="rId8">
            <o:LockedField>false</o:LockedField>
          </o:OLEObject>
        </w:pict>
      </w:r>
      <w:r>
        <w:rPr>
          <w:rFonts w:hint="eastAsia" w:ascii="仿宋_GB2312" w:hAnsi="仿宋_GB2312" w:eastAsia="仿宋_GB2312"/>
          <w:color w:val="000000"/>
          <w:kern w:val="2"/>
          <w:sz w:val="32"/>
          <w:szCs w:val="24"/>
          <w:lang w:val="zh-CN"/>
        </w:rPr>
        <w:t>2022年本年支出合计375.66万元，其中：基本支出360.66万元，占96%；项目支出15万元，占4%；上缴上级支出0万元，占0%；经营支出0万元，占0%；对附属单位补助支出0万元，占0%。</w:t>
      </w: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spacing w:beforeLines="0" w:afterLines="0" w:line="600" w:lineRule="exact"/>
        <w:ind w:firstLine="643"/>
        <w:jc w:val="both"/>
        <w:rPr>
          <w:rFonts w:hint="eastAsia" w:ascii="仿宋" w:hAnsi="仿宋" w:eastAsia="仿宋"/>
          <w:b/>
          <w:color w:val="auto"/>
          <w:kern w:val="2"/>
          <w:sz w:val="32"/>
          <w:szCs w:val="24"/>
          <w:lang w:val="en-US"/>
        </w:rPr>
      </w:pPr>
    </w:p>
    <w:p>
      <w:pPr>
        <w:spacing w:beforeLines="0" w:afterLines="0" w:line="600" w:lineRule="exact"/>
        <w:ind w:firstLine="643"/>
        <w:jc w:val="both"/>
        <w:rPr>
          <w:rFonts w:hint="eastAsia" w:ascii="仿宋" w:hAnsi="仿宋" w:eastAsia="仿宋"/>
          <w:b/>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（图3：支出决算结构图）（饼状图）</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7" w:name="_Toc31721"/>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bookmarkEnd w:id="7"/>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2022年财政拨款</w:t>
      </w:r>
      <w:r>
        <w:rPr>
          <w:rFonts w:hint="eastAsia" w:ascii="仿宋_GB2312" w:hAnsi="仿宋_GB2312" w:eastAsia="仿宋_GB2312"/>
          <w:color w:val="000000"/>
          <w:kern w:val="2"/>
          <w:sz w:val="32"/>
          <w:szCs w:val="24"/>
          <w:u w:val="none" w:color="FFFFFF"/>
          <w:shd w:val="clear" w:fill="FFFFFF"/>
          <w:lang w:val="zh-CN"/>
        </w:rPr>
        <w:t>收、支</w:t>
      </w:r>
      <w:r>
        <w:rPr>
          <w:rFonts w:hint="eastAsia" w:ascii="仿宋_GB2312" w:hAnsi="仿宋_GB2312" w:eastAsia="仿宋_GB2312"/>
          <w:color w:val="000000"/>
          <w:kern w:val="2"/>
          <w:sz w:val="32"/>
          <w:szCs w:val="24"/>
          <w:lang w:val="zh-CN"/>
        </w:rPr>
        <w:t>总计375.66万元。与2021年相比，财政拨款</w:t>
      </w:r>
      <w:r>
        <w:rPr>
          <w:rFonts w:hint="eastAsia" w:ascii="仿宋_GB2312" w:hAnsi="仿宋_GB2312" w:eastAsia="仿宋_GB2312"/>
          <w:color w:val="000000"/>
          <w:kern w:val="2"/>
          <w:sz w:val="32"/>
          <w:szCs w:val="24"/>
          <w:u w:val="none" w:color="FFFFFF"/>
          <w:shd w:val="clear" w:fill="FFFFFF"/>
          <w:lang w:val="zh-CN"/>
        </w:rPr>
        <w:t>收、支</w:t>
      </w:r>
      <w:r>
        <w:rPr>
          <w:rFonts w:hint="eastAsia" w:ascii="仿宋_GB2312" w:hAnsi="仿宋_GB2312" w:eastAsia="仿宋_GB2312"/>
          <w:color w:val="000000"/>
          <w:kern w:val="2"/>
          <w:sz w:val="32"/>
          <w:szCs w:val="24"/>
          <w:lang w:val="zh-CN"/>
        </w:rPr>
        <w:t>总计各增加6.28万元，增长1.7%。主要变动原因是</w:t>
      </w:r>
      <w:r>
        <w:rPr>
          <w:rFonts w:hint="eastAsia" w:ascii="仿宋_GB2312" w:hAnsi="仿宋_GB2312" w:eastAsia="仿宋_GB2312"/>
          <w:color w:val="000000"/>
          <w:kern w:val="2"/>
          <w:sz w:val="32"/>
          <w:szCs w:val="24"/>
          <w:lang w:val="en-US" w:eastAsia="zh-CN"/>
        </w:rPr>
        <w:t>项目增加</w:t>
      </w:r>
      <w:r>
        <w:rPr>
          <w:rFonts w:hint="eastAsia" w:ascii="仿宋_GB2312" w:hAnsi="仿宋_GB2312" w:eastAsia="仿宋_GB2312"/>
          <w:color w:val="000000"/>
          <w:kern w:val="2"/>
          <w:sz w:val="32"/>
          <w:szCs w:val="24"/>
          <w:lang w:val="zh-CN"/>
        </w:rPr>
        <w:t>。</w:t>
      </w: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r>
        <w:rPr>
          <w:rFonts w:hint="default"/>
          <w:sz w:val="24"/>
          <w:szCs w:val="24"/>
        </w:rPr>
        <w:pict>
          <v:shape id="Object 9" o:spid="_x0000_s1029" o:spt="75" type="#_x0000_t75" style="position:absolute;left:0pt;margin-left:43.4pt;margin-top:-20.8pt;height:175.6pt;width:347.85pt;mso-wrap-distance-bottom:0pt;mso-wrap-distance-left:9pt;mso-wrap-distance-right:9pt;mso-wrap-distance-top:0pt;z-index:251662336;mso-width-relative:page;mso-height-relative:page;" o:ole="t" filled="f" o:preferrelative="t" stroked="f" coordsize="21600,21600">
            <v:path/>
            <v:fill on="f" focussize="0,0"/>
            <v:stroke on="f"/>
            <v:imagedata r:id="rId11" o:title=""/>
            <o:lock v:ext="edit" aspectratio="t"/>
            <w10:wrap type="square"/>
          </v:shape>
          <o:OLEObject Type="Embed" ProgID="Excel.Chart.8" ShapeID="Object 9" DrawAspect="Content" ObjectID="_1468075728" r:id="rId10">
            <o:LockedField>false</o:LockedField>
          </o:OLEObject>
        </w:pict>
      </w: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（图4：财政拨款收、支决算总计变动情况）（柱状图）</w:t>
      </w:r>
    </w:p>
    <w:p>
      <w:pPr>
        <w:numPr>
          <w:ilvl w:val="0"/>
          <w:numId w:val="2"/>
        </w:numPr>
        <w:spacing w:beforeLines="0" w:afterLines="0" w:line="600" w:lineRule="exact"/>
        <w:ind w:firstLine="640"/>
        <w:jc w:val="both"/>
        <w:outlineLvl w:val="1"/>
        <w:rPr>
          <w:rFonts w:hint="eastAsia" w:ascii="黑体" w:hAnsi="黑体" w:eastAsia="黑体"/>
          <w:color w:val="auto"/>
          <w:kern w:val="2"/>
          <w:sz w:val="32"/>
          <w:szCs w:val="24"/>
          <w:lang w:val="zh-CN"/>
        </w:rPr>
      </w:pPr>
      <w:bookmarkStart w:id="8" w:name="_Toc10903"/>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bookmarkEnd w:id="8"/>
    </w:p>
    <w:p>
      <w:pPr>
        <w:numPr>
          <w:ilvl w:val="0"/>
          <w:numId w:val="3"/>
        </w:numPr>
        <w:spacing w:beforeLines="0" w:afterLines="0" w:line="600" w:lineRule="exact"/>
        <w:ind w:firstLine="964" w:firstLineChars="3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一般公共预算财政拨款支出决算总体情况。</w:t>
      </w:r>
    </w:p>
    <w:p>
      <w:pPr>
        <w:numPr>
          <w:ilvl w:val="0"/>
          <w:numId w:val="0"/>
        </w:numPr>
        <w:spacing w:beforeLines="0" w:afterLines="0" w:line="600" w:lineRule="exact"/>
        <w:ind w:firstLine="960" w:firstLineChars="3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2022年一般公共预算财政拨款支出375.66万元，占本年支出合计的100%。与2021年相比，一般公共预算财政拨款支出增加6.28万元，增长1.7%。主要变动原因是</w:t>
      </w:r>
      <w:r>
        <w:rPr>
          <w:rFonts w:hint="eastAsia" w:ascii="仿宋_GB2312" w:hAnsi="仿宋_GB2312" w:eastAsia="仿宋_GB2312"/>
          <w:color w:val="000000"/>
          <w:kern w:val="2"/>
          <w:sz w:val="32"/>
          <w:szCs w:val="24"/>
          <w:lang w:val="en-US" w:eastAsia="zh-CN"/>
        </w:rPr>
        <w:t>项目增加</w:t>
      </w:r>
      <w:r>
        <w:rPr>
          <w:rFonts w:hint="eastAsia" w:ascii="仿宋_GB2312" w:hAnsi="仿宋_GB2312" w:eastAsia="仿宋_GB2312"/>
          <w:color w:val="000000"/>
          <w:kern w:val="2"/>
          <w:sz w:val="32"/>
          <w:szCs w:val="24"/>
          <w:lang w:val="zh-CN"/>
        </w:rPr>
        <w:t>。</w:t>
      </w:r>
    </w:p>
    <w:p>
      <w:pPr>
        <w:spacing w:beforeLines="0" w:afterLines="0" w:line="600" w:lineRule="exact"/>
        <w:ind w:firstLine="640"/>
        <w:jc w:val="both"/>
        <w:rPr>
          <w:rFonts w:hint="eastAsia" w:ascii="仿宋" w:hAnsi="仿宋" w:eastAsia="仿宋"/>
          <w:color w:val="auto"/>
          <w:kern w:val="2"/>
          <w:sz w:val="32"/>
          <w:szCs w:val="24"/>
          <w:lang w:val="en-US"/>
        </w:rPr>
      </w:pPr>
      <w:r>
        <w:rPr>
          <w:rFonts w:hint="default"/>
          <w:sz w:val="24"/>
          <w:szCs w:val="24"/>
        </w:rPr>
        <w:pict>
          <v:shape id="Object 10" o:spid="_x0000_s1030" o:spt="75" type="#_x0000_t75" style="position:absolute;left:0pt;margin-left:32pt;margin-top:4.4pt;height:205.05pt;width:347.85pt;mso-wrap-distance-bottom:0pt;mso-wrap-distance-left:9pt;mso-wrap-distance-right:9pt;mso-wrap-distance-top:0pt;z-index:251663360;mso-width-relative:page;mso-height-relative:page;" o:ole="t" filled="f" o:preferrelative="t" stroked="f" coordsize="21600,21600">
            <v:path/>
            <v:fill on="f" focussize="0,0"/>
            <v:stroke on="f"/>
            <v:imagedata r:id="rId13" o:title=""/>
            <o:lock v:ext="edit" aspectratio="t"/>
            <w10:wrap type="square"/>
          </v:shape>
          <o:OLEObject Type="Embed" ProgID="Excel.Chart.8" ShapeID="Object 10" DrawAspect="Content" ObjectID="_1468075729" r:id="rId12">
            <o:LockedField>false</o:LockedField>
          </o:OLEObject>
        </w:pict>
      </w:r>
      <w:r>
        <w:rPr>
          <w:rFonts w:hint="eastAsia" w:ascii="仿宋" w:hAnsi="仿宋" w:eastAsia="仿宋"/>
          <w:color w:val="auto"/>
          <w:kern w:val="2"/>
          <w:sz w:val="32"/>
          <w:szCs w:val="24"/>
          <w:lang w:val="en-US"/>
        </w:rPr>
        <w:t>（图5：一般公共预算财政拨款支出决算变动情况）（柱状图）</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u w:val="none" w:color="FFFFFF"/>
          <w:shd w:val="clear" w:fill="FFFFFF"/>
          <w:lang w:val="zh-CN"/>
        </w:rPr>
        <w:t>（二）</w:t>
      </w:r>
      <w:r>
        <w:rPr>
          <w:rFonts w:hint="eastAsia" w:ascii="仿宋_GB2312" w:hAnsi="仿宋_GB2312" w:eastAsia="仿宋_GB2312"/>
          <w:b/>
          <w:color w:val="000000"/>
          <w:kern w:val="2"/>
          <w:sz w:val="32"/>
          <w:szCs w:val="24"/>
          <w:lang w:val="zh-CN"/>
        </w:rPr>
        <w:t>一般公共预算财政拨款支出决算结构情况。</w:t>
      </w: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2022年一般公共预算财政拨款支出375.66万元，主要用于以下方面</w:t>
      </w:r>
      <w:r>
        <w:rPr>
          <w:rFonts w:hint="eastAsia" w:ascii="仿宋_GB2312" w:hAnsi="仿宋_GB2312" w:eastAsia="仿宋_GB2312"/>
          <w:color w:val="000000"/>
          <w:kern w:val="2"/>
          <w:sz w:val="32"/>
          <w:szCs w:val="24"/>
          <w:u w:val="none" w:color="FFFFFF"/>
          <w:shd w:val="clear" w:fill="FFFFFF"/>
          <w:lang w:val="zh-CN"/>
        </w:rPr>
        <w:t xml:space="preserve">: </w:t>
      </w:r>
      <w:r>
        <w:rPr>
          <w:rFonts w:hint="eastAsia" w:ascii="仿宋_GB2312" w:hAnsi="仿宋_GB2312" w:eastAsia="仿宋_GB2312"/>
          <w:color w:val="000000"/>
          <w:kern w:val="2"/>
          <w:sz w:val="32"/>
          <w:szCs w:val="24"/>
          <w:lang w:val="zh-CN"/>
        </w:rPr>
        <w:t>一般公共服务支出0万元，占0%；外交支出0万元，占0%；国防支出0万元，占0%；公共安全支出0万元，占0%；教育支出305.37万元，占81.3%；科学技术支出0万元，占0%；文化体育与传媒支出0万元，占0%；社会保障和就业支出28.28万元，占7.5%；卫生健康支出20.84</w:t>
      </w:r>
      <w:r>
        <w:rPr>
          <w:rFonts w:hint="eastAsia" w:ascii="仿宋_GB2312" w:hAnsi="仿宋_GB2312" w:eastAsia="仿宋_GB2312"/>
          <w:color w:val="000000"/>
          <w:kern w:val="2"/>
          <w:sz w:val="32"/>
          <w:szCs w:val="24"/>
          <w:u w:val="thick" w:color="98967F"/>
          <w:shd w:val="clear" w:fill="98967F"/>
          <w:lang w:val="zh-CN"/>
        </w:rPr>
        <w:t>万元，占5.5%；</w:t>
      </w:r>
      <w:r>
        <w:rPr>
          <w:rFonts w:hint="eastAsia" w:ascii="仿宋_GB2312" w:hAnsi="仿宋_GB2312" w:eastAsia="仿宋_GB2312"/>
          <w:color w:val="000000"/>
          <w:kern w:val="2"/>
          <w:sz w:val="32"/>
          <w:szCs w:val="24"/>
          <w:lang w:val="zh-CN"/>
        </w:rPr>
        <w:t>节能环保支出0万元，占0%；城乡社区支出0万元，占0%；农林水支出0.5万元，占0.1%；交通运输支出0万元，占0%；资源</w:t>
      </w:r>
      <w:r>
        <w:rPr>
          <w:rFonts w:hint="eastAsia" w:ascii="仿宋_GB2312" w:hAnsi="仿宋_GB2312" w:eastAsia="仿宋_GB2312"/>
          <w:color w:val="000000"/>
          <w:kern w:val="2"/>
          <w:sz w:val="32"/>
          <w:szCs w:val="24"/>
          <w:u w:val="none" w:color="FFFFFF"/>
          <w:shd w:val="clear" w:fill="FFFFFF"/>
          <w:lang w:val="zh-CN"/>
        </w:rPr>
        <w:t>勘探和</w:t>
      </w:r>
      <w:r>
        <w:rPr>
          <w:rFonts w:hint="eastAsia" w:ascii="仿宋_GB2312" w:hAnsi="仿宋_GB2312" w:eastAsia="仿宋_GB2312"/>
          <w:color w:val="000000"/>
          <w:kern w:val="2"/>
          <w:sz w:val="32"/>
          <w:szCs w:val="24"/>
          <w:lang w:val="zh-CN"/>
        </w:rPr>
        <w:t>工业</w:t>
      </w:r>
      <w:r>
        <w:rPr>
          <w:rFonts w:hint="eastAsia" w:ascii="仿宋_GB2312" w:hAnsi="仿宋_GB2312" w:eastAsia="仿宋_GB2312"/>
          <w:color w:val="000000"/>
          <w:kern w:val="2"/>
          <w:sz w:val="32"/>
          <w:szCs w:val="24"/>
          <w:u w:val="none" w:color="FFFFFF"/>
          <w:shd w:val="clear" w:fill="FFFFFF"/>
          <w:lang w:val="zh-CN"/>
        </w:rPr>
        <w:t>信息化</w:t>
      </w:r>
      <w:r>
        <w:rPr>
          <w:rFonts w:hint="eastAsia" w:ascii="仿宋_GB2312" w:hAnsi="仿宋_GB2312" w:eastAsia="仿宋_GB2312"/>
          <w:color w:val="000000"/>
          <w:kern w:val="2"/>
          <w:sz w:val="32"/>
          <w:szCs w:val="24"/>
          <w:lang w:val="zh-CN"/>
        </w:rPr>
        <w:t>等支出0万元，占0%；商业服务业等支出0万元，占0%；金融支出0万元，占0%；援助其他地区支出0万元，占0%；</w:t>
      </w:r>
      <w:r>
        <w:rPr>
          <w:rFonts w:hint="eastAsia" w:ascii="仿宋_GB2312" w:hAnsi="仿宋_GB2312" w:eastAsia="仿宋_GB2312"/>
          <w:color w:val="000000"/>
          <w:kern w:val="2"/>
          <w:sz w:val="32"/>
          <w:szCs w:val="24"/>
          <w:u w:val="none" w:color="FFFFFF"/>
          <w:shd w:val="clear" w:fill="FFFFFF"/>
          <w:lang w:val="zh-CN"/>
        </w:rPr>
        <w:t>自然资源海洋气象等支出0万元，占0%；</w:t>
      </w:r>
      <w:r>
        <w:rPr>
          <w:rFonts w:hint="eastAsia" w:ascii="仿宋_GB2312" w:hAnsi="仿宋_GB2312" w:eastAsia="仿宋_GB2312"/>
          <w:color w:val="000000"/>
          <w:kern w:val="2"/>
          <w:sz w:val="32"/>
          <w:szCs w:val="24"/>
          <w:lang w:val="zh-CN"/>
        </w:rPr>
        <w:t>住房保障支出20.67</w:t>
      </w:r>
      <w:r>
        <w:rPr>
          <w:rFonts w:hint="eastAsia" w:ascii="仿宋_GB2312" w:hAnsi="仿宋_GB2312" w:eastAsia="仿宋_GB2312"/>
          <w:color w:val="000000"/>
          <w:kern w:val="2"/>
          <w:sz w:val="32"/>
          <w:szCs w:val="24"/>
          <w:u w:val="thick" w:color="98967F"/>
          <w:shd w:val="clear" w:fill="98967F"/>
          <w:lang w:val="zh-CN"/>
        </w:rPr>
        <w:t>万元，占5.5%；</w:t>
      </w:r>
      <w:r>
        <w:rPr>
          <w:rFonts w:hint="eastAsia" w:ascii="仿宋_GB2312" w:hAnsi="仿宋_GB2312" w:eastAsia="仿宋_GB2312"/>
          <w:color w:val="000000"/>
          <w:kern w:val="2"/>
          <w:sz w:val="32"/>
          <w:szCs w:val="24"/>
          <w:lang w:val="zh-CN"/>
        </w:rPr>
        <w:t>粮油物资储备支出0万元，占0%；国有资本经营预算支出0万元，占0%；灾害防治及应急管理支出0万元，占0%；其他支出0万元，占0%；债务还本支出0万元，占0%；债务付息支出0万元，占0%；抗疫特别国债安排的支出0万元，占0%。</w:t>
      </w:r>
    </w:p>
    <w:p>
      <w:pPr>
        <w:spacing w:beforeLines="0" w:afterLines="0" w:line="600" w:lineRule="exact"/>
        <w:ind w:firstLine="640"/>
        <w:jc w:val="both"/>
        <w:rPr>
          <w:rFonts w:hint="eastAsia" w:ascii="仿宋" w:hAnsi="仿宋" w:eastAsia="仿宋"/>
          <w:color w:val="auto"/>
          <w:kern w:val="2"/>
          <w:sz w:val="32"/>
          <w:szCs w:val="24"/>
          <w:lang w:val="en-US"/>
        </w:rPr>
      </w:pPr>
      <w:r>
        <w:rPr>
          <w:rFonts w:hint="default" w:ascii="Times New Roman" w:hAnsi="Times New Roman" w:eastAsia="宋体"/>
          <w:sz w:val="24"/>
          <w:szCs w:val="24"/>
          <w:lang w:eastAsia="zh-CN"/>
        </w:rPr>
        <w:pict>
          <v:shape id="Object 11" o:spid="_x0000_s1031" o:spt="75" type="#_x0000_t75" style="position:absolute;left:0pt;margin-left:7.75pt;margin-top:6.35pt;height:172.9pt;width:205.05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15" o:title=""/>
            <o:lock v:ext="edit" aspectratio="f"/>
            <w10:wrap type="tight"/>
          </v:shape>
          <o:OLEObject Type="Embed" ProgID="Excel.Sheet.8" ShapeID="Object 11" DrawAspect="Content" ObjectID="_1468075730" r:id="rId14">
            <o:LockedField>false</o:LockedField>
          </o:OLEObject>
        </w:pict>
      </w:r>
    </w:p>
    <w:p>
      <w:pPr>
        <w:spacing w:beforeLines="0" w:afterLines="0" w:line="600" w:lineRule="exact"/>
        <w:ind w:firstLine="640"/>
        <w:jc w:val="both"/>
        <w:rPr>
          <w:rFonts w:hint="eastAsia" w:ascii="仿宋" w:hAnsi="仿宋" w:eastAsia="仿宋"/>
          <w:color w:val="auto"/>
          <w:kern w:val="2"/>
          <w:sz w:val="32"/>
          <w:szCs w:val="24"/>
          <w:lang w:val="en-US"/>
        </w:rPr>
      </w:pPr>
    </w:p>
    <w:p>
      <w:pPr>
        <w:spacing w:beforeLines="0" w:afterLines="0" w:line="600" w:lineRule="exact"/>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（图6：一般公共预算财政拨款支出决算结构）（饼状图）</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（三）一般公共预算财政拨款支出决算具体情况。</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2022年一般公共预算支出决算数为375.66万元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完成预算100%。其中</w:t>
      </w:r>
      <w:r>
        <w:rPr>
          <w:rFonts w:hint="eastAsia" w:ascii="仿宋_GB2312" w:hAnsi="仿宋_GB2312" w:eastAsia="仿宋_GB2312"/>
          <w:b/>
          <w:color w:val="000000"/>
          <w:kern w:val="2"/>
          <w:sz w:val="32"/>
          <w:szCs w:val="24"/>
          <w:u w:val="none" w:color="FFFFFF"/>
          <w:shd w:val="clear" w:fill="FFFFFF"/>
          <w:lang w:val="zh-CN"/>
        </w:rPr>
        <w:t>：</w:t>
      </w:r>
    </w:p>
    <w:p>
      <w:pPr>
        <w:spacing w:line="600" w:lineRule="exact"/>
        <w:ind w:firstLine="640"/>
        <w:jc w:val="both"/>
        <w:rPr>
          <w:rFonts w:hint="eastAsia" w:ascii="仿宋_GB2312" w:hAnsi="仿宋_GB2312" w:eastAsia="仿宋_GB2312" w:cs="仿宋_GB2312"/>
          <w:b/>
          <w:color w:val="000000"/>
          <w:kern w:val="2"/>
          <w:sz w:val="32"/>
          <w:szCs w:val="32"/>
          <w:lang w:val="zh-CN"/>
        </w:rPr>
      </w:pPr>
      <w:r>
        <w:rPr>
          <w:rFonts w:hint="eastAsia" w:ascii="仿宋_GB2312" w:hAnsi="仿宋_GB2312" w:eastAsia="仿宋_GB2312" w:cs="仿宋_GB2312"/>
          <w:b/>
          <w:color w:val="000000"/>
          <w:kern w:val="2"/>
          <w:sz w:val="32"/>
          <w:szCs w:val="32"/>
        </w:rPr>
        <w:t>1.教育支出（类）普通教育（款）小学教育（项）:</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305.37</w:t>
      </w:r>
      <w:r>
        <w:rPr>
          <w:rFonts w:hint="eastAsia" w:ascii="仿宋" w:hAnsi="仿宋" w:eastAsia="仿宋" w:cs="仿宋"/>
          <w:kern w:val="2"/>
          <w:sz w:val="32"/>
          <w:szCs w:val="32"/>
        </w:rPr>
        <w:t>万元，完成预算100%。</w:t>
      </w:r>
    </w:p>
    <w:p>
      <w:pPr>
        <w:spacing w:line="600" w:lineRule="exact"/>
        <w:ind w:firstLine="640"/>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2.</w:t>
      </w:r>
      <w:r>
        <w:rPr>
          <w:rStyle w:val="11"/>
          <w:rFonts w:hint="eastAsia" w:ascii="仿宋" w:hAnsi="仿宋" w:eastAsia="仿宋"/>
          <w:sz w:val="32"/>
          <w:szCs w:val="24"/>
        </w:rPr>
        <w:t xml:space="preserve"> </w:t>
      </w:r>
      <w:r>
        <w:rPr>
          <w:rStyle w:val="9"/>
          <w:rFonts w:hint="eastAsia" w:ascii="仿宋" w:hAnsi="仿宋" w:eastAsia="仿宋"/>
          <w:sz w:val="32"/>
          <w:szCs w:val="32"/>
        </w:rPr>
        <w:t>社会保障和就业（类）人力资源和社会保障管理事务（款）引进人才费用（项）:行政事业养老支出（款）机关事业单位基本养老保险缴费支出（项）:</w:t>
      </w:r>
      <w:r>
        <w:rPr>
          <w:rStyle w:val="9"/>
          <w:rFonts w:hint="eastAsia" w:ascii="仿宋" w:hAnsi="仿宋" w:eastAsia="仿宋"/>
          <w:b w:val="0"/>
          <w:sz w:val="32"/>
          <w:szCs w:val="32"/>
        </w:rPr>
        <w:t xml:space="preserve"> 支出决算为28.</w:t>
      </w:r>
      <w:r>
        <w:rPr>
          <w:rStyle w:val="9"/>
          <w:rFonts w:hint="eastAsia" w:ascii="仿宋" w:hAnsi="仿宋" w:eastAsia="仿宋"/>
          <w:b w:val="0"/>
          <w:sz w:val="32"/>
          <w:szCs w:val="32"/>
          <w:lang w:val="en-US" w:eastAsia="zh-CN"/>
        </w:rPr>
        <w:t>28</w:t>
      </w:r>
      <w:r>
        <w:rPr>
          <w:rStyle w:val="9"/>
          <w:rFonts w:hint="eastAsia" w:ascii="仿宋" w:hAnsi="仿宋" w:eastAsia="仿宋"/>
          <w:b w:val="0"/>
          <w:sz w:val="32"/>
          <w:szCs w:val="32"/>
        </w:rPr>
        <w:t>万元，完成预算100%。</w:t>
      </w:r>
    </w:p>
    <w:p>
      <w:pPr>
        <w:spacing w:line="600" w:lineRule="exact"/>
        <w:ind w:firstLine="640"/>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3.</w:t>
      </w:r>
      <w:r>
        <w:rPr>
          <w:rFonts w:hint="eastAsia" w:ascii="仿宋" w:hAnsi="仿宋" w:eastAsia="仿宋"/>
          <w:b/>
          <w:sz w:val="32"/>
          <w:szCs w:val="24"/>
        </w:rPr>
        <w:t xml:space="preserve"> 卫生健康</w:t>
      </w:r>
      <w:r>
        <w:rPr>
          <w:rStyle w:val="9"/>
          <w:rFonts w:hint="eastAsia" w:ascii="仿宋" w:hAnsi="仿宋" w:eastAsia="仿宋"/>
          <w:sz w:val="32"/>
          <w:szCs w:val="32"/>
        </w:rPr>
        <w:t>（类）行政事业单位医疗（款）事业单位医疗</w:t>
      </w:r>
      <w:r>
        <w:rPr>
          <w:rStyle w:val="9"/>
          <w:rFonts w:hint="eastAsia" w:ascii="仿宋" w:hAnsi="仿宋" w:eastAsia="仿宋"/>
          <w:sz w:val="32"/>
          <w:szCs w:val="32"/>
          <w:u w:val="none" w:color="FFFFFF"/>
          <w:shd w:val="clear" w:fill="FFFFFF"/>
        </w:rPr>
        <w:t>:</w:t>
      </w:r>
      <w:r>
        <w:rPr>
          <w:rStyle w:val="9"/>
          <w:rFonts w:hint="eastAsia" w:ascii="仿宋" w:hAnsi="仿宋" w:eastAsia="仿宋"/>
          <w:b w:val="0"/>
          <w:sz w:val="32"/>
          <w:szCs w:val="32"/>
        </w:rPr>
        <w:t>支出决算为</w:t>
      </w:r>
      <w:r>
        <w:rPr>
          <w:rStyle w:val="9"/>
          <w:rFonts w:hint="eastAsia" w:ascii="仿宋" w:hAnsi="仿宋" w:eastAsia="仿宋"/>
          <w:b w:val="0"/>
          <w:sz w:val="32"/>
          <w:szCs w:val="32"/>
          <w:lang w:val="en-US" w:eastAsia="zh-CN"/>
        </w:rPr>
        <w:t>20.84</w:t>
      </w:r>
      <w:r>
        <w:rPr>
          <w:rStyle w:val="9"/>
          <w:rFonts w:hint="eastAsia" w:ascii="仿宋" w:hAnsi="仿宋" w:eastAsia="仿宋"/>
          <w:b w:val="0"/>
          <w:sz w:val="32"/>
          <w:szCs w:val="32"/>
        </w:rPr>
        <w:t>万元，完成预算100%。</w:t>
      </w:r>
    </w:p>
    <w:p>
      <w:pPr>
        <w:spacing w:line="600" w:lineRule="exact"/>
        <w:ind w:firstLine="640" w:firstLineChars="200"/>
        <w:rPr>
          <w:rStyle w:val="9"/>
          <w:rFonts w:hint="eastAsia" w:ascii="仿宋" w:hAnsi="仿宋" w:eastAsia="仿宋"/>
          <w:b w:val="0"/>
          <w:sz w:val="32"/>
          <w:szCs w:val="32"/>
        </w:rPr>
      </w:pPr>
      <w:r>
        <w:rPr>
          <w:rFonts w:hint="eastAsia" w:ascii="仿宋" w:hAnsi="仿宋" w:eastAsia="仿宋"/>
          <w:sz w:val="32"/>
          <w:szCs w:val="24"/>
        </w:rPr>
        <w:t>4.</w:t>
      </w:r>
      <w:r>
        <w:rPr>
          <w:rFonts w:hint="eastAsia" w:ascii="仿宋" w:hAnsi="仿宋" w:eastAsia="仿宋"/>
          <w:b/>
          <w:sz w:val="32"/>
          <w:szCs w:val="24"/>
        </w:rPr>
        <w:t>农林水支出（类）扶贫（款</w:t>
      </w:r>
      <w:r>
        <w:rPr>
          <w:rFonts w:hint="eastAsia" w:ascii="仿宋" w:hAnsi="仿宋" w:eastAsia="仿宋"/>
          <w:b/>
          <w:sz w:val="32"/>
          <w:szCs w:val="24"/>
          <w:u w:val="none" w:color="FFFFFF"/>
          <w:shd w:val="clear" w:fill="FFFFFF"/>
        </w:rPr>
        <w:t>)</w:t>
      </w:r>
      <w:r>
        <w:rPr>
          <w:rFonts w:hint="eastAsia" w:ascii="仿宋" w:hAnsi="仿宋" w:eastAsia="仿宋"/>
          <w:b/>
          <w:sz w:val="32"/>
          <w:szCs w:val="24"/>
        </w:rPr>
        <w:t>其他扶贫支出（项）</w:t>
      </w:r>
      <w:r>
        <w:rPr>
          <w:rFonts w:hint="eastAsia" w:ascii="仿宋" w:hAnsi="仿宋" w:eastAsia="仿宋"/>
          <w:sz w:val="32"/>
          <w:szCs w:val="24"/>
        </w:rPr>
        <w:t>：</w:t>
      </w:r>
      <w:r>
        <w:rPr>
          <w:rStyle w:val="9"/>
          <w:rFonts w:hint="eastAsia" w:ascii="仿宋" w:hAnsi="仿宋" w:eastAsia="仿宋"/>
          <w:b w:val="0"/>
          <w:sz w:val="32"/>
          <w:szCs w:val="32"/>
          <w:lang w:val="en-US" w:eastAsia="zh-CN"/>
        </w:rPr>
        <w:t>支出</w:t>
      </w:r>
      <w:r>
        <w:rPr>
          <w:rStyle w:val="9"/>
          <w:rFonts w:hint="eastAsia" w:ascii="仿宋" w:hAnsi="仿宋" w:eastAsia="仿宋"/>
          <w:b w:val="0"/>
          <w:sz w:val="32"/>
          <w:szCs w:val="32"/>
        </w:rPr>
        <w:t>决算为0.5万元，完成预算100%。</w:t>
      </w:r>
    </w:p>
    <w:p>
      <w:pPr>
        <w:spacing w:line="600" w:lineRule="exact"/>
        <w:ind w:firstLine="640"/>
        <w:jc w:val="both"/>
        <w:rPr>
          <w:rFonts w:hint="eastAsia" w:ascii="仿宋_GB2312" w:hAnsi="仿宋_GB2312" w:eastAsia="仿宋_GB2312" w:cs="仿宋_GB2312"/>
          <w:b/>
          <w:color w:val="000000"/>
          <w:kern w:val="2"/>
          <w:sz w:val="32"/>
          <w:szCs w:val="32"/>
        </w:rPr>
      </w:pPr>
      <w:r>
        <w:rPr>
          <w:rFonts w:hint="eastAsia" w:ascii="仿宋" w:hAnsi="仿宋" w:eastAsia="仿宋"/>
          <w:b/>
          <w:sz w:val="32"/>
          <w:szCs w:val="24"/>
        </w:rPr>
        <w:t>5.住房保障支出（类）住房改革支出（款</w:t>
      </w:r>
      <w:r>
        <w:rPr>
          <w:rFonts w:hint="eastAsia" w:ascii="仿宋" w:hAnsi="仿宋" w:eastAsia="仿宋"/>
          <w:b/>
          <w:sz w:val="32"/>
          <w:szCs w:val="24"/>
          <w:u w:val="none" w:color="FFFFFF"/>
          <w:shd w:val="clear" w:fill="FFFFFF"/>
        </w:rPr>
        <w:t>)</w:t>
      </w:r>
      <w:r>
        <w:rPr>
          <w:rFonts w:hint="eastAsia" w:ascii="仿宋" w:hAnsi="仿宋" w:eastAsia="仿宋"/>
          <w:b/>
          <w:sz w:val="32"/>
          <w:szCs w:val="24"/>
        </w:rPr>
        <w:t>住房公积金（项）：</w:t>
      </w:r>
      <w:r>
        <w:rPr>
          <w:rStyle w:val="9"/>
          <w:rFonts w:hint="eastAsia" w:ascii="仿宋" w:hAnsi="仿宋" w:eastAsia="仿宋"/>
          <w:b w:val="0"/>
          <w:sz w:val="32"/>
          <w:szCs w:val="32"/>
          <w:lang w:val="en-US" w:eastAsia="zh-CN"/>
        </w:rPr>
        <w:t>支出</w:t>
      </w:r>
      <w:r>
        <w:rPr>
          <w:rStyle w:val="9"/>
          <w:rFonts w:hint="eastAsia" w:ascii="仿宋" w:hAnsi="仿宋" w:eastAsia="仿宋"/>
          <w:b w:val="0"/>
          <w:sz w:val="32"/>
          <w:szCs w:val="32"/>
        </w:rPr>
        <w:t>决算为</w:t>
      </w:r>
      <w:r>
        <w:rPr>
          <w:rStyle w:val="9"/>
          <w:rFonts w:hint="eastAsia" w:ascii="仿宋" w:hAnsi="仿宋" w:eastAsia="仿宋"/>
          <w:b w:val="0"/>
          <w:sz w:val="32"/>
          <w:szCs w:val="32"/>
          <w:lang w:val="en-US" w:eastAsia="zh-CN"/>
        </w:rPr>
        <w:t>20.67</w:t>
      </w:r>
      <w:r>
        <w:rPr>
          <w:rStyle w:val="9"/>
          <w:rFonts w:hint="eastAsia" w:ascii="仿宋" w:hAnsi="仿宋" w:eastAsia="仿宋"/>
          <w:b w:val="0"/>
          <w:sz w:val="32"/>
          <w:szCs w:val="32"/>
        </w:rPr>
        <w:t>万元，完成预算100%。</w:t>
      </w:r>
    </w:p>
    <w:p>
      <w:pPr>
        <w:keepNext/>
        <w:keepLines/>
        <w:tabs>
          <w:tab w:val="right" w:pos="8306"/>
        </w:tabs>
        <w:spacing w:beforeLines="0" w:afterLines="0" w:line="576" w:lineRule="exact"/>
        <w:ind w:firstLine="640"/>
        <w:jc w:val="both"/>
        <w:outlineLvl w:val="1"/>
        <w:rPr>
          <w:rFonts w:hint="default" w:ascii="Cambria" w:hAnsi="Cambria" w:eastAsia="Cambria"/>
          <w:b/>
          <w:color w:val="auto"/>
          <w:kern w:val="2"/>
          <w:sz w:val="32"/>
          <w:szCs w:val="24"/>
          <w:lang w:val="zh-CN"/>
        </w:rPr>
      </w:pPr>
      <w:bookmarkStart w:id="9" w:name="_Toc6410"/>
      <w:r>
        <w:rPr>
          <w:rFonts w:hint="eastAsia" w:ascii="黑体" w:hAnsi="黑体" w:eastAsia="黑体"/>
          <w:color w:val="000000"/>
          <w:kern w:val="2"/>
          <w:sz w:val="32"/>
          <w:szCs w:val="24"/>
          <w:u w:val="none" w:color="FFFFFF"/>
          <w:shd w:val="clear" w:fill="FFFFFF"/>
          <w:lang w:val="zh-CN"/>
        </w:rPr>
        <w:t>六</w:t>
      </w:r>
      <w:r>
        <w:rPr>
          <w:rFonts w:hint="eastAsia" w:ascii="黑体" w:hAnsi="黑体" w:eastAsia="黑体"/>
          <w:b/>
          <w:color w:val="000000"/>
          <w:kern w:val="2"/>
          <w:sz w:val="32"/>
          <w:szCs w:val="24"/>
          <w:u w:val="none" w:color="FFFFFF"/>
          <w:shd w:val="clear" w:fill="FFFFFF"/>
          <w:lang w:val="zh-CN"/>
        </w:rPr>
        <w:t>、</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w:t>
      </w:r>
      <w:r>
        <w:rPr>
          <w:rFonts w:hint="eastAsia" w:ascii="黑体" w:hAnsi="黑体" w:eastAsia="黑体"/>
          <w:color w:val="auto"/>
          <w:kern w:val="2"/>
          <w:sz w:val="32"/>
          <w:szCs w:val="24"/>
          <w:u w:val="none" w:color="FFFFFF"/>
          <w:shd w:val="clear" w:fill="FFFFFF"/>
          <w:lang w:val="zh-CN"/>
        </w:rPr>
        <w:t>款</w:t>
      </w:r>
      <w:r>
        <w:rPr>
          <w:rFonts w:hint="eastAsia" w:ascii="黑体" w:hAnsi="黑体" w:eastAsia="黑体"/>
          <w:color w:val="auto"/>
          <w:kern w:val="2"/>
          <w:sz w:val="32"/>
          <w:szCs w:val="24"/>
          <w:lang w:val="zh-CN"/>
        </w:rPr>
        <w:t>基本支出决算情况说明</w:t>
      </w:r>
      <w:bookmarkEnd w:id="9"/>
      <w:r>
        <w:rPr>
          <w:rFonts w:hint="eastAsia" w:ascii="黑体" w:hAnsi="黑体" w:eastAsia="黑体"/>
          <w:color w:val="auto"/>
          <w:kern w:val="2"/>
          <w:sz w:val="32"/>
          <w:szCs w:val="24"/>
          <w:lang w:val="zh-CN"/>
        </w:rPr>
        <w:tab/>
      </w:r>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2022年一般公共预算财政拨款基本支出360.66万元，其中：</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324.08万元，主要包括：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36.58万元，主要包括：</w:t>
      </w:r>
      <w:r>
        <w:rPr>
          <w:rFonts w:hint="eastAsia" w:ascii="仿宋" w:hAnsi="仿宋" w:eastAsia="仿宋"/>
          <w:color w:val="auto"/>
          <w:kern w:val="2"/>
          <w:sz w:val="32"/>
          <w:szCs w:val="24"/>
          <w:lang w:val="en-US"/>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outlineLvl w:val="1"/>
        <w:rPr>
          <w:rFonts w:hint="eastAsia" w:ascii="黑体" w:hAnsi="黑体" w:eastAsia="黑体"/>
          <w:color w:val="auto"/>
          <w:kern w:val="2"/>
          <w:sz w:val="32"/>
          <w:szCs w:val="24"/>
          <w:lang w:val="zh-CN"/>
        </w:rPr>
      </w:pPr>
      <w:bookmarkStart w:id="10" w:name="_Toc30059"/>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bookmarkEnd w:id="10"/>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（一）“三公”经费财政拨款支出决算总体情况说明</w:t>
      </w: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2022年“三公”经费财政拨款支出决算为0万元，完成</w:t>
      </w:r>
      <w:r>
        <w:rPr>
          <w:rFonts w:hint="eastAsia" w:ascii="仿宋_GB2312" w:hAnsi="仿宋_GB2312" w:eastAsia="仿宋_GB2312"/>
          <w:color w:val="000000"/>
          <w:kern w:val="2"/>
          <w:sz w:val="32"/>
          <w:szCs w:val="24"/>
          <w:u w:val="none" w:color="FFFFFF"/>
          <w:shd w:val="clear" w:fill="FFFFFF"/>
          <w:lang w:val="zh-CN"/>
        </w:rPr>
        <w:t>预算</w:t>
      </w:r>
      <w:r>
        <w:rPr>
          <w:rFonts w:hint="eastAsia" w:ascii="仿宋_GB2312" w:hAnsi="仿宋_GB2312" w:eastAsia="仿宋_GB2312"/>
          <w:color w:val="000000"/>
          <w:kern w:val="2"/>
          <w:sz w:val="32"/>
          <w:szCs w:val="24"/>
          <w:lang w:val="zh-CN"/>
        </w:rPr>
        <w:t>0%；较上年减少0.05万元，下降100%。决算数小于预算数的主要原因是</w:t>
      </w:r>
      <w:r>
        <w:rPr>
          <w:rFonts w:hint="eastAsia" w:ascii="仿宋_GB2312" w:hAnsi="仿宋_GB2312" w:eastAsia="仿宋_GB2312"/>
          <w:color w:val="000000"/>
          <w:kern w:val="2"/>
          <w:sz w:val="32"/>
          <w:szCs w:val="24"/>
          <w:lang w:val="en-US" w:eastAsia="zh-CN"/>
        </w:rPr>
        <w:t>无支出</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（二）“三公”经费财政拨款支出决算具体情况说明</w:t>
      </w:r>
    </w:p>
    <w:p>
      <w:pPr>
        <w:keepNext/>
        <w:keepLines/>
        <w:spacing w:beforeLines="0" w:afterLines="0" w:line="576" w:lineRule="exact"/>
        <w:ind w:firstLine="640"/>
        <w:jc w:val="both"/>
        <w:rPr>
          <w:rFonts w:hint="eastAsia" w:ascii="仿宋" w:hAnsi="仿宋" w:eastAsia="仿宋"/>
          <w:color w:val="auto"/>
          <w:kern w:val="2"/>
          <w:sz w:val="32"/>
          <w:szCs w:val="24"/>
          <w:lang w:val="en-US"/>
        </w:rPr>
      </w:pPr>
      <w:r>
        <w:rPr>
          <w:rFonts w:hint="eastAsia" w:ascii="仿宋_GB2312" w:hAnsi="仿宋_GB2312" w:eastAsia="仿宋_GB2312"/>
          <w:color w:val="000000"/>
          <w:kern w:val="2"/>
          <w:sz w:val="32"/>
          <w:szCs w:val="24"/>
          <w:lang w:val="zh-CN"/>
        </w:rPr>
        <w:t>2022年“三公”经费财政拨款支出决算中，因公出国（境）费支出决算0万元，占0%；公务用车购置及运行维护费支出决算0万元，占0%；公务接待费支出决算0万元，占0%。具体情况如下</w:t>
      </w:r>
      <w:r>
        <w:rPr>
          <w:rFonts w:hint="eastAsia" w:ascii="仿宋_GB2312" w:hAnsi="仿宋_GB2312" w:eastAsia="仿宋_GB2312"/>
          <w:color w:val="000000"/>
          <w:kern w:val="2"/>
          <w:sz w:val="32"/>
          <w:szCs w:val="24"/>
          <w:u w:val="none" w:color="FFFFFF"/>
          <w:shd w:val="clear" w:fill="FFFFFF"/>
          <w:lang w:val="zh-CN"/>
        </w:rPr>
        <w:t>：</w:t>
      </w:r>
    </w:p>
    <w:p>
      <w:pPr>
        <w:numPr>
          <w:ilvl w:val="0"/>
          <w:numId w:val="4"/>
        </w:numPr>
        <w:spacing w:beforeLines="0" w:afterLines="0" w:line="600"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因公出国（境）经费</w:t>
      </w:r>
      <w:r>
        <w:rPr>
          <w:rFonts w:hint="eastAsia" w:ascii="仿宋_GB2312" w:hAnsi="仿宋_GB2312" w:eastAsia="仿宋_GB2312"/>
          <w:color w:val="000000"/>
          <w:kern w:val="2"/>
          <w:sz w:val="32"/>
          <w:szCs w:val="24"/>
          <w:lang w:val="zh-CN"/>
        </w:rPr>
        <w:t>支出0万元，完成预算0%。全年安排因公出国（境）团组0个，出国（境）0人。因公出国（境）支出决算比2021年增加0万元，增长0%。主要原因是</w:t>
      </w:r>
      <w:r>
        <w:rPr>
          <w:rFonts w:hint="eastAsia" w:ascii="仿宋_GB2312" w:hAnsi="仿宋_GB2312" w:eastAsia="仿宋_GB2312"/>
          <w:color w:val="000000"/>
          <w:kern w:val="2"/>
          <w:sz w:val="32"/>
          <w:szCs w:val="24"/>
          <w:lang w:val="en-US" w:eastAsia="zh-CN"/>
        </w:rPr>
        <w:t>无支出</w:t>
      </w:r>
      <w:r>
        <w:rPr>
          <w:rFonts w:hint="eastAsia" w:ascii="仿宋_GB2312" w:hAnsi="仿宋_GB2312" w:eastAsia="仿宋_GB2312"/>
          <w:color w:val="000000"/>
          <w:kern w:val="2"/>
          <w:sz w:val="32"/>
          <w:szCs w:val="24"/>
          <w:lang w:val="zh-CN"/>
        </w:rPr>
        <w:t>。</w:t>
      </w:r>
    </w:p>
    <w:p>
      <w:pPr>
        <w:numPr>
          <w:ilvl w:val="0"/>
          <w:numId w:val="4"/>
        </w:numPr>
        <w:spacing w:beforeLines="0" w:afterLines="0" w:line="600"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公务用车购置及运行维护费</w:t>
      </w:r>
      <w:r>
        <w:rPr>
          <w:rFonts w:hint="eastAsia" w:ascii="仿宋_GB2312" w:hAnsi="仿宋_GB2312" w:eastAsia="仿宋_GB2312"/>
          <w:color w:val="000000"/>
          <w:kern w:val="2"/>
          <w:sz w:val="32"/>
          <w:szCs w:val="24"/>
          <w:lang w:val="zh-CN"/>
        </w:rPr>
        <w:t>支出0万元，完成预算0%。公务用车购置及运行维护费支出决算比2021年增加0万元，增长0%。主要原因是</w:t>
      </w:r>
      <w:r>
        <w:rPr>
          <w:rFonts w:hint="eastAsia" w:ascii="仿宋_GB2312" w:hAnsi="仿宋_GB2312" w:eastAsia="仿宋_GB2312"/>
          <w:color w:val="000000"/>
          <w:kern w:val="2"/>
          <w:sz w:val="32"/>
          <w:szCs w:val="24"/>
          <w:lang w:val="en-US" w:eastAsia="zh-CN"/>
        </w:rPr>
        <w:t>无支出</w:t>
      </w:r>
      <w:r>
        <w:rPr>
          <w:rFonts w:hint="eastAsia" w:ascii="仿宋_GB2312" w:hAnsi="仿宋_GB2312" w:eastAsia="仿宋_GB2312"/>
          <w:color w:val="000000"/>
          <w:kern w:val="2"/>
          <w:sz w:val="32"/>
          <w:szCs w:val="24"/>
          <w:lang w:val="zh-CN"/>
        </w:rPr>
        <w:t>。</w:t>
      </w:r>
    </w:p>
    <w:p>
      <w:pPr>
        <w:numPr>
          <w:ilvl w:val="0"/>
          <w:numId w:val="0"/>
        </w:numPr>
        <w:spacing w:beforeLines="0" w:afterLines="0" w:line="600" w:lineRule="exact"/>
        <w:ind w:left="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其中：</w:t>
      </w:r>
      <w:r>
        <w:rPr>
          <w:rFonts w:hint="eastAsia" w:ascii="仿宋_GB2312" w:hAnsi="仿宋_GB2312" w:eastAsia="仿宋_GB2312"/>
          <w:b/>
          <w:color w:val="000000"/>
          <w:kern w:val="2"/>
          <w:sz w:val="32"/>
          <w:szCs w:val="24"/>
          <w:lang w:val="zh-CN"/>
        </w:rPr>
        <w:t>公务用车购置费</w:t>
      </w:r>
      <w:r>
        <w:rPr>
          <w:rFonts w:hint="eastAsia" w:ascii="仿宋_GB2312" w:hAnsi="仿宋_GB2312" w:eastAsia="仿宋_GB2312"/>
          <w:color w:val="000000"/>
          <w:kern w:val="2"/>
          <w:sz w:val="32"/>
          <w:szCs w:val="24"/>
          <w:lang w:val="zh-CN"/>
        </w:rPr>
        <w:t>支出0万元。全年按规定更新购置</w:t>
      </w:r>
    </w:p>
    <w:p>
      <w:pPr>
        <w:numPr>
          <w:ilvl w:val="0"/>
          <w:numId w:val="0"/>
        </w:numPr>
        <w:spacing w:beforeLines="0" w:afterLines="0" w:line="600" w:lineRule="exact"/>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公务用车0辆，其中：轿</w:t>
      </w:r>
      <w:r>
        <w:rPr>
          <w:rFonts w:hint="eastAsia" w:ascii="仿宋_GB2312" w:hAnsi="仿宋_GB2312" w:eastAsia="仿宋_GB2312"/>
          <w:color w:val="000000"/>
          <w:kern w:val="2"/>
          <w:sz w:val="32"/>
          <w:szCs w:val="24"/>
          <w:u w:val="thick" w:color="98967F"/>
          <w:shd w:val="clear" w:fill="98967F"/>
          <w:lang w:val="zh-CN"/>
        </w:rPr>
        <w:t>车</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辆、金额</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万元，</w:t>
      </w:r>
      <w:r>
        <w:rPr>
          <w:rFonts w:hint="eastAsia" w:ascii="仿宋_GB2312" w:hAnsi="仿宋_GB2312" w:eastAsia="仿宋_GB2312"/>
          <w:color w:val="000000"/>
          <w:kern w:val="2"/>
          <w:sz w:val="32"/>
          <w:szCs w:val="24"/>
          <w:lang w:val="zh-CN"/>
        </w:rPr>
        <w:t>越野</w:t>
      </w:r>
      <w:r>
        <w:rPr>
          <w:rFonts w:hint="eastAsia" w:ascii="仿宋_GB2312" w:hAnsi="仿宋_GB2312" w:eastAsia="仿宋_GB2312"/>
          <w:color w:val="000000"/>
          <w:kern w:val="2"/>
          <w:sz w:val="32"/>
          <w:szCs w:val="24"/>
          <w:u w:val="thick" w:color="98967F"/>
          <w:shd w:val="clear" w:fill="98967F"/>
          <w:lang w:val="zh-CN"/>
        </w:rPr>
        <w:t>车</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辆、金额</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万元，</w:t>
      </w:r>
      <w:r>
        <w:rPr>
          <w:rFonts w:hint="eastAsia" w:ascii="仿宋_GB2312" w:hAnsi="仿宋_GB2312" w:eastAsia="仿宋_GB2312"/>
          <w:color w:val="000000"/>
          <w:kern w:val="2"/>
          <w:sz w:val="32"/>
          <w:szCs w:val="24"/>
          <w:lang w:val="zh-CN"/>
        </w:rPr>
        <w:t>小</w:t>
      </w:r>
      <w:r>
        <w:rPr>
          <w:rFonts w:hint="eastAsia" w:ascii="仿宋_GB2312" w:hAnsi="仿宋_GB2312" w:eastAsia="仿宋_GB2312"/>
          <w:color w:val="000000"/>
          <w:kern w:val="2"/>
          <w:sz w:val="32"/>
          <w:szCs w:val="24"/>
          <w:u w:val="thick" w:color="98967F"/>
          <w:shd w:val="clear" w:fill="98967F"/>
          <w:lang w:val="zh-CN"/>
        </w:rPr>
        <w:t>型载客汽车</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辆、金额</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万元，</w:t>
      </w:r>
      <w:r>
        <w:rPr>
          <w:rFonts w:hint="eastAsia" w:ascii="仿宋_GB2312" w:hAnsi="仿宋_GB2312" w:eastAsia="仿宋_GB2312"/>
          <w:color w:val="000000"/>
          <w:kern w:val="2"/>
          <w:sz w:val="32"/>
          <w:szCs w:val="24"/>
          <w:lang w:val="zh-CN"/>
        </w:rPr>
        <w:t>大中</w:t>
      </w:r>
      <w:r>
        <w:rPr>
          <w:rFonts w:hint="eastAsia" w:ascii="仿宋_GB2312" w:hAnsi="仿宋_GB2312" w:eastAsia="仿宋_GB2312"/>
          <w:color w:val="000000"/>
          <w:kern w:val="2"/>
          <w:sz w:val="32"/>
          <w:szCs w:val="24"/>
          <w:u w:val="thick" w:color="98967F"/>
          <w:shd w:val="clear" w:fill="98967F"/>
          <w:lang w:val="zh-CN"/>
        </w:rPr>
        <w:t>型载客汽车</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辆、金额</w:t>
      </w:r>
      <w:r>
        <w:rPr>
          <w:rFonts w:hint="eastAsia" w:ascii="仿宋_GB2312" w:hAnsi="仿宋_GB2312" w:eastAsia="仿宋_GB2312"/>
          <w:color w:val="000000"/>
          <w:kern w:val="2"/>
          <w:sz w:val="32"/>
          <w:szCs w:val="24"/>
          <w:u w:val="thick" w:color="98967F"/>
          <w:shd w:val="clear" w:fill="98967F"/>
          <w:lang w:val="en-US" w:eastAsia="zh-CN"/>
        </w:rPr>
        <w:t>0</w:t>
      </w:r>
      <w:r>
        <w:rPr>
          <w:rFonts w:hint="eastAsia" w:ascii="仿宋_GB2312" w:hAnsi="仿宋_GB2312" w:eastAsia="仿宋_GB2312"/>
          <w:color w:val="000000"/>
          <w:kern w:val="2"/>
          <w:sz w:val="32"/>
          <w:szCs w:val="24"/>
          <w:u w:val="thick" w:color="98967F"/>
          <w:shd w:val="clear" w:fill="98967F"/>
          <w:lang w:val="zh-CN"/>
        </w:rPr>
        <w:t>万元，</w:t>
      </w:r>
      <w:r>
        <w:rPr>
          <w:rFonts w:hint="eastAsia" w:ascii="仿宋_GB2312" w:hAnsi="仿宋_GB2312" w:eastAsia="仿宋_GB2312"/>
          <w:color w:val="000000"/>
          <w:kern w:val="2"/>
          <w:sz w:val="32"/>
          <w:szCs w:val="24"/>
          <w:lang w:val="zh-CN"/>
        </w:rPr>
        <w:t>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万元。截至2022年12月底，本部门共有公务用车0辆，其中：轿车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辆、小型载客汽车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辆、大中型载客汽车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w:t>
      </w:r>
    </w:p>
    <w:p>
      <w:pPr>
        <w:numPr>
          <w:ilvl w:val="0"/>
          <w:numId w:val="0"/>
        </w:numPr>
        <w:spacing w:beforeLines="0" w:afterLines="0" w:line="600"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公务用车运行维护费</w:t>
      </w:r>
      <w:r>
        <w:rPr>
          <w:rFonts w:hint="eastAsia" w:ascii="仿宋_GB2312" w:hAnsi="仿宋_GB2312" w:eastAsia="仿宋_GB2312"/>
          <w:color w:val="000000"/>
          <w:kern w:val="2"/>
          <w:sz w:val="32"/>
          <w:szCs w:val="24"/>
          <w:lang w:val="zh-CN"/>
        </w:rPr>
        <w:t>支出0万元。</w:t>
      </w:r>
    </w:p>
    <w:p>
      <w:pPr>
        <w:numPr>
          <w:ilvl w:val="0"/>
          <w:numId w:val="4"/>
        </w:numPr>
        <w:spacing w:beforeLines="0" w:afterLines="0" w:line="600"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公务接待费</w:t>
      </w:r>
      <w:r>
        <w:rPr>
          <w:rFonts w:hint="eastAsia" w:ascii="仿宋_GB2312" w:hAnsi="仿宋_GB2312" w:eastAsia="仿宋_GB2312"/>
          <w:color w:val="000000"/>
          <w:kern w:val="2"/>
          <w:sz w:val="32"/>
          <w:szCs w:val="24"/>
          <w:lang w:val="zh-CN"/>
        </w:rPr>
        <w:t>支出0万元，完成预算0%。公务接待费支出决算比2021年减少0.05万元，下降100%。主要原因是</w:t>
      </w:r>
      <w:r>
        <w:rPr>
          <w:rFonts w:hint="eastAsia" w:ascii="仿宋_GB2312" w:hAnsi="仿宋_GB2312" w:eastAsia="仿宋_GB2312"/>
          <w:color w:val="000000"/>
          <w:kern w:val="2"/>
          <w:sz w:val="32"/>
          <w:szCs w:val="24"/>
          <w:lang w:val="en-US" w:eastAsia="zh-CN"/>
        </w:rPr>
        <w:t>无支出</w:t>
      </w:r>
      <w:r>
        <w:rPr>
          <w:rFonts w:hint="eastAsia" w:ascii="仿宋_GB2312" w:hAnsi="仿宋_GB2312" w:eastAsia="仿宋_GB2312"/>
          <w:color w:val="000000"/>
          <w:kern w:val="2"/>
          <w:sz w:val="32"/>
          <w:szCs w:val="24"/>
          <w:lang w:val="zh-CN"/>
        </w:rPr>
        <w:t>。其中</w:t>
      </w:r>
      <w:r>
        <w:rPr>
          <w:rFonts w:hint="eastAsia" w:ascii="仿宋_GB2312" w:hAnsi="仿宋_GB2312" w:eastAsia="仿宋_GB2312"/>
          <w:color w:val="000000"/>
          <w:kern w:val="2"/>
          <w:sz w:val="32"/>
          <w:szCs w:val="24"/>
          <w:u w:val="none" w:color="FFFFFF"/>
          <w:shd w:val="clear" w:fill="FFFFFF"/>
          <w:lang w:val="zh-CN"/>
        </w:rPr>
        <w:t>：</w:t>
      </w:r>
    </w:p>
    <w:p>
      <w:pPr>
        <w:keepNext/>
        <w:keepLines/>
        <w:spacing w:line="576" w:lineRule="exact"/>
        <w:ind w:firstLine="643"/>
        <w:jc w:val="both"/>
        <w:rPr>
          <w:rFonts w:hint="eastAsia" w:ascii="仿宋_GB2312" w:hAnsi="仿宋_GB2312" w:eastAsia="仿宋_GB2312" w:cs="仿宋_GB2312"/>
          <w:color w:val="000000"/>
          <w:kern w:val="2"/>
          <w:sz w:val="32"/>
          <w:szCs w:val="32"/>
        </w:rPr>
      </w:pPr>
      <w:r>
        <w:rPr>
          <w:rFonts w:hint="eastAsia" w:ascii="仿宋_GB2312" w:hAnsi="仿宋_GB2312" w:eastAsia="仿宋_GB2312"/>
          <w:b/>
          <w:color w:val="000000"/>
          <w:kern w:val="2"/>
          <w:sz w:val="32"/>
          <w:szCs w:val="24"/>
          <w:lang w:val="zh-CN"/>
        </w:rPr>
        <w:t>国内公务接待</w:t>
      </w:r>
      <w:r>
        <w:rPr>
          <w:rFonts w:hint="eastAsia" w:ascii="仿宋_GB2312" w:hAnsi="仿宋_GB2312" w:eastAsia="仿宋_GB2312"/>
          <w:color w:val="000000"/>
          <w:kern w:val="2"/>
          <w:sz w:val="32"/>
          <w:szCs w:val="24"/>
          <w:lang w:val="zh-CN"/>
        </w:rPr>
        <w:t>支出0万元。</w:t>
      </w:r>
      <w:r>
        <w:rPr>
          <w:rFonts w:hint="eastAsia" w:ascii="仿宋_GB2312" w:hAnsi="仿宋_GB2312" w:eastAsia="仿宋_GB2312" w:cs="仿宋_GB2312"/>
          <w:color w:val="000000"/>
          <w:kern w:val="2"/>
          <w:sz w:val="32"/>
          <w:szCs w:val="32"/>
          <w:lang w:val="zh-CN"/>
        </w:rPr>
        <w:t>国内公务接待0批次，0人次，共计支出0万元</w:t>
      </w:r>
      <w:r>
        <w:rPr>
          <w:rFonts w:hint="eastAsia" w:ascii="仿宋_GB2312" w:hAnsi="仿宋_GB2312" w:eastAsia="仿宋_GB2312" w:cs="仿宋_GB2312"/>
          <w:color w:val="000000"/>
          <w:kern w:val="2"/>
          <w:sz w:val="32"/>
          <w:szCs w:val="32"/>
          <w:highlight w:val="white"/>
        </w:rPr>
        <w:t>。</w:t>
      </w:r>
    </w:p>
    <w:p>
      <w:pPr>
        <w:numPr>
          <w:ilvl w:val="0"/>
          <w:numId w:val="0"/>
        </w:numPr>
        <w:spacing w:beforeLines="0" w:afterLines="0" w:line="600"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zh-CN"/>
        </w:rPr>
        <w:t>外事接待</w:t>
      </w:r>
      <w:r>
        <w:rPr>
          <w:rFonts w:hint="eastAsia" w:ascii="仿宋_GB2312" w:hAnsi="仿宋_GB2312" w:eastAsia="仿宋_GB2312"/>
          <w:color w:val="000000"/>
          <w:kern w:val="2"/>
          <w:sz w:val="32"/>
          <w:szCs w:val="24"/>
          <w:lang w:val="zh-CN"/>
        </w:rPr>
        <w:t>支出0万元，外事接待0批次，0人，共计支出0万元。</w:t>
      </w:r>
    </w:p>
    <w:p>
      <w:pPr>
        <w:keepNext/>
        <w:keepLines/>
        <w:spacing w:beforeLines="0" w:afterLines="0" w:line="576" w:lineRule="exact"/>
        <w:ind w:firstLine="640"/>
        <w:jc w:val="both"/>
        <w:outlineLvl w:val="1"/>
        <w:rPr>
          <w:rFonts w:hint="eastAsia" w:ascii="黑体" w:hAnsi="黑体" w:eastAsia="黑体"/>
          <w:b/>
          <w:color w:val="auto"/>
          <w:kern w:val="2"/>
          <w:sz w:val="32"/>
          <w:szCs w:val="24"/>
          <w:lang w:val="zh-CN"/>
        </w:rPr>
      </w:pPr>
      <w:bookmarkStart w:id="11" w:name="_Toc25477"/>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bookmarkEnd w:id="11"/>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2022年政府性基金预算拨款支出0万元。</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12" w:name="_Toc24627"/>
      <w:r>
        <w:rPr>
          <w:rFonts w:hint="eastAsia" w:ascii="黑体" w:hAnsi="黑体" w:eastAsia="黑体"/>
          <w:color w:val="auto"/>
          <w:kern w:val="2"/>
          <w:sz w:val="32"/>
          <w:szCs w:val="24"/>
          <w:lang w:val="zh-CN"/>
        </w:rPr>
        <w:t>九、国有资本经营预算支出决算情况说明</w:t>
      </w:r>
      <w:bookmarkEnd w:id="12"/>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2022年国有资本经营预算拨款支出0万元。</w:t>
      </w:r>
    </w:p>
    <w:p>
      <w:pPr>
        <w:keepNext/>
        <w:keepLines/>
        <w:spacing w:beforeLines="0" w:afterLines="0" w:line="576" w:lineRule="exact"/>
        <w:ind w:firstLine="640"/>
        <w:jc w:val="both"/>
        <w:outlineLvl w:val="1"/>
        <w:rPr>
          <w:rFonts w:hint="eastAsia" w:ascii="黑体" w:hAnsi="黑体" w:eastAsia="黑体"/>
          <w:b/>
          <w:color w:val="auto"/>
          <w:kern w:val="2"/>
          <w:sz w:val="32"/>
          <w:szCs w:val="24"/>
          <w:lang w:val="zh-CN"/>
        </w:rPr>
      </w:pPr>
      <w:bookmarkStart w:id="13" w:name="_Toc25385"/>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bookmarkEnd w:id="13"/>
    </w:p>
    <w:p>
      <w:pPr>
        <w:keepNext/>
        <w:keepLines/>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pPr>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rPr>
        <w:t>2022年，通江县沙溪镇板凳小学机关运行经费支出0万元，比2021年增加0万元，增长0%</w:t>
      </w:r>
      <w:r>
        <w:rPr>
          <w:rFonts w:hint="eastAsia" w:ascii="仿宋_GB2312" w:hAnsi="仿宋_GB2312" w:eastAsia="仿宋_GB2312"/>
          <w:color w:val="000000"/>
          <w:kern w:val="2"/>
          <w:sz w:val="32"/>
          <w:szCs w:val="24"/>
          <w:u w:val="none" w:color="FFFFFF"/>
          <w:shd w:val="clear" w:fill="FFFFFF"/>
          <w:lang w:val="zh-CN"/>
        </w:rPr>
        <w:t>。</w:t>
      </w:r>
      <w:r>
        <w:rPr>
          <w:rFonts w:hint="eastAsia" w:ascii="仿宋_GB2312" w:hAnsi="仿宋_GB2312" w:eastAsia="仿宋_GB2312"/>
          <w:color w:val="000000"/>
          <w:kern w:val="2"/>
          <w:sz w:val="32"/>
          <w:szCs w:val="24"/>
          <w:lang w:val="zh-CN"/>
        </w:rPr>
        <w:t>主要原因是</w:t>
      </w:r>
      <w:r>
        <w:rPr>
          <w:rFonts w:hint="eastAsia" w:ascii="仿宋_GB2312" w:hAnsi="仿宋_GB2312" w:eastAsia="仿宋_GB2312"/>
          <w:color w:val="000000"/>
          <w:kern w:val="2"/>
          <w:sz w:val="32"/>
          <w:szCs w:val="24"/>
          <w:lang w:val="en-US" w:eastAsia="zh-CN"/>
        </w:rPr>
        <w:t>无支出。</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2022年，通江县沙溪镇板凳小学政府采购支出总额0万元，其中：政府采购货物支出0万元、政府采购工程支出0万元、政府采购服务支出0万元。授予中小</w:t>
      </w:r>
      <w:r>
        <w:rPr>
          <w:rFonts w:hint="eastAsia" w:ascii="仿宋_GB2312" w:hAnsi="仿宋_GB2312" w:eastAsia="仿宋_GB2312"/>
          <w:color w:val="000000"/>
          <w:kern w:val="2"/>
          <w:sz w:val="32"/>
          <w:szCs w:val="24"/>
          <w:u w:val="thick" w:color="98967F"/>
          <w:shd w:val="clear" w:fill="98967F"/>
          <w:lang w:val="zh-CN"/>
        </w:rPr>
        <w:t>企业合同金额0万元，占政府采购支出总额的0%</w:t>
      </w:r>
      <w:r>
        <w:rPr>
          <w:rFonts w:hint="eastAsia" w:ascii="仿宋_GB2312" w:hAnsi="仿宋_GB2312" w:eastAsia="仿宋_GB2312"/>
          <w:color w:val="000000"/>
          <w:kern w:val="2"/>
          <w:sz w:val="32"/>
          <w:szCs w:val="24"/>
          <w:lang w:val="zh-CN"/>
        </w:rPr>
        <w:t>，其中：授予小微</w:t>
      </w:r>
      <w:r>
        <w:rPr>
          <w:rFonts w:hint="eastAsia" w:ascii="仿宋_GB2312" w:hAnsi="仿宋_GB2312" w:eastAsia="仿宋_GB2312"/>
          <w:color w:val="000000"/>
          <w:kern w:val="2"/>
          <w:sz w:val="32"/>
          <w:szCs w:val="24"/>
          <w:u w:val="thick" w:color="98967F"/>
          <w:shd w:val="clear" w:fill="98967F"/>
          <w:lang w:val="zh-CN"/>
        </w:rPr>
        <w:t>企业合同金额0万元，</w:t>
      </w:r>
      <w:r>
        <w:rPr>
          <w:rFonts w:hint="eastAsia" w:ascii="仿宋_GB2312" w:hAnsi="仿宋_GB2312" w:eastAsia="仿宋_GB2312"/>
          <w:color w:val="auto"/>
          <w:kern w:val="2"/>
          <w:sz w:val="32"/>
          <w:szCs w:val="24"/>
          <w:u w:val="thick" w:color="98967F"/>
          <w:shd w:val="clear" w:fill="98967F"/>
          <w:lang w:val="en-US"/>
        </w:rPr>
        <w:t>占政府采购支出总额的</w:t>
      </w:r>
      <w:r>
        <w:rPr>
          <w:rFonts w:hint="eastAsia" w:ascii="仿宋_GB2312" w:hAnsi="仿宋_GB2312" w:eastAsia="仿宋_GB2312"/>
          <w:color w:val="000000"/>
          <w:kern w:val="2"/>
          <w:sz w:val="32"/>
          <w:szCs w:val="24"/>
          <w:u w:val="thick" w:color="98967F"/>
          <w:shd w:val="clear" w:fill="98967F"/>
          <w:lang w:val="zh-CN"/>
        </w:rPr>
        <w:t>0%</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w:t>
      </w:r>
      <w:r>
        <w:rPr>
          <w:rFonts w:hint="eastAsia" w:ascii="仿宋_GB2312" w:hAnsi="仿宋_GB2312" w:eastAsia="仿宋_GB2312"/>
          <w:b/>
          <w:color w:val="000000"/>
          <w:kern w:val="2"/>
          <w:sz w:val="32"/>
          <w:szCs w:val="24"/>
          <w:u w:val="none" w:color="FFFFFF"/>
          <w:shd w:val="clear" w:fill="FFFFFF"/>
          <w:lang w:val="zh-CN"/>
        </w:rPr>
        <w:t>有</w:t>
      </w:r>
      <w:r>
        <w:rPr>
          <w:rFonts w:hint="eastAsia" w:ascii="仿宋_GB2312" w:hAnsi="仿宋_GB2312" w:eastAsia="仿宋_GB2312"/>
          <w:b/>
          <w:color w:val="000000"/>
          <w:kern w:val="2"/>
          <w:sz w:val="32"/>
          <w:szCs w:val="24"/>
          <w:lang w:val="zh-CN"/>
        </w:rPr>
        <w:t>使用情况</w:t>
      </w:r>
    </w:p>
    <w:p>
      <w:pPr>
        <w:spacing w:beforeLines="0" w:afterLines="0" w:line="576" w:lineRule="exact"/>
        <w:ind w:firstLine="640"/>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截至2022年12月31日，通江县沙溪镇板凳小学共有车辆0辆，其中：副部（省）级及以上领导用车0辆、主要领导干部用车0辆、机要通信用车0辆、应急保障用车0辆、执法执勤用车0辆、特种专业技术用车0辆、离退休干部用车0辆、其他用车0辆。单价100万元（含）以上设备0台（套</w:t>
      </w:r>
      <w:r>
        <w:rPr>
          <w:rFonts w:hint="eastAsia" w:ascii="仿宋_GB2312" w:hAnsi="仿宋_GB2312" w:eastAsia="仿宋_GB2312"/>
          <w:color w:val="000000"/>
          <w:kern w:val="2"/>
          <w:sz w:val="32"/>
          <w:szCs w:val="24"/>
          <w:u w:val="none" w:color="FFFFFF"/>
          <w:shd w:val="clear" w:fill="FFFFFF"/>
          <w:lang w:val="zh-CN"/>
        </w:rPr>
        <w:t>)</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根据预算绩效管理要求，本部门在年初预算编制阶段，组织对“校舍安全保障”“义教学生免作业本费”</w:t>
      </w:r>
      <w:r>
        <w:rPr>
          <w:rFonts w:hint="eastAsia" w:ascii="仿宋_GB2312" w:hAnsi="仿宋_GB2312" w:eastAsia="仿宋_GB2312" w:cs="仿宋_GB2312"/>
          <w:sz w:val="32"/>
          <w:szCs w:val="32"/>
          <w:u w:val="none" w:color="FFFFFF"/>
          <w:shd w:val="clear" w:fill="FFFFFF"/>
        </w:rPr>
        <w:t>、</w:t>
      </w:r>
      <w:r>
        <w:rPr>
          <w:rFonts w:hint="eastAsia" w:ascii="仿宋_GB2312" w:hAnsi="仿宋_GB2312" w:eastAsia="仿宋_GB2312" w:cs="仿宋_GB2312"/>
          <w:sz w:val="32"/>
          <w:szCs w:val="32"/>
        </w:rPr>
        <w:t xml:space="preserve"> “扶贫”</w:t>
      </w:r>
      <w:r>
        <w:rPr>
          <w:rFonts w:hint="eastAsia" w:ascii="仿宋_GB2312" w:hAnsi="仿宋_GB2312" w:eastAsia="仿宋_GB2312" w:cs="仿宋_GB2312"/>
          <w:sz w:val="32"/>
          <w:szCs w:val="32"/>
          <w:u w:val="none" w:color="FFFFFF"/>
          <w:shd w:val="clear" w:fill="FFFFFF"/>
        </w:rPr>
        <w:t>、</w:t>
      </w:r>
      <w:r>
        <w:rPr>
          <w:rFonts w:hint="eastAsia" w:ascii="仿宋_GB2312" w:hAnsi="仿宋_GB2312" w:eastAsia="仿宋_GB2312" w:cs="仿宋_GB2312"/>
          <w:sz w:val="32"/>
          <w:szCs w:val="32"/>
        </w:rPr>
        <w:t xml:space="preserve"> “公用经费”等4个项目开展了预算事前绩效评估，对4个项目编制了绩效目标，预算执行过程中，选取3个项目开展绩效监控，年终执行完毕后，对3个项目开展了绩效目标完成情况自评。</w:t>
      </w:r>
      <w:r>
        <w:rPr>
          <w:rFonts w:hint="eastAsia" w:ascii="仿宋_GB2312" w:hAnsi="仿宋_GB2312" w:eastAsia="仿宋_GB2312" w:cs="仿宋_GB2312"/>
          <w:kern w:val="2"/>
          <w:sz w:val="32"/>
          <w:szCs w:val="32"/>
        </w:rPr>
        <w:t>绩效自评表详见第四部分附件。</w:t>
      </w:r>
    </w:p>
    <w:p>
      <w:pPr>
        <w:spacing w:beforeLines="0" w:afterLines="0" w:line="576" w:lineRule="exact"/>
        <w:ind w:firstLine="643"/>
        <w:jc w:val="both"/>
        <w:rPr>
          <w:rFonts w:hint="eastAsia" w:ascii="仿宋_GB2312" w:hAnsi="仿宋_GB2312" w:eastAsia="仿宋_GB2312"/>
          <w:color w:val="auto"/>
          <w:kern w:val="2"/>
          <w:sz w:val="32"/>
          <w:szCs w:val="24"/>
          <w:lang w:val="en-US"/>
        </w:rPr>
      </w:pPr>
    </w:p>
    <w:p>
      <w:pPr>
        <w:spacing w:beforeLines="0" w:afterLines="0" w:line="576" w:lineRule="exact"/>
        <w:ind w:firstLine="643"/>
        <w:jc w:val="both"/>
        <w:outlineLvl w:val="9"/>
        <w:rPr>
          <w:rFonts w:hint="eastAsia" w:ascii="仿宋_GB2312" w:hAnsi="仿宋_GB2312" w:eastAsia="仿宋_GB2312"/>
          <w:b/>
          <w:color w:val="000000"/>
          <w:kern w:val="2"/>
          <w:sz w:val="32"/>
          <w:szCs w:val="24"/>
          <w:lang w:val="zh-CN"/>
        </w:rPr>
      </w:pPr>
    </w:p>
    <w:p>
      <w:pPr>
        <w:keepNext/>
        <w:keepLines/>
        <w:spacing w:beforeLines="0" w:afterLines="0" w:line="576" w:lineRule="exact"/>
        <w:jc w:val="center"/>
        <w:outlineLvl w:val="0"/>
        <w:rPr>
          <w:rFonts w:hint="eastAsia" w:ascii="黑体" w:hAnsi="黑体" w:eastAsia="黑体"/>
          <w:color w:val="auto"/>
          <w:kern w:val="44"/>
          <w:sz w:val="44"/>
          <w:szCs w:val="24"/>
          <w:lang w:val="zh-CN"/>
        </w:rPr>
      </w:pPr>
      <w:bookmarkStart w:id="14" w:name="_Toc17782"/>
      <w:r>
        <w:rPr>
          <w:rFonts w:hint="eastAsia" w:ascii="黑体" w:hAnsi="黑体" w:eastAsia="黑体"/>
          <w:color w:val="000000"/>
          <w:kern w:val="2"/>
          <w:sz w:val="44"/>
          <w:szCs w:val="24"/>
          <w:lang w:val="zh-CN"/>
        </w:rPr>
        <w:t>第三部</w:t>
      </w:r>
      <w:r>
        <w:rPr>
          <w:rFonts w:hint="eastAsia" w:ascii="黑体" w:hAnsi="黑体" w:eastAsia="黑体"/>
          <w:color w:val="000000"/>
          <w:kern w:val="2"/>
          <w:sz w:val="44"/>
          <w:szCs w:val="24"/>
          <w:u w:val="none" w:color="FFFFFF"/>
          <w:shd w:val="clear" w:fill="FFFFFF"/>
          <w:lang w:val="zh-CN"/>
        </w:rPr>
        <w:t xml:space="preserve">分 </w:t>
      </w:r>
      <w:r>
        <w:rPr>
          <w:rFonts w:hint="eastAsia" w:ascii="黑体" w:hAnsi="黑体" w:eastAsia="黑体"/>
          <w:color w:val="000000"/>
          <w:kern w:val="2"/>
          <w:sz w:val="44"/>
          <w:szCs w:val="24"/>
          <w:lang w:val="zh-CN"/>
        </w:rPr>
        <w:t>名</w:t>
      </w:r>
      <w:r>
        <w:rPr>
          <w:rFonts w:hint="eastAsia" w:ascii="黑体" w:hAnsi="黑体" w:eastAsia="黑体"/>
          <w:color w:val="auto"/>
          <w:kern w:val="44"/>
          <w:sz w:val="44"/>
          <w:szCs w:val="24"/>
          <w:lang w:val="zh-CN"/>
        </w:rPr>
        <w:t>词解释</w:t>
      </w:r>
      <w:bookmarkEnd w:id="14"/>
    </w:p>
    <w:p>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1.财政拨款收入：指单位从同级财政部门取得的财政预算资金。</w:t>
      </w:r>
    </w:p>
    <w:p>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2.事业收入：指事业单位开展专业业务活动及辅助活动取得的收入。</w:t>
      </w:r>
    </w:p>
    <w:p>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3.经营收入：指事业单位在专业业务活动及其辅助活动之外开展非独立核算经营活动取得的收入。</w:t>
      </w:r>
    </w:p>
    <w:p>
      <w:pPr>
        <w:spacing w:beforeLines="0" w:afterLines="0" w:line="576" w:lineRule="exact"/>
        <w:ind w:firstLine="64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rPr>
        <w:t>4.其他收入：指单位取得的除上述收入以外的各项收入</w:t>
      </w:r>
      <w:r>
        <w:rPr>
          <w:rFonts w:hint="eastAsia" w:ascii="仿宋_GB2312" w:hAnsi="仿宋_GB2312" w:eastAsia="仿宋_GB2312"/>
          <w:color w:val="000000"/>
          <w:sz w:val="32"/>
          <w:szCs w:val="24"/>
          <w:lang w:val="en-US" w:eastAsia="zh-CN"/>
        </w:rPr>
        <w:t>。</w:t>
      </w:r>
    </w:p>
    <w:p>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5.使用非财政拨款结余：指事业单位使用以前年度积累的非财政拨款结余弥补当年收支差额的金额。 </w:t>
      </w:r>
    </w:p>
    <w:p>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6.年初结转和结余：指以前年度尚未完成、结转到</w:t>
      </w:r>
      <w:r>
        <w:rPr>
          <w:rFonts w:hint="eastAsia" w:ascii="仿宋_GB2312" w:hAnsi="仿宋_GB2312" w:eastAsia="仿宋_GB2312"/>
          <w:color w:val="000000"/>
          <w:sz w:val="32"/>
          <w:szCs w:val="24"/>
          <w:u w:val="none" w:color="FFFFFF"/>
          <w:shd w:val="clear" w:fill="FFFFFF"/>
          <w:lang w:val="en-US"/>
        </w:rPr>
        <w:t>本年按</w:t>
      </w:r>
      <w:r>
        <w:rPr>
          <w:rFonts w:hint="eastAsia" w:ascii="仿宋_GB2312" w:hAnsi="仿宋_GB2312" w:eastAsia="仿宋_GB2312"/>
          <w:color w:val="000000"/>
          <w:sz w:val="32"/>
          <w:szCs w:val="24"/>
          <w:lang w:val="en-US"/>
        </w:rPr>
        <w:t xml:space="preserve">有关规定继续使用的资金。 </w:t>
      </w:r>
    </w:p>
    <w:p>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7.结余分配：指事业单位按照会计制度规定缴纳的所得税、提取的专用结余以及转入非财政拨款结余的金额等。</w:t>
      </w:r>
    </w:p>
    <w:p>
      <w:pPr>
        <w:spacing w:beforeLines="0" w:afterLines="0"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8.年末结转和结余：指单位按有关规定结转到下年或以后年度继续使用的资金。</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9.教育（类）普通教育（款）小学教育（项）：指反映各部门举办的小学教育支出，政府各部门对社会组织等举办的小学的资助</w:t>
      </w:r>
      <w:r>
        <w:rPr>
          <w:rFonts w:hint="eastAsia" w:ascii="仿宋_GB2312" w:hAnsi="Times New Roman" w:eastAsia="仿宋_GB2312"/>
          <w:color w:val="000000"/>
          <w:sz w:val="32"/>
          <w:szCs w:val="24"/>
          <w:u w:val="none" w:color="FFFFFF"/>
          <w:shd w:val="clear" w:fill="FFFFFF"/>
        </w:rPr>
        <w:t>,</w:t>
      </w:r>
      <w:r>
        <w:rPr>
          <w:rFonts w:hint="eastAsia" w:ascii="仿宋_GB2312" w:hAnsi="Times New Roman" w:eastAsia="仿宋_GB2312"/>
          <w:color w:val="000000"/>
          <w:sz w:val="32"/>
          <w:szCs w:val="24"/>
        </w:rPr>
        <w:t>如捐赠、补贴等，也在本科目中反映。</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10.社会保障和就业（类）人力资源和社会保障管理事务（款）社会保险经办机构（项）：指反映机关事业单位实施养老保险制度由单位缴纳的基本养老保险费支出。</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11.医疗卫生与计划生育（类）行政事业单位医疗（款） 事业单位医疗（项）：指反映财政部门安排的事业单位基本医疗保险缴费经费，未参加医疗保险的事业单位的公费医疗经费，按国家规定享受离休人员待遇的医疗经费。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12.农林水（类）扶贫（款）其他扶贫支出（项）：指反映其他用于巩固拓展脱贫攻坚成果同乡村振兴有效衔接方面的支出。</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13.住房保障（类）住房保障（款） 住房公积金（项）：指反映行政事业单位按人力资源和社会保障部、财政部规定的基本工资和津贴补贴以及规定比例为职工缴纳的住房公积金。</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14.基本支出：指为保障机构正常运转、完成日常工作任务而发生的人员支出和公用支出。</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15.项目支出：指在基本支出之</w:t>
      </w:r>
      <w:r>
        <w:rPr>
          <w:rFonts w:hint="eastAsia" w:ascii="仿宋_GB2312" w:hAnsi="Times New Roman" w:eastAsia="仿宋_GB2312"/>
          <w:color w:val="000000"/>
          <w:sz w:val="32"/>
          <w:szCs w:val="24"/>
          <w:u w:val="none" w:color="FFFFFF"/>
          <w:shd w:val="clear" w:fill="FFFFFF"/>
        </w:rPr>
        <w:t>外</w:t>
      </w:r>
      <w:r>
        <w:rPr>
          <w:rFonts w:hint="eastAsia" w:ascii="仿宋_GB2312" w:hAnsi="Times New Roman" w:eastAsia="仿宋_GB2312"/>
          <w:color w:val="000000"/>
          <w:sz w:val="32"/>
          <w:szCs w:val="24"/>
        </w:rPr>
        <w:t xml:space="preserve">为完成特定行政任务和事业发展目标所发生的支出。 </w:t>
      </w:r>
    </w:p>
    <w:p>
      <w:pPr>
        <w:ind w:firstLine="640" w:firstLineChars="200"/>
        <w:rPr>
          <w:rFonts w:hint="eastAsia" w:ascii="仿宋_GB2312" w:hAnsi="Times New Roman" w:eastAsia="仿宋_GB2312"/>
          <w:color w:val="000000"/>
          <w:sz w:val="32"/>
          <w:szCs w:val="24"/>
        </w:rPr>
      </w:pPr>
      <w:r>
        <w:rPr>
          <w:rFonts w:hint="eastAsia" w:ascii="仿宋_GB2312" w:hAnsi="Times New Roman" w:eastAsia="仿宋_GB2312"/>
          <w:color w:val="000000"/>
          <w:sz w:val="32"/>
          <w:szCs w:val="24"/>
        </w:rPr>
        <w:t>16.经营支出：指事业单位在专业业务活动及其辅助活动之外开展非独立核算经营活动发生的支出。</w:t>
      </w:r>
    </w:p>
    <w:p>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17.“三公”经费：指部门用财政拨款安排的因公出国（境）费、公务用车购置及运行费和公务接待费。</w:t>
      </w:r>
      <w:r>
        <w:rPr>
          <w:rFonts w:hint="eastAsia" w:ascii="仿宋_GB2312" w:eastAsia="仿宋_GB2312"/>
          <w:sz w:val="32"/>
          <w:szCs w:val="32"/>
          <w:u w:val="none" w:color="FFFFFF"/>
          <w:shd w:val="clear" w:fill="FFFFFF"/>
        </w:rPr>
        <w:t>其中，因公出国（境）费反映单位公务出国（境）的国际旅费、国外城市间交通费、住宿费、伙食费、培训费、公杂费等支出；</w:t>
      </w:r>
      <w:r>
        <w:rPr>
          <w:rFonts w:hint="eastAsia" w:ascii="仿宋_GB2312" w:eastAsia="仿宋_GB2312"/>
          <w:sz w:val="32"/>
          <w:szCs w:val="32"/>
        </w:rPr>
        <w:t>公务用车购置及运行费反映单位公务用车车辆购置支出（含车辆购置税）及租用费、燃料费、维修费、过路过桥费、保险费等支出；公务接待费反映单位按规定开支的各类公务接待（含外宾接待）支出。</w:t>
      </w:r>
    </w:p>
    <w:p>
      <w:pPr>
        <w:pStyle w:val="10"/>
        <w:spacing w:line="560" w:lineRule="exact"/>
        <w:ind w:firstLine="640" w:firstLineChars="200"/>
        <w:rPr>
          <w:rFonts w:hint="eastAsia" w:ascii="黑体" w:hAnsi="黑体" w:eastAsia="黑体"/>
          <w:sz w:val="44"/>
          <w:szCs w:val="44"/>
        </w:rPr>
      </w:pPr>
      <w:r>
        <w:rPr>
          <w:rFonts w:hint="eastAsia" w:ascii="仿宋_GB2312" w:eastAsia="仿宋_GB2312"/>
          <w:sz w:val="32"/>
          <w:szCs w:val="32"/>
        </w:rPr>
        <w:t>18.机关运行经费：为保障行政单位（含参照公务员法管理的事业单位）运行用于购买货物和服务的各项资金，包括办公及印刷费、邮电费、差旅费、会议费、福利费、日常维修费、专用</w:t>
      </w:r>
      <w:r>
        <w:rPr>
          <w:rFonts w:hint="eastAsia" w:ascii="仿宋_GB2312" w:eastAsia="仿宋_GB2312"/>
          <w:sz w:val="32"/>
          <w:szCs w:val="32"/>
          <w:u w:val="none" w:color="FFFFFF"/>
          <w:shd w:val="clear" w:fill="FFFFFF"/>
        </w:rPr>
        <w:t>材料</w:t>
      </w:r>
      <w:r>
        <w:rPr>
          <w:rFonts w:hint="eastAsia" w:ascii="仿宋_GB2312" w:eastAsia="仿宋_GB2312"/>
          <w:sz w:val="32"/>
          <w:szCs w:val="32"/>
        </w:rPr>
        <w:t>及一般设备购置费、办公用房水电费、办公用房取暖费、办公用房物业管理费、公务用车运行维护费以及其他费用。</w:t>
      </w:r>
    </w:p>
    <w:p>
      <w:pPr>
        <w:spacing w:beforeLines="0" w:afterLines="0" w:line="600" w:lineRule="exact"/>
        <w:jc w:val="center"/>
        <w:outlineLvl w:val="0"/>
        <w:rPr>
          <w:rFonts w:hint="eastAsia" w:ascii="黑体" w:hAnsi="黑体" w:eastAsia="黑体"/>
          <w:color w:val="auto"/>
          <w:kern w:val="44"/>
          <w:sz w:val="44"/>
          <w:szCs w:val="24"/>
          <w:lang w:val="en-US"/>
        </w:rPr>
      </w:pPr>
      <w:bookmarkStart w:id="15" w:name="_Toc6765"/>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四</w:t>
      </w:r>
      <w:r>
        <w:rPr>
          <w:rFonts w:hint="eastAsia" w:ascii="黑体" w:hAnsi="黑体" w:eastAsia="黑体"/>
          <w:color w:val="auto"/>
          <w:kern w:val="44"/>
          <w:sz w:val="44"/>
          <w:szCs w:val="24"/>
          <w:u w:val="none" w:color="FFFFFF"/>
          <w:shd w:val="clear" w:fill="FFFFFF"/>
          <w:lang w:val="en-US"/>
        </w:rPr>
        <w:t xml:space="preserve">部分 </w:t>
      </w:r>
      <w:r>
        <w:rPr>
          <w:rFonts w:hint="eastAsia" w:ascii="黑体" w:hAnsi="黑体" w:eastAsia="黑体"/>
          <w:color w:val="auto"/>
          <w:kern w:val="44"/>
          <w:sz w:val="44"/>
          <w:szCs w:val="24"/>
          <w:lang w:val="en-US"/>
        </w:rPr>
        <w:t>附件</w:t>
      </w:r>
      <w:bookmarkEnd w:id="15"/>
    </w:p>
    <w:p>
      <w:pPr>
        <w:keepNext/>
        <w:keepLines/>
        <w:spacing w:beforeLines="0" w:afterLines="0" w:line="572" w:lineRule="exact"/>
        <w:rPr>
          <w:rFonts w:hint="eastAsia" w:ascii="仿宋_GB2312" w:hAnsi="仿宋_GB2312" w:eastAsia="仿宋_GB2312"/>
          <w:color w:val="auto"/>
          <w:kern w:val="2"/>
          <w:sz w:val="32"/>
          <w:szCs w:val="24"/>
          <w:lang w:val="en-US"/>
        </w:rPr>
      </w:pPr>
    </w:p>
    <w:p>
      <w:pPr>
        <w:spacing w:beforeLines="0" w:afterLines="0" w:line="600" w:lineRule="exact"/>
        <w:jc w:val="center"/>
        <w:rPr>
          <w:rFonts w:hint="eastAsia" w:ascii="宋体" w:hAnsi="宋体" w:eastAsia="宋体"/>
          <w:color w:val="auto"/>
          <w:sz w:val="32"/>
          <w:szCs w:val="24"/>
          <w:lang w:val="en-US"/>
        </w:rPr>
      </w:pPr>
      <w:r>
        <w:rPr>
          <w:rFonts w:hint="eastAsia" w:ascii="宋体" w:hAnsi="宋体" w:eastAsia="宋体"/>
          <w:color w:val="auto"/>
          <w:sz w:val="32"/>
          <w:szCs w:val="24"/>
          <w:lang w:val="en-US"/>
        </w:rPr>
        <w:t>部门预算项目支出绩效自评表（2022年度）</w:t>
      </w:r>
    </w:p>
    <w:tbl>
      <w:tblPr>
        <w:tblStyle w:val="7"/>
        <w:tblW w:w="94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689"/>
        <w:gridCol w:w="743"/>
        <w:gridCol w:w="2078"/>
        <w:gridCol w:w="176"/>
        <w:gridCol w:w="378"/>
        <w:gridCol w:w="176"/>
        <w:gridCol w:w="364"/>
        <w:gridCol w:w="176"/>
        <w:gridCol w:w="891"/>
        <w:gridCol w:w="284"/>
        <w:gridCol w:w="999"/>
        <w:gridCol w:w="68"/>
        <w:gridCol w:w="553"/>
        <w:gridCol w:w="68"/>
        <w:gridCol w:w="756"/>
        <w:gridCol w:w="68"/>
        <w:gridCol w:w="419"/>
        <w:gridCol w:w="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500" w:type="dxa"/>
            <w:tcBorders>
              <w:top w:val="nil"/>
              <w:left w:val="nil"/>
              <w:bottom w:val="nil"/>
              <w:right w:val="nil"/>
              <w:tl2br w:val="nil"/>
              <w:tr2bl w:val="nil"/>
            </w:tcBorders>
            <w:noWrap/>
            <w:vAlign w:val="center"/>
          </w:tcPr>
          <w:p>
            <w:pPr>
              <w:spacing w:beforeLines="0" w:afterLines="0"/>
              <w:rPr>
                <w:rFonts w:hint="eastAsia" w:ascii="黑体" w:hAnsi="宋体" w:eastAsia="黑体" w:cs="黑体"/>
                <w:color w:val="000000"/>
                <w:sz w:val="24"/>
                <w:szCs w:val="24"/>
              </w:rPr>
            </w:pPr>
          </w:p>
        </w:tc>
        <w:tc>
          <w:tcPr>
            <w:tcW w:w="689" w:type="dxa"/>
            <w:tcBorders>
              <w:top w:val="nil"/>
              <w:left w:val="nil"/>
              <w:bottom w:val="nil"/>
              <w:right w:val="nil"/>
              <w:tl2br w:val="nil"/>
              <w:tr2bl w:val="nil"/>
            </w:tcBorders>
            <w:noWrap w:val="0"/>
            <w:vAlign w:val="center"/>
          </w:tcPr>
          <w:p>
            <w:pPr>
              <w:spacing w:beforeLines="0" w:afterLines="0"/>
              <w:rPr>
                <w:rFonts w:hint="eastAsia" w:ascii="黑体" w:hAnsi="宋体" w:eastAsia="黑体" w:cs="黑体"/>
                <w:color w:val="000000"/>
                <w:sz w:val="24"/>
                <w:szCs w:val="24"/>
              </w:rPr>
            </w:pPr>
          </w:p>
        </w:tc>
        <w:tc>
          <w:tcPr>
            <w:tcW w:w="743" w:type="dxa"/>
            <w:tcBorders>
              <w:top w:val="nil"/>
              <w:left w:val="nil"/>
              <w:bottom w:val="nil"/>
              <w:right w:val="nil"/>
              <w:tl2br w:val="nil"/>
              <w:tr2bl w:val="nil"/>
            </w:tcBorders>
            <w:noWrap w:val="0"/>
            <w:vAlign w:val="center"/>
          </w:tcPr>
          <w:p>
            <w:pPr>
              <w:spacing w:beforeLines="0" w:afterLines="0"/>
              <w:rPr>
                <w:rFonts w:hint="eastAsia" w:ascii="黑体" w:hAnsi="宋体" w:eastAsia="黑体" w:cs="黑体"/>
                <w:color w:val="000000"/>
                <w:sz w:val="24"/>
                <w:szCs w:val="24"/>
              </w:rPr>
            </w:pPr>
          </w:p>
        </w:tc>
        <w:tc>
          <w:tcPr>
            <w:tcW w:w="2078" w:type="dxa"/>
            <w:tcBorders>
              <w:top w:val="nil"/>
              <w:left w:val="nil"/>
              <w:bottom w:val="nil"/>
              <w:right w:val="nil"/>
              <w:tl2br w:val="nil"/>
              <w:tr2bl w:val="nil"/>
            </w:tcBorders>
            <w:noWrap w:val="0"/>
            <w:vAlign w:val="center"/>
          </w:tcPr>
          <w:p>
            <w:pPr>
              <w:spacing w:beforeLines="0" w:afterLines="0"/>
              <w:rPr>
                <w:rFonts w:hint="eastAsia" w:ascii="黑体" w:hAnsi="宋体" w:eastAsia="黑体" w:cs="黑体"/>
                <w:color w:val="000000"/>
                <w:sz w:val="24"/>
                <w:szCs w:val="24"/>
              </w:rPr>
            </w:pPr>
          </w:p>
        </w:tc>
        <w:tc>
          <w:tcPr>
            <w:tcW w:w="554"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540"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1067"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1283"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621"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824"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581" w:type="dxa"/>
            <w:gridSpan w:val="3"/>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480" w:type="dxa"/>
            <w:gridSpan w:val="19"/>
            <w:tcBorders>
              <w:top w:val="nil"/>
              <w:left w:val="nil"/>
              <w:bottom w:val="nil"/>
              <w:right w:val="nil"/>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bidi="ar"/>
              </w:rPr>
              <w:t>绩效目标自评表</w:t>
            </w:r>
            <w:r>
              <w:rPr>
                <w:rStyle w:val="12"/>
                <w:rFonts w:hint="eastAsia"/>
                <w:sz w:val="32"/>
                <w:szCs w:val="3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480" w:type="dxa"/>
            <w:gridSpan w:val="19"/>
            <w:tcBorders>
              <w:top w:val="nil"/>
              <w:left w:val="nil"/>
              <w:bottom w:val="single" w:color="000000" w:sz="4" w:space="0"/>
              <w:right w:val="nil"/>
              <w:tl2br w:val="nil"/>
              <w:tr2bl w:val="nil"/>
            </w:tcBorders>
            <w:noWrap w:val="0"/>
            <w:vAlign w:val="top"/>
          </w:tcPr>
          <w:p>
            <w:pPr>
              <w:widowControl/>
              <w:spacing w:beforeLines="0" w:afterLines="0"/>
              <w:jc w:val="center"/>
              <w:textAlignment w:val="top"/>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9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项目名称</w:t>
            </w:r>
          </w:p>
        </w:tc>
        <w:tc>
          <w:tcPr>
            <w:tcW w:w="317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扶贫</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项目负责人及电话</w:t>
            </w:r>
          </w:p>
        </w:tc>
        <w:tc>
          <w:tcPr>
            <w:tcW w:w="330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李鹏旭 17338962186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9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主管部门</w:t>
            </w:r>
          </w:p>
        </w:tc>
        <w:tc>
          <w:tcPr>
            <w:tcW w:w="317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通江县教育科技和体育局</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实施单位</w:t>
            </w:r>
          </w:p>
        </w:tc>
        <w:tc>
          <w:tcPr>
            <w:tcW w:w="330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通江县沙溪镇板凳小学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3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资金情况</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（万元）</w:t>
            </w:r>
          </w:p>
        </w:tc>
        <w:tc>
          <w:tcPr>
            <w:tcW w:w="2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eastAsia="宋体" w:cs="宋体"/>
                <w:color w:val="000000"/>
                <w:sz w:val="20"/>
                <w:szCs w:val="20"/>
              </w:rPr>
            </w:pP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全年预算数（A）</w:t>
            </w:r>
          </w:p>
        </w:tc>
        <w:tc>
          <w:tcPr>
            <w:tcW w:w="23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val="none" w:color="FFFFFF"/>
                <w:shd w:val="clear" w:fill="FFFFFF"/>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分值</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执行率（B/A)</w:t>
            </w:r>
          </w:p>
        </w:tc>
        <w:tc>
          <w:tcPr>
            <w:tcW w:w="58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93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年度资金总额：</w:t>
            </w: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0.5万元</w:t>
            </w:r>
          </w:p>
        </w:tc>
        <w:tc>
          <w:tcPr>
            <w:tcW w:w="23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0.5万元</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58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93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Style w:val="13"/>
                <w:rFonts w:hint="eastAsia"/>
                <w:sz w:val="20"/>
                <w:szCs w:val="20"/>
                <w:lang w:val="en-US" w:eastAsia="zh-CN" w:bidi="ar"/>
              </w:rPr>
              <w:t xml:space="preserve"> 其中：本年</w:t>
            </w:r>
            <w:r>
              <w:rPr>
                <w:rStyle w:val="13"/>
                <w:rFonts w:hint="eastAsia"/>
                <w:sz w:val="20"/>
                <w:szCs w:val="20"/>
                <w:u w:val="none" w:color="FFFFFF"/>
                <w:shd w:val="clear" w:fill="FFFFFF"/>
                <w:lang w:val="en-US" w:eastAsia="zh-CN" w:bidi="ar"/>
              </w:rPr>
              <w:t>财</w:t>
            </w:r>
            <w:r>
              <w:rPr>
                <w:rStyle w:val="13"/>
                <w:rFonts w:hint="eastAsia"/>
                <w:sz w:val="20"/>
                <w:szCs w:val="20"/>
                <w:lang w:val="en-US" w:eastAsia="zh-CN" w:bidi="ar"/>
              </w:rPr>
              <w:t>政拨款</w:t>
            </w: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0.5万元</w:t>
            </w:r>
          </w:p>
        </w:tc>
        <w:tc>
          <w:tcPr>
            <w:tcW w:w="23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0.5万元</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58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93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0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Style w:val="13"/>
                <w:rFonts w:hint="eastAsia"/>
                <w:sz w:val="20"/>
                <w:szCs w:val="20"/>
                <w:lang w:val="en-US" w:eastAsia="zh-CN" w:bidi="ar"/>
              </w:rPr>
              <w:t xml:space="preserve">       其他资金</w:t>
            </w: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3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8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5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年度总体目标</w:t>
            </w:r>
          </w:p>
        </w:tc>
        <w:tc>
          <w:tcPr>
            <w:tcW w:w="460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年初</w:t>
            </w:r>
            <w:r>
              <w:rPr>
                <w:rFonts w:hint="eastAsia" w:ascii="宋体" w:hAnsi="宋体" w:eastAsia="宋体" w:cs="宋体"/>
                <w:color w:val="000000"/>
                <w:sz w:val="20"/>
                <w:szCs w:val="20"/>
                <w:u w:val="none" w:color="FFFFFF"/>
                <w:shd w:val="clear" w:fill="FFFFFF"/>
                <w:lang w:val="en-US" w:eastAsia="zh-CN" w:bidi="ar"/>
              </w:rPr>
              <w:t>设定</w:t>
            </w:r>
            <w:r>
              <w:rPr>
                <w:rFonts w:hint="eastAsia" w:ascii="宋体" w:hAnsi="宋体" w:eastAsia="宋体" w:cs="宋体"/>
                <w:color w:val="000000"/>
                <w:sz w:val="20"/>
                <w:szCs w:val="20"/>
                <w:lang w:val="en-US" w:eastAsia="zh-CN" w:bidi="ar"/>
              </w:rPr>
              <w:t>目标</w:t>
            </w:r>
          </w:p>
        </w:tc>
        <w:tc>
          <w:tcPr>
            <w:tcW w:w="43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460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通过预算执行：保</w:t>
            </w:r>
            <w:r>
              <w:rPr>
                <w:rFonts w:hint="eastAsia" w:ascii="宋体" w:hAnsi="宋体" w:eastAsia="宋体" w:cs="宋体"/>
                <w:color w:val="000000"/>
                <w:sz w:val="20"/>
                <w:szCs w:val="20"/>
                <w:u w:val="none" w:color="FFFFFF"/>
                <w:shd w:val="clear" w:fill="FFFFFF"/>
                <w:lang w:val="en-US" w:eastAsia="zh-CN" w:bidi="ar"/>
              </w:rPr>
              <w:t>障</w:t>
            </w:r>
            <w:r>
              <w:rPr>
                <w:rFonts w:hint="eastAsia" w:ascii="宋体" w:hAnsi="宋体" w:eastAsia="宋体" w:cs="宋体"/>
                <w:color w:val="000000"/>
                <w:sz w:val="20"/>
                <w:szCs w:val="20"/>
                <w:lang w:val="en-US" w:eastAsia="zh-CN" w:bidi="ar"/>
              </w:rPr>
              <w:t>驻村扶贫人员的差旅费补助。</w:t>
            </w:r>
          </w:p>
        </w:tc>
        <w:tc>
          <w:tcPr>
            <w:tcW w:w="43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保障驻村扶贫人员的差旅费补助。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00" w:type="dxa"/>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绩效指标</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一级</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指标</w:t>
            </w: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二级指标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三级指标</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分值</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年度指标值</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u w:val="none" w:color="FFFFFF"/>
                <w:shd w:val="clear" w:fill="FFFFFF"/>
              </w:rPr>
            </w:pPr>
            <w:r>
              <w:rPr>
                <w:rFonts w:hint="eastAsia" w:ascii="宋体" w:hAnsi="宋体" w:eastAsia="宋体" w:cs="宋体"/>
                <w:color w:val="000000"/>
                <w:sz w:val="20"/>
                <w:szCs w:val="20"/>
                <w:u w:val="none" w:color="FFFFFF"/>
                <w:shd w:val="clear" w:fill="FFFFFF"/>
                <w:lang w:val="en-US" w:eastAsia="zh-CN" w:bidi="ar"/>
              </w:rPr>
              <w:t>全年实际值</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u w:val="none" w:color="FFFFFF"/>
                <w:shd w:val="clear" w:fill="FFFFFF"/>
              </w:rPr>
            </w:pPr>
            <w:r>
              <w:rPr>
                <w:rFonts w:hint="eastAsia" w:ascii="宋体" w:hAnsi="宋体" w:eastAsia="宋体" w:cs="宋体"/>
                <w:color w:val="000000"/>
                <w:sz w:val="20"/>
                <w:szCs w:val="20"/>
                <w:u w:val="none" w:color="FFFFFF"/>
                <w:shd w:val="clear" w:fill="FFFFFF"/>
                <w:lang w:val="en-US" w:eastAsia="zh-CN" w:bidi="ar"/>
              </w:rPr>
              <w:t>得分</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u w:val="none" w:color="FFFFFF"/>
                <w:shd w:val="clear" w:fill="FFFFFF"/>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产</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出</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w:t>
            </w:r>
            <w:r>
              <w:rPr>
                <w:rFonts w:hint="eastAsia" w:ascii="宋体" w:hAnsi="宋体" w:eastAsia="宋体" w:cs="宋体"/>
                <w:color w:val="000000"/>
                <w:sz w:val="20"/>
                <w:szCs w:val="20"/>
                <w:lang w:val="en-US" w:eastAsia="zh-CN" w:bidi="ar"/>
              </w:rPr>
              <w:t>50分</w:t>
            </w:r>
            <w:r>
              <w:rPr>
                <w:rFonts w:hint="eastAsia" w:ascii="宋体" w:hAnsi="宋体" w:eastAsia="宋体" w:cs="宋体"/>
                <w:color w:val="000000"/>
                <w:sz w:val="20"/>
                <w:szCs w:val="20"/>
                <w:u w:val="none" w:color="FFFFFF"/>
                <w:shd w:val="clear" w:fill="FFFFFF"/>
                <w:lang w:val="en-US" w:eastAsia="zh-CN" w:bidi="ar"/>
              </w:rPr>
              <w:t>)</w:t>
            </w: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数量指标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下乡扶贫</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≥1150次</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≥1150次</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质量指标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扶贫任务完成</w:t>
            </w:r>
            <w:r>
              <w:rPr>
                <w:rFonts w:hint="eastAsia" w:ascii="宋体" w:hAnsi="宋体" w:eastAsia="宋体" w:cs="宋体"/>
                <w:color w:val="000000"/>
                <w:sz w:val="20"/>
                <w:szCs w:val="20"/>
                <w:u w:val="none" w:color="FFFFFF"/>
                <w:shd w:val="clear" w:fill="FFFFFF"/>
                <w:lang w:val="en-US" w:eastAsia="zh-CN" w:bidi="ar"/>
              </w:rPr>
              <w:t>率</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20</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时效指标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扶贫任务完成时间</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2022年12月</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2022年12月</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成本指标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驻村扶贫人员</w:t>
            </w:r>
            <w:r>
              <w:rPr>
                <w:rFonts w:hint="eastAsia" w:ascii="宋体" w:hAnsi="宋体" w:eastAsia="宋体" w:cs="宋体"/>
                <w:color w:val="000000"/>
                <w:sz w:val="20"/>
                <w:szCs w:val="20"/>
                <w:u w:val="none" w:color="FFFFFF"/>
                <w:shd w:val="clear" w:fill="FFFFFF"/>
                <w:lang w:val="en-US" w:eastAsia="zh-CN" w:bidi="ar"/>
              </w:rPr>
              <w:t>办公费</w:t>
            </w:r>
            <w:r>
              <w:rPr>
                <w:rFonts w:hint="eastAsia" w:ascii="宋体" w:hAnsi="宋体" w:eastAsia="宋体" w:cs="宋体"/>
                <w:color w:val="000000"/>
                <w:sz w:val="20"/>
                <w:szCs w:val="20"/>
                <w:lang w:val="en-US" w:eastAsia="zh-CN" w:bidi="ar"/>
              </w:rPr>
              <w:t>差旅费</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≥5000元</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≥500元</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效</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益</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w:t>
            </w:r>
            <w:r>
              <w:rPr>
                <w:rFonts w:hint="eastAsia" w:ascii="宋体" w:hAnsi="宋体" w:eastAsia="宋体" w:cs="宋体"/>
                <w:color w:val="000000"/>
                <w:sz w:val="20"/>
                <w:szCs w:val="20"/>
                <w:lang w:val="en-US" w:eastAsia="zh-CN" w:bidi="ar"/>
              </w:rPr>
              <w:t>30分</w:t>
            </w:r>
            <w:r>
              <w:rPr>
                <w:rFonts w:hint="eastAsia" w:ascii="宋体" w:hAnsi="宋体" w:eastAsia="宋体" w:cs="宋体"/>
                <w:color w:val="000000"/>
                <w:sz w:val="20"/>
                <w:szCs w:val="20"/>
                <w:u w:val="none" w:color="FFFFFF"/>
                <w:shd w:val="clear" w:fill="FFFFFF"/>
                <w:lang w:val="en-US" w:eastAsia="zh-CN" w:bidi="ar"/>
              </w:rPr>
              <w:t>)</w:t>
            </w: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经济效益</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val="none" w:color="FFFFFF"/>
                <w:shd w:val="clear" w:fill="FFFFFF"/>
                <w:lang w:val="en-US" w:eastAsia="zh-CN" w:bidi="ar"/>
              </w:rPr>
              <w:t>帮扶对象增收率</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≥92%</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≥92%</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社会效益</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驻村人员、帮扶</w:t>
            </w:r>
            <w:r>
              <w:rPr>
                <w:rFonts w:hint="eastAsia" w:ascii="宋体" w:hAnsi="宋体" w:eastAsia="宋体" w:cs="宋体"/>
                <w:color w:val="000000"/>
                <w:sz w:val="20"/>
                <w:szCs w:val="20"/>
                <w:u w:val="none" w:color="FFFFFF"/>
                <w:shd w:val="clear" w:fill="FFFFFF"/>
                <w:lang w:val="en-US" w:eastAsia="zh-CN" w:bidi="ar"/>
              </w:rPr>
              <w:t>对象</w:t>
            </w:r>
            <w:r>
              <w:rPr>
                <w:rFonts w:hint="eastAsia" w:ascii="宋体" w:hAnsi="宋体" w:eastAsia="宋体" w:cs="宋体"/>
                <w:color w:val="000000"/>
                <w:sz w:val="20"/>
                <w:szCs w:val="20"/>
                <w:lang w:val="en-US" w:eastAsia="zh-CN" w:bidi="ar"/>
              </w:rPr>
              <w:t>幸福指数</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10 </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≥95%</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≥95%</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10 </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eastAsia" w:ascii="Arial" w:hAnsi="Arial" w:eastAsia="宋体" w:cs="Arial"/>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生态效益</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可持续影响指标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教育教学可持续影响期限</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长期</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长期</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满意度指标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w:t>
            </w:r>
            <w:r>
              <w:rPr>
                <w:rFonts w:hint="eastAsia" w:ascii="宋体" w:hAnsi="宋体" w:eastAsia="宋体" w:cs="宋体"/>
                <w:color w:val="000000"/>
                <w:sz w:val="20"/>
                <w:szCs w:val="20"/>
                <w:lang w:val="en-US" w:eastAsia="zh-CN" w:bidi="ar"/>
              </w:rPr>
              <w:t>10分</w:t>
            </w:r>
            <w:r>
              <w:rPr>
                <w:rFonts w:hint="eastAsia" w:ascii="宋体" w:hAnsi="宋体" w:eastAsia="宋体" w:cs="宋体"/>
                <w:color w:val="000000"/>
                <w:sz w:val="20"/>
                <w:szCs w:val="20"/>
                <w:u w:val="none" w:color="FFFFFF"/>
                <w:shd w:val="clear" w:fill="FFFFFF"/>
                <w:lang w:val="en-US" w:eastAsia="zh-CN" w:bidi="ar"/>
              </w:rPr>
              <w:t>)</w:t>
            </w: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服务对象</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满意度指标</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帮扶对象的满意度</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5</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5</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社会满意度</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5</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5</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26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456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总分</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100</w:t>
            </w:r>
          </w:p>
        </w:tc>
        <w:tc>
          <w:tcPr>
            <w:tcW w:w="23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b/>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100</w:t>
            </w:r>
          </w:p>
        </w:tc>
        <w:tc>
          <w:tcPr>
            <w:tcW w:w="14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9480" w:type="dxa"/>
            <w:gridSpan w:val="19"/>
            <w:tcBorders>
              <w:top w:val="single" w:color="000000" w:sz="4" w:space="0"/>
              <w:left w:val="nil"/>
              <w:bottom w:val="nil"/>
              <w:right w:val="nil"/>
              <w:tl2br w:val="nil"/>
              <w:tr2bl w:val="nil"/>
            </w:tcBorders>
            <w:noWrap w:val="0"/>
            <w:vAlign w:val="center"/>
          </w:tcPr>
          <w:p>
            <w:pPr>
              <w:widowControl/>
              <w:spacing w:beforeLines="0" w:afterLines="0"/>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bidi="ar"/>
              </w:rPr>
              <w:t>注：1</w:t>
            </w:r>
            <w:r>
              <w:rPr>
                <w:rStyle w:val="14"/>
                <w:rFonts w:hint="eastAsia"/>
                <w:sz w:val="18"/>
                <w:szCs w:val="18"/>
                <w:lang w:val="en-US" w:eastAsia="zh-CN" w:bidi="ar"/>
              </w:rPr>
              <w:t>.一级指标分值统一设置为：产出指标50分、效益指标30分、满意度指标10分、预算资金执行率10分。如有特殊情况，上述权重可做适当调整，但加总后应等于100分。各部门根据各项</w:t>
            </w:r>
            <w:r>
              <w:rPr>
                <w:rStyle w:val="14"/>
                <w:rFonts w:hint="eastAsia"/>
                <w:sz w:val="18"/>
                <w:szCs w:val="18"/>
                <w:u w:val="none" w:color="FFFFFF"/>
                <w:shd w:val="clear" w:fill="FFFFFF"/>
                <w:lang w:val="en-US" w:eastAsia="zh-CN" w:bidi="ar"/>
              </w:rPr>
              <w:t>指标</w:t>
            </w:r>
            <w:r>
              <w:rPr>
                <w:rStyle w:val="14"/>
                <w:rFonts w:hint="eastAsia"/>
                <w:sz w:val="18"/>
                <w:szCs w:val="18"/>
                <w:lang w:val="en-US" w:eastAsia="zh-CN" w:bidi="ar"/>
              </w:rPr>
              <w:t>重要程度确定</w:t>
            </w:r>
            <w:r>
              <w:rPr>
                <w:rStyle w:val="14"/>
                <w:rFonts w:hint="eastAsia"/>
                <w:sz w:val="18"/>
                <w:szCs w:val="18"/>
                <w:u w:val="none" w:color="FFFFFF"/>
                <w:shd w:val="clear" w:fill="FFFFFF"/>
                <w:lang w:val="en-US" w:eastAsia="zh-CN" w:bidi="ar"/>
              </w:rPr>
              <w:t>三级</w:t>
            </w:r>
            <w:r>
              <w:rPr>
                <w:rStyle w:val="14"/>
                <w:rFonts w:hint="eastAsia"/>
                <w:sz w:val="18"/>
                <w:szCs w:val="18"/>
                <w:lang w:val="en-US" w:eastAsia="zh-CN" w:bidi="ar"/>
              </w:rPr>
              <w:t>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9480" w:type="dxa"/>
            <w:gridSpan w:val="19"/>
            <w:tcBorders>
              <w:top w:val="nil"/>
              <w:left w:val="nil"/>
              <w:bottom w:val="nil"/>
              <w:right w:val="nil"/>
              <w:tl2br w:val="nil"/>
              <w:tr2bl w:val="nil"/>
            </w:tcBorders>
            <w:noWrap w:val="0"/>
            <w:vAlign w:val="center"/>
          </w:tcPr>
          <w:p>
            <w:pPr>
              <w:widowControl/>
              <w:spacing w:beforeLines="0" w:afterLines="0"/>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bidi="ar"/>
              </w:rPr>
              <w:t xml:space="preserve">    2.</w:t>
            </w:r>
            <w:r>
              <w:rPr>
                <w:rFonts w:hint="eastAsia" w:ascii="宋体" w:hAnsi="宋体" w:eastAsia="宋体" w:cs="宋体"/>
                <w:color w:val="000000"/>
                <w:sz w:val="18"/>
                <w:szCs w:val="18"/>
                <w:u w:val="none" w:color="FFFFFF"/>
                <w:shd w:val="clear" w:fill="FFFFFF"/>
                <w:lang w:val="en-US" w:eastAsia="zh-CN" w:bidi="ar"/>
              </w:rPr>
              <w:t>定性</w:t>
            </w:r>
            <w:r>
              <w:rPr>
                <w:rFonts w:hint="eastAsia" w:ascii="宋体" w:hAnsi="宋体" w:eastAsia="宋体" w:cs="宋体"/>
                <w:color w:val="000000"/>
                <w:sz w:val="18"/>
                <w:szCs w:val="18"/>
                <w:lang w:val="en-US" w:eastAsia="zh-CN" w:bidi="ar"/>
              </w:rPr>
              <w:t>指标根据指标完成情况分为：达成预期指标、部分达成预期指标并具有一定效果、未达成预期指标且效果较差三档，分别按照该指标对应分值区间</w:t>
            </w:r>
            <w:r>
              <w:rPr>
                <w:rFonts w:hint="eastAsia" w:ascii="宋体" w:hAnsi="宋体" w:eastAsia="宋体" w:cs="宋体"/>
                <w:color w:val="000000"/>
                <w:sz w:val="18"/>
                <w:szCs w:val="18"/>
                <w:u w:val="thick" w:color="98967F"/>
                <w:shd w:val="clear" w:fill="98967F"/>
                <w:lang w:val="en-US" w:eastAsia="zh-CN" w:bidi="ar"/>
              </w:rPr>
              <w:t>100-80%</w:t>
            </w:r>
            <w:r>
              <w:rPr>
                <w:rFonts w:hint="eastAsia" w:ascii="宋体" w:hAnsi="宋体" w:eastAsia="宋体" w:cs="宋体"/>
                <w:color w:val="000000"/>
                <w:sz w:val="18"/>
                <w:szCs w:val="18"/>
                <w:u w:val="none" w:color="FFFFFF"/>
                <w:shd w:val="clear" w:fill="FFFFFF"/>
                <w:lang w:val="en-US" w:eastAsia="zh-CN" w:bidi="ar"/>
              </w:rPr>
              <w:t>(</w:t>
            </w:r>
            <w:r>
              <w:rPr>
                <w:rFonts w:hint="eastAsia" w:ascii="宋体" w:hAnsi="宋体" w:eastAsia="宋体" w:cs="宋体"/>
                <w:color w:val="000000"/>
                <w:sz w:val="18"/>
                <w:szCs w:val="18"/>
                <w:lang w:val="en-US" w:eastAsia="zh-CN" w:bidi="ar"/>
              </w:rPr>
              <w:t>含</w:t>
            </w:r>
            <w:r>
              <w:rPr>
                <w:rFonts w:hint="eastAsia" w:ascii="宋体" w:hAnsi="宋体" w:eastAsia="宋体" w:cs="宋体"/>
                <w:color w:val="000000"/>
                <w:sz w:val="18"/>
                <w:szCs w:val="18"/>
                <w:u w:val="none" w:color="FFFFFF"/>
                <w:shd w:val="clear" w:fill="FFFFFF"/>
                <w:lang w:val="en-US" w:eastAsia="zh-CN" w:bidi="ar"/>
              </w:rPr>
              <w:t>80</w:t>
            </w:r>
            <w:r>
              <w:rPr>
                <w:rFonts w:hint="eastAsia" w:ascii="宋体" w:hAnsi="宋体" w:eastAsia="宋体" w:cs="宋体"/>
                <w:color w:val="000000"/>
                <w:sz w:val="18"/>
                <w:szCs w:val="18"/>
                <w:lang w:val="en-US" w:eastAsia="zh-CN" w:bidi="ar"/>
              </w:rPr>
              <w:t>%)、</w:t>
            </w:r>
            <w:r>
              <w:rPr>
                <w:rFonts w:hint="eastAsia" w:ascii="宋体" w:hAnsi="宋体" w:eastAsia="宋体" w:cs="宋体"/>
                <w:color w:val="000000"/>
                <w:sz w:val="18"/>
                <w:szCs w:val="18"/>
                <w:u w:val="none" w:color="FFFFFF"/>
                <w:shd w:val="clear" w:fill="FFFFFF"/>
                <w:lang w:val="en-US" w:eastAsia="zh-CN" w:bidi="ar"/>
              </w:rPr>
              <w:t>80-60%(</w:t>
            </w:r>
            <w:r>
              <w:rPr>
                <w:rFonts w:hint="eastAsia" w:ascii="宋体" w:hAnsi="宋体" w:eastAsia="宋体" w:cs="宋体"/>
                <w:color w:val="000000"/>
                <w:sz w:val="18"/>
                <w:szCs w:val="18"/>
                <w:lang w:val="en-US" w:eastAsia="zh-CN" w:bidi="ar"/>
              </w:rPr>
              <w:t>含</w:t>
            </w:r>
            <w:r>
              <w:rPr>
                <w:rFonts w:hint="eastAsia" w:ascii="宋体" w:hAnsi="宋体" w:eastAsia="宋体" w:cs="宋体"/>
                <w:color w:val="000000"/>
                <w:sz w:val="18"/>
                <w:szCs w:val="18"/>
                <w:u w:val="none" w:color="FFFFFF"/>
                <w:shd w:val="clear" w:fill="FFFFFF"/>
                <w:lang w:val="en-US" w:eastAsia="zh-CN" w:bidi="ar"/>
              </w:rPr>
              <w:t>60</w:t>
            </w:r>
            <w:r>
              <w:rPr>
                <w:rFonts w:hint="eastAsia" w:ascii="宋体" w:hAnsi="宋体" w:eastAsia="宋体" w:cs="宋体"/>
                <w:color w:val="000000"/>
                <w:sz w:val="18"/>
                <w:szCs w:val="18"/>
                <w:lang w:val="en-US" w:eastAsia="zh-CN" w:bidi="ar"/>
              </w:rPr>
              <w:t>%)、</w:t>
            </w:r>
            <w:r>
              <w:rPr>
                <w:rFonts w:hint="eastAsia" w:ascii="宋体" w:hAnsi="宋体" w:eastAsia="宋体" w:cs="宋体"/>
                <w:color w:val="000000"/>
                <w:sz w:val="18"/>
                <w:szCs w:val="18"/>
                <w:u w:val="none" w:color="FFFFFF"/>
                <w:shd w:val="clear" w:fill="FFFFFF"/>
                <w:lang w:val="en-US" w:eastAsia="zh-CN" w:bidi="ar"/>
              </w:rPr>
              <w:t>60-0%</w:t>
            </w:r>
            <w:r>
              <w:rPr>
                <w:rFonts w:hint="eastAsia" w:ascii="宋体" w:hAnsi="宋体" w:eastAsia="宋体" w:cs="宋体"/>
                <w:color w:val="000000"/>
                <w:sz w:val="18"/>
                <w:szCs w:val="18"/>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480" w:type="dxa"/>
            <w:gridSpan w:val="19"/>
            <w:tcBorders>
              <w:top w:val="nil"/>
              <w:left w:val="nil"/>
              <w:bottom w:val="nil"/>
              <w:right w:val="nil"/>
              <w:tl2br w:val="nil"/>
              <w:tr2bl w:val="nil"/>
            </w:tcBorders>
            <w:noWrap w:val="0"/>
            <w:vAlign w:val="center"/>
          </w:tcPr>
          <w:p>
            <w:pPr>
              <w:widowControl/>
              <w:spacing w:beforeLines="0" w:afterLines="0"/>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bidi="ar"/>
              </w:rPr>
              <w:t xml:space="preserve">    3.定量指标若为正向指标（即指标值为</w:t>
            </w:r>
            <w:r>
              <w:rPr>
                <w:rStyle w:val="14"/>
                <w:rFonts w:hint="eastAsia"/>
                <w:sz w:val="18"/>
                <w:szCs w:val="18"/>
                <w:lang w:val="en-US" w:eastAsia="zh-CN" w:bidi="ar"/>
              </w:rPr>
              <w:t>≥*），则得分计算方法应用全年实际值/年度指标值</w:t>
            </w:r>
            <w:r>
              <w:rPr>
                <w:rStyle w:val="15"/>
                <w:rFonts w:hint="eastAsia"/>
                <w:sz w:val="12"/>
                <w:szCs w:val="12"/>
                <w:lang w:val="en-US" w:eastAsia="zh-CN" w:bidi="ar"/>
              </w:rPr>
              <w:t>╳</w:t>
            </w:r>
            <w:r>
              <w:rPr>
                <w:rStyle w:val="14"/>
                <w:rFonts w:hint="eastAsia"/>
                <w:sz w:val="18"/>
                <w:szCs w:val="18"/>
                <w:lang w:val="en-US" w:eastAsia="zh-CN" w:bidi="ar"/>
              </w:rPr>
              <w:t>该指标分值；若定量指标为反向指标（即指标值为≤*），则得分计算方法应用年度指标值/全年实际值</w:t>
            </w:r>
            <w:r>
              <w:rPr>
                <w:rStyle w:val="15"/>
                <w:rFonts w:hint="eastAsia"/>
                <w:sz w:val="12"/>
                <w:szCs w:val="12"/>
                <w:lang w:val="en-US" w:eastAsia="zh-CN" w:bidi="ar"/>
              </w:rPr>
              <w:t>╳</w:t>
            </w:r>
            <w:r>
              <w:rPr>
                <w:rStyle w:val="14"/>
                <w:rFonts w:hint="eastAsia"/>
                <w:sz w:val="18"/>
                <w:szCs w:val="18"/>
                <w:lang w:val="en-US" w:eastAsia="zh-CN" w:bidi="ar"/>
              </w:rPr>
              <w:t>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330" w:hRule="atLeast"/>
        </w:trPr>
        <w:tc>
          <w:tcPr>
            <w:tcW w:w="500" w:type="dxa"/>
            <w:tcBorders>
              <w:top w:val="nil"/>
              <w:left w:val="nil"/>
              <w:bottom w:val="nil"/>
              <w:right w:val="nil"/>
              <w:tl2br w:val="nil"/>
              <w:tr2bl w:val="nil"/>
            </w:tcBorders>
            <w:noWrap/>
            <w:vAlign w:val="center"/>
          </w:tcPr>
          <w:p>
            <w:pPr>
              <w:spacing w:beforeLines="0" w:afterLines="0"/>
              <w:rPr>
                <w:rFonts w:hint="eastAsia" w:ascii="黑体" w:hAnsi="宋体" w:eastAsia="黑体" w:cs="黑体"/>
                <w:color w:val="000000"/>
                <w:sz w:val="24"/>
                <w:szCs w:val="24"/>
              </w:rPr>
            </w:pPr>
          </w:p>
        </w:tc>
        <w:tc>
          <w:tcPr>
            <w:tcW w:w="689" w:type="dxa"/>
            <w:tcBorders>
              <w:top w:val="nil"/>
              <w:left w:val="nil"/>
              <w:bottom w:val="nil"/>
              <w:right w:val="nil"/>
              <w:tl2br w:val="nil"/>
              <w:tr2bl w:val="nil"/>
            </w:tcBorders>
            <w:noWrap w:val="0"/>
            <w:vAlign w:val="center"/>
          </w:tcPr>
          <w:p>
            <w:pPr>
              <w:spacing w:beforeLines="0" w:afterLines="0"/>
              <w:rPr>
                <w:rFonts w:hint="eastAsia" w:ascii="黑体" w:hAnsi="宋体" w:eastAsia="黑体" w:cs="黑体"/>
                <w:color w:val="000000"/>
                <w:sz w:val="24"/>
                <w:szCs w:val="24"/>
              </w:rPr>
            </w:pPr>
          </w:p>
        </w:tc>
        <w:tc>
          <w:tcPr>
            <w:tcW w:w="743" w:type="dxa"/>
            <w:tcBorders>
              <w:top w:val="nil"/>
              <w:left w:val="nil"/>
              <w:bottom w:val="nil"/>
              <w:right w:val="nil"/>
              <w:tl2br w:val="nil"/>
              <w:tr2bl w:val="nil"/>
            </w:tcBorders>
            <w:noWrap w:val="0"/>
            <w:vAlign w:val="center"/>
          </w:tcPr>
          <w:p>
            <w:pPr>
              <w:spacing w:beforeLines="0" w:afterLines="0"/>
              <w:rPr>
                <w:rFonts w:hint="eastAsia" w:ascii="黑体" w:hAnsi="宋体" w:eastAsia="黑体" w:cs="黑体"/>
                <w:color w:val="000000"/>
                <w:sz w:val="24"/>
                <w:szCs w:val="24"/>
              </w:rPr>
            </w:pPr>
          </w:p>
        </w:tc>
        <w:tc>
          <w:tcPr>
            <w:tcW w:w="2254" w:type="dxa"/>
            <w:gridSpan w:val="2"/>
            <w:tcBorders>
              <w:top w:val="nil"/>
              <w:left w:val="nil"/>
              <w:bottom w:val="nil"/>
              <w:right w:val="nil"/>
              <w:tl2br w:val="nil"/>
              <w:tr2bl w:val="nil"/>
            </w:tcBorders>
            <w:noWrap w:val="0"/>
            <w:vAlign w:val="center"/>
          </w:tcPr>
          <w:p>
            <w:pPr>
              <w:spacing w:beforeLines="0" w:afterLines="0"/>
              <w:rPr>
                <w:rFonts w:hint="eastAsia" w:ascii="黑体" w:hAnsi="宋体" w:eastAsia="黑体" w:cs="黑体"/>
                <w:color w:val="000000"/>
                <w:sz w:val="24"/>
                <w:szCs w:val="24"/>
              </w:rPr>
            </w:pPr>
          </w:p>
        </w:tc>
        <w:tc>
          <w:tcPr>
            <w:tcW w:w="554"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540"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1175"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1067"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621"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824" w:type="dxa"/>
            <w:gridSpan w:val="2"/>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c>
          <w:tcPr>
            <w:tcW w:w="419" w:type="dxa"/>
            <w:tcBorders>
              <w:top w:val="nil"/>
              <w:left w:val="nil"/>
              <w:bottom w:val="nil"/>
              <w:right w:val="nil"/>
              <w:tl2br w:val="nil"/>
              <w:tr2bl w:val="nil"/>
            </w:tcBorders>
            <w:noWrap w:val="0"/>
            <w:vAlign w:val="center"/>
          </w:tcPr>
          <w:p>
            <w:pPr>
              <w:spacing w:beforeLines="0" w:afterLines="0"/>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570" w:hRule="atLeast"/>
        </w:trPr>
        <w:tc>
          <w:tcPr>
            <w:tcW w:w="9386" w:type="dxa"/>
            <w:gridSpan w:val="18"/>
            <w:tcBorders>
              <w:top w:val="nil"/>
              <w:left w:val="nil"/>
              <w:bottom w:val="nil"/>
              <w:right w:val="nil"/>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32"/>
                <w:szCs w:val="32"/>
              </w:rPr>
            </w:pPr>
            <w:r>
              <w:rPr>
                <w:rFonts w:hint="eastAsia" w:ascii="宋体" w:hAnsi="宋体" w:eastAsia="宋体" w:cs="宋体"/>
                <w:b/>
                <w:color w:val="000000"/>
                <w:sz w:val="32"/>
                <w:szCs w:val="32"/>
                <w:lang w:val="en-US" w:eastAsia="zh-CN" w:bidi="ar"/>
              </w:rPr>
              <w:t>绩效目标自评表</w:t>
            </w:r>
            <w:r>
              <w:rPr>
                <w:rStyle w:val="16"/>
                <w:rFonts w:hint="eastAsia"/>
                <w:sz w:val="32"/>
                <w:szCs w:val="3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420" w:hRule="atLeast"/>
        </w:trPr>
        <w:tc>
          <w:tcPr>
            <w:tcW w:w="9386" w:type="dxa"/>
            <w:gridSpan w:val="18"/>
            <w:tcBorders>
              <w:top w:val="nil"/>
              <w:left w:val="nil"/>
              <w:bottom w:val="single" w:color="000000" w:sz="4" w:space="0"/>
              <w:right w:val="nil"/>
              <w:tl2br w:val="nil"/>
              <w:tr2bl w:val="nil"/>
            </w:tcBorders>
            <w:noWrap w:val="0"/>
            <w:vAlign w:val="top"/>
          </w:tcPr>
          <w:p>
            <w:pPr>
              <w:widowControl/>
              <w:spacing w:beforeLines="0" w:afterLines="0"/>
              <w:jc w:val="center"/>
              <w:textAlignment w:val="top"/>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555" w:hRule="atLeast"/>
        </w:trPr>
        <w:tc>
          <w:tcPr>
            <w:tcW w:w="19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项目名称</w:t>
            </w:r>
          </w:p>
        </w:tc>
        <w:tc>
          <w:tcPr>
            <w:tcW w:w="3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校舍维修</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val="none" w:color="FFFFFF"/>
                <w:shd w:val="clear" w:fill="FFFFFF"/>
                <w:lang w:val="en-US" w:eastAsia="zh-CN" w:bidi="ar"/>
              </w:rPr>
              <w:t>项目负责人及电话</w:t>
            </w:r>
          </w:p>
        </w:tc>
        <w:tc>
          <w:tcPr>
            <w:tcW w:w="293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李鹏旭 17338962186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300" w:hRule="atLeast"/>
        </w:trPr>
        <w:tc>
          <w:tcPr>
            <w:tcW w:w="19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主管部门</w:t>
            </w:r>
          </w:p>
        </w:tc>
        <w:tc>
          <w:tcPr>
            <w:tcW w:w="3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通江县教育科技和体育局</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实施单位</w:t>
            </w:r>
          </w:p>
        </w:tc>
        <w:tc>
          <w:tcPr>
            <w:tcW w:w="293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通江县沙溪镇板凳小学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465" w:hRule="atLeast"/>
        </w:trPr>
        <w:tc>
          <w:tcPr>
            <w:tcW w:w="193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资金情况</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（万元）</w:t>
            </w:r>
          </w:p>
        </w:tc>
        <w:tc>
          <w:tcPr>
            <w:tcW w:w="22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eastAsia="宋体" w:cs="宋体"/>
                <w:color w:val="000000"/>
                <w:sz w:val="20"/>
                <w:szCs w:val="20"/>
              </w:rPr>
            </w:pP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全年预算数（A）</w:t>
            </w:r>
          </w:p>
        </w:tc>
        <w:tc>
          <w:tcPr>
            <w:tcW w:w="224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val="none" w:color="FFFFFF"/>
                <w:shd w:val="clear" w:fill="FFFFFF"/>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分值</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执行率（B/A)</w:t>
            </w:r>
          </w:p>
        </w:tc>
        <w:tc>
          <w:tcPr>
            <w:tcW w:w="4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82" w:hRule="atLeast"/>
        </w:trPr>
        <w:tc>
          <w:tcPr>
            <w:tcW w:w="193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2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年度资金总额：</w:t>
            </w: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80000</w:t>
            </w:r>
          </w:p>
        </w:tc>
        <w:tc>
          <w:tcPr>
            <w:tcW w:w="224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80000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4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82" w:hRule="atLeast"/>
        </w:trPr>
        <w:tc>
          <w:tcPr>
            <w:tcW w:w="193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2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Style w:val="17"/>
                <w:rFonts w:hint="eastAsia"/>
                <w:sz w:val="20"/>
                <w:szCs w:val="20"/>
                <w:lang w:val="en-US" w:eastAsia="zh-CN" w:bidi="ar"/>
              </w:rPr>
              <w:t xml:space="preserve"> 其中：本年</w:t>
            </w:r>
            <w:r>
              <w:rPr>
                <w:rStyle w:val="17"/>
                <w:rFonts w:hint="eastAsia"/>
                <w:sz w:val="20"/>
                <w:szCs w:val="20"/>
                <w:u w:val="none" w:color="FFFFFF"/>
                <w:shd w:val="clear" w:fill="FFFFFF"/>
                <w:lang w:val="en-US" w:eastAsia="zh-CN" w:bidi="ar"/>
              </w:rPr>
              <w:t>财</w:t>
            </w:r>
            <w:r>
              <w:rPr>
                <w:rStyle w:val="17"/>
                <w:rFonts w:hint="eastAsia"/>
                <w:sz w:val="20"/>
                <w:szCs w:val="20"/>
                <w:lang w:val="en-US" w:eastAsia="zh-CN" w:bidi="ar"/>
              </w:rPr>
              <w:t>政拨款</w:t>
            </w: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80000</w:t>
            </w:r>
          </w:p>
        </w:tc>
        <w:tc>
          <w:tcPr>
            <w:tcW w:w="224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80000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4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82" w:hRule="atLeast"/>
        </w:trPr>
        <w:tc>
          <w:tcPr>
            <w:tcW w:w="193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2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Style w:val="17"/>
                <w:rFonts w:hint="eastAsia"/>
                <w:sz w:val="20"/>
                <w:szCs w:val="20"/>
                <w:lang w:val="en-US" w:eastAsia="zh-CN" w:bidi="ar"/>
              </w:rPr>
              <w:t xml:space="preserve">       其他资金</w:t>
            </w:r>
          </w:p>
        </w:tc>
        <w:tc>
          <w:tcPr>
            <w:tcW w:w="109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24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rPr>
                <w:rFonts w:hint="eastAsia" w:ascii="宋体" w:hAnsi="宋体" w:eastAsia="宋体" w:cs="宋体"/>
                <w:color w:val="000000"/>
                <w:sz w:val="20"/>
                <w:szCs w:val="20"/>
              </w:rPr>
            </w:pPr>
          </w:p>
        </w:tc>
        <w:tc>
          <w:tcPr>
            <w:tcW w:w="4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82" w:hRule="atLeast"/>
        </w:trPr>
        <w:tc>
          <w:tcPr>
            <w:tcW w:w="5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年度总体目标</w:t>
            </w:r>
          </w:p>
        </w:tc>
        <w:tc>
          <w:tcPr>
            <w:tcW w:w="47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年初</w:t>
            </w:r>
            <w:r>
              <w:rPr>
                <w:rFonts w:hint="eastAsia" w:ascii="宋体" w:hAnsi="宋体" w:eastAsia="宋体" w:cs="宋体"/>
                <w:color w:val="000000"/>
                <w:sz w:val="20"/>
                <w:szCs w:val="20"/>
                <w:u w:val="none" w:color="FFFFFF"/>
                <w:shd w:val="clear" w:fill="FFFFFF"/>
                <w:lang w:val="en-US" w:eastAsia="zh-CN" w:bidi="ar"/>
              </w:rPr>
              <w:t>设定</w:t>
            </w:r>
            <w:r>
              <w:rPr>
                <w:rFonts w:hint="eastAsia" w:ascii="宋体" w:hAnsi="宋体" w:eastAsia="宋体" w:cs="宋体"/>
                <w:color w:val="000000"/>
                <w:sz w:val="20"/>
                <w:szCs w:val="20"/>
                <w:lang w:val="en-US" w:eastAsia="zh-CN" w:bidi="ar"/>
              </w:rPr>
              <w:t>目标</w:t>
            </w:r>
          </w:p>
        </w:tc>
        <w:tc>
          <w:tcPr>
            <w:tcW w:w="41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525"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47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确保师生饮用水安全和教育教学工作有序正常开展</w:t>
            </w:r>
          </w:p>
        </w:tc>
        <w:tc>
          <w:tcPr>
            <w:tcW w:w="41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确保师生饮用水安全和教育教学工作有序正常开展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559" w:hRule="atLeast"/>
        </w:trPr>
        <w:tc>
          <w:tcPr>
            <w:tcW w:w="500" w:type="dxa"/>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绩效指标</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一级</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指标</w:t>
            </w: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二级指标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三级指标</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分值</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年度指标值</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u w:val="none" w:color="FFFFFF"/>
                <w:shd w:val="clear" w:fill="FFFFFF"/>
              </w:rPr>
            </w:pPr>
            <w:r>
              <w:rPr>
                <w:rFonts w:hint="eastAsia" w:ascii="宋体" w:hAnsi="宋体" w:eastAsia="宋体" w:cs="宋体"/>
                <w:color w:val="000000"/>
                <w:sz w:val="20"/>
                <w:szCs w:val="20"/>
                <w:u w:val="none" w:color="FFFFFF"/>
                <w:shd w:val="clear" w:fill="FFFFFF"/>
                <w:lang w:val="en-US" w:eastAsia="zh-CN" w:bidi="ar"/>
              </w:rPr>
              <w:t>全年实际值</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u w:val="none" w:color="FFFFFF"/>
                <w:shd w:val="clear" w:fill="FFFFFF"/>
              </w:rPr>
            </w:pPr>
            <w:r>
              <w:rPr>
                <w:rFonts w:hint="eastAsia" w:ascii="宋体" w:hAnsi="宋体" w:eastAsia="宋体" w:cs="宋体"/>
                <w:color w:val="000000"/>
                <w:sz w:val="20"/>
                <w:szCs w:val="20"/>
                <w:u w:val="none" w:color="FFFFFF"/>
                <w:shd w:val="clear" w:fill="FFFFFF"/>
                <w:lang w:val="en-US" w:eastAsia="zh-CN" w:bidi="ar"/>
              </w:rPr>
              <w:t>得分</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u w:val="none" w:color="FFFFFF"/>
                <w:shd w:val="clear" w:fill="FFFFFF"/>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525"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产</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出</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w:t>
            </w:r>
            <w:r>
              <w:rPr>
                <w:rFonts w:hint="eastAsia" w:ascii="宋体" w:hAnsi="宋体" w:eastAsia="宋体" w:cs="宋体"/>
                <w:color w:val="000000"/>
                <w:sz w:val="20"/>
                <w:szCs w:val="20"/>
                <w:lang w:val="en-US" w:eastAsia="zh-CN" w:bidi="ar"/>
              </w:rPr>
              <w:t>50分</w:t>
            </w:r>
            <w:r>
              <w:rPr>
                <w:rFonts w:hint="eastAsia" w:ascii="宋体" w:hAnsi="宋体" w:eastAsia="宋体" w:cs="宋体"/>
                <w:color w:val="000000"/>
                <w:sz w:val="20"/>
                <w:szCs w:val="20"/>
                <w:u w:val="none" w:color="FFFFFF"/>
                <w:shd w:val="clear" w:fill="FFFFFF"/>
                <w:lang w:val="en-US" w:eastAsia="zh-CN" w:bidi="ar"/>
              </w:rPr>
              <w:t>)</w:t>
            </w: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数量指标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校舍维修</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≥40平方米</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≥40平方米</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质量指标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综合验收合格</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资金支出率</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时效指标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按期完工</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成本指标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校舍维修资金</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≥80000元</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≥80000元</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效</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益</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w:t>
            </w:r>
            <w:r>
              <w:rPr>
                <w:rFonts w:hint="eastAsia" w:ascii="宋体" w:hAnsi="宋体" w:eastAsia="宋体" w:cs="宋体"/>
                <w:color w:val="000000"/>
                <w:sz w:val="20"/>
                <w:szCs w:val="20"/>
                <w:lang w:val="en-US" w:eastAsia="zh-CN" w:bidi="ar"/>
              </w:rPr>
              <w:t>30分</w:t>
            </w:r>
            <w:r>
              <w:rPr>
                <w:rFonts w:hint="eastAsia" w:ascii="宋体" w:hAnsi="宋体" w:eastAsia="宋体" w:cs="宋体"/>
                <w:color w:val="000000"/>
                <w:sz w:val="20"/>
                <w:szCs w:val="20"/>
                <w:u w:val="none" w:color="FFFFFF"/>
                <w:shd w:val="clear" w:fill="FFFFFF"/>
                <w:lang w:val="en-US" w:eastAsia="zh-CN" w:bidi="ar"/>
              </w:rPr>
              <w:t>)</w:t>
            </w: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u w:val="none" w:color="FFFFFF"/>
                <w:shd w:val="clear" w:fill="FFFFFF"/>
              </w:rPr>
            </w:pPr>
            <w:r>
              <w:rPr>
                <w:rFonts w:hint="eastAsia" w:ascii="宋体" w:hAnsi="宋体" w:eastAsia="宋体" w:cs="宋体"/>
                <w:color w:val="000000"/>
                <w:sz w:val="20"/>
                <w:szCs w:val="20"/>
                <w:u w:val="none" w:color="FFFFFF"/>
                <w:shd w:val="clear" w:fill="FFFFFF"/>
                <w:lang w:val="en-US" w:eastAsia="zh-CN" w:bidi="ar"/>
              </w:rPr>
              <w:t>经济效益</w:t>
            </w:r>
            <w:r>
              <w:rPr>
                <w:rFonts w:hint="eastAsia" w:ascii="宋体" w:hAnsi="宋体" w:eastAsia="宋体" w:cs="宋体"/>
                <w:color w:val="000000"/>
                <w:sz w:val="20"/>
                <w:szCs w:val="20"/>
                <w:u w:val="none" w:color="FFFFFF"/>
                <w:shd w:val="clear" w:fill="FFFFFF"/>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val="none" w:color="FFFFFF"/>
                <w:shd w:val="clear" w:fill="FFFFFF"/>
                <w:lang w:val="en-US" w:eastAsia="zh-CN" w:bidi="ar"/>
              </w:rPr>
              <w:t>学校安全保障</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长期</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长期</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社会效益</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学生、</w:t>
            </w:r>
            <w:r>
              <w:rPr>
                <w:rFonts w:hint="eastAsia" w:ascii="宋体" w:hAnsi="宋体" w:eastAsia="宋体" w:cs="宋体"/>
                <w:color w:val="000000"/>
                <w:sz w:val="20"/>
                <w:szCs w:val="20"/>
                <w:u w:val="none" w:color="FFFFFF"/>
                <w:shd w:val="clear" w:fill="FFFFFF"/>
                <w:lang w:val="en-US" w:eastAsia="zh-CN" w:bidi="ar"/>
              </w:rPr>
              <w:t>家长</w:t>
            </w:r>
            <w:r>
              <w:rPr>
                <w:rFonts w:hint="eastAsia" w:ascii="宋体" w:hAnsi="宋体" w:eastAsia="宋体" w:cs="宋体"/>
                <w:color w:val="000000"/>
                <w:sz w:val="20"/>
                <w:szCs w:val="20"/>
                <w:lang w:val="en-US" w:eastAsia="zh-CN" w:bidi="ar"/>
              </w:rPr>
              <w:t>幸福指数</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10 </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10 </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 </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 </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 </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 </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 xml:space="preserve"> </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生态效益</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eastAsia" w:ascii="Arial" w:hAnsi="Arial" w:eastAsia="宋体" w:cs="Arial"/>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可持续影响指标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教育教学可持续影响期限</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长期</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长期</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满意度指标</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u w:val="none" w:color="FFFFFF"/>
                <w:shd w:val="clear" w:fill="FFFFFF"/>
                <w:lang w:val="en-US" w:eastAsia="zh-CN" w:bidi="ar"/>
              </w:rPr>
              <w:t>(</w:t>
            </w:r>
            <w:r>
              <w:rPr>
                <w:rFonts w:hint="eastAsia" w:ascii="宋体" w:hAnsi="宋体" w:eastAsia="宋体" w:cs="宋体"/>
                <w:color w:val="000000"/>
                <w:sz w:val="20"/>
                <w:szCs w:val="20"/>
                <w:lang w:val="en-US" w:eastAsia="zh-CN" w:bidi="ar"/>
              </w:rPr>
              <w:t>10分</w:t>
            </w:r>
            <w:r>
              <w:rPr>
                <w:rFonts w:hint="eastAsia" w:ascii="宋体" w:hAnsi="宋体" w:eastAsia="宋体" w:cs="宋体"/>
                <w:color w:val="000000"/>
                <w:sz w:val="20"/>
                <w:szCs w:val="20"/>
                <w:u w:val="none" w:color="FFFFFF"/>
                <w:shd w:val="clear" w:fill="FFFFFF"/>
                <w:lang w:val="en-US" w:eastAsia="zh-CN" w:bidi="ar"/>
              </w:rPr>
              <w:t>)</w:t>
            </w:r>
          </w:p>
        </w:tc>
        <w:tc>
          <w:tcPr>
            <w:tcW w:w="74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服务对象</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满意度指标</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社会满意度</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10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default" w:ascii="Arial" w:hAnsi="Arial" w:eastAsia="宋体" w:cs="Arial"/>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500"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spacing w:beforeLines="0" w:afterLines="0"/>
              <w:jc w:val="center"/>
              <w:rPr>
                <w:rFonts w:hint="eastAsia" w:ascii="宋体" w:hAnsi="宋体" w:eastAsia="宋体" w:cs="宋体"/>
                <w:color w:val="000000"/>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w:t>
            </w:r>
          </w:p>
        </w:tc>
        <w:tc>
          <w:tcPr>
            <w:tcW w:w="280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252" w:hRule="atLeast"/>
        </w:trPr>
        <w:tc>
          <w:tcPr>
            <w:tcW w:w="474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总分</w:t>
            </w:r>
          </w:p>
        </w:tc>
        <w:tc>
          <w:tcPr>
            <w:tcW w:w="5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100</w:t>
            </w:r>
          </w:p>
        </w:tc>
        <w:tc>
          <w:tcPr>
            <w:tcW w:w="224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b/>
                <w:color w:val="000000"/>
                <w:sz w:val="20"/>
                <w:szCs w:val="20"/>
              </w:rPr>
            </w:pPr>
          </w:p>
        </w:tc>
        <w:tc>
          <w:tcPr>
            <w:tcW w:w="62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lang w:val="en-US" w:eastAsia="zh-CN" w:bidi="ar"/>
              </w:rPr>
              <w:t>100</w:t>
            </w:r>
          </w:p>
        </w:tc>
        <w:tc>
          <w:tcPr>
            <w:tcW w:w="12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739" w:hRule="atLeast"/>
        </w:trPr>
        <w:tc>
          <w:tcPr>
            <w:tcW w:w="9386" w:type="dxa"/>
            <w:gridSpan w:val="18"/>
            <w:tcBorders>
              <w:top w:val="single" w:color="000000" w:sz="4" w:space="0"/>
              <w:left w:val="nil"/>
              <w:bottom w:val="nil"/>
              <w:right w:val="nil"/>
              <w:tl2br w:val="nil"/>
              <w:tr2bl w:val="nil"/>
            </w:tcBorders>
            <w:noWrap w:val="0"/>
            <w:vAlign w:val="center"/>
          </w:tcPr>
          <w:p>
            <w:pPr>
              <w:widowControl/>
              <w:spacing w:beforeLines="0" w:afterLines="0"/>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bidi="ar"/>
              </w:rPr>
              <w:t>注：1</w:t>
            </w:r>
            <w:r>
              <w:rPr>
                <w:rStyle w:val="18"/>
                <w:rFonts w:hint="eastAsia"/>
                <w:sz w:val="18"/>
                <w:szCs w:val="18"/>
                <w:lang w:val="en-US" w:eastAsia="zh-CN" w:bidi="ar"/>
              </w:rPr>
              <w:t>.一级指标分值统一设置为：产出指标50分、效益指标30分、满意度指标10分、预算资金执行率10分。如有特殊情况，上述权重可做适当调整，但加总后应等于100分。各部门根据各项</w:t>
            </w:r>
            <w:r>
              <w:rPr>
                <w:rStyle w:val="18"/>
                <w:rFonts w:hint="eastAsia"/>
                <w:sz w:val="18"/>
                <w:szCs w:val="18"/>
                <w:u w:val="none" w:color="FFFFFF"/>
                <w:shd w:val="clear" w:fill="FFFFFF"/>
                <w:lang w:val="en-US" w:eastAsia="zh-CN" w:bidi="ar"/>
              </w:rPr>
              <w:t>指标</w:t>
            </w:r>
            <w:r>
              <w:rPr>
                <w:rStyle w:val="18"/>
                <w:rFonts w:hint="eastAsia"/>
                <w:sz w:val="18"/>
                <w:szCs w:val="18"/>
                <w:lang w:val="en-US" w:eastAsia="zh-CN" w:bidi="ar"/>
              </w:rPr>
              <w:t>重要程度确定</w:t>
            </w:r>
            <w:r>
              <w:rPr>
                <w:rStyle w:val="18"/>
                <w:rFonts w:hint="eastAsia"/>
                <w:sz w:val="18"/>
                <w:szCs w:val="18"/>
                <w:u w:val="none" w:color="FFFFFF"/>
                <w:shd w:val="clear" w:fill="FFFFFF"/>
                <w:lang w:val="en-US" w:eastAsia="zh-CN" w:bidi="ar"/>
              </w:rPr>
              <w:t>三级</w:t>
            </w:r>
            <w:r>
              <w:rPr>
                <w:rStyle w:val="18"/>
                <w:rFonts w:hint="eastAsia"/>
                <w:sz w:val="18"/>
                <w:szCs w:val="18"/>
                <w:lang w:val="en-US" w:eastAsia="zh-CN" w:bidi="ar"/>
              </w:rPr>
              <w:t>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469" w:hRule="atLeast"/>
        </w:trPr>
        <w:tc>
          <w:tcPr>
            <w:tcW w:w="9386" w:type="dxa"/>
            <w:gridSpan w:val="18"/>
            <w:tcBorders>
              <w:top w:val="nil"/>
              <w:left w:val="nil"/>
              <w:bottom w:val="nil"/>
              <w:right w:val="nil"/>
              <w:tl2br w:val="nil"/>
              <w:tr2bl w:val="nil"/>
            </w:tcBorders>
            <w:noWrap w:val="0"/>
            <w:vAlign w:val="center"/>
          </w:tcPr>
          <w:p>
            <w:pPr>
              <w:widowControl/>
              <w:spacing w:beforeLines="0" w:afterLines="0"/>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eastAsia="宋体" w:cs="宋体"/>
                <w:color w:val="000000"/>
                <w:sz w:val="18"/>
                <w:szCs w:val="18"/>
                <w:u w:val="thick" w:color="98967F"/>
                <w:shd w:val="clear" w:fill="98967F"/>
                <w:lang w:val="en-US" w:eastAsia="zh-CN" w:bidi="ar"/>
              </w:rPr>
              <w:t>100-80%</w:t>
            </w:r>
            <w:r>
              <w:rPr>
                <w:rFonts w:hint="eastAsia" w:ascii="宋体" w:hAnsi="宋体" w:eastAsia="宋体" w:cs="宋体"/>
                <w:color w:val="000000"/>
                <w:sz w:val="18"/>
                <w:szCs w:val="18"/>
                <w:u w:val="none" w:color="FFFFFF"/>
                <w:shd w:val="clear" w:fill="FFFFFF"/>
                <w:lang w:val="en-US" w:eastAsia="zh-CN" w:bidi="ar"/>
              </w:rPr>
              <w:t>(</w:t>
            </w:r>
            <w:r>
              <w:rPr>
                <w:rFonts w:hint="eastAsia" w:ascii="宋体" w:hAnsi="宋体" w:eastAsia="宋体" w:cs="宋体"/>
                <w:color w:val="000000"/>
                <w:sz w:val="18"/>
                <w:szCs w:val="18"/>
                <w:lang w:val="en-US" w:eastAsia="zh-CN" w:bidi="ar"/>
              </w:rPr>
              <w:t>含</w:t>
            </w:r>
            <w:r>
              <w:rPr>
                <w:rFonts w:hint="eastAsia" w:ascii="宋体" w:hAnsi="宋体" w:eastAsia="宋体" w:cs="宋体"/>
                <w:color w:val="000000"/>
                <w:sz w:val="18"/>
                <w:szCs w:val="18"/>
                <w:u w:val="none" w:color="FFFFFF"/>
                <w:shd w:val="clear" w:fill="FFFFFF"/>
                <w:lang w:val="en-US" w:eastAsia="zh-CN" w:bidi="ar"/>
              </w:rPr>
              <w:t>80</w:t>
            </w:r>
            <w:r>
              <w:rPr>
                <w:rFonts w:hint="eastAsia" w:ascii="宋体" w:hAnsi="宋体" w:eastAsia="宋体" w:cs="宋体"/>
                <w:color w:val="000000"/>
                <w:sz w:val="18"/>
                <w:szCs w:val="18"/>
                <w:lang w:val="en-US" w:eastAsia="zh-CN" w:bidi="ar"/>
              </w:rPr>
              <w:t>%)、</w:t>
            </w:r>
            <w:r>
              <w:rPr>
                <w:rFonts w:hint="eastAsia" w:ascii="宋体" w:hAnsi="宋体" w:eastAsia="宋体" w:cs="宋体"/>
                <w:color w:val="000000"/>
                <w:sz w:val="18"/>
                <w:szCs w:val="18"/>
                <w:u w:val="none" w:color="FFFFFF"/>
                <w:shd w:val="clear" w:fill="FFFFFF"/>
                <w:lang w:val="en-US" w:eastAsia="zh-CN" w:bidi="ar"/>
              </w:rPr>
              <w:t>80-60%(</w:t>
            </w:r>
            <w:r>
              <w:rPr>
                <w:rFonts w:hint="eastAsia" w:ascii="宋体" w:hAnsi="宋体" w:eastAsia="宋体" w:cs="宋体"/>
                <w:color w:val="000000"/>
                <w:sz w:val="18"/>
                <w:szCs w:val="18"/>
                <w:lang w:val="en-US" w:eastAsia="zh-CN" w:bidi="ar"/>
              </w:rPr>
              <w:t>含</w:t>
            </w:r>
            <w:r>
              <w:rPr>
                <w:rFonts w:hint="eastAsia" w:ascii="宋体" w:hAnsi="宋体" w:eastAsia="宋体" w:cs="宋体"/>
                <w:color w:val="000000"/>
                <w:sz w:val="18"/>
                <w:szCs w:val="18"/>
                <w:u w:val="none" w:color="FFFFFF"/>
                <w:shd w:val="clear" w:fill="FFFFFF"/>
                <w:lang w:val="en-US" w:eastAsia="zh-CN" w:bidi="ar"/>
              </w:rPr>
              <w:t>60</w:t>
            </w:r>
            <w:r>
              <w:rPr>
                <w:rFonts w:hint="eastAsia" w:ascii="宋体" w:hAnsi="宋体" w:eastAsia="宋体" w:cs="宋体"/>
                <w:color w:val="000000"/>
                <w:sz w:val="18"/>
                <w:szCs w:val="18"/>
                <w:lang w:val="en-US" w:eastAsia="zh-CN" w:bidi="ar"/>
              </w:rPr>
              <w:t>%)、</w:t>
            </w:r>
            <w:r>
              <w:rPr>
                <w:rFonts w:hint="eastAsia" w:ascii="宋体" w:hAnsi="宋体" w:eastAsia="宋体" w:cs="宋体"/>
                <w:color w:val="000000"/>
                <w:sz w:val="18"/>
                <w:szCs w:val="18"/>
                <w:u w:val="none" w:color="FFFFFF"/>
                <w:shd w:val="clear" w:fill="FFFFFF"/>
                <w:lang w:val="en-US" w:eastAsia="zh-CN" w:bidi="ar"/>
              </w:rPr>
              <w:t>60-0%</w:t>
            </w:r>
            <w:r>
              <w:rPr>
                <w:rFonts w:hint="eastAsia" w:ascii="宋体" w:hAnsi="宋体" w:eastAsia="宋体" w:cs="宋体"/>
                <w:color w:val="000000"/>
                <w:sz w:val="18"/>
                <w:szCs w:val="18"/>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4" w:type="dxa"/>
          <w:trHeight w:val="720" w:hRule="atLeast"/>
        </w:trPr>
        <w:tc>
          <w:tcPr>
            <w:tcW w:w="9386" w:type="dxa"/>
            <w:gridSpan w:val="18"/>
            <w:tcBorders>
              <w:top w:val="nil"/>
              <w:left w:val="nil"/>
              <w:bottom w:val="nil"/>
              <w:right w:val="nil"/>
              <w:tl2br w:val="nil"/>
              <w:tr2bl w:val="nil"/>
            </w:tcBorders>
            <w:noWrap w:val="0"/>
            <w:vAlign w:val="center"/>
          </w:tcPr>
          <w:p>
            <w:pPr>
              <w:widowControl/>
              <w:spacing w:beforeLines="0" w:afterLines="0"/>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bidi="ar"/>
              </w:rPr>
              <w:t xml:space="preserve">    3.定量指标若为正向指标（即指标值为</w:t>
            </w:r>
            <w:r>
              <w:rPr>
                <w:rStyle w:val="18"/>
                <w:rFonts w:hint="eastAsia"/>
                <w:sz w:val="18"/>
                <w:szCs w:val="18"/>
                <w:lang w:val="en-US" w:eastAsia="zh-CN" w:bidi="ar"/>
              </w:rPr>
              <w:t>≥*），则得分计算方法应用全年实际值/年度指标值</w:t>
            </w:r>
            <w:r>
              <w:rPr>
                <w:rFonts w:hint="eastAsia" w:ascii="宋体" w:hAnsi="宋体" w:eastAsia="宋体" w:cs="宋体"/>
                <w:color w:val="000000"/>
                <w:sz w:val="12"/>
                <w:szCs w:val="12"/>
                <w:lang w:val="en-US" w:eastAsia="zh-CN" w:bidi="ar"/>
              </w:rPr>
              <w:t>╳</w:t>
            </w:r>
            <w:r>
              <w:rPr>
                <w:rStyle w:val="18"/>
                <w:rFonts w:hint="eastAsia"/>
                <w:sz w:val="18"/>
                <w:szCs w:val="18"/>
                <w:lang w:val="en-US" w:eastAsia="zh-CN" w:bidi="ar"/>
              </w:rPr>
              <w:t>该指标分值；若定量指标为反向指标（即指标值为≤*），则得分计算方法应用年度指标值/全年实际值</w:t>
            </w:r>
            <w:r>
              <w:rPr>
                <w:rFonts w:hint="eastAsia" w:ascii="宋体" w:hAnsi="宋体" w:eastAsia="宋体" w:cs="宋体"/>
                <w:color w:val="000000"/>
                <w:sz w:val="12"/>
                <w:szCs w:val="12"/>
                <w:lang w:val="en-US" w:eastAsia="zh-CN" w:bidi="ar"/>
              </w:rPr>
              <w:t>╳</w:t>
            </w:r>
            <w:r>
              <w:rPr>
                <w:rStyle w:val="18"/>
                <w:rFonts w:hint="eastAsia"/>
                <w:sz w:val="18"/>
                <w:szCs w:val="18"/>
                <w:lang w:val="en-US" w:eastAsia="zh-CN" w:bidi="ar"/>
              </w:rPr>
              <w:t>该指标分值；定量指标得分最高不得超过该指标分值上限。</w:t>
            </w:r>
          </w:p>
        </w:tc>
      </w:tr>
    </w:tbl>
    <w:p>
      <w:pPr>
        <w:spacing w:beforeLines="0" w:afterLines="0"/>
        <w:jc w:val="both"/>
        <w:rPr>
          <w:rFonts w:hint="eastAsia" w:ascii="仿宋_GB2312" w:hAnsi="仿宋_GB2312" w:eastAsia="仿宋_GB2312"/>
          <w:color w:val="auto"/>
          <w:sz w:val="32"/>
          <w:szCs w:val="24"/>
          <w:lang w:val="en-US"/>
        </w:rPr>
      </w:pPr>
    </w:p>
    <w:p>
      <w:pPr>
        <w:spacing w:beforeLines="0" w:afterLines="0"/>
        <w:jc w:val="both"/>
        <w:rPr>
          <w:rFonts w:hint="eastAsia" w:ascii="仿宋_GB2312" w:hAnsi="仿宋_GB2312" w:eastAsia="仿宋_GB2312"/>
          <w:color w:val="auto"/>
          <w:sz w:val="32"/>
          <w:szCs w:val="24"/>
          <w:lang w:val="en-US"/>
        </w:rPr>
      </w:pPr>
    </w:p>
    <w:p>
      <w:pPr>
        <w:pageBreakBefore w:val="0"/>
        <w:widowControl w:val="0"/>
        <w:kinsoku/>
        <w:wordWrap/>
        <w:overflowPunct/>
        <w:topLinePunct w:val="0"/>
        <w:autoSpaceDE w:val="0"/>
        <w:autoSpaceDN w:val="0"/>
        <w:bidi w:val="0"/>
        <w:adjustRightInd w:val="0"/>
        <w:snapToGrid/>
        <w:spacing w:beforeLines="0" w:afterLines="0" w:line="580" w:lineRule="exact"/>
        <w:jc w:val="center"/>
        <w:textAlignment w:val="auto"/>
        <w:outlineLvl w:val="0"/>
        <w:rPr>
          <w:rFonts w:hint="eastAsia" w:ascii="仿宋" w:hAnsi="仿宋" w:eastAsia="仿宋"/>
          <w:color w:val="auto"/>
          <w:kern w:val="2"/>
          <w:sz w:val="21"/>
          <w:szCs w:val="24"/>
          <w:lang w:val="en-US"/>
        </w:rPr>
      </w:pPr>
      <w:bookmarkStart w:id="16" w:name="_Toc12191"/>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w:t>
      </w:r>
      <w:r>
        <w:rPr>
          <w:rFonts w:hint="eastAsia" w:ascii="黑体" w:hAnsi="黑体" w:eastAsia="黑体"/>
          <w:color w:val="auto"/>
          <w:kern w:val="44"/>
          <w:sz w:val="44"/>
          <w:szCs w:val="24"/>
          <w:u w:val="none" w:color="FFFFFF"/>
          <w:shd w:val="clear" w:fill="FFFFFF"/>
          <w:lang w:val="en-US"/>
        </w:rPr>
        <w:t xml:space="preserve"> 附表</w:t>
      </w:r>
      <w:bookmarkEnd w:id="16"/>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17" w:name="_Toc23738"/>
      <w:r>
        <w:rPr>
          <w:rFonts w:hint="eastAsia" w:ascii="仿宋" w:hAnsi="仿宋" w:eastAsia="仿宋"/>
          <w:color w:val="auto"/>
          <w:kern w:val="2"/>
          <w:sz w:val="32"/>
          <w:szCs w:val="24"/>
          <w:lang w:val="en-US"/>
        </w:rPr>
        <w:t>一、收入支出决算总表</w:t>
      </w:r>
      <w:bookmarkEnd w:id="17"/>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18" w:name="_Toc21641"/>
      <w:r>
        <w:rPr>
          <w:rFonts w:hint="eastAsia" w:ascii="仿宋" w:hAnsi="仿宋" w:eastAsia="仿宋"/>
          <w:color w:val="auto"/>
          <w:kern w:val="2"/>
          <w:sz w:val="32"/>
          <w:szCs w:val="24"/>
          <w:lang w:val="en-US"/>
        </w:rPr>
        <w:t>二、收入决算表</w:t>
      </w:r>
      <w:bookmarkEnd w:id="18"/>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19" w:name="_Toc24615"/>
      <w:r>
        <w:rPr>
          <w:rFonts w:hint="eastAsia" w:ascii="仿宋" w:hAnsi="仿宋" w:eastAsia="仿宋"/>
          <w:color w:val="auto"/>
          <w:kern w:val="2"/>
          <w:sz w:val="32"/>
          <w:szCs w:val="24"/>
          <w:lang w:val="en-US"/>
        </w:rPr>
        <w:t>三、支出决算表</w:t>
      </w:r>
      <w:bookmarkEnd w:id="19"/>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color w:val="auto"/>
          <w:kern w:val="2"/>
          <w:sz w:val="32"/>
          <w:szCs w:val="24"/>
          <w:lang w:val="en-US"/>
        </w:rPr>
      </w:pPr>
      <w:bookmarkStart w:id="20" w:name="_Toc21211"/>
      <w:r>
        <w:rPr>
          <w:rFonts w:hint="eastAsia" w:ascii="仿宋" w:hAnsi="仿宋" w:eastAsia="仿宋"/>
          <w:color w:val="auto"/>
          <w:kern w:val="2"/>
          <w:sz w:val="32"/>
          <w:szCs w:val="24"/>
          <w:lang w:val="en-US"/>
        </w:rPr>
        <w:t>四、财政拨款收入支出决算总表</w:t>
      </w:r>
      <w:bookmarkEnd w:id="20"/>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color w:val="auto"/>
          <w:kern w:val="2"/>
          <w:sz w:val="32"/>
          <w:szCs w:val="24"/>
          <w:lang w:val="en-US"/>
        </w:rPr>
      </w:pPr>
      <w:bookmarkStart w:id="21" w:name="_Toc11784"/>
      <w:r>
        <w:rPr>
          <w:rFonts w:hint="eastAsia" w:ascii="仿宋" w:hAnsi="仿宋" w:eastAsia="仿宋"/>
          <w:color w:val="auto"/>
          <w:kern w:val="2"/>
          <w:sz w:val="32"/>
          <w:szCs w:val="24"/>
          <w:lang w:val="en-US"/>
        </w:rPr>
        <w:t>五、财政拨款支出决算明细表</w:t>
      </w:r>
      <w:bookmarkEnd w:id="21"/>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2" w:name="_Toc26320"/>
      <w:r>
        <w:rPr>
          <w:rFonts w:hint="eastAsia" w:ascii="仿宋" w:hAnsi="仿宋" w:eastAsia="仿宋"/>
          <w:color w:val="auto"/>
          <w:kern w:val="2"/>
          <w:sz w:val="32"/>
          <w:szCs w:val="24"/>
          <w:lang w:val="en-US"/>
        </w:rPr>
        <w:t>六、一般公共预算财政拨款支出决算表</w:t>
      </w:r>
      <w:bookmarkEnd w:id="22"/>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3" w:name="_Toc28925"/>
      <w:r>
        <w:rPr>
          <w:rFonts w:hint="eastAsia" w:ascii="仿宋" w:hAnsi="仿宋" w:eastAsia="仿宋"/>
          <w:color w:val="auto"/>
          <w:kern w:val="2"/>
          <w:sz w:val="32"/>
          <w:szCs w:val="24"/>
          <w:lang w:val="en-US"/>
        </w:rPr>
        <w:t>七、一般公共预算财政拨款支出决算明细表</w:t>
      </w:r>
      <w:bookmarkEnd w:id="23"/>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4" w:name="_Toc14997"/>
      <w:r>
        <w:rPr>
          <w:rFonts w:hint="eastAsia" w:ascii="仿宋" w:hAnsi="仿宋" w:eastAsia="仿宋"/>
          <w:color w:val="auto"/>
          <w:kern w:val="2"/>
          <w:sz w:val="32"/>
          <w:szCs w:val="24"/>
          <w:lang w:val="en-US"/>
        </w:rPr>
        <w:t>八、一般公共预算财政拨款基本支出决算表</w:t>
      </w:r>
      <w:bookmarkEnd w:id="24"/>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5" w:name="_Toc21601"/>
      <w:r>
        <w:rPr>
          <w:rFonts w:hint="eastAsia" w:ascii="仿宋" w:hAnsi="仿宋" w:eastAsia="仿宋"/>
          <w:color w:val="auto"/>
          <w:kern w:val="2"/>
          <w:sz w:val="32"/>
          <w:szCs w:val="24"/>
          <w:lang w:val="en-US"/>
        </w:rPr>
        <w:t>九、一般公共预算财政拨款项目支出决算表</w:t>
      </w:r>
      <w:bookmarkEnd w:id="25"/>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6" w:name="_Toc22131"/>
      <w:r>
        <w:rPr>
          <w:rFonts w:hint="eastAsia" w:ascii="仿宋" w:hAnsi="仿宋" w:eastAsia="仿宋"/>
          <w:color w:val="auto"/>
          <w:kern w:val="2"/>
          <w:sz w:val="32"/>
          <w:szCs w:val="24"/>
          <w:lang w:val="en-US"/>
        </w:rPr>
        <w:t>十、政府性基金预</w:t>
      </w:r>
      <w:r>
        <w:rPr>
          <w:rFonts w:hint="eastAsia" w:ascii="仿宋" w:hAnsi="仿宋" w:eastAsia="仿宋"/>
          <w:color w:val="auto"/>
          <w:kern w:val="2"/>
          <w:sz w:val="32"/>
          <w:szCs w:val="24"/>
          <w:u w:val="none" w:color="FFFFFF"/>
          <w:shd w:val="clear" w:fill="FFFFFF"/>
          <w:lang w:val="en-US"/>
        </w:rPr>
        <w:t>算</w:t>
      </w:r>
      <w:r>
        <w:rPr>
          <w:rFonts w:hint="eastAsia" w:ascii="仿宋" w:hAnsi="仿宋" w:eastAsia="仿宋"/>
          <w:color w:val="auto"/>
          <w:kern w:val="2"/>
          <w:sz w:val="32"/>
          <w:szCs w:val="24"/>
          <w:lang w:val="en-US"/>
        </w:rPr>
        <w:t>财政拨款收入支出决算表</w:t>
      </w:r>
      <w:bookmarkEnd w:id="26"/>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7" w:name="_Toc2121"/>
      <w:r>
        <w:rPr>
          <w:rFonts w:hint="eastAsia" w:ascii="仿宋" w:hAnsi="仿宋" w:eastAsia="仿宋"/>
          <w:color w:val="auto"/>
          <w:kern w:val="2"/>
          <w:sz w:val="32"/>
          <w:szCs w:val="24"/>
          <w:lang w:val="en-US"/>
        </w:rPr>
        <w:t>十一、国有资本经营预</w:t>
      </w:r>
      <w:r>
        <w:rPr>
          <w:rFonts w:hint="eastAsia" w:ascii="仿宋" w:hAnsi="仿宋" w:eastAsia="仿宋"/>
          <w:color w:val="auto"/>
          <w:kern w:val="2"/>
          <w:sz w:val="32"/>
          <w:szCs w:val="24"/>
          <w:u w:val="none" w:color="FFFFFF"/>
          <w:shd w:val="clear" w:fill="FFFFFF"/>
          <w:lang w:val="en-US"/>
        </w:rPr>
        <w:t>算</w:t>
      </w:r>
      <w:r>
        <w:rPr>
          <w:rFonts w:hint="eastAsia" w:ascii="仿宋" w:hAnsi="仿宋" w:eastAsia="仿宋"/>
          <w:color w:val="auto"/>
          <w:kern w:val="2"/>
          <w:sz w:val="32"/>
          <w:szCs w:val="24"/>
          <w:lang w:val="en-US"/>
        </w:rPr>
        <w:t>财政拨款收入支出决算表</w:t>
      </w:r>
      <w:bookmarkEnd w:id="27"/>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8" w:name="_Toc5973"/>
      <w:r>
        <w:rPr>
          <w:rFonts w:hint="eastAsia" w:ascii="仿宋" w:hAnsi="仿宋" w:eastAsia="仿宋"/>
          <w:color w:val="auto"/>
          <w:kern w:val="2"/>
          <w:sz w:val="32"/>
          <w:szCs w:val="24"/>
          <w:lang w:val="en-US"/>
        </w:rPr>
        <w:t>十二、国有资本经营预算财政拨款支出决算表</w:t>
      </w:r>
      <w:bookmarkEnd w:id="28"/>
    </w:p>
    <w:p>
      <w:pPr>
        <w:pStyle w:val="3"/>
        <w:keepNext/>
        <w:keepLines/>
        <w:pageBreakBefore w:val="0"/>
        <w:widowControl w:val="0"/>
        <w:kinsoku/>
        <w:wordWrap/>
        <w:overflowPunct/>
        <w:topLinePunct w:val="0"/>
        <w:autoSpaceDE w:val="0"/>
        <w:autoSpaceDN w:val="0"/>
        <w:bidi w:val="0"/>
        <w:adjustRightInd w:val="0"/>
        <w:snapToGrid/>
        <w:spacing w:beforeLines="0" w:afterLines="0" w:line="580" w:lineRule="exact"/>
        <w:jc w:val="both"/>
        <w:textAlignment w:val="auto"/>
        <w:outlineLvl w:val="1"/>
        <w:rPr>
          <w:rFonts w:hint="eastAsia" w:ascii="仿宋" w:hAnsi="仿宋" w:eastAsia="仿宋"/>
          <w:b/>
          <w:color w:val="auto"/>
          <w:kern w:val="2"/>
          <w:sz w:val="32"/>
          <w:szCs w:val="24"/>
          <w:lang w:val="en-US"/>
        </w:rPr>
      </w:pPr>
      <w:bookmarkStart w:id="29" w:name="_Toc22136"/>
      <w:r>
        <w:rPr>
          <w:rFonts w:hint="eastAsia" w:ascii="仿宋" w:hAnsi="仿宋" w:eastAsia="仿宋"/>
          <w:color w:val="auto"/>
          <w:kern w:val="2"/>
          <w:sz w:val="32"/>
          <w:szCs w:val="24"/>
          <w:lang w:val="en-US"/>
        </w:rPr>
        <w:t>十三、财政拨款“三公”经费支出决算表</w:t>
      </w:r>
      <w:bookmarkEnd w:id="29"/>
    </w:p>
    <w:p>
      <w:pPr>
        <w:pageBreakBefore w:val="0"/>
        <w:widowControl w:val="0"/>
        <w:kinsoku/>
        <w:wordWrap/>
        <w:overflowPunct/>
        <w:topLinePunct w:val="0"/>
        <w:autoSpaceDE w:val="0"/>
        <w:autoSpaceDN w:val="0"/>
        <w:bidi w:val="0"/>
        <w:adjustRightInd w:val="0"/>
        <w:snapToGrid/>
        <w:spacing w:beforeLines="0" w:afterLines="0" w:line="580" w:lineRule="exact"/>
        <w:textAlignment w:val="auto"/>
        <w:outlineLvl w:val="9"/>
        <w:rPr>
          <w:rFonts w:hint="eastAsia" w:ascii="华文中宋" w:hAnsi="华文中宋" w:eastAsia="华文中宋"/>
          <w:color w:val="auto"/>
          <w:kern w:val="2"/>
          <w:sz w:val="36"/>
          <w:szCs w:val="24"/>
          <w:lang w:val="en-US"/>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D0425E"/>
    <w:multiLevelType w:val="multilevel"/>
    <w:tmpl w:val="DAD0425E"/>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AA766CD"/>
    <w:multiLevelType w:val="multilevel"/>
    <w:tmpl w:val="FAA766CD"/>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E12F698"/>
    <w:multiLevelType w:val="multilevel"/>
    <w:tmpl w:val="1E12F698"/>
    <w:lvl w:ilvl="0" w:tentative="0">
      <w:start w:val="5"/>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5C4284A8"/>
    <w:multiLevelType w:val="multilevel"/>
    <w:tmpl w:val="5C4284A8"/>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NmM5ZjQxMzIwMjQwNWMyODAyMThjMGY3Yzc2MzUifQ=="/>
  </w:docVars>
  <w:rsids>
    <w:rsidRoot w:val="00172A27"/>
    <w:rsid w:val="13251D36"/>
    <w:rsid w:val="254D5C68"/>
    <w:rsid w:val="48E07C4A"/>
    <w:rsid w:val="4C662DAD"/>
    <w:rsid w:val="4CCB580D"/>
    <w:rsid w:val="57914DE9"/>
    <w:rsid w:val="67066277"/>
    <w:rsid w:val="6CC84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2">
    <w:name w:val="heading 1"/>
    <w:next w:val="1"/>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2"/>
    <w:next w:val="1"/>
    <w:unhideWhenUsed/>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character" w:default="1" w:styleId="8">
    <w:name w:val="Default Paragraph Font"/>
    <w:unhideWhenUsed/>
    <w:uiPriority w:val="99"/>
    <w:rPr>
      <w:rFonts w:hint="default"/>
      <w:sz w:val="24"/>
      <w:szCs w:val="24"/>
    </w:rPr>
  </w:style>
  <w:style w:type="table" w:default="1" w:styleId="7">
    <w:name w:val="Normal Table"/>
    <w:qFormat/>
    <w:uiPriority w:val="99"/>
    <w:tblPr>
      <w:tblLayout w:type="fixed"/>
      <w:tblCellMar>
        <w:top w:w="0" w:type="dxa"/>
        <w:left w:w="108" w:type="dxa"/>
        <w:bottom w:w="0" w:type="dxa"/>
        <w:right w:w="108" w:type="dxa"/>
      </w:tblCellMar>
    </w:tblPr>
  </w:style>
  <w:style w:type="paragraph" w:styleId="4">
    <w:name w:val="Body Text"/>
    <w:basedOn w:val="1"/>
    <w:link w:val="11"/>
    <w:unhideWhenUsed/>
    <w:qFormat/>
    <w:uiPriority w:val="99"/>
    <w:pPr>
      <w:autoSpaceDE/>
      <w:autoSpaceDN/>
      <w:adjustRightInd/>
      <w:spacing w:beforeLines="30"/>
      <w:jc w:val="both"/>
    </w:pPr>
    <w:rPr>
      <w:rFonts w:hint="eastAsia" w:ascii="仿宋_GB2312" w:hAnsi="Times New Roman" w:eastAsia="仿宋_GB2312"/>
      <w:sz w:val="30"/>
      <w:szCs w:val="24"/>
    </w:rPr>
  </w:style>
  <w:style w:type="paragraph" w:styleId="5">
    <w:name w:val="toc 1"/>
    <w:basedOn w:val="1"/>
    <w:next w:val="1"/>
    <w:qFormat/>
    <w:uiPriority w:val="99"/>
  </w:style>
  <w:style w:type="paragraph" w:styleId="6">
    <w:name w:val="toc 2"/>
    <w:basedOn w:val="1"/>
    <w:next w:val="1"/>
    <w:qFormat/>
    <w:uiPriority w:val="99"/>
    <w:pPr>
      <w:ind w:left="420" w:leftChars="200"/>
    </w:pPr>
  </w:style>
  <w:style w:type="character" w:styleId="9">
    <w:name w:val="Strong"/>
    <w:basedOn w:val="8"/>
    <w:unhideWhenUsed/>
    <w:qFormat/>
    <w:uiPriority w:val="99"/>
    <w:rPr>
      <w:rFonts w:hint="default" w:cs="Times New Roman"/>
      <w:b/>
      <w:sz w:val="24"/>
      <w:szCs w:val="24"/>
    </w:rPr>
  </w:style>
  <w:style w:type="paragraph" w:customStyle="1" w:styleId="10">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1">
    <w:name w:val="正文文本 Char"/>
    <w:basedOn w:val="8"/>
    <w:link w:val="4"/>
    <w:unhideWhenUsed/>
    <w:qFormat/>
    <w:locked/>
    <w:uiPriority w:val="99"/>
    <w:rPr>
      <w:rFonts w:hint="eastAsia" w:ascii="仿宋_GB2312" w:hAnsi="Times New Roman" w:eastAsia="仿宋_GB2312"/>
      <w:sz w:val="30"/>
      <w:szCs w:val="24"/>
    </w:rPr>
  </w:style>
  <w:style w:type="character" w:customStyle="1" w:styleId="12">
    <w:name w:val="font01"/>
    <w:basedOn w:val="8"/>
    <w:unhideWhenUsed/>
    <w:qFormat/>
    <w:uiPriority w:val="0"/>
    <w:rPr>
      <w:rFonts w:hint="eastAsia" w:ascii="宋体" w:hAnsi="宋体" w:eastAsia="宋体" w:cs="宋体"/>
      <w:color w:val="000000"/>
      <w:sz w:val="32"/>
      <w:szCs w:val="32"/>
    </w:rPr>
  </w:style>
  <w:style w:type="character" w:customStyle="1" w:styleId="13">
    <w:name w:val="font71"/>
    <w:basedOn w:val="8"/>
    <w:unhideWhenUsed/>
    <w:qFormat/>
    <w:uiPriority w:val="0"/>
    <w:rPr>
      <w:rFonts w:hint="eastAsia" w:ascii="宋体" w:hAnsi="宋体" w:eastAsia="宋体" w:cs="宋体"/>
      <w:color w:val="000000"/>
      <w:sz w:val="20"/>
      <w:szCs w:val="20"/>
    </w:rPr>
  </w:style>
  <w:style w:type="character" w:customStyle="1" w:styleId="14">
    <w:name w:val="font91"/>
    <w:basedOn w:val="8"/>
    <w:unhideWhenUsed/>
    <w:qFormat/>
    <w:uiPriority w:val="0"/>
    <w:rPr>
      <w:rFonts w:hint="eastAsia" w:ascii="宋体" w:hAnsi="宋体" w:eastAsia="宋体" w:cs="宋体"/>
      <w:color w:val="000000"/>
      <w:sz w:val="18"/>
      <w:szCs w:val="18"/>
    </w:rPr>
  </w:style>
  <w:style w:type="character" w:customStyle="1" w:styleId="15">
    <w:name w:val="font101"/>
    <w:basedOn w:val="8"/>
    <w:unhideWhenUsed/>
    <w:qFormat/>
    <w:uiPriority w:val="0"/>
    <w:rPr>
      <w:rFonts w:hint="eastAsia" w:ascii="宋体" w:hAnsi="宋体" w:eastAsia="宋体" w:cs="宋体"/>
      <w:color w:val="000000"/>
      <w:sz w:val="12"/>
      <w:szCs w:val="12"/>
    </w:rPr>
  </w:style>
  <w:style w:type="character" w:customStyle="1" w:styleId="16">
    <w:name w:val="font11"/>
    <w:basedOn w:val="8"/>
    <w:unhideWhenUsed/>
    <w:qFormat/>
    <w:uiPriority w:val="0"/>
    <w:rPr>
      <w:rFonts w:hint="eastAsia" w:ascii="宋体" w:hAnsi="宋体" w:eastAsia="宋体" w:cs="宋体"/>
      <w:color w:val="000000"/>
      <w:sz w:val="32"/>
      <w:szCs w:val="32"/>
    </w:rPr>
  </w:style>
  <w:style w:type="character" w:customStyle="1" w:styleId="17">
    <w:name w:val="font41"/>
    <w:basedOn w:val="8"/>
    <w:unhideWhenUsed/>
    <w:qFormat/>
    <w:uiPriority w:val="0"/>
    <w:rPr>
      <w:rFonts w:hint="eastAsia" w:ascii="宋体" w:hAnsi="宋体" w:eastAsia="宋体" w:cs="宋体"/>
      <w:color w:val="000000"/>
      <w:sz w:val="20"/>
      <w:szCs w:val="20"/>
    </w:rPr>
  </w:style>
  <w:style w:type="character" w:customStyle="1" w:styleId="18">
    <w:name w:val="font81"/>
    <w:basedOn w:val="8"/>
    <w:unhideWhenUsed/>
    <w:qFormat/>
    <w:uiPriority w:val="0"/>
    <w:rPr>
      <w:rFonts w:hint="eastAsia" w:ascii="宋体" w:hAnsi="宋体" w:eastAsia="宋体" w:cs="宋体"/>
      <w:color w:val="000000"/>
      <w:sz w:val="18"/>
      <w:szCs w:val="18"/>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6770</Words>
  <Characters>7412</Characters>
  <TotalTime>3</TotalTime>
  <ScaleCrop>false</ScaleCrop>
  <LinksUpToDate>false</LinksUpToDate>
  <CharactersWithSpaces>7516</CharactersWithSpaces>
  <Application>WPS Office_11.8.6.8556_F1E327BC-269C-435d-A152-05C5408002CA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2023-09-07T03:34:00Z</dcterms:created>
  <dc:creator>李林骏</dc:creator>
  <cp:lastModifiedBy>Administrator</cp:lastModifiedBy>
  <dcterms:modified xsi:type="dcterms:W3CDTF">2024-09-19T07:19:29Z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BC5ACD3ADF744C2BA3C4936C91D084DF_13</vt:lpwstr>
  </property>
</Properties>
</file>