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C497B6">
      <w:pPr>
        <w:spacing w:line="600" w:lineRule="exact"/>
        <w:jc w:val="both"/>
        <w:outlineLvl w:val="0"/>
        <w:rPr>
          <w:rFonts w:ascii="方正小标宋简体" w:hAnsi="宋体" w:eastAsia="方正小标宋简体"/>
          <w:color w:val="000000"/>
          <w:sz w:val="72"/>
          <w:szCs w:val="72"/>
        </w:rPr>
      </w:pPr>
      <w:bookmarkStart w:id="0" w:name="_Toc15306267"/>
    </w:p>
    <w:p w14:paraId="534B3E34">
      <w:pPr>
        <w:spacing w:line="600" w:lineRule="exact"/>
        <w:jc w:val="center"/>
        <w:outlineLvl w:val="0"/>
        <w:rPr>
          <w:rFonts w:ascii="方正小标宋简体" w:hAnsi="宋体" w:eastAsia="方正小标宋简体"/>
          <w:color w:val="000000"/>
          <w:sz w:val="72"/>
          <w:szCs w:val="72"/>
        </w:rPr>
      </w:pPr>
    </w:p>
    <w:p w14:paraId="5D8D535C">
      <w:pPr>
        <w:spacing w:line="600" w:lineRule="exact"/>
        <w:jc w:val="center"/>
        <w:outlineLvl w:val="0"/>
        <w:rPr>
          <w:rFonts w:ascii="方正小标宋简体" w:hAnsi="宋体" w:eastAsia="方正小标宋简体"/>
          <w:color w:val="000000"/>
          <w:sz w:val="72"/>
          <w:szCs w:val="72"/>
        </w:rPr>
      </w:pPr>
    </w:p>
    <w:p w14:paraId="25982DD2">
      <w:pPr>
        <w:spacing w:line="600" w:lineRule="exact"/>
        <w:jc w:val="center"/>
        <w:outlineLvl w:val="0"/>
        <w:rPr>
          <w:rFonts w:ascii="方正小标宋简体" w:hAnsi="宋体" w:eastAsia="方正小标宋简体"/>
          <w:color w:val="000000"/>
          <w:sz w:val="72"/>
          <w:szCs w:val="72"/>
        </w:rPr>
      </w:pPr>
    </w:p>
    <w:p w14:paraId="7CD88FBC">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475"/>
      <w:bookmarkStart w:id="3" w:name="_Toc15377425"/>
      <w:bookmarkStart w:id="4" w:name="_Toc15396597"/>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14:paraId="7948E2F0">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06268"/>
      <w:bookmarkStart w:id="7" w:name="_Toc15396598"/>
      <w:bookmarkStart w:id="8" w:name="_Toc15396476"/>
      <w:bookmarkStart w:id="9" w:name="_Toc15377194"/>
      <w:bookmarkStart w:id="10" w:name="_Toc15377426"/>
      <w:bookmarkStart w:id="11" w:name="_Toc15378442"/>
      <w:r>
        <w:rPr>
          <w:rFonts w:hint="eastAsia" w:ascii="方正小标宋简体" w:hAnsi="宋体" w:eastAsia="方正小标宋简体"/>
          <w:color w:val="000000"/>
          <w:sz w:val="72"/>
          <w:szCs w:val="72"/>
          <w:lang w:eastAsia="zh-CN"/>
        </w:rPr>
        <w:t>通江县发展和改革局</w:t>
      </w:r>
    </w:p>
    <w:p w14:paraId="119919D3">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4D0E67B8">
      <w:pPr>
        <w:widowControl/>
        <w:jc w:val="center"/>
        <w:rPr>
          <w:rFonts w:hint="eastAsia" w:ascii="黑体" w:hAnsi="黑体" w:eastAsia="黑体"/>
          <w:color w:val="000000"/>
          <w:sz w:val="48"/>
          <w:szCs w:val="48"/>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start="1"/>
          <w:cols w:space="425" w:num="1"/>
          <w:titlePg/>
          <w:docGrid w:type="lines" w:linePitch="312" w:charSpace="0"/>
        </w:sectPr>
      </w:pPr>
    </w:p>
    <w:p w14:paraId="7983A89D">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14:paraId="7EA16885">
      <w:pPr>
        <w:widowControl/>
        <w:jc w:val="center"/>
        <w:rPr>
          <w:rFonts w:ascii="黑体" w:hAnsi="黑体" w:eastAsia="黑体" w:cstheme="minorBidi"/>
          <w:sz w:val="28"/>
          <w:szCs w:val="28"/>
        </w:rPr>
      </w:pPr>
    </w:p>
    <w:p w14:paraId="37395DC3">
      <w:pPr>
        <w:pStyle w:val="11"/>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eastAsia="zh-CN" w:bidi="ar-SA"/>
        </w:rPr>
        <w:fldChar w:fldCharType="begin"/>
      </w:r>
      <w:r>
        <w:rPr>
          <w:rFonts w:hint="eastAsia" w:ascii="仿宋_GB2312" w:hAnsi="仿宋_GB2312" w:eastAsia="仿宋_GB2312" w:cs="仿宋_GB2312"/>
          <w:kern w:val="2"/>
          <w:sz w:val="30"/>
          <w:szCs w:val="30"/>
          <w:lang w:eastAsia="zh-CN" w:bidi="ar-SA"/>
        </w:rPr>
        <w:instrText xml:space="preserve"> TOC \* MERGEFORMAT </w:instrText>
      </w:r>
      <w:r>
        <w:rPr>
          <w:rFonts w:hint="eastAsia" w:ascii="仿宋_GB2312" w:hAnsi="仿宋_GB2312" w:eastAsia="仿宋_GB2312" w:cs="仿宋_GB2312"/>
          <w:kern w:val="2"/>
          <w:sz w:val="30"/>
          <w:szCs w:val="30"/>
          <w:lang w:eastAsia="zh-CN" w:bidi="ar-SA"/>
        </w:rPr>
        <w:fldChar w:fldCharType="separate"/>
      </w:r>
      <w:r>
        <w:rPr>
          <w:rFonts w:hint="eastAsia" w:ascii="仿宋_GB2312" w:hAnsi="仿宋_GB2312" w:eastAsia="仿宋_GB2312" w:cs="仿宋_GB2312"/>
          <w:kern w:val="2"/>
          <w:sz w:val="30"/>
          <w:szCs w:val="30"/>
          <w:lang w:val="en-US" w:eastAsia="zh-CN" w:bidi="ar-SA"/>
        </w:rPr>
        <w:t>第一部分 部门概况</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_Toc5453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3</w:t>
      </w:r>
      <w:r>
        <w:rPr>
          <w:rFonts w:hint="eastAsia" w:ascii="仿宋_GB2312" w:hAnsi="仿宋_GB2312" w:eastAsia="仿宋_GB2312" w:cs="仿宋_GB2312"/>
          <w:kern w:val="2"/>
          <w:sz w:val="30"/>
          <w:szCs w:val="30"/>
          <w:lang w:val="en-US" w:eastAsia="zh-CN" w:bidi="ar-SA"/>
        </w:rPr>
        <w:fldChar w:fldCharType="end"/>
      </w:r>
    </w:p>
    <w:p w14:paraId="246C5308">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一、基本职能及主要工作</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_Toc8501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3</w:t>
      </w:r>
      <w:r>
        <w:rPr>
          <w:rFonts w:hint="eastAsia" w:ascii="仿宋_GB2312" w:hAnsi="仿宋_GB2312" w:eastAsia="仿宋_GB2312" w:cs="仿宋_GB2312"/>
          <w:kern w:val="2"/>
          <w:sz w:val="30"/>
          <w:szCs w:val="30"/>
          <w:lang w:val="en-US" w:eastAsia="zh-CN" w:bidi="ar-SA"/>
        </w:rPr>
        <w:fldChar w:fldCharType="end"/>
      </w:r>
    </w:p>
    <w:p w14:paraId="525FD6CB">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二、机构设置</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_Toc25121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11</w:t>
      </w:r>
      <w:r>
        <w:rPr>
          <w:rFonts w:hint="eastAsia" w:ascii="仿宋_GB2312" w:hAnsi="仿宋_GB2312" w:eastAsia="仿宋_GB2312" w:cs="仿宋_GB2312"/>
          <w:kern w:val="2"/>
          <w:sz w:val="30"/>
          <w:szCs w:val="30"/>
          <w:lang w:val="en-US" w:eastAsia="zh-CN" w:bidi="ar-SA"/>
        </w:rPr>
        <w:fldChar w:fldCharType="end"/>
      </w:r>
    </w:p>
    <w:p w14:paraId="5A7C16F0">
      <w:pPr>
        <w:pStyle w:val="11"/>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第二部分 2019年度部门决算情况说明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_Toc25929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11</w:t>
      </w:r>
      <w:r>
        <w:rPr>
          <w:rFonts w:hint="eastAsia" w:ascii="仿宋_GB2312" w:hAnsi="仿宋_GB2312" w:eastAsia="仿宋_GB2312" w:cs="仿宋_GB2312"/>
          <w:kern w:val="2"/>
          <w:sz w:val="30"/>
          <w:szCs w:val="30"/>
          <w:lang w:val="en-US" w:eastAsia="zh-CN" w:bidi="ar-SA"/>
        </w:rPr>
        <w:fldChar w:fldCharType="end"/>
      </w:r>
    </w:p>
    <w:p w14:paraId="4DD82FE8">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一、收入支出决算总体情况说明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_Toc12296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11</w:t>
      </w:r>
      <w:r>
        <w:rPr>
          <w:rFonts w:hint="eastAsia" w:ascii="仿宋_GB2312" w:hAnsi="仿宋_GB2312" w:eastAsia="仿宋_GB2312" w:cs="仿宋_GB2312"/>
          <w:kern w:val="2"/>
          <w:sz w:val="30"/>
          <w:szCs w:val="30"/>
          <w:lang w:val="en-US" w:eastAsia="zh-CN" w:bidi="ar-SA"/>
        </w:rPr>
        <w:fldChar w:fldCharType="end"/>
      </w:r>
    </w:p>
    <w:p w14:paraId="5058F9CB">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二、收入决算情况说明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_Toc11734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12</w:t>
      </w:r>
      <w:r>
        <w:rPr>
          <w:rFonts w:hint="eastAsia" w:ascii="仿宋_GB2312" w:hAnsi="仿宋_GB2312" w:eastAsia="仿宋_GB2312" w:cs="仿宋_GB2312"/>
          <w:kern w:val="2"/>
          <w:sz w:val="30"/>
          <w:szCs w:val="30"/>
          <w:lang w:val="en-US" w:eastAsia="zh-CN" w:bidi="ar-SA"/>
        </w:rPr>
        <w:fldChar w:fldCharType="end"/>
      </w:r>
    </w:p>
    <w:p w14:paraId="62E30A9C">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三、支出决算情况说明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_Toc19003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12</w:t>
      </w:r>
      <w:r>
        <w:rPr>
          <w:rFonts w:hint="eastAsia" w:ascii="仿宋_GB2312" w:hAnsi="仿宋_GB2312" w:eastAsia="仿宋_GB2312" w:cs="仿宋_GB2312"/>
          <w:kern w:val="2"/>
          <w:sz w:val="30"/>
          <w:szCs w:val="30"/>
          <w:lang w:val="en-US" w:eastAsia="zh-CN" w:bidi="ar-SA"/>
        </w:rPr>
        <w:fldChar w:fldCharType="end"/>
      </w:r>
    </w:p>
    <w:p w14:paraId="172B3290">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四、财政拨款收入支出决算总体情况说明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_Toc25552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12</w:t>
      </w:r>
      <w:r>
        <w:rPr>
          <w:rFonts w:hint="eastAsia" w:ascii="仿宋_GB2312" w:hAnsi="仿宋_GB2312" w:eastAsia="仿宋_GB2312" w:cs="仿宋_GB2312"/>
          <w:kern w:val="2"/>
          <w:sz w:val="30"/>
          <w:szCs w:val="30"/>
          <w:lang w:val="en-US" w:eastAsia="zh-CN" w:bidi="ar-SA"/>
        </w:rPr>
        <w:fldChar w:fldCharType="end"/>
      </w:r>
    </w:p>
    <w:p w14:paraId="29E33C7E">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五、一般公共预算财政拨款支出决算情况说明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_Toc31282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12</w:t>
      </w:r>
      <w:r>
        <w:rPr>
          <w:rFonts w:hint="eastAsia" w:ascii="仿宋_GB2312" w:hAnsi="仿宋_GB2312" w:eastAsia="仿宋_GB2312" w:cs="仿宋_GB2312"/>
          <w:kern w:val="2"/>
          <w:sz w:val="30"/>
          <w:szCs w:val="30"/>
          <w:lang w:val="en-US" w:eastAsia="zh-CN" w:bidi="ar-SA"/>
        </w:rPr>
        <w:fldChar w:fldCharType="end"/>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tab/>
      </w:r>
    </w:p>
    <w:p w14:paraId="3997E4F9">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六、一般公共预算财政拨款基本支出决算情况说明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_Toc17256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14</w:t>
      </w:r>
      <w:r>
        <w:rPr>
          <w:rFonts w:hint="eastAsia" w:ascii="仿宋_GB2312" w:hAnsi="仿宋_GB2312" w:eastAsia="仿宋_GB2312" w:cs="仿宋_GB2312"/>
          <w:kern w:val="2"/>
          <w:sz w:val="30"/>
          <w:szCs w:val="30"/>
          <w:lang w:val="en-US" w:eastAsia="zh-CN" w:bidi="ar-SA"/>
        </w:rPr>
        <w:fldChar w:fldCharType="end"/>
      </w:r>
    </w:p>
    <w:p w14:paraId="33CD3C25">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七、“三公”经费财政拨款支出决算情况说明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_Toc26098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15</w:t>
      </w:r>
      <w:r>
        <w:rPr>
          <w:rFonts w:hint="eastAsia" w:ascii="仿宋_GB2312" w:hAnsi="仿宋_GB2312" w:eastAsia="仿宋_GB2312" w:cs="仿宋_GB2312"/>
          <w:kern w:val="2"/>
          <w:sz w:val="30"/>
          <w:szCs w:val="30"/>
          <w:lang w:val="en-US" w:eastAsia="zh-CN" w:bidi="ar-SA"/>
        </w:rPr>
        <w:fldChar w:fldCharType="end"/>
      </w:r>
    </w:p>
    <w:p w14:paraId="64CBE54A">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八、政府性基金预算支出决算情况说明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_Toc449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16</w:t>
      </w:r>
      <w:r>
        <w:rPr>
          <w:rFonts w:hint="eastAsia" w:ascii="仿宋_GB2312" w:hAnsi="仿宋_GB2312" w:eastAsia="仿宋_GB2312" w:cs="仿宋_GB2312"/>
          <w:kern w:val="2"/>
          <w:sz w:val="30"/>
          <w:szCs w:val="30"/>
          <w:lang w:val="en-US" w:eastAsia="zh-CN" w:bidi="ar-SA"/>
        </w:rPr>
        <w:fldChar w:fldCharType="end"/>
      </w:r>
    </w:p>
    <w:p w14:paraId="50C343D3">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九、国有资本经营预算支出决算情况说明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_Toc14847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16</w:t>
      </w:r>
      <w:r>
        <w:rPr>
          <w:rFonts w:hint="eastAsia" w:ascii="仿宋_GB2312" w:hAnsi="仿宋_GB2312" w:eastAsia="仿宋_GB2312" w:cs="仿宋_GB2312"/>
          <w:kern w:val="2"/>
          <w:sz w:val="30"/>
          <w:szCs w:val="30"/>
          <w:lang w:val="en-US" w:eastAsia="zh-CN" w:bidi="ar-SA"/>
        </w:rPr>
        <w:fldChar w:fldCharType="end"/>
      </w:r>
    </w:p>
    <w:p w14:paraId="529A09CF">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十、其他重要事项的情况说明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_Toc27766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16</w:t>
      </w:r>
      <w:r>
        <w:rPr>
          <w:rFonts w:hint="eastAsia" w:ascii="仿宋_GB2312" w:hAnsi="仿宋_GB2312" w:eastAsia="仿宋_GB2312" w:cs="仿宋_GB2312"/>
          <w:kern w:val="2"/>
          <w:sz w:val="30"/>
          <w:szCs w:val="30"/>
          <w:lang w:val="en-US" w:eastAsia="zh-CN" w:bidi="ar-SA"/>
        </w:rPr>
        <w:fldChar w:fldCharType="end"/>
      </w:r>
    </w:p>
    <w:p w14:paraId="1205CDC1">
      <w:pPr>
        <w:pStyle w:val="11"/>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第三部分  名词解释</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_Toc2282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25</w:t>
      </w:r>
      <w:r>
        <w:rPr>
          <w:rFonts w:hint="eastAsia" w:ascii="仿宋_GB2312" w:hAnsi="仿宋_GB2312" w:eastAsia="仿宋_GB2312" w:cs="仿宋_GB2312"/>
          <w:kern w:val="2"/>
          <w:sz w:val="30"/>
          <w:szCs w:val="30"/>
          <w:lang w:val="en-US" w:eastAsia="zh-CN" w:bidi="ar-SA"/>
        </w:rPr>
        <w:fldChar w:fldCharType="end"/>
      </w:r>
    </w:p>
    <w:p w14:paraId="4F20FDB5">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附件1</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_Toc1974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28</w:t>
      </w:r>
      <w:r>
        <w:rPr>
          <w:rFonts w:hint="eastAsia" w:ascii="仿宋_GB2312" w:hAnsi="仿宋_GB2312" w:eastAsia="仿宋_GB2312" w:cs="仿宋_GB2312"/>
          <w:kern w:val="2"/>
          <w:sz w:val="30"/>
          <w:szCs w:val="30"/>
          <w:lang w:val="en-US" w:eastAsia="zh-CN" w:bidi="ar-SA"/>
        </w:rPr>
        <w:fldChar w:fldCharType="end"/>
      </w:r>
    </w:p>
    <w:p w14:paraId="317F5A37">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附件2</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_Toc32713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32</w:t>
      </w:r>
      <w:r>
        <w:rPr>
          <w:rFonts w:hint="eastAsia" w:ascii="仿宋_GB2312" w:hAnsi="仿宋_GB2312" w:eastAsia="仿宋_GB2312" w:cs="仿宋_GB2312"/>
          <w:kern w:val="2"/>
          <w:sz w:val="30"/>
          <w:szCs w:val="30"/>
          <w:lang w:val="en-US" w:eastAsia="zh-CN" w:bidi="ar-SA"/>
        </w:rPr>
        <w:fldChar w:fldCharType="end"/>
      </w:r>
    </w:p>
    <w:p w14:paraId="49549182">
      <w:pPr>
        <w:pStyle w:val="11"/>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第五部分 附表</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_Toc10068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36</w:t>
      </w:r>
      <w:r>
        <w:rPr>
          <w:rFonts w:hint="eastAsia" w:ascii="仿宋_GB2312" w:hAnsi="仿宋_GB2312" w:eastAsia="仿宋_GB2312" w:cs="仿宋_GB2312"/>
          <w:kern w:val="2"/>
          <w:sz w:val="30"/>
          <w:szCs w:val="30"/>
          <w:lang w:val="en-US" w:eastAsia="zh-CN" w:bidi="ar-SA"/>
        </w:rPr>
        <w:fldChar w:fldCharType="end"/>
      </w:r>
    </w:p>
    <w:p w14:paraId="7C61B56A">
      <w:pPr>
        <w:pStyle w:val="11"/>
        <w:adjustRightInd w:val="0"/>
        <w:snapToGrid w:val="0"/>
        <w:spacing w:before="0" w:line="440" w:lineRule="exact"/>
        <w:jc w:val="left"/>
        <w:rPr>
          <w:rFonts w:hint="eastAsia"/>
        </w:rPr>
      </w:pPr>
      <w:r>
        <w:rPr>
          <w:rFonts w:hint="eastAsia" w:ascii="仿宋_GB2312" w:hAnsi="仿宋_GB2312" w:eastAsia="仿宋_GB2312" w:cs="仿宋_GB2312"/>
          <w:kern w:val="2"/>
          <w:sz w:val="30"/>
          <w:szCs w:val="30"/>
          <w:lang w:eastAsia="zh-CN" w:bidi="ar-SA"/>
        </w:rPr>
        <w:fldChar w:fldCharType="end"/>
      </w:r>
      <w:bookmarkStart w:id="12" w:name="_Toc5453"/>
      <w:bookmarkStart w:id="13" w:name="_Toc7949"/>
      <w:bookmarkStart w:id="14" w:name="_Toc15377196"/>
      <w:bookmarkStart w:id="15" w:name="_Toc15396599"/>
    </w:p>
    <w:p w14:paraId="5A16582C">
      <w:pPr>
        <w:pStyle w:val="3"/>
        <w:jc w:val="center"/>
        <w:rPr>
          <w:rFonts w:hint="eastAsia"/>
        </w:rPr>
        <w:sectPr>
          <w:footerReference r:id="rId8" w:type="first"/>
          <w:footerReference r:id="rId7" w:type="default"/>
          <w:pgSz w:w="11906" w:h="16838"/>
          <w:pgMar w:top="1440" w:right="1800" w:bottom="1440" w:left="1800" w:header="851" w:footer="992" w:gutter="0"/>
          <w:pgNumType w:fmt="decimal" w:start="1"/>
          <w:cols w:space="425" w:num="1"/>
          <w:docGrid w:type="lines" w:linePitch="312" w:charSpace="0"/>
        </w:sectPr>
      </w:pPr>
    </w:p>
    <w:p w14:paraId="544D0E75">
      <w:pPr>
        <w:pStyle w:val="3"/>
        <w:jc w:val="center"/>
      </w:pPr>
      <w:r>
        <w:rPr>
          <w:rFonts w:hint="eastAsia"/>
        </w:rPr>
        <w:t>第一部分 部门概况</w:t>
      </w:r>
      <w:bookmarkEnd w:id="12"/>
      <w:bookmarkEnd w:id="13"/>
      <w:bookmarkEnd w:id="14"/>
      <w:bookmarkEnd w:id="15"/>
    </w:p>
    <w:p w14:paraId="45C30996">
      <w:pPr>
        <w:pStyle w:val="4"/>
      </w:pPr>
      <w:bookmarkStart w:id="16" w:name="_Toc15377197"/>
      <w:bookmarkStart w:id="17" w:name="_Toc8501"/>
      <w:bookmarkStart w:id="18" w:name="_Toc29144"/>
      <w:bookmarkStart w:id="19" w:name="_Toc15396600"/>
      <w:r>
        <w:rPr>
          <w:rFonts w:hint="eastAsia"/>
        </w:rPr>
        <w:t>一、基本职能及主要工作</w:t>
      </w:r>
      <w:bookmarkEnd w:id="16"/>
      <w:bookmarkEnd w:id="17"/>
      <w:bookmarkEnd w:id="18"/>
      <w:bookmarkEnd w:id="19"/>
    </w:p>
    <w:p w14:paraId="08A71B90">
      <w:pPr>
        <w:pStyle w:val="4"/>
        <w:rPr>
          <w:rFonts w:hint="eastAsia" w:ascii="仿宋" w:hAnsi="仿宋" w:eastAsia="仿宋"/>
          <w:b/>
          <w:bCs w:val="0"/>
          <w:color w:val="000000"/>
          <w:szCs w:val="32"/>
        </w:rPr>
      </w:pPr>
      <w:bookmarkStart w:id="20" w:name="_Toc14689"/>
      <w:bookmarkStart w:id="21" w:name="_Toc11536"/>
      <w:bookmarkStart w:id="22" w:name="_Toc15377198"/>
      <w:bookmarkStart w:id="23" w:name="_Toc15378445"/>
      <w:r>
        <w:rPr>
          <w:rFonts w:hint="eastAsia"/>
        </w:rPr>
        <w:t>（一）主要职能。</w:t>
      </w:r>
      <w:bookmarkEnd w:id="20"/>
      <w:bookmarkEnd w:id="21"/>
    </w:p>
    <w:bookmarkEnd w:id="22"/>
    <w:bookmarkEnd w:id="23"/>
    <w:p w14:paraId="13EF423B">
      <w:pPr>
        <w:spacing w:line="580" w:lineRule="exact"/>
        <w:ind w:firstLine="643" w:firstLineChars="200"/>
        <w:rPr>
          <w:rFonts w:hint="eastAsia" w:eastAsia="仿宋_GB2312"/>
          <w:sz w:val="32"/>
          <w:szCs w:val="32"/>
        </w:rPr>
      </w:pPr>
      <w:bookmarkStart w:id="24" w:name="_Toc15378446"/>
      <w:bookmarkStart w:id="25" w:name="_Toc15377199"/>
      <w:r>
        <w:rPr>
          <w:rFonts w:hint="eastAsia" w:eastAsia="仿宋_GB2312"/>
          <w:b/>
          <w:bCs/>
          <w:sz w:val="32"/>
          <w:szCs w:val="32"/>
          <w:lang w:val="en-US" w:eastAsia="zh-CN"/>
        </w:rPr>
        <w:t>1、</w:t>
      </w:r>
      <w:r>
        <w:rPr>
          <w:rFonts w:hint="eastAsia" w:eastAsia="仿宋_GB2312"/>
          <w:sz w:val="32"/>
          <w:szCs w:val="32"/>
        </w:rPr>
        <w:t>贯彻实施国家、省、市有关国民经济和社会发展、经济体制改革的方针、政策和法律、法规。拟订全县有关国民经济和社会发展、经济体制改革的规范性文件，负责本系统、本部门依法行政工作。</w:t>
      </w:r>
    </w:p>
    <w:p w14:paraId="04C99247">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2、</w:t>
      </w:r>
      <w:r>
        <w:rPr>
          <w:rFonts w:hint="eastAsia" w:eastAsia="仿宋_GB2312"/>
          <w:sz w:val="32"/>
          <w:szCs w:val="32"/>
        </w:rPr>
        <w:t>拟订并组织实施全县国民经济和社会发展战略、中长期规划和年度计划。牵头组织统一规划体系建设。统筹协调全县经济社会发展，研究分析宏观经济形势，提出全县经济社会发展、经济结构优化、价格总水平调控目标和政策建议。受县人民政府委托向县人民代表大会提交国民经济和社会发展计划报告。</w:t>
      </w:r>
    </w:p>
    <w:p w14:paraId="48D99F63">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3、</w:t>
      </w:r>
      <w:r>
        <w:rPr>
          <w:rFonts w:hint="eastAsia" w:eastAsia="仿宋_GB2312"/>
          <w:sz w:val="32"/>
          <w:szCs w:val="32"/>
        </w:rPr>
        <w:t>提出加快建设全县现代化经济体系、推动高质量发展的总体目标、重大任务以及相关措施。监测预警宏观经济和社会发展态势，提出宏观调控政策建议。综合协调宏观经济政策，牵头研究宏观经济应对措施。调节经济运行，综合协调经济社会发展中的重大问题。组织开展全县重大规划、重大政策、重大项目等评估督导，提出相关调整建议。</w:t>
      </w:r>
    </w:p>
    <w:p w14:paraId="092A94E2">
      <w:pPr>
        <w:spacing w:line="580" w:lineRule="exact"/>
        <w:ind w:firstLine="643" w:firstLineChars="200"/>
        <w:rPr>
          <w:rFonts w:hint="eastAsia" w:eastAsia="仿宋_GB2312"/>
          <w:color w:val="FF0000"/>
          <w:sz w:val="32"/>
          <w:szCs w:val="32"/>
        </w:rPr>
      </w:pPr>
      <w:r>
        <w:rPr>
          <w:rFonts w:hint="eastAsia" w:eastAsia="仿宋_GB2312"/>
          <w:b/>
          <w:bCs/>
          <w:sz w:val="32"/>
          <w:szCs w:val="32"/>
          <w:lang w:val="en-US" w:eastAsia="zh-CN"/>
        </w:rPr>
        <w:t>4、</w:t>
      </w:r>
      <w:r>
        <w:rPr>
          <w:rFonts w:hint="eastAsia" w:eastAsia="仿宋_GB2312"/>
          <w:sz w:val="32"/>
          <w:szCs w:val="32"/>
        </w:rPr>
        <w:t>指导推进和综合协调全县经济体制改革有关工作，提出相关改革建议。牵头推进供给侧结构性改革。协调推进产权制度和要素市场化配置改革。推动建设现代化市场体系，会同相关部门组织实施市场准入负面清单制度。牵头推进优化营商环境工作。</w:t>
      </w:r>
    </w:p>
    <w:p w14:paraId="38D7A7C4">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5、</w:t>
      </w:r>
      <w:r>
        <w:rPr>
          <w:rFonts w:hint="eastAsia" w:eastAsia="仿宋_GB2312"/>
          <w:sz w:val="32"/>
          <w:szCs w:val="32"/>
        </w:rPr>
        <w:t>牵头推进实施“一带一路”建设。负责汇总分析全县财政、金融等方面情况，参与拟订全县财政政策、金融政策、自然资源政策。提出利用外资和境外投资建议。会同有关部门提出外商投资准入负面清单。</w:t>
      </w:r>
    </w:p>
    <w:p w14:paraId="24A382E0">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6、</w:t>
      </w:r>
      <w:r>
        <w:rPr>
          <w:rFonts w:hint="eastAsia" w:eastAsia="仿宋_GB2312"/>
          <w:sz w:val="32"/>
          <w:szCs w:val="32"/>
        </w:rPr>
        <w:t>负责投资综合管理，拟订全县固定资产投资总规模、投资结构目标和措施，会同有关部门拟订政府投资项目审批权限和政府核准的固定资产投资项目目录。安排县级预算内基本建设资金，按规定权限审批、核准、备案或转报固定资产投资项目（企业技术改造项目除外）和资源开发利用、外资、境外投资项目。规划重大建设项目和生产力布局。引导民间投资方向，拟订并推动落实鼓励民间投资政策措施。组织开展重大建设项目评估督导。</w:t>
      </w:r>
    </w:p>
    <w:p w14:paraId="3A8E286D">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7、</w:t>
      </w:r>
      <w:r>
        <w:rPr>
          <w:rFonts w:hint="eastAsia" w:eastAsia="仿宋_GB2312"/>
          <w:sz w:val="32"/>
          <w:szCs w:val="32"/>
        </w:rPr>
        <w:t>推进落实区域协调发展战略、新型城镇化战略和重大政策，组织拟订相关区域规划和政策。统筹推进实施国家、省、市、县重大区域发展战略。组织编制并推动实施新型城镇化规划。统筹协调区域合作（港澳地区除外）和对口支援工作。</w:t>
      </w:r>
    </w:p>
    <w:p w14:paraId="67402EB1">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8、</w:t>
      </w:r>
      <w:r>
        <w:rPr>
          <w:rFonts w:hint="eastAsia" w:eastAsia="仿宋_GB2312"/>
          <w:sz w:val="32"/>
          <w:szCs w:val="32"/>
        </w:rPr>
        <w:t>组织拟订全县综合性产业政策。协调第一二三产业发展重大问题并统筹衔接相关发展规划和重大政策。协调推进乡村振兴发展战略。协调推进重大基础设施建设发展，组织拟订并推动实施全县服务业及现代物流业战略规划和重大政策。负责重要商品总量平衡和宏观调控，综合研判消费变动趋势，拟订实施全县促进消费的综合性政策措施。</w:t>
      </w:r>
    </w:p>
    <w:p w14:paraId="3B3B1BA5">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9、</w:t>
      </w:r>
      <w:r>
        <w:rPr>
          <w:rFonts w:hint="eastAsia" w:eastAsia="仿宋_GB2312"/>
          <w:sz w:val="32"/>
          <w:szCs w:val="32"/>
        </w:rPr>
        <w:t>负责全县社会发展与国民经济发展的政策衔接，协调有关重大问题。组织拟订全县社会发展战略、总体规划和年度计划，统筹推进基本公共服务体系建设和收入分配制度改革，提出就业、完善社会保障与经济协调发展的政策建议。会同相关部门共同牵头开展社会信用体系建设。</w:t>
      </w:r>
    </w:p>
    <w:p w14:paraId="36318934">
      <w:pPr>
        <w:spacing w:line="580" w:lineRule="exact"/>
        <w:ind w:firstLine="643" w:firstLineChars="200"/>
        <w:rPr>
          <w:rFonts w:hint="eastAsia" w:eastAsia="仿宋_GB2312"/>
          <w:strike w:val="0"/>
          <w:dstrike w:val="0"/>
          <w:color w:val="FF0000"/>
          <w:sz w:val="32"/>
          <w:szCs w:val="32"/>
          <w:lang w:eastAsia="zh-CN"/>
        </w:rPr>
      </w:pPr>
      <w:r>
        <w:rPr>
          <w:rFonts w:hint="eastAsia" w:eastAsia="仿宋_GB2312"/>
          <w:b/>
          <w:bCs/>
          <w:sz w:val="32"/>
          <w:szCs w:val="32"/>
          <w:lang w:val="en-US" w:eastAsia="zh-CN"/>
        </w:rPr>
        <w:t>10、</w:t>
      </w:r>
      <w:r>
        <w:rPr>
          <w:rFonts w:hint="eastAsia" w:eastAsia="仿宋_GB2312"/>
          <w:sz w:val="32"/>
          <w:szCs w:val="32"/>
        </w:rPr>
        <w:t>推动实施创新驱动发展战略，会同相关部门拟订全县推动创新创业的规划和政策，提出</w:t>
      </w:r>
      <w:r>
        <w:rPr>
          <w:rFonts w:hint="eastAsia" w:eastAsia="仿宋_GB2312"/>
          <w:color w:val="auto"/>
          <w:sz w:val="32"/>
          <w:szCs w:val="32"/>
        </w:rPr>
        <w:t>全新发展</w:t>
      </w:r>
      <w:r>
        <w:rPr>
          <w:rFonts w:hint="eastAsia" w:eastAsia="仿宋_GB2312"/>
          <w:sz w:val="32"/>
          <w:szCs w:val="32"/>
        </w:rPr>
        <w:t>和培育经济发展新动能的政策。</w:t>
      </w:r>
    </w:p>
    <w:p w14:paraId="20A1DFF3">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11、</w:t>
      </w:r>
      <w:r>
        <w:rPr>
          <w:rFonts w:hint="eastAsia" w:eastAsia="仿宋_GB2312"/>
          <w:sz w:val="32"/>
          <w:szCs w:val="32"/>
        </w:rPr>
        <w:t>贯彻实施国家、省、市</w:t>
      </w:r>
      <w:r>
        <w:rPr>
          <w:rFonts w:hint="eastAsia" w:eastAsia="仿宋_GB2312"/>
          <w:sz w:val="32"/>
          <w:szCs w:val="32"/>
          <w:lang w:eastAsia="zh-CN"/>
        </w:rPr>
        <w:t>、县</w:t>
      </w:r>
      <w:r>
        <w:rPr>
          <w:rFonts w:hint="eastAsia" w:eastAsia="仿宋_GB2312"/>
          <w:sz w:val="32"/>
          <w:szCs w:val="32"/>
        </w:rPr>
        <w:t>价格方针政策和法律法规，编制和执行价格调整改革规划，提出年度价格总水平调控目标及价格调控措施并组织实施，管理国家、省、市</w:t>
      </w:r>
      <w:r>
        <w:rPr>
          <w:rFonts w:hint="eastAsia" w:eastAsia="仿宋_GB2312"/>
          <w:sz w:val="32"/>
          <w:szCs w:val="32"/>
          <w:lang w:eastAsia="zh-CN"/>
        </w:rPr>
        <w:t>、县</w:t>
      </w:r>
      <w:r>
        <w:rPr>
          <w:rFonts w:hint="eastAsia" w:eastAsia="仿宋_GB2312"/>
          <w:sz w:val="32"/>
          <w:szCs w:val="32"/>
        </w:rPr>
        <w:t>列名管理的商品和服务价格，监管实行市场调节价的商品和服务价格，承担行政事业性收费管理工作，负责全县价格成本调查监审、价格监测、价格认证等工作。</w:t>
      </w:r>
    </w:p>
    <w:p w14:paraId="7E08A4AB">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12、</w:t>
      </w:r>
      <w:r>
        <w:rPr>
          <w:rFonts w:hint="eastAsia" w:eastAsia="仿宋_GB2312"/>
          <w:sz w:val="32"/>
          <w:szCs w:val="32"/>
        </w:rPr>
        <w:t>负责拟订能源发展战略，拟订能源发展总体规划和行业规划、产业政策并组织实施，研究提出促进能源发展、实现总量平衡、提高能源保障、优化能源结构、推进能源节约的政策措施。负责能源行业管理，拟订能源行业标准和准入条件。监测能源发展情况，发布能源信息。</w:t>
      </w:r>
    </w:p>
    <w:p w14:paraId="35B5C382">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13、</w:t>
      </w:r>
      <w:r>
        <w:rPr>
          <w:rFonts w:hint="eastAsia" w:eastAsia="仿宋_GB2312"/>
          <w:sz w:val="32"/>
          <w:szCs w:val="32"/>
        </w:rPr>
        <w:t>会同有关部门加大革命老区、贫困地区经济发展重大政策的研究和争取，组织实施以工代赈、易地扶贫搬迁等。指导、协调、管理全县招标投标工作。统筹推进全县重点项目建设，统筹、协调全县铁路、机场建设</w:t>
      </w:r>
      <w:r>
        <w:rPr>
          <w:rFonts w:hint="eastAsia" w:eastAsia="仿宋_GB2312"/>
          <w:color w:val="auto"/>
          <w:sz w:val="32"/>
          <w:szCs w:val="32"/>
        </w:rPr>
        <w:t>。</w:t>
      </w:r>
      <w:r>
        <w:rPr>
          <w:rFonts w:hint="eastAsia" w:eastAsia="仿宋_GB2312"/>
          <w:sz w:val="32"/>
          <w:szCs w:val="32"/>
        </w:rPr>
        <w:t>承担国民经济和装备动员、实施西部大开发、推动长江经济带发展等工作。</w:t>
      </w:r>
    </w:p>
    <w:p w14:paraId="5765B910">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14、</w:t>
      </w:r>
      <w:r>
        <w:rPr>
          <w:rFonts w:hint="eastAsia" w:eastAsia="仿宋_GB2312"/>
          <w:sz w:val="32"/>
          <w:szCs w:val="32"/>
        </w:rPr>
        <w:t>完成县委、县政府交办的其他任务。</w:t>
      </w:r>
    </w:p>
    <w:p w14:paraId="6305CC7B">
      <w:pPr>
        <w:snapToGrid w:val="0"/>
        <w:spacing w:line="580" w:lineRule="exact"/>
        <w:ind w:firstLine="643" w:firstLineChars="200"/>
        <w:rPr>
          <w:rFonts w:hint="eastAsia" w:ascii="仿宋_GB2312" w:hAnsi="Arial" w:eastAsia="仿宋_GB2312" w:cs="Arial"/>
          <w:sz w:val="32"/>
          <w:szCs w:val="32"/>
          <w:lang w:val="ru-RU"/>
        </w:rPr>
      </w:pPr>
      <w:r>
        <w:rPr>
          <w:rFonts w:hint="eastAsia" w:eastAsia="仿宋_GB2312"/>
          <w:b/>
          <w:bCs/>
          <w:sz w:val="32"/>
          <w:szCs w:val="32"/>
          <w:lang w:val="en-US" w:eastAsia="zh-CN"/>
        </w:rPr>
        <w:t>15、</w:t>
      </w:r>
      <w:r>
        <w:rPr>
          <w:rFonts w:hint="eastAsia" w:ascii="仿宋_GB2312" w:hAnsi="Arial" w:eastAsia="仿宋_GB2312" w:cs="Arial"/>
          <w:sz w:val="32"/>
          <w:szCs w:val="32"/>
          <w:lang w:val="ru-RU"/>
        </w:rPr>
        <w:t>职能转变。</w:t>
      </w:r>
    </w:p>
    <w:p w14:paraId="49AA84B5">
      <w:pPr>
        <w:snapToGrid w:val="0"/>
        <w:spacing w:line="580" w:lineRule="exact"/>
        <w:ind w:firstLine="640" w:firstLineChars="200"/>
        <w:rPr>
          <w:rFonts w:hint="eastAsia" w:ascii="仿宋_GB2312" w:hAnsi="黑体" w:eastAsia="仿宋_GB2312" w:cs="黑体"/>
          <w:sz w:val="32"/>
          <w:szCs w:val="32"/>
          <w:lang w:val="ru-RU"/>
        </w:rPr>
      </w:pPr>
      <w:r>
        <w:rPr>
          <w:rFonts w:hint="eastAsia" w:ascii="仿宋_GB2312" w:hAnsi="黑体" w:eastAsia="仿宋_GB2312" w:cs="黑体"/>
          <w:sz w:val="32"/>
          <w:szCs w:val="32"/>
          <w:lang w:val="ru-RU"/>
        </w:rPr>
        <w:t>贯彻新发展理念，把主要精力转到管宏观、谋全局、抓大事上来，加强跨部门、跨地区、跨行业、跨领域的重大战略规划、重大改革、重大工程的综合协调，统筹全面创新改革，提高经济发展质量和效益。进一步减少微观管理事务和具体审批事项，最大限度减少政府对市场资源的直接配置，最大限度减少政府对市场活动的直接干预，提高资源配置效率和公平性，激发各类市场主体活力。</w:t>
      </w:r>
    </w:p>
    <w:p w14:paraId="101D3CAA">
      <w:pPr>
        <w:pStyle w:val="6"/>
        <w:adjustRightInd w:val="0"/>
        <w:snapToGrid w:val="0"/>
        <w:spacing w:before="93" w:line="600" w:lineRule="exact"/>
        <w:ind w:firstLine="675" w:firstLineChars="210"/>
        <w:outlineLvl w:val="2"/>
        <w:rPr>
          <w:rFonts w:hint="eastAsia" w:ascii="仿宋" w:hAnsi="仿宋" w:eastAsia="仿宋"/>
          <w:b/>
          <w:bCs w:val="0"/>
          <w:color w:val="000000"/>
          <w:sz w:val="32"/>
          <w:szCs w:val="32"/>
        </w:rPr>
      </w:pPr>
      <w:r>
        <w:rPr>
          <w:rFonts w:hint="eastAsia" w:ascii="仿宋" w:hAnsi="仿宋" w:eastAsia="仿宋"/>
          <w:b/>
          <w:bCs w:val="0"/>
          <w:color w:val="000000"/>
          <w:sz w:val="32"/>
          <w:szCs w:val="32"/>
        </w:rPr>
        <w:t>（二）2019年重点工作完成情况。</w:t>
      </w:r>
      <w:bookmarkEnd w:id="24"/>
      <w:bookmarkEnd w:id="25"/>
    </w:p>
    <w:p w14:paraId="3B19612E">
      <w:pPr>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firstLine="643"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楷体_GB2312" w:cs="Times New Roman"/>
          <w:b/>
          <w:sz w:val="32"/>
          <w:szCs w:val="32"/>
          <w:lang w:val="en-US" w:eastAsia="zh-CN"/>
        </w:rPr>
        <w:t>1、积极发挥参谋助手作用</w:t>
      </w:r>
      <w:r>
        <w:rPr>
          <w:rFonts w:hint="default" w:ascii="Times New Roman" w:hAnsi="Times New Roman" w:eastAsia="楷体_GB2312" w:cs="Times New Roman"/>
          <w:b/>
          <w:sz w:val="32"/>
          <w:szCs w:val="32"/>
        </w:rPr>
        <w:t>。</w:t>
      </w:r>
      <w:r>
        <w:rPr>
          <w:rFonts w:hint="eastAsia" w:ascii="Times New Roman" w:hAnsi="Times New Roman" w:eastAsia="楷体_GB2312" w:cs="Times New Roman"/>
          <w:b/>
          <w:sz w:val="32"/>
          <w:szCs w:val="32"/>
          <w:lang w:val="en-US" w:eastAsia="zh-CN"/>
        </w:rPr>
        <w:t>一是</w:t>
      </w:r>
      <w:r>
        <w:rPr>
          <w:rFonts w:hint="eastAsia" w:ascii="仿宋_GB2312" w:hAnsi="仿宋_GB2312" w:eastAsia="仿宋_GB2312" w:cs="仿宋_GB2312"/>
          <w:b/>
          <w:sz w:val="32"/>
          <w:szCs w:val="32"/>
          <w:lang w:val="en-US" w:eastAsia="zh-CN"/>
        </w:rPr>
        <w:t>完成了年度计划编制。</w:t>
      </w:r>
      <w:r>
        <w:rPr>
          <w:rFonts w:hint="eastAsia" w:ascii="Times New Roman" w:hAnsi="Times New Roman" w:eastAsia="仿宋_GB2312" w:cs="Times New Roman"/>
          <w:bCs/>
          <w:sz w:val="32"/>
          <w:szCs w:val="32"/>
          <w:lang w:val="en-US" w:eastAsia="zh-CN"/>
        </w:rPr>
        <w:t>完成</w:t>
      </w:r>
      <w:r>
        <w:rPr>
          <w:rFonts w:hint="default" w:ascii="Times New Roman" w:hAnsi="Times New Roman" w:eastAsia="仿宋_GB2312" w:cs="Times New Roman"/>
          <w:bCs/>
          <w:sz w:val="32"/>
          <w:szCs w:val="32"/>
        </w:rPr>
        <w:t>了《通江县2019年国民经济和社会发展计划》</w:t>
      </w:r>
      <w:r>
        <w:rPr>
          <w:rFonts w:hint="eastAsia" w:ascii="Times New Roman" w:hAnsi="Times New Roman" w:eastAsia="仿宋_GB2312" w:cs="Times New Roman"/>
          <w:bCs/>
          <w:sz w:val="32"/>
          <w:szCs w:val="32"/>
        </w:rPr>
        <w:t>《通江县201</w:t>
      </w:r>
      <w:r>
        <w:rPr>
          <w:rFonts w:hint="eastAsia" w:ascii="Times New Roman" w:hAnsi="Times New Roman" w:eastAsia="仿宋_GB2312" w:cs="Times New Roman"/>
          <w:bCs/>
          <w:sz w:val="32"/>
          <w:szCs w:val="32"/>
          <w:lang w:val="en-US" w:eastAsia="zh-CN"/>
        </w:rPr>
        <w:t>9</w:t>
      </w:r>
      <w:r>
        <w:rPr>
          <w:rFonts w:hint="eastAsia" w:ascii="Times New Roman" w:hAnsi="Times New Roman" w:eastAsia="仿宋_GB2312" w:cs="Times New Roman"/>
          <w:bCs/>
          <w:sz w:val="32"/>
          <w:szCs w:val="32"/>
        </w:rPr>
        <w:t>年</w:t>
      </w:r>
      <w:r>
        <w:rPr>
          <w:rFonts w:hint="eastAsia" w:ascii="Times New Roman" w:hAnsi="Times New Roman" w:eastAsia="仿宋_GB2312" w:cs="Times New Roman"/>
          <w:bCs/>
          <w:sz w:val="32"/>
          <w:szCs w:val="32"/>
          <w:lang w:val="en-US" w:eastAsia="zh-CN"/>
        </w:rPr>
        <w:t>1-8月</w:t>
      </w:r>
      <w:r>
        <w:rPr>
          <w:rFonts w:hint="eastAsia" w:ascii="Times New Roman" w:hAnsi="Times New Roman" w:eastAsia="仿宋_GB2312" w:cs="Times New Roman"/>
          <w:bCs/>
          <w:sz w:val="32"/>
          <w:szCs w:val="32"/>
        </w:rPr>
        <w:t>国民经济和社会发展计划执行情况</w:t>
      </w:r>
      <w:r>
        <w:rPr>
          <w:rFonts w:hint="eastAsia" w:ascii="Times New Roman" w:hAnsi="Times New Roman" w:eastAsia="仿宋_GB2312" w:cs="Times New Roman"/>
          <w:bCs/>
          <w:sz w:val="32"/>
          <w:szCs w:val="32"/>
          <w:lang w:val="en-US" w:eastAsia="zh-CN"/>
        </w:rPr>
        <w:t>的</w:t>
      </w:r>
      <w:r>
        <w:rPr>
          <w:rFonts w:hint="eastAsia" w:ascii="Times New Roman" w:hAnsi="Times New Roman" w:eastAsia="仿宋_GB2312" w:cs="Times New Roman"/>
          <w:bCs/>
          <w:sz w:val="32"/>
          <w:szCs w:val="32"/>
        </w:rPr>
        <w:t>报告</w:t>
      </w:r>
      <w:r>
        <w:rPr>
          <w:rFonts w:hint="eastAsia" w:ascii="Times New Roman" w:hAns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并提交县十八届人大审议通过；印发了</w:t>
      </w:r>
      <w:r>
        <w:rPr>
          <w:rFonts w:hint="default" w:ascii="Times New Roman" w:hAnsi="Times New Roman" w:eastAsia="仿宋_GB2312" w:cs="Times New Roman"/>
          <w:bCs/>
          <w:sz w:val="32"/>
          <w:szCs w:val="32"/>
        </w:rPr>
        <w:t>《通江县2019年重点项目建设计划》《通江县川陕革命老区振兴发展重点工作推进方案》《2019年全县经济工作要点》等工作计划</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制定了年度经济社会发展的各项指标</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
          <w:bCs w:val="0"/>
          <w:sz w:val="32"/>
          <w:szCs w:val="32"/>
          <w:lang w:val="en-US" w:eastAsia="zh-CN"/>
        </w:rPr>
        <w:t>二是</w:t>
      </w:r>
      <w:r>
        <w:rPr>
          <w:rFonts w:hint="eastAsia" w:ascii="仿宋_GB2312" w:hAnsi="仿宋_GB2312" w:eastAsia="仿宋_GB2312" w:cs="仿宋_GB2312"/>
          <w:b/>
          <w:sz w:val="32"/>
          <w:szCs w:val="32"/>
          <w:lang w:val="en-US" w:eastAsia="zh-CN"/>
        </w:rPr>
        <w:t>积极做好经济运行监测。</w:t>
      </w:r>
      <w:r>
        <w:rPr>
          <w:rFonts w:hint="default" w:ascii="Times New Roman" w:hAnsi="Times New Roman" w:eastAsia="仿宋_GB2312" w:cs="Times New Roman"/>
          <w:b w:val="0"/>
          <w:bCs/>
          <w:sz w:val="32"/>
          <w:szCs w:val="32"/>
        </w:rPr>
        <w:t>加强对宏观经济监测调度</w:t>
      </w: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cs="Times New Roman"/>
          <w:b w:val="0"/>
          <w:bCs/>
          <w:sz w:val="32"/>
          <w:szCs w:val="32"/>
          <w:lang w:val="en-US" w:eastAsia="zh-CN"/>
        </w:rPr>
        <w:t>按季召开全县经济形势分析会，</w:t>
      </w:r>
      <w:r>
        <w:rPr>
          <w:rFonts w:hint="default" w:ascii="Times New Roman" w:hAnsi="Times New Roman" w:eastAsia="仿宋_GB2312" w:cs="Times New Roman"/>
          <w:b w:val="0"/>
          <w:bCs/>
          <w:sz w:val="32"/>
          <w:szCs w:val="32"/>
        </w:rPr>
        <w:t>研判分析经济运行中的热点、难点问题</w:t>
      </w: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cs="Times New Roman"/>
          <w:bCs/>
          <w:sz w:val="32"/>
          <w:szCs w:val="32"/>
        </w:rPr>
        <w:t>提出有针对性、可操作的政策建议</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保障了经济社会的平稳发展。</w:t>
      </w:r>
      <w:r>
        <w:rPr>
          <w:rFonts w:hint="eastAsia" w:ascii="Times New Roman" w:hAnsi="Times New Roman" w:eastAsia="仿宋_GB2312" w:cs="Times New Roman"/>
          <w:b/>
          <w:bCs w:val="0"/>
          <w:sz w:val="32"/>
          <w:szCs w:val="32"/>
          <w:lang w:val="en-US" w:eastAsia="zh-CN"/>
        </w:rPr>
        <w:t>三是</w:t>
      </w:r>
      <w:r>
        <w:rPr>
          <w:rFonts w:hint="default" w:ascii="Times New Roman" w:hAnsi="Times New Roman" w:eastAsia="仿宋_GB2312" w:cs="Times New Roman"/>
          <w:b/>
          <w:bCs w:val="0"/>
          <w:sz w:val="32"/>
          <w:szCs w:val="32"/>
        </w:rPr>
        <w:t>启动了“十四五”规划前期工作</w:t>
      </w:r>
      <w:r>
        <w:rPr>
          <w:rFonts w:hint="default" w:ascii="Times New Roman" w:hAnsi="Times New Roman" w:eastAsia="仿宋_GB2312" w:cs="Times New Roman"/>
          <w:bCs/>
          <w:sz w:val="32"/>
          <w:szCs w:val="32"/>
        </w:rPr>
        <w:t>，编制上报了拟纳入国家和省规划的重点项目，围绕基础设施、产业发展、民生改善等方面，拟定前期研究课题</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
          <w:bCs/>
          <w:sz w:val="32"/>
          <w:szCs w:val="32"/>
          <w:lang w:val="en-US" w:eastAsia="zh-CN"/>
        </w:rPr>
        <w:t>四是积极</w:t>
      </w:r>
      <w:r>
        <w:rPr>
          <w:rFonts w:hint="eastAsia" w:ascii="Times New Roman" w:hAnsi="Times New Roman" w:eastAsia="仿宋_GB2312" w:cs="Times New Roman"/>
          <w:b/>
          <w:bCs w:val="0"/>
          <w:sz w:val="32"/>
          <w:szCs w:val="32"/>
        </w:rPr>
        <w:t>做好</w:t>
      </w:r>
      <w:r>
        <w:rPr>
          <w:rFonts w:hint="eastAsia" w:ascii="Times New Roman" w:hAnsi="Times New Roman" w:eastAsia="仿宋_GB2312" w:cs="Times New Roman"/>
          <w:b/>
          <w:bCs w:val="0"/>
          <w:sz w:val="32"/>
          <w:szCs w:val="32"/>
          <w:lang w:val="en-US" w:eastAsia="zh-CN"/>
        </w:rPr>
        <w:t>调查研究</w:t>
      </w:r>
      <w:r>
        <w:rPr>
          <w:rFonts w:hint="eastAsia" w:ascii="Times New Roman" w:hAnsi="Times New Roman" w:eastAsia="仿宋_GB2312" w:cs="Times New Roman"/>
          <w:b/>
          <w:bCs w:val="0"/>
          <w:sz w:val="32"/>
          <w:szCs w:val="32"/>
        </w:rPr>
        <w:t>。</w:t>
      </w:r>
      <w:r>
        <w:rPr>
          <w:rFonts w:hint="eastAsia" w:ascii="Times New Roman" w:hAnsi="Times New Roman" w:eastAsia="仿宋_GB2312" w:cs="Times New Roman"/>
          <w:bCs/>
          <w:sz w:val="32"/>
          <w:szCs w:val="32"/>
          <w:lang w:val="en-US" w:eastAsia="zh-CN"/>
        </w:rPr>
        <w:t>拟定了《通江县县域经济高质量发展实施意见》，围绕县域经济高质量发展，结合主题教育开展了调查研究，起草了《对规范推进东西部扶贫协作项目的思考》《整治政府性投资项目招标投标乱象对策探讨》《以项目工作为引领，推动通江经济社会发展提速增效》《以项目建设为抓手加快建设川陕革命老区振兴发展示范县》等一批高质量的调研报告。</w:t>
      </w:r>
      <w:r>
        <w:rPr>
          <w:rFonts w:hint="eastAsia" w:ascii="仿宋_GB2312" w:hAnsi="仿宋_GB2312" w:eastAsia="仿宋_GB2312" w:cs="仿宋_GB2312"/>
          <w:b w:val="0"/>
          <w:bCs/>
          <w:sz w:val="32"/>
          <w:szCs w:val="32"/>
          <w:lang w:val="en-US" w:eastAsia="zh-CN"/>
        </w:rPr>
        <w:t xml:space="preserve"> </w:t>
      </w:r>
    </w:p>
    <w:p w14:paraId="05B3DAC4">
      <w:pPr>
        <w:keepNext w:val="0"/>
        <w:keepLines w:val="0"/>
        <w:pageBreakBefore w:val="0"/>
        <w:pBdr>
          <w:top w:val="none" w:color="000000" w:sz="0" w:space="0"/>
          <w:left w:val="none" w:color="000000" w:sz="0" w:space="0"/>
          <w:bottom w:val="none" w:color="000000" w:sz="0" w:space="20"/>
          <w:right w:val="none" w:color="000000" w:sz="0" w:space="0"/>
        </w:pBdr>
        <w:kinsoku/>
        <w:wordWrap/>
        <w:overflowPunct/>
        <w:topLinePunct w:val="0"/>
        <w:autoSpaceDN w:val="0"/>
        <w:bidi w:val="0"/>
        <w:spacing w:line="550" w:lineRule="exact"/>
        <w:ind w:firstLine="648"/>
        <w:jc w:val="left"/>
        <w:textAlignment w:val="auto"/>
        <w:rPr>
          <w:rFonts w:hint="eastAsia" w:eastAsia="仿宋_GB2312" w:cs="Times New Roman"/>
          <w:bCs/>
          <w:sz w:val="32"/>
          <w:szCs w:val="32"/>
          <w:lang w:eastAsia="zh-CN"/>
        </w:rPr>
      </w:pPr>
      <w:r>
        <w:rPr>
          <w:rFonts w:hint="eastAsia" w:ascii="Times New Roman" w:hAnsi="Times New Roman" w:eastAsia="楷体_GB2312" w:cs="Times New Roman"/>
          <w:b/>
          <w:sz w:val="32"/>
          <w:szCs w:val="32"/>
          <w:lang w:val="en-US" w:eastAsia="zh-CN"/>
        </w:rPr>
        <w:t>2、</w:t>
      </w:r>
      <w:r>
        <w:rPr>
          <w:rFonts w:hint="default" w:ascii="Times New Roman" w:hAnsi="Times New Roman" w:eastAsia="楷体_GB2312" w:cs="Times New Roman"/>
          <w:b/>
          <w:sz w:val="32"/>
          <w:szCs w:val="32"/>
        </w:rPr>
        <w:t>协调推进重点项目工作。</w:t>
      </w:r>
      <w:r>
        <w:rPr>
          <w:rFonts w:hint="eastAsia" w:ascii="仿宋_GB2312" w:hAnsi="仿宋_GB2312" w:eastAsia="仿宋_GB2312" w:cs="仿宋_GB2312"/>
          <w:b/>
          <w:sz w:val="32"/>
          <w:szCs w:val="32"/>
          <w:lang w:val="en-US" w:eastAsia="zh-CN"/>
        </w:rPr>
        <w:t>一是积极谋划一批项目。</w:t>
      </w:r>
      <w:r>
        <w:rPr>
          <w:rFonts w:hint="eastAsia" w:ascii="Times New Roman" w:hAnsi="Times New Roman" w:eastAsia="楷体_GB2312" w:cs="Times New Roman"/>
          <w:b w:val="0"/>
          <w:bCs/>
          <w:sz w:val="32"/>
          <w:szCs w:val="32"/>
          <w:lang w:val="en-US" w:eastAsia="zh-CN"/>
        </w:rPr>
        <w:t>围绕</w:t>
      </w:r>
      <w:r>
        <w:rPr>
          <w:rFonts w:hint="default" w:ascii="Times New Roman" w:hAnsi="Times New Roman" w:eastAsia="仿宋_GB2312" w:cs="Times New Roman"/>
          <w:sz w:val="32"/>
          <w:szCs w:val="32"/>
        </w:rPr>
        <w:t>川陕革命老区振兴发展及国家出台的一系列稳投资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补短板措施</w:t>
      </w:r>
      <w:r>
        <w:rPr>
          <w:rFonts w:hint="eastAsia" w:ascii="Times New Roman" w:hAnsi="Times New Roman" w:eastAsia="仿宋_GB2312" w:cs="Times New Roman"/>
          <w:sz w:val="32"/>
          <w:szCs w:val="32"/>
          <w:lang w:val="en-US" w:eastAsia="zh-CN"/>
        </w:rPr>
        <w:t>和我县实际</w:t>
      </w:r>
      <w:r>
        <w:rPr>
          <w:rFonts w:hint="eastAsia" w:ascii="Times New Roman" w:hAnsi="Times New Roman" w:eastAsia="楷体_GB2312" w:cs="Times New Roman"/>
          <w:b w:val="0"/>
          <w:bCs/>
          <w:sz w:val="32"/>
          <w:szCs w:val="32"/>
          <w:lang w:val="en-US" w:eastAsia="zh-CN"/>
        </w:rPr>
        <w:t>，</w:t>
      </w:r>
      <w:r>
        <w:rPr>
          <w:rFonts w:hint="default" w:ascii="Times New Roman" w:hAnsi="Times New Roman" w:eastAsia="仿宋_GB2312" w:cs="Times New Roman"/>
          <w:b w:val="0"/>
          <w:bCs/>
          <w:sz w:val="32"/>
          <w:szCs w:val="32"/>
        </w:rPr>
        <w:t>扎实抓</w:t>
      </w:r>
      <w:r>
        <w:rPr>
          <w:rFonts w:hint="eastAsia" w:ascii="Times New Roman" w:hAnsi="Times New Roman" w:eastAsia="仿宋_GB2312" w:cs="Times New Roman"/>
          <w:b w:val="0"/>
          <w:bCs/>
          <w:sz w:val="32"/>
          <w:szCs w:val="32"/>
          <w:lang w:val="en-US" w:eastAsia="zh-CN"/>
        </w:rPr>
        <w:t>好</w:t>
      </w:r>
      <w:r>
        <w:rPr>
          <w:rFonts w:hint="default" w:ascii="Times New Roman" w:hAnsi="Times New Roman" w:eastAsia="仿宋_GB2312" w:cs="Times New Roman"/>
          <w:b w:val="0"/>
          <w:bCs/>
          <w:sz w:val="32"/>
          <w:szCs w:val="32"/>
        </w:rPr>
        <w:t>项目储备</w:t>
      </w: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cs="Times New Roman"/>
          <w:color w:val="auto"/>
          <w:sz w:val="32"/>
          <w:szCs w:val="32"/>
          <w:lang w:val="en-US" w:eastAsia="zh-CN"/>
        </w:rPr>
        <w:t>在市对县项目储备</w:t>
      </w:r>
      <w:r>
        <w:rPr>
          <w:rFonts w:hint="eastAsia" w:ascii="仿宋_GB2312" w:hAnsi="仿宋" w:eastAsia="仿宋_GB2312"/>
          <w:sz w:val="32"/>
          <w:szCs w:val="32"/>
        </w:rPr>
        <w:t>考核中名列</w:t>
      </w:r>
      <w:r>
        <w:rPr>
          <w:rFonts w:hint="eastAsia" w:ascii="仿宋_GB2312" w:hAnsi="仿宋" w:eastAsia="仿宋_GB2312"/>
          <w:sz w:val="32"/>
          <w:szCs w:val="32"/>
          <w:lang w:val="en-US" w:eastAsia="zh-CN"/>
        </w:rPr>
        <w:t>全市</w:t>
      </w:r>
      <w:r>
        <w:rPr>
          <w:rFonts w:hint="eastAsia" w:ascii="仿宋_GB2312" w:hAnsi="仿宋" w:eastAsia="仿宋_GB2312"/>
          <w:sz w:val="32"/>
          <w:szCs w:val="32"/>
        </w:rPr>
        <w:t>第</w:t>
      </w:r>
      <w:r>
        <w:rPr>
          <w:rFonts w:hint="eastAsia" w:ascii="仿宋_GB2312" w:hAnsi="仿宋" w:eastAsia="仿宋_GB2312"/>
          <w:sz w:val="32"/>
          <w:szCs w:val="32"/>
          <w:lang w:val="en-US" w:eastAsia="zh-CN"/>
        </w:rPr>
        <w:t>二。</w:t>
      </w:r>
      <w:r>
        <w:rPr>
          <w:rFonts w:hint="eastAsia" w:ascii="Times New Roman" w:hAnsi="Times New Roman" w:eastAsia="仿宋_GB2312" w:cs="Times New Roman"/>
          <w:b/>
          <w:sz w:val="32"/>
          <w:szCs w:val="32"/>
          <w:lang w:val="en-US" w:eastAsia="zh-CN"/>
        </w:rPr>
        <w:t>二是加快</w:t>
      </w:r>
      <w:r>
        <w:rPr>
          <w:rFonts w:hint="default" w:ascii="Times New Roman" w:hAnsi="Times New Roman" w:eastAsia="仿宋_GB2312" w:cs="Times New Roman"/>
          <w:b/>
          <w:sz w:val="32"/>
          <w:szCs w:val="32"/>
        </w:rPr>
        <w:t>推进</w:t>
      </w:r>
      <w:r>
        <w:rPr>
          <w:rFonts w:hint="eastAsia" w:ascii="Times New Roman" w:hAnsi="Times New Roman" w:eastAsia="仿宋_GB2312" w:cs="Times New Roman"/>
          <w:b/>
          <w:sz w:val="32"/>
          <w:szCs w:val="32"/>
          <w:lang w:val="en-US" w:eastAsia="zh-CN"/>
        </w:rPr>
        <w:t>一批</w:t>
      </w:r>
      <w:r>
        <w:rPr>
          <w:rFonts w:hint="default" w:ascii="Times New Roman" w:hAnsi="Times New Roman" w:eastAsia="仿宋_GB2312" w:cs="Times New Roman"/>
          <w:b/>
          <w:sz w:val="32"/>
          <w:szCs w:val="32"/>
        </w:rPr>
        <w:t>项目</w:t>
      </w:r>
      <w:r>
        <w:rPr>
          <w:rFonts w:hint="eastAsia" w:ascii="Times New Roman" w:hAnsi="Times New Roman" w:eastAsia="仿宋_GB2312" w:cs="Times New Roman"/>
          <w:b/>
          <w:sz w:val="32"/>
          <w:szCs w:val="32"/>
          <w:lang w:eastAsia="zh-CN"/>
        </w:rPr>
        <w:t>。</w:t>
      </w:r>
      <w:r>
        <w:rPr>
          <w:rFonts w:hint="eastAsia" w:ascii="Times New Roman" w:hAnsi="Times New Roman" w:eastAsia="仿宋_GB2312" w:cs="Times New Roman"/>
          <w:sz w:val="32"/>
          <w:szCs w:val="32"/>
          <w:lang w:val="en-US" w:eastAsia="zh-CN"/>
        </w:rPr>
        <w:t>巴万高速形成通车能力，壁州大道、东方广场、潘民路等项目竣工投入使用。在</w:t>
      </w:r>
      <w:r>
        <w:rPr>
          <w:rFonts w:hint="eastAsia" w:ascii="Times New Roman" w:hAnsi="Times New Roman" w:eastAsia="仿宋_GB2312" w:cs="Times New Roman"/>
          <w:sz w:val="32"/>
          <w:szCs w:val="32"/>
          <w:lang w:eastAsia="zh-CN"/>
        </w:rPr>
        <w:t>市对县重点项目考核中，项目推进名列全市第一。</w:t>
      </w:r>
      <w:r>
        <w:rPr>
          <w:rFonts w:hint="eastAsia" w:ascii="仿宋_GB2312" w:eastAsia="仿宋_GB2312"/>
          <w:b/>
          <w:bCs/>
          <w:sz w:val="32"/>
          <w:szCs w:val="32"/>
        </w:rPr>
        <w:t>振兴规划项目推进上</w:t>
      </w:r>
      <w:r>
        <w:rPr>
          <w:rFonts w:hint="eastAsia" w:ascii="仿宋_GB2312" w:eastAsia="仿宋_GB2312"/>
          <w:b/>
          <w:bCs/>
          <w:sz w:val="32"/>
          <w:szCs w:val="32"/>
          <w:lang w:val="en-US" w:eastAsia="zh-CN"/>
        </w:rPr>
        <w:t>,</w:t>
      </w:r>
      <w:r>
        <w:rPr>
          <w:rFonts w:hint="default" w:ascii="Times New Roman" w:hAnsi="Times New Roman" w:eastAsia="仿宋_GB2312" w:cs="Times New Roman"/>
          <w:color w:val="000000"/>
          <w:sz w:val="32"/>
          <w:szCs w:val="32"/>
        </w:rPr>
        <w:t>通江县唱歌石林国家AAAA级景区提升项目、通江县实验小学改扩建、</w:t>
      </w:r>
      <w:r>
        <w:rPr>
          <w:rFonts w:hint="eastAsia" w:eastAsia="仿宋_GB2312" w:cs="Times New Roman"/>
          <w:color w:val="000000"/>
          <w:sz w:val="32"/>
          <w:szCs w:val="32"/>
          <w:lang w:val="en-US" w:eastAsia="zh-CN"/>
        </w:rPr>
        <w:t>巴中市通江县乡镇卫生院中医馆建设项目</w:t>
      </w:r>
      <w:r>
        <w:rPr>
          <w:rFonts w:hint="default" w:ascii="Times New Roman" w:hAnsi="Times New Roman" w:eastAsia="仿宋_GB2312" w:cs="Times New Roman"/>
          <w:color w:val="000000"/>
          <w:sz w:val="32"/>
          <w:szCs w:val="32"/>
        </w:rPr>
        <w:t>等10个项目</w:t>
      </w:r>
      <w:r>
        <w:rPr>
          <w:rFonts w:hint="eastAsia" w:eastAsia="仿宋_GB2312" w:cs="Times New Roman"/>
          <w:color w:val="000000"/>
          <w:sz w:val="32"/>
          <w:szCs w:val="32"/>
          <w:lang w:val="en-US" w:eastAsia="zh-CN"/>
        </w:rPr>
        <w:t>已竣工</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b/>
          <w:sz w:val="32"/>
          <w:szCs w:val="32"/>
          <w:lang w:val="en-US" w:eastAsia="zh-CN"/>
        </w:rPr>
        <w:t>三是</w:t>
      </w:r>
      <w:r>
        <w:rPr>
          <w:rFonts w:hint="default" w:ascii="Times New Roman" w:hAnsi="Times New Roman" w:eastAsia="仿宋_GB2312" w:cs="Times New Roman"/>
          <w:b/>
          <w:sz w:val="32"/>
          <w:szCs w:val="32"/>
        </w:rPr>
        <w:t>切实加强项目监管</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定期梳理项目推进情况，及时督办项目单位，温馨提示县级挂联领导，累计发放督办通知50余份，温馨提示函30余次；开展招投标领域突出问题专项整治，</w:t>
      </w:r>
      <w:r>
        <w:rPr>
          <w:rFonts w:hint="default" w:ascii="Times New Roman" w:hAnsi="Times New Roman" w:eastAsia="仿宋_GB2312" w:cs="Times New Roman"/>
          <w:bCs/>
          <w:sz w:val="32"/>
          <w:szCs w:val="32"/>
        </w:rPr>
        <w:t>牵头对脱贫攻坚项目和政府投资项目招投标领域突出问题进行清理</w:t>
      </w:r>
      <w:r>
        <w:rPr>
          <w:rFonts w:hint="default" w:ascii="Times New Roman" w:hAnsi="Times New Roman" w:eastAsia="仿宋_GB2312" w:cs="Times New Roman"/>
          <w:sz w:val="32"/>
          <w:szCs w:val="32"/>
        </w:rPr>
        <w:t>；依法开展招投标监管，</w:t>
      </w:r>
      <w:r>
        <w:rPr>
          <w:rFonts w:hint="default" w:ascii="Times New Roman" w:hAnsi="Times New Roman" w:eastAsia="仿宋_GB2312" w:cs="Times New Roman"/>
          <w:bCs/>
          <w:sz w:val="32"/>
          <w:szCs w:val="32"/>
        </w:rPr>
        <w:t>对金额较大，要求比较复杂的招标文件严格审查，坚决杜绝招标人设置不合理的条件限制或者排斥潜在投标人</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
          <w:sz w:val="32"/>
          <w:szCs w:val="32"/>
          <w:lang w:val="en-US" w:eastAsia="zh-CN"/>
        </w:rPr>
        <w:t>四是</w:t>
      </w:r>
      <w:r>
        <w:rPr>
          <w:rFonts w:hint="default" w:ascii="Times New Roman" w:hAnsi="Times New Roman" w:eastAsia="仿宋_GB2312" w:cs="Times New Roman"/>
          <w:b/>
          <w:sz w:val="32"/>
          <w:szCs w:val="32"/>
        </w:rPr>
        <w:t>扎实抓好资金争取</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bCs/>
          <w:sz w:val="32"/>
          <w:szCs w:val="32"/>
        </w:rPr>
        <w:t>紧盯中央、省市政策</w:t>
      </w:r>
      <w:r>
        <w:rPr>
          <w:rFonts w:hint="eastAsia" w:ascii="Times New Roman" w:hAnsi="Times New Roman" w:eastAsia="仿宋_GB2312" w:cs="Times New Roman"/>
          <w:bCs/>
          <w:sz w:val="32"/>
          <w:szCs w:val="32"/>
          <w:lang w:val="en-US" w:eastAsia="zh-CN"/>
        </w:rPr>
        <w:t>投向</w:t>
      </w:r>
      <w:r>
        <w:rPr>
          <w:rFonts w:hint="default" w:ascii="Times New Roman" w:hAnsi="Times New Roman" w:eastAsia="仿宋_GB2312" w:cs="Times New Roman"/>
          <w:bCs/>
          <w:sz w:val="32"/>
          <w:szCs w:val="32"/>
        </w:rPr>
        <w:t>，积极与上级部门的沟通衔接</w:t>
      </w:r>
      <w:r>
        <w:rPr>
          <w:rFonts w:hint="eastAsia" w:eastAsia="仿宋_GB2312" w:cs="Times New Roman"/>
          <w:bCs/>
          <w:sz w:val="32"/>
          <w:szCs w:val="32"/>
          <w:lang w:eastAsia="zh-CN"/>
        </w:rPr>
        <w:t>。</w:t>
      </w:r>
    </w:p>
    <w:p w14:paraId="57C849B3">
      <w:pPr>
        <w:keepNext w:val="0"/>
        <w:keepLines w:val="0"/>
        <w:pageBreakBefore w:val="0"/>
        <w:pBdr>
          <w:top w:val="none" w:color="000000" w:sz="0" w:space="0"/>
          <w:left w:val="none" w:color="000000" w:sz="0" w:space="0"/>
          <w:bottom w:val="none" w:color="000000" w:sz="0" w:space="20"/>
          <w:right w:val="none" w:color="000000" w:sz="0" w:space="0"/>
        </w:pBdr>
        <w:kinsoku/>
        <w:wordWrap/>
        <w:overflowPunct/>
        <w:topLinePunct w:val="0"/>
        <w:autoSpaceDN w:val="0"/>
        <w:bidi w:val="0"/>
        <w:spacing w:line="550" w:lineRule="exact"/>
        <w:ind w:firstLine="648"/>
        <w:jc w:val="left"/>
        <w:textAlignment w:val="auto"/>
        <w:rPr>
          <w:rFonts w:hint="default" w:ascii="仿宋" w:hAnsi="仿宋" w:eastAsia="仿宋_GB2312" w:cs="仿宋_GB2312"/>
          <w:sz w:val="32"/>
          <w:szCs w:val="32"/>
          <w:lang w:val="en-US" w:eastAsia="zh-CN"/>
        </w:rPr>
      </w:pPr>
      <w:r>
        <w:rPr>
          <w:rFonts w:hint="eastAsia" w:ascii="Times New Roman" w:hAnsi="Times New Roman" w:eastAsia="楷体_GB2312" w:cs="Times New Roman"/>
          <w:b/>
          <w:sz w:val="32"/>
          <w:szCs w:val="32"/>
          <w:lang w:val="en-US" w:eastAsia="zh-CN"/>
        </w:rPr>
        <w:t>3、</w:t>
      </w:r>
      <w:r>
        <w:rPr>
          <w:rFonts w:hint="default" w:ascii="Times New Roman" w:hAnsi="Times New Roman" w:eastAsia="楷体_GB2312" w:cs="Times New Roman"/>
          <w:b/>
          <w:sz w:val="32"/>
          <w:szCs w:val="32"/>
        </w:rPr>
        <w:t>全面聚焦脱贫攻坚。</w:t>
      </w:r>
      <w:r>
        <w:rPr>
          <w:rFonts w:hint="default" w:ascii="Times New Roman" w:hAnsi="Times New Roman" w:eastAsia="仿宋_GB2312" w:cs="Times New Roman"/>
          <w:b/>
          <w:bCs/>
          <w:sz w:val="32"/>
          <w:szCs w:val="32"/>
        </w:rPr>
        <w:t>易地扶贫搬迁方面</w:t>
      </w:r>
      <w:r>
        <w:rPr>
          <w:rFonts w:hint="default" w:ascii="Times New Roman" w:hAnsi="Times New Roman" w:eastAsia="仿宋_GB2312" w:cs="Times New Roman"/>
          <w:sz w:val="32"/>
          <w:szCs w:val="32"/>
        </w:rPr>
        <w:t>，全面完成</w:t>
      </w:r>
      <w:r>
        <w:rPr>
          <w:rFonts w:hint="default" w:ascii="Times New Roman" w:hAnsi="Times New Roman" w:eastAsia="仿宋_GB2312" w:cs="Times New Roman"/>
          <w:sz w:val="32"/>
          <w:szCs w:val="32"/>
          <w:lang w:val="en-US" w:eastAsia="zh-CN"/>
        </w:rPr>
        <w:t>2019年</w:t>
      </w:r>
      <w:r>
        <w:rPr>
          <w:rFonts w:hint="default" w:ascii="Times New Roman" w:hAnsi="Times New Roman" w:eastAsia="仿宋_GB2312" w:cs="Times New Roman"/>
          <w:sz w:val="32"/>
          <w:szCs w:val="32"/>
        </w:rPr>
        <w:t>1041户3500人的建设任务，</w:t>
      </w:r>
      <w:r>
        <w:rPr>
          <w:rFonts w:hint="eastAsia" w:ascii="Times New Roman" w:hAnsi="Times New Roman" w:eastAsia="仿宋_GB2312" w:cs="Times New Roman"/>
          <w:sz w:val="32"/>
          <w:szCs w:val="32"/>
          <w:lang w:val="en-US" w:eastAsia="zh-CN"/>
        </w:rPr>
        <w:t>新建道路、饮水管网、安全饮水池、卫生室、文化室、活动室，改建（维修）道路、卫生室、文化室、活动室</w:t>
      </w:r>
      <w:r>
        <w:rPr>
          <w:rFonts w:hint="default" w:ascii="Times New Roman" w:hAnsi="Times New Roman" w:eastAsia="仿宋_GB2312" w:cs="Times New Roman"/>
          <w:sz w:val="32"/>
          <w:szCs w:val="32"/>
        </w:rPr>
        <w:t>，完成投资</w:t>
      </w:r>
      <w:r>
        <w:rPr>
          <w:rFonts w:hint="default" w:ascii="Times New Roman" w:hAnsi="Times New Roman" w:eastAsia="仿宋" w:cs="Times New Roman"/>
          <w:color w:val="000000"/>
          <w:sz w:val="32"/>
          <w:szCs w:val="32"/>
        </w:rPr>
        <w:t>19759万</w:t>
      </w:r>
      <w:r>
        <w:rPr>
          <w:rFonts w:hint="eastAsia" w:eastAsia="仿宋" w:cs="Times New Roman"/>
          <w:color w:val="000000"/>
          <w:sz w:val="32"/>
          <w:szCs w:val="32"/>
          <w:lang w:eastAsia="zh-CN"/>
        </w:rPr>
        <w:t>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_GB2312" w:cs="Times New Roman"/>
          <w:sz w:val="32"/>
          <w:szCs w:val="32"/>
        </w:rPr>
        <w:t>开展了易地扶贫搬迁“两不愁三保障”回头看大排查，</w:t>
      </w:r>
      <w:r>
        <w:rPr>
          <w:rFonts w:hint="default" w:ascii="Times New Roman" w:hAnsi="Times New Roman" w:eastAsia="仿宋_GB2312" w:cs="Times New Roman"/>
          <w:sz w:val="32"/>
          <w:szCs w:val="32"/>
          <w:lang w:val="en-US" w:eastAsia="zh-CN"/>
        </w:rPr>
        <w:t>对发现的问题已全部完成整改；</w:t>
      </w:r>
      <w:r>
        <w:rPr>
          <w:rFonts w:hint="default" w:ascii="Times New Roman" w:hAnsi="Times New Roman" w:eastAsia="仿宋_GB2312" w:cs="Times New Roman"/>
          <w:sz w:val="32"/>
          <w:szCs w:val="32"/>
        </w:rPr>
        <w:t>举办了</w:t>
      </w:r>
      <w:r>
        <w:rPr>
          <w:rFonts w:hint="default" w:ascii="Times New Roman" w:hAnsi="Times New Roman" w:eastAsia="仿宋_GB2312" w:cs="Times New Roman"/>
          <w:color w:val="000000"/>
          <w:sz w:val="32"/>
          <w:szCs w:val="32"/>
        </w:rPr>
        <w:t>易地扶贫搬迁专题培训7次，共计2652人次。同时，</w:t>
      </w:r>
      <w:r>
        <w:rPr>
          <w:rFonts w:hint="default" w:ascii="Times New Roman" w:hAnsi="Times New Roman" w:eastAsia="仿宋_GB2312" w:cs="Times New Roman"/>
          <w:color w:val="000000"/>
          <w:sz w:val="32"/>
          <w:szCs w:val="32"/>
          <w:lang w:val="en-US" w:eastAsia="zh-CN"/>
        </w:rPr>
        <w:t>通过产业后续扶持，</w:t>
      </w:r>
      <w:r>
        <w:rPr>
          <w:rFonts w:hint="default" w:ascii="Times New Roman" w:hAnsi="Times New Roman" w:eastAsia="仿宋_GB2312" w:cs="Times New Roman"/>
          <w:sz w:val="32"/>
          <w:szCs w:val="32"/>
          <w:lang w:val="en-US" w:eastAsia="zh-CN"/>
        </w:rPr>
        <w:t>切实</w:t>
      </w:r>
      <w:r>
        <w:rPr>
          <w:rFonts w:hint="default" w:ascii="Times New Roman" w:hAnsi="Times New Roman" w:eastAsia="仿宋_GB2312" w:cs="Times New Roman"/>
          <w:sz w:val="32"/>
          <w:szCs w:val="32"/>
        </w:rPr>
        <w:t>增强</w:t>
      </w:r>
      <w:r>
        <w:rPr>
          <w:rFonts w:hint="default" w:ascii="Times New Roman" w:hAnsi="Times New Roman" w:eastAsia="仿宋_GB2312" w:cs="Times New Roman"/>
          <w:sz w:val="32"/>
          <w:szCs w:val="32"/>
          <w:lang w:val="en-US" w:eastAsia="zh-CN"/>
        </w:rPr>
        <w:t>了搬迁户</w:t>
      </w:r>
      <w:r>
        <w:rPr>
          <w:rFonts w:hint="default" w:ascii="Times New Roman" w:hAnsi="Times New Roman" w:eastAsia="仿宋_GB2312" w:cs="Times New Roman"/>
          <w:sz w:val="32"/>
          <w:szCs w:val="32"/>
        </w:rPr>
        <w:t>增收造血功能</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b/>
          <w:bCs/>
          <w:sz w:val="32"/>
          <w:szCs w:val="32"/>
        </w:rPr>
        <w:t>电力扶贫方面</w:t>
      </w:r>
      <w:r>
        <w:rPr>
          <w:rFonts w:hint="default" w:ascii="Times New Roman" w:hAnsi="Times New Roman" w:eastAsia="仿宋_GB2312" w:cs="Times New Roman"/>
          <w:sz w:val="32"/>
          <w:szCs w:val="32"/>
        </w:rPr>
        <w:t>，芝苞乡跳石坪村农网改造升级工程全面竣工并投入使用，新建（改造）了10千伏线路、10千伏配电变压器，新建（改造）低压线路。</w:t>
      </w:r>
      <w:r>
        <w:rPr>
          <w:rFonts w:hint="eastAsia"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rPr>
        <w:t>县贫困户、已脱贫户、非贫困户的生活用电全部达到了“一超六有”的生活用电标准。</w:t>
      </w:r>
      <w:r>
        <w:rPr>
          <w:rFonts w:hint="default" w:ascii="Times New Roman" w:hAnsi="Times New Roman" w:eastAsia="仿宋_GB2312" w:cs="Times New Roman"/>
          <w:b/>
          <w:bCs/>
          <w:sz w:val="32"/>
          <w:szCs w:val="32"/>
        </w:rPr>
        <w:t>东西部扶贫协作方面</w:t>
      </w:r>
      <w:r>
        <w:rPr>
          <w:rFonts w:hint="default" w:ascii="Times New Roman" w:hAnsi="Times New Roman" w:eastAsia="仿宋_GB2312" w:cs="Times New Roman"/>
          <w:sz w:val="32"/>
          <w:szCs w:val="32"/>
        </w:rPr>
        <w:t>，印发了《通江县东西部扶贫协作项目资金管理实施细则》《通江县东西部扶贫协作社会捐赠资金（物资）使用管理办法（试行）》及《通江县承接东部产业转移优惠政策（试行）》等文件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成功举办了“东西协作 携手奔康”—浙川两省蓝莓产业扶贫协作现场会，推广了</w:t>
      </w:r>
      <w:r>
        <w:rPr>
          <w:rFonts w:hint="default" w:ascii="Times New Roman" w:hAnsi="Times New Roman" w:eastAsia="仿宋_GB2312" w:cs="Times New Roman"/>
          <w:sz w:val="32"/>
          <w:szCs w:val="32"/>
          <w:lang w:eastAsia="zh-CN"/>
        </w:rPr>
        <w:t>《新农人+市场化+全链条打造电商扶贫通江模式》《结对遂昌电商，助力通江脱贫奔康》《“小蓝莓”撬动大产业，共筑脱贫致富路》</w:t>
      </w:r>
      <w:r>
        <w:rPr>
          <w:rFonts w:hint="default" w:ascii="Times New Roman" w:hAnsi="Times New Roman" w:eastAsia="仿宋_GB2312" w:cs="Times New Roman"/>
          <w:sz w:val="32"/>
          <w:szCs w:val="32"/>
          <w:lang w:val="en-US" w:eastAsia="zh-CN"/>
        </w:rPr>
        <w:t>等重要经验</w:t>
      </w:r>
      <w:r>
        <w:rPr>
          <w:rFonts w:hint="default" w:ascii="Times New Roman" w:hAnsi="Times New Roman" w:eastAsia="仿宋_GB2312" w:cs="Times New Roman"/>
          <w:sz w:val="32"/>
          <w:szCs w:val="32"/>
        </w:rPr>
        <w:t>，通过利益联结机制带动增收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同时，完成</w:t>
      </w:r>
      <w:r>
        <w:rPr>
          <w:rFonts w:hint="default" w:ascii="Times New Roman" w:hAnsi="Times New Roman" w:eastAsia="仿宋_GB2312" w:cs="Times New Roman"/>
          <w:sz w:val="32"/>
          <w:szCs w:val="32"/>
        </w:rPr>
        <w:t>2018年东西部扶贫协作项目竣工审计</w:t>
      </w:r>
      <w:r>
        <w:rPr>
          <w:rFonts w:hint="eastAsia" w:ascii="Times New Roman" w:hAnsi="Times New Roman" w:eastAsia="仿宋_GB2312" w:cs="Times New Roman"/>
          <w:sz w:val="32"/>
          <w:szCs w:val="32"/>
          <w:lang w:val="en-US" w:eastAsia="zh-CN"/>
        </w:rPr>
        <w:t>和2019年跟踪审计。</w:t>
      </w:r>
      <w:r>
        <w:rPr>
          <w:rFonts w:hint="eastAsia" w:ascii="Times New Roman" w:hAnsi="Times New Roman" w:eastAsia="仿宋_GB2312" w:cs="Times New Roman"/>
          <w:b/>
          <w:bCs/>
          <w:sz w:val="32"/>
          <w:szCs w:val="32"/>
          <w:lang w:val="en-US" w:eastAsia="zh-CN"/>
        </w:rPr>
        <w:t>驻村帮扶方面，</w:t>
      </w:r>
      <w:r>
        <w:rPr>
          <w:rFonts w:hint="eastAsia" w:ascii="仿宋_GB2312" w:hAnsi="仿宋_GB2312" w:eastAsia="仿宋_GB2312" w:cs="仿宋_GB2312"/>
          <w:color w:val="333333"/>
          <w:sz w:val="32"/>
          <w:szCs w:val="32"/>
        </w:rPr>
        <w:t>深入精准扶贫联系村龙凤场</w:t>
      </w:r>
      <w:r>
        <w:rPr>
          <w:rFonts w:hint="eastAsia" w:ascii="仿宋_GB2312" w:hAnsi="仿宋_GB2312" w:eastAsia="仿宋_GB2312" w:cs="仿宋_GB2312"/>
          <w:color w:val="333333"/>
          <w:sz w:val="32"/>
          <w:szCs w:val="32"/>
          <w:lang w:val="en-US" w:eastAsia="zh-CN"/>
        </w:rPr>
        <w:t>镇</w:t>
      </w:r>
      <w:r>
        <w:rPr>
          <w:rFonts w:hint="eastAsia" w:ascii="仿宋_GB2312" w:hAnsi="仿宋_GB2312" w:eastAsia="仿宋_GB2312" w:cs="仿宋_GB2312"/>
          <w:color w:val="333333"/>
          <w:sz w:val="32"/>
          <w:szCs w:val="32"/>
        </w:rPr>
        <w:t>柏垭子村、锣村溪村和董溪乡土墙坝村，帮助制定</w:t>
      </w:r>
      <w:r>
        <w:rPr>
          <w:rFonts w:hint="eastAsia" w:ascii="仿宋_GB2312" w:hAnsi="仿宋_GB2312" w:eastAsia="仿宋_GB2312" w:cs="仿宋_GB2312"/>
          <w:color w:val="333333"/>
          <w:sz w:val="32"/>
          <w:szCs w:val="32"/>
          <w:lang w:val="en-US" w:eastAsia="zh-CN"/>
        </w:rPr>
        <w:t>产业规划</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加强政策宣传，开展支部共建，助推联系帮扶村脱贫摘帽。通过局党组和全局干部职工的不懈努力，省三方评估和成效考核抽取的易地扶贫搬迁、东西部扶贫协作、电力扶贫顺利通过未发现任何问题，高质量完成了脱贫攻坚任务。</w:t>
      </w:r>
    </w:p>
    <w:p w14:paraId="5AA06593">
      <w:pPr>
        <w:keepNext w:val="0"/>
        <w:keepLines w:val="0"/>
        <w:pageBreakBefore w:val="0"/>
        <w:widowControl w:val="0"/>
        <w:numPr>
          <w:ilvl w:val="0"/>
          <w:numId w:val="0"/>
        </w:numPr>
        <w:pBdr>
          <w:top w:val="none" w:color="000000" w:sz="0" w:space="0"/>
          <w:left w:val="none" w:color="000000" w:sz="0" w:space="0"/>
          <w:bottom w:val="none" w:color="000000" w:sz="0" w:space="20"/>
          <w:right w:val="none" w:color="000000" w:sz="0" w:space="0"/>
        </w:pBdr>
        <w:kinsoku/>
        <w:wordWrap/>
        <w:overflowPunct/>
        <w:topLinePunct w:val="0"/>
        <w:autoSpaceDE/>
        <w:autoSpaceDN w:val="0"/>
        <w:bidi w:val="0"/>
        <w:adjustRightInd/>
        <w:snapToGrid/>
        <w:spacing w:line="550" w:lineRule="exact"/>
        <w:ind w:firstLine="643"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sz w:val="32"/>
          <w:szCs w:val="32"/>
          <w:lang w:val="en-US" w:eastAsia="zh-CN"/>
        </w:rPr>
        <w:t xml:space="preserve"> 4、</w:t>
      </w:r>
      <w:r>
        <w:rPr>
          <w:rFonts w:hint="default" w:ascii="Times New Roman" w:hAnsi="Times New Roman" w:eastAsia="楷体_GB2312" w:cs="Times New Roman"/>
          <w:b/>
          <w:bCs/>
          <w:color w:val="auto"/>
          <w:sz w:val="32"/>
          <w:szCs w:val="32"/>
          <w:highlight w:val="none"/>
          <w:lang w:val="en-US" w:eastAsia="zh-CN"/>
        </w:rPr>
        <w:t>做深做细价格工作。</w:t>
      </w:r>
      <w:r>
        <w:rPr>
          <w:rFonts w:hint="eastAsia" w:ascii="Times New Roman" w:hAnsi="Times New Roman" w:eastAsia="楷体_GB2312" w:cs="Times New Roman"/>
          <w:b/>
          <w:bCs/>
          <w:color w:val="auto"/>
          <w:sz w:val="32"/>
          <w:szCs w:val="32"/>
          <w:highlight w:val="none"/>
          <w:lang w:val="en-US" w:eastAsia="zh-CN"/>
        </w:rPr>
        <w:t>一是</w:t>
      </w:r>
      <w:r>
        <w:rPr>
          <w:rFonts w:hint="default" w:ascii="Times New Roman" w:hAnsi="Times New Roman" w:eastAsia="楷体_GB2312" w:cs="Times New Roman"/>
          <w:b/>
          <w:bCs/>
          <w:sz w:val="32"/>
          <w:szCs w:val="32"/>
          <w:highlight w:val="none"/>
          <w:lang w:val="en-US" w:eastAsia="zh-CN"/>
        </w:rPr>
        <w:t>加强市场监测，</w:t>
      </w:r>
      <w:r>
        <w:rPr>
          <w:rFonts w:hint="default" w:ascii="Times New Roman" w:hAnsi="Times New Roman" w:eastAsia="仿宋_GB2312" w:cs="Times New Roman"/>
          <w:sz w:val="32"/>
          <w:szCs w:val="32"/>
          <w:lang w:val="en-US" w:eastAsia="zh-CN"/>
        </w:rPr>
        <w:t>重点监测</w:t>
      </w:r>
      <w:r>
        <w:rPr>
          <w:rFonts w:hint="default" w:ascii="Times New Roman" w:hAnsi="Times New Roman" w:eastAsia="仿宋_GB2312" w:cs="Times New Roman"/>
          <w:sz w:val="32"/>
          <w:szCs w:val="32"/>
        </w:rPr>
        <w:t>粮、油、肉禽蛋、蔬菜等生活必需商品价格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严格执行价格监测报告制度，同时</w:t>
      </w:r>
      <w:r>
        <w:rPr>
          <w:rFonts w:hint="default" w:ascii="Times New Roman" w:hAnsi="Times New Roman" w:eastAsia="仿宋_GB2312" w:cs="Times New Roman"/>
          <w:sz w:val="32"/>
          <w:szCs w:val="32"/>
        </w:rPr>
        <w:t>积极协调配合做好2019年价格临时补贴工作</w:t>
      </w:r>
      <w:r>
        <w:rPr>
          <w:rFonts w:hint="default" w:ascii="Times New Roman" w:hAnsi="Times New Roman" w:eastAsia="仿宋_GB2312" w:cs="Times New Roman"/>
          <w:sz w:val="32"/>
          <w:szCs w:val="32"/>
          <w:lang w:eastAsia="zh-CN"/>
        </w:rPr>
        <w:t>。</w:t>
      </w:r>
      <w:r>
        <w:rPr>
          <w:rFonts w:hint="eastAsia" w:ascii="Times New Roman" w:hAnsi="Times New Roman" w:eastAsia="楷体_GB2312" w:cs="Times New Roman"/>
          <w:b/>
          <w:bCs/>
          <w:sz w:val="32"/>
          <w:szCs w:val="32"/>
          <w:highlight w:val="none"/>
          <w:lang w:val="en-US" w:eastAsia="zh-CN"/>
        </w:rPr>
        <w:t>二是</w:t>
      </w:r>
      <w:r>
        <w:rPr>
          <w:rFonts w:hint="default" w:ascii="Times New Roman" w:hAnsi="Times New Roman" w:eastAsia="仿宋_GB2312" w:cs="Times New Roman"/>
          <w:b/>
          <w:bCs/>
          <w:sz w:val="32"/>
          <w:szCs w:val="32"/>
        </w:rPr>
        <w:t>深化价格机制改革</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组织开展</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行政事业性收费清理，完成县级涉企收费清单动态调整和公示</w:t>
      </w:r>
      <w:r>
        <w:rPr>
          <w:rFonts w:hint="default" w:ascii="Times New Roman" w:hAnsi="Times New Roman" w:eastAsia="仿宋_GB2312" w:cs="Times New Roman"/>
          <w:sz w:val="32"/>
          <w:szCs w:val="32"/>
          <w:lang w:val="en-US" w:eastAsia="zh-CN"/>
        </w:rPr>
        <w:t>工作。</w:t>
      </w:r>
      <w:r>
        <w:rPr>
          <w:rFonts w:hint="eastAsia"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bCs/>
          <w:sz w:val="32"/>
          <w:szCs w:val="32"/>
        </w:rPr>
        <w:t>开展违规收取水电气户头费专项整治</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研究制定了《通江县违规收取水电气户头费专项整治实施方案》，及时将专项整治工作进行了分工和细化，</w:t>
      </w:r>
      <w:r>
        <w:rPr>
          <w:rFonts w:hint="eastAsia" w:ascii="Times New Roman" w:hAnsi="Times New Roman" w:eastAsia="仿宋_GB2312" w:cs="Times New Roman"/>
          <w:sz w:val="32"/>
          <w:szCs w:val="32"/>
          <w:lang w:val="en-US" w:eastAsia="zh-CN"/>
        </w:rPr>
        <w:t>明确</w:t>
      </w:r>
      <w:r>
        <w:rPr>
          <w:rFonts w:hint="default" w:ascii="Times New Roman" w:hAnsi="Times New Roman" w:eastAsia="仿宋_GB2312" w:cs="Times New Roman"/>
          <w:sz w:val="32"/>
          <w:szCs w:val="32"/>
        </w:rPr>
        <w:t>了整治重点和工作要求，通过“企业自查-联合检查”等步骤稳步推进此次专项整治行动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b/>
          <w:bCs/>
          <w:sz w:val="32"/>
          <w:szCs w:val="32"/>
        </w:rPr>
        <w:t>积极做好成本监审</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完成箭口河停车场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课后服务收费成本监审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启动了</w:t>
      </w:r>
      <w:r>
        <w:rPr>
          <w:rFonts w:hint="default" w:ascii="Times New Roman" w:hAnsi="Times New Roman" w:eastAsia="仿宋_GB2312" w:cs="Times New Roman"/>
          <w:sz w:val="32"/>
          <w:szCs w:val="32"/>
        </w:rPr>
        <w:t>天然气配气价格成本调查前期工作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制定了《通江县非居民用水超定额累进加价制度实施方案》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lang w:val="en-US" w:eastAsia="zh-CN"/>
        </w:rPr>
        <w:t>五是依法开展</w:t>
      </w:r>
      <w:r>
        <w:rPr>
          <w:rFonts w:hint="default" w:ascii="Times New Roman" w:hAnsi="Times New Roman" w:eastAsia="仿宋_GB2312" w:cs="Times New Roman"/>
          <w:b/>
          <w:bCs/>
          <w:sz w:val="32"/>
          <w:szCs w:val="32"/>
        </w:rPr>
        <w:t>价格认定</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sz w:val="32"/>
          <w:szCs w:val="32"/>
        </w:rPr>
        <w:t>全年共受理涉案财物价格认定35件，认定金额17.86万元。</w:t>
      </w:r>
    </w:p>
    <w:p w14:paraId="1B6FC75F">
      <w:pPr>
        <w:keepNext w:val="0"/>
        <w:keepLines w:val="0"/>
        <w:pageBreakBefore w:val="0"/>
        <w:widowControl w:val="0"/>
        <w:numPr>
          <w:ilvl w:val="0"/>
          <w:numId w:val="0"/>
        </w:numPr>
        <w:pBdr>
          <w:top w:val="none" w:color="000000" w:sz="0" w:space="0"/>
          <w:left w:val="none" w:color="000000" w:sz="0" w:space="0"/>
          <w:bottom w:val="none" w:color="000000" w:sz="0" w:space="20"/>
          <w:right w:val="none" w:color="000000" w:sz="0" w:space="0"/>
        </w:pBdr>
        <w:kinsoku/>
        <w:wordWrap/>
        <w:overflowPunct/>
        <w:topLinePunct w:val="0"/>
        <w:autoSpaceDE/>
        <w:autoSpaceDN w:val="0"/>
        <w:bidi w:val="0"/>
        <w:adjustRightInd/>
        <w:snapToGrid/>
        <w:spacing w:line="550" w:lineRule="exact"/>
        <w:ind w:firstLine="643" w:firstLineChars="200"/>
        <w:jc w:val="left"/>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sz w:val="32"/>
          <w:szCs w:val="32"/>
          <w:lang w:val="en-US" w:eastAsia="zh-CN"/>
        </w:rPr>
        <w:t>5、不断深化体制改革。</w:t>
      </w:r>
      <w:r>
        <w:rPr>
          <w:rFonts w:hint="eastAsia" w:ascii="Times New Roman" w:hAnsi="Times New Roman" w:eastAsia="仿宋_GB2312" w:cs="Times New Roman"/>
          <w:b w:val="0"/>
          <w:bCs w:val="0"/>
          <w:color w:val="000000"/>
          <w:sz w:val="32"/>
          <w:szCs w:val="32"/>
          <w:lang w:val="en-US" w:eastAsia="zh-CN"/>
        </w:rPr>
        <w:t>全面落实《深入推广全面创新改革试验经验成果工作方案》要求，细化工作任务，落实工作责任，完善了通江县系统推进全面创新改革“六张清单，积极对接和争取全面创新改革各项政策；稳步推进</w:t>
      </w:r>
      <w:r>
        <w:rPr>
          <w:rFonts w:hint="eastAsia" w:ascii="Times New Roman" w:hAnsi="Times New Roman" w:eastAsia="仿宋_GB2312" w:cs="Times New Roman"/>
          <w:b w:val="0"/>
          <w:bCs w:val="0"/>
          <w:sz w:val="32"/>
          <w:szCs w:val="32"/>
        </w:rPr>
        <w:t>社会信用体系建设，</w:t>
      </w:r>
      <w:r>
        <w:rPr>
          <w:rFonts w:hint="eastAsia" w:ascii="Times New Roman" w:hAnsi="Times New Roman" w:eastAsia="仿宋_GB2312" w:cs="Times New Roman"/>
          <w:b w:val="0"/>
          <w:bCs w:val="0"/>
          <w:sz w:val="32"/>
          <w:szCs w:val="32"/>
          <w:lang w:val="en-US" w:eastAsia="zh-CN"/>
        </w:rPr>
        <w:t>出台了</w:t>
      </w:r>
      <w:r>
        <w:rPr>
          <w:rFonts w:hint="default" w:ascii="Times New Roman" w:hAnsi="Times New Roman" w:eastAsia="仿宋_GB2312" w:cs="Times New Roman"/>
          <w:b w:val="0"/>
          <w:bCs w:val="0"/>
          <w:sz w:val="32"/>
          <w:szCs w:val="32"/>
          <w:lang w:val="en-US" w:eastAsia="zh-CN"/>
        </w:rPr>
        <w:t>《通江县建立完善守信联合激励和失信联合惩戒制度加快推进社会诚信建设实施方案》</w:t>
      </w:r>
      <w:r>
        <w:rPr>
          <w:rFonts w:hint="eastAsia" w:ascii="Times New Roman" w:hAnsi="Times New Roman" w:eastAsia="仿宋_GB2312" w:cs="Times New Roman"/>
          <w:b w:val="0"/>
          <w:bCs w:val="0"/>
          <w:sz w:val="32"/>
          <w:szCs w:val="32"/>
          <w:lang w:val="en-US" w:eastAsia="zh-CN"/>
        </w:rPr>
        <w:t>和《通江县建立健全社会信用体系加快创建一流营商环境工作推进方案》，</w:t>
      </w:r>
      <w:r>
        <w:rPr>
          <w:rFonts w:hint="default" w:ascii="Times New Roman" w:hAnsi="Times New Roman" w:eastAsia="仿宋_GB2312" w:cs="Times New Roman"/>
          <w:b w:val="0"/>
          <w:bCs w:val="0"/>
          <w:sz w:val="32"/>
          <w:szCs w:val="32"/>
          <w:lang w:val="en-US" w:eastAsia="zh-CN"/>
        </w:rPr>
        <w:t>开展</w:t>
      </w:r>
      <w:r>
        <w:rPr>
          <w:rFonts w:hint="eastAsia" w:ascii="Times New Roman" w:hAnsi="Times New Roman" w:eastAsia="仿宋_GB2312" w:cs="Times New Roman"/>
          <w:b w:val="0"/>
          <w:bCs w:val="0"/>
          <w:sz w:val="32"/>
          <w:szCs w:val="32"/>
          <w:lang w:val="en-US" w:eastAsia="zh-CN"/>
        </w:rPr>
        <w:t>了</w:t>
      </w:r>
      <w:r>
        <w:rPr>
          <w:rFonts w:hint="default" w:ascii="Times New Roman" w:hAnsi="Times New Roman" w:eastAsia="仿宋_GB2312" w:cs="Times New Roman"/>
          <w:b w:val="0"/>
          <w:bCs w:val="0"/>
          <w:sz w:val="32"/>
          <w:szCs w:val="32"/>
          <w:lang w:val="en-US" w:eastAsia="zh-CN"/>
        </w:rPr>
        <w:t>“红黑名单”认定</w:t>
      </w:r>
      <w:r>
        <w:rPr>
          <w:rFonts w:hint="eastAsia"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lang w:val="en-US" w:eastAsia="zh-CN"/>
        </w:rPr>
        <w:t>政府机构失信领域的专项治理</w:t>
      </w:r>
      <w:r>
        <w:rPr>
          <w:rFonts w:hint="eastAsia" w:ascii="Times New Roman" w:hAnsi="Times New Roman" w:eastAsia="仿宋_GB2312" w:cs="Times New Roman"/>
          <w:b w:val="0"/>
          <w:bCs w:val="0"/>
          <w:sz w:val="32"/>
          <w:szCs w:val="32"/>
          <w:lang w:val="en-US" w:eastAsia="zh-CN"/>
        </w:rPr>
        <w:t>工作，</w:t>
      </w:r>
      <w:r>
        <w:rPr>
          <w:rFonts w:hint="default" w:ascii="Times New Roman" w:hAnsi="Times New Roman" w:eastAsia="仿宋_GB2312" w:cs="Times New Roman"/>
          <w:b w:val="0"/>
          <w:bCs w:val="0"/>
          <w:sz w:val="32"/>
          <w:szCs w:val="32"/>
          <w:lang w:val="en-US" w:eastAsia="zh-CN"/>
        </w:rPr>
        <w:t>累计</w:t>
      </w:r>
      <w:r>
        <w:rPr>
          <w:rFonts w:hint="eastAsia" w:ascii="Times New Roman" w:hAnsi="Times New Roman" w:eastAsia="仿宋_GB2312" w:cs="Times New Roman"/>
          <w:b w:val="0"/>
          <w:bCs w:val="0"/>
          <w:sz w:val="32"/>
          <w:szCs w:val="32"/>
          <w:lang w:val="en-US" w:eastAsia="zh-CN"/>
        </w:rPr>
        <w:t>向信用中国推送</w:t>
      </w:r>
      <w:r>
        <w:rPr>
          <w:rFonts w:hint="default" w:ascii="Times New Roman" w:hAnsi="Times New Roman" w:eastAsia="仿宋_GB2312" w:cs="Times New Roman"/>
          <w:b w:val="0"/>
          <w:bCs w:val="0"/>
          <w:sz w:val="32"/>
          <w:szCs w:val="32"/>
          <w:lang w:val="en-US" w:eastAsia="zh-CN"/>
        </w:rPr>
        <w:t>信用信息4万余条</w:t>
      </w:r>
      <w:r>
        <w:rPr>
          <w:rFonts w:hint="eastAsia" w:ascii="Times New Roman" w:hAnsi="Times New Roman" w:eastAsia="仿宋_GB2312" w:cs="Times New Roman"/>
          <w:b w:val="0"/>
          <w:bCs w:val="0"/>
          <w:color w:val="000000"/>
          <w:sz w:val="32"/>
          <w:szCs w:val="32"/>
          <w:lang w:val="en-US" w:eastAsia="zh-CN"/>
        </w:rPr>
        <w:t>；进一步</w:t>
      </w:r>
      <w:r>
        <w:rPr>
          <w:rFonts w:hint="default" w:ascii="Times New Roman" w:hAnsi="Times New Roman" w:eastAsia="仿宋_GB2312" w:cs="Times New Roman"/>
          <w:b w:val="0"/>
          <w:bCs w:val="0"/>
          <w:color w:val="000000"/>
          <w:sz w:val="32"/>
          <w:szCs w:val="32"/>
          <w:lang w:val="en-US" w:eastAsia="zh-CN"/>
        </w:rPr>
        <w:t>优化行政审批</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推</w:t>
      </w:r>
      <w:r>
        <w:rPr>
          <w:rFonts w:hint="default" w:ascii="Times New Roman" w:hAnsi="Times New Roman" w:eastAsia="仿宋_GB2312" w:cs="Times New Roman"/>
          <w:sz w:val="32"/>
          <w:szCs w:val="32"/>
          <w:lang w:eastAsia="zh-CN"/>
        </w:rPr>
        <w:t>行“马上办、网上办、就近办、一次办”“最多跑一次”和“全程网办”，建立并联审批制度，</w:t>
      </w:r>
      <w:r>
        <w:rPr>
          <w:rFonts w:hint="default" w:ascii="Times New Roman" w:hAnsi="Times New Roman" w:eastAsia="仿宋_GB2312" w:cs="Times New Roman"/>
          <w:sz w:val="32"/>
          <w:szCs w:val="32"/>
        </w:rPr>
        <w:t>全面推行投资项目网上在线审批监管，取消企业备案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办理周期由20个工作日缩短到13个工作日</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sz w:val="32"/>
          <w:szCs w:val="32"/>
          <w:lang w:val="en-US" w:eastAsia="zh-CN"/>
        </w:rPr>
        <w:t>按照</w:t>
      </w:r>
      <w:r>
        <w:rPr>
          <w:rFonts w:hint="default" w:ascii="Times New Roman" w:hAnsi="Times New Roman" w:eastAsia="仿宋_GB2312" w:cs="Times New Roman"/>
          <w:bCs/>
          <w:sz w:val="32"/>
          <w:szCs w:val="32"/>
        </w:rPr>
        <w:t>《巴中市市发改委关于进一步加强政府投资工程建设项目招标投标监管工作的通知》</w:t>
      </w:r>
      <w:r>
        <w:rPr>
          <w:rFonts w:hint="eastAsia" w:ascii="Times New Roman" w:hAnsi="Times New Roman" w:eastAsia="仿宋_GB2312" w:cs="Times New Roman"/>
          <w:bCs/>
          <w:sz w:val="32"/>
          <w:szCs w:val="32"/>
          <w:lang w:val="en-US" w:eastAsia="zh-CN"/>
        </w:rPr>
        <w:t>要求，取消</w:t>
      </w:r>
      <w:r>
        <w:rPr>
          <w:rFonts w:hint="default" w:ascii="Times New Roman" w:hAnsi="Times New Roman" w:eastAsia="仿宋_GB2312" w:cs="Times New Roman"/>
          <w:sz w:val="32"/>
          <w:szCs w:val="32"/>
          <w:lang w:val="en-US" w:eastAsia="zh-CN"/>
        </w:rPr>
        <w:t>政府性投资项目招标文件事前备案</w:t>
      </w:r>
      <w:r>
        <w:rPr>
          <w:rFonts w:hint="eastAsia" w:ascii="Times New Roman" w:hAnsi="Times New Roman" w:eastAsia="仿宋_GB2312" w:cs="Times New Roman"/>
          <w:snapToGrid w:val="0"/>
          <w:spacing w:val="10"/>
          <w:sz w:val="32"/>
          <w:szCs w:val="32"/>
          <w:lang w:eastAsia="zh-CN"/>
        </w:rPr>
        <w:t>；</w:t>
      </w:r>
      <w:r>
        <w:rPr>
          <w:rFonts w:hint="eastAsia" w:ascii="Times New Roman" w:hAnsi="Times New Roman" w:eastAsia="仿宋_GB2312" w:cs="Times New Roman"/>
          <w:snapToGrid w:val="0"/>
          <w:spacing w:val="10"/>
          <w:sz w:val="32"/>
          <w:szCs w:val="32"/>
          <w:lang w:val="en-US" w:eastAsia="zh-CN"/>
        </w:rPr>
        <w:t>持续推进</w:t>
      </w:r>
      <w:r>
        <w:rPr>
          <w:rFonts w:hint="default" w:ascii="Times New Roman" w:hAnsi="Times New Roman" w:eastAsia="仿宋_GB2312" w:cs="Times New Roman"/>
          <w:snapToGrid w:val="0"/>
          <w:spacing w:val="10"/>
          <w:sz w:val="32"/>
          <w:szCs w:val="32"/>
        </w:rPr>
        <w:t>公车制度改革工作，</w:t>
      </w:r>
      <w:r>
        <w:rPr>
          <w:rFonts w:hint="default" w:ascii="Times New Roman" w:hAnsi="Times New Roman" w:eastAsia="仿宋_GB2312" w:cs="Times New Roman"/>
          <w:snapToGrid w:val="0"/>
          <w:spacing w:val="10"/>
          <w:sz w:val="32"/>
          <w:szCs w:val="32"/>
          <w:lang w:val="en-US" w:eastAsia="zh-CN"/>
        </w:rPr>
        <w:t>完成了全县事业单位公务用车制度改革实施方案的批复</w:t>
      </w:r>
      <w:r>
        <w:rPr>
          <w:rFonts w:hint="default" w:ascii="Times New Roman" w:hAnsi="Times New Roman" w:eastAsia="仿宋_GB2312" w:cs="Times New Roman"/>
          <w:snapToGrid w:val="0"/>
          <w:spacing w:val="10"/>
          <w:sz w:val="32"/>
          <w:szCs w:val="32"/>
        </w:rPr>
        <w:t xml:space="preserve">。 </w:t>
      </w:r>
    </w:p>
    <w:p w14:paraId="4D457444">
      <w:pPr>
        <w:keepNext w:val="0"/>
        <w:keepLines w:val="0"/>
        <w:pageBreakBefore w:val="0"/>
        <w:widowControl w:val="0"/>
        <w:numPr>
          <w:ilvl w:val="0"/>
          <w:numId w:val="0"/>
        </w:numPr>
        <w:pBdr>
          <w:top w:val="none" w:color="000000" w:sz="0" w:space="0"/>
          <w:left w:val="none" w:color="000000" w:sz="0" w:space="0"/>
          <w:bottom w:val="none" w:color="000000" w:sz="0" w:space="20"/>
          <w:right w:val="none" w:color="000000" w:sz="0" w:space="0"/>
        </w:pBdr>
        <w:kinsoku/>
        <w:wordWrap/>
        <w:overflowPunct/>
        <w:topLinePunct w:val="0"/>
        <w:autoSpaceDE/>
        <w:autoSpaceDN w:val="0"/>
        <w:bidi w:val="0"/>
        <w:adjustRightInd/>
        <w:snapToGrid/>
        <w:spacing w:line="550" w:lineRule="exact"/>
        <w:ind w:firstLine="643" w:firstLineChars="200"/>
        <w:jc w:val="left"/>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楷体_GB2312" w:cs="Times New Roman"/>
          <w:b/>
          <w:sz w:val="32"/>
          <w:szCs w:val="32"/>
          <w:lang w:val="en-US" w:eastAsia="zh-CN"/>
        </w:rPr>
        <w:t>6、</w:t>
      </w:r>
      <w:r>
        <w:rPr>
          <w:rFonts w:hint="default" w:ascii="Times New Roman" w:hAnsi="Times New Roman" w:eastAsia="楷体_GB2312" w:cs="Times New Roman"/>
          <w:b/>
          <w:sz w:val="32"/>
          <w:szCs w:val="32"/>
          <w:lang w:val="en-US" w:eastAsia="zh-CN"/>
        </w:rPr>
        <w:t>持续</w:t>
      </w:r>
      <w:r>
        <w:rPr>
          <w:rFonts w:hint="default" w:ascii="Times New Roman" w:hAnsi="Times New Roman" w:eastAsia="楷体_GB2312" w:cs="Times New Roman"/>
          <w:b/>
          <w:sz w:val="32"/>
          <w:szCs w:val="32"/>
        </w:rPr>
        <w:t>加强</w:t>
      </w:r>
      <w:r>
        <w:rPr>
          <w:rFonts w:hint="eastAsia" w:ascii="Times New Roman" w:hAnsi="Times New Roman" w:eastAsia="楷体_GB2312" w:cs="Times New Roman"/>
          <w:b/>
          <w:sz w:val="32"/>
          <w:szCs w:val="32"/>
          <w:lang w:val="en-US" w:eastAsia="zh-CN"/>
        </w:rPr>
        <w:t>党的建设</w:t>
      </w:r>
      <w:r>
        <w:rPr>
          <w:rFonts w:hint="default" w:ascii="Times New Roman" w:hAnsi="Times New Roman" w:eastAsia="楷体_GB2312" w:cs="Times New Roman"/>
          <w:b/>
          <w:sz w:val="32"/>
          <w:szCs w:val="32"/>
        </w:rPr>
        <w:t>。</w:t>
      </w:r>
      <w:r>
        <w:rPr>
          <w:rFonts w:hint="eastAsia" w:ascii="仿宋_GB2312" w:hAnsi="仿宋_GB2312" w:eastAsia="仿宋_GB2312" w:cs="仿宋_GB2312"/>
          <w:b/>
          <w:sz w:val="32"/>
          <w:szCs w:val="32"/>
          <w:lang w:val="en-US" w:eastAsia="zh-CN"/>
        </w:rPr>
        <w:t>一是加强政治理论学习，</w:t>
      </w:r>
      <w:r>
        <w:rPr>
          <w:rFonts w:hint="default" w:ascii="Times New Roman" w:hAnsi="Times New Roman" w:eastAsia="仿宋_GB2312" w:cs="Times New Roman"/>
          <w:color w:val="000000"/>
          <w:sz w:val="32"/>
          <w:szCs w:val="32"/>
        </w:rPr>
        <w:t>常态化开展“两学一做”</w:t>
      </w:r>
      <w:r>
        <w:rPr>
          <w:rFonts w:hint="eastAsia" w:eastAsia="仿宋_GB2312" w:cs="Times New Roman"/>
          <w:color w:val="000000"/>
          <w:sz w:val="32"/>
          <w:szCs w:val="32"/>
          <w:lang w:val="en-US" w:eastAsia="zh-CN"/>
        </w:rPr>
        <w:t>学习</w:t>
      </w:r>
      <w:r>
        <w:rPr>
          <w:rFonts w:hint="default" w:ascii="Times New Roman" w:hAnsi="Times New Roman" w:eastAsia="仿宋_GB2312" w:cs="Times New Roman"/>
          <w:color w:val="000000"/>
          <w:sz w:val="32"/>
          <w:szCs w:val="32"/>
        </w:rPr>
        <w:t>教育，严</w:t>
      </w:r>
      <w:r>
        <w:rPr>
          <w:rFonts w:hint="default" w:ascii="Times New Roman" w:hAnsi="Times New Roman" w:eastAsia="仿宋_GB2312" w:cs="Times New Roman"/>
          <w:bCs/>
          <w:color w:val="000000"/>
          <w:sz w:val="32"/>
          <w:szCs w:val="32"/>
        </w:rPr>
        <w:t>格落实中心组学习制度和“三会一课”制度，</w:t>
      </w:r>
      <w:r>
        <w:rPr>
          <w:rFonts w:hint="default" w:ascii="Times New Roman" w:hAnsi="Times New Roman" w:eastAsia="仿宋_GB2312" w:cs="Times New Roman"/>
          <w:color w:val="000000"/>
          <w:sz w:val="32"/>
          <w:szCs w:val="32"/>
        </w:rPr>
        <w:t>持续深入学习党的十九大</w:t>
      </w:r>
      <w:r>
        <w:rPr>
          <w:rFonts w:hint="default" w:ascii="Times New Roman" w:hAnsi="Times New Roman" w:eastAsia="仿宋_GB2312" w:cs="Times New Roman"/>
          <w:color w:val="000000"/>
          <w:sz w:val="32"/>
          <w:szCs w:val="32"/>
          <w:lang w:val="en-US" w:eastAsia="zh-CN"/>
        </w:rPr>
        <w:t>及习近平总书记</w:t>
      </w:r>
      <w:r>
        <w:rPr>
          <w:rFonts w:hint="eastAsia" w:ascii="Times New Roman" w:hAnsi="Times New Roman" w:eastAsia="仿宋_GB2312" w:cs="Times New Roman"/>
          <w:color w:val="000000"/>
          <w:sz w:val="32"/>
          <w:szCs w:val="32"/>
          <w:lang w:val="en-US" w:eastAsia="zh-CN"/>
        </w:rPr>
        <w:t>系列重要讲话精神</w:t>
      </w:r>
      <w:r>
        <w:rPr>
          <w:rFonts w:hint="default" w:ascii="Times New Roman" w:hAnsi="Times New Roman" w:eastAsia="仿宋_GB2312" w:cs="Times New Roman"/>
          <w:color w:val="000000"/>
          <w:sz w:val="32"/>
          <w:szCs w:val="32"/>
        </w:rPr>
        <w:t>，通过政治理论学习，进一步深化干部思想，坚定政治站位，凝聚发展共识。</w:t>
      </w:r>
      <w:r>
        <w:rPr>
          <w:rFonts w:hint="eastAsia" w:ascii="仿宋_GB2312" w:hAnsi="仿宋_GB2312" w:eastAsia="仿宋_GB2312" w:cs="仿宋_GB2312"/>
          <w:b/>
          <w:sz w:val="32"/>
          <w:szCs w:val="32"/>
          <w:lang w:val="en-US" w:eastAsia="zh-CN"/>
        </w:rPr>
        <w:t>二是</w:t>
      </w:r>
      <w:r>
        <w:rPr>
          <w:rFonts w:hint="default" w:ascii="仿宋_GB2312" w:hAnsi="仿宋_GB2312" w:eastAsia="仿宋_GB2312" w:cs="仿宋_GB2312"/>
          <w:b/>
          <w:sz w:val="32"/>
          <w:szCs w:val="32"/>
          <w:lang w:val="en-US" w:eastAsia="zh-CN"/>
        </w:rPr>
        <w:t>认真落实党风廉政建设责任制，</w:t>
      </w:r>
      <w:r>
        <w:rPr>
          <w:rFonts w:hint="default" w:ascii="Times New Roman" w:hAnsi="Times New Roman" w:eastAsia="仿宋_GB2312" w:cs="Times New Roman"/>
          <w:color w:val="000000"/>
          <w:sz w:val="32"/>
          <w:szCs w:val="32"/>
        </w:rPr>
        <w:t>层层签订了“4+X”责任书，认真履行党风廉政建设“两个责任”，扎实推进“中梗阻”整治、</w:t>
      </w:r>
      <w:r>
        <w:rPr>
          <w:rFonts w:hint="default" w:ascii="Times New Roman" w:hAnsi="Times New Roman" w:eastAsia="仿宋_GB2312" w:cs="Times New Roman"/>
          <w:color w:val="000000"/>
          <w:sz w:val="32"/>
          <w:szCs w:val="32"/>
          <w:lang w:val="en-US" w:eastAsia="zh-CN"/>
        </w:rPr>
        <w:t>脱贫攻坚“纪律作风保障年”、蒲波违纪违法“以案促改”</w:t>
      </w:r>
      <w:r>
        <w:rPr>
          <w:rFonts w:hint="default" w:ascii="Times New Roman" w:hAnsi="Times New Roman" w:eastAsia="仿宋_GB2312" w:cs="Times New Roman"/>
          <w:color w:val="000000"/>
          <w:sz w:val="32"/>
          <w:szCs w:val="32"/>
        </w:rPr>
        <w:t>。深入开展廉政建设风险防控排查，落实防控措施，常态化开展警示教育，到巴中市警示教育基地</w:t>
      </w:r>
      <w:r>
        <w:rPr>
          <w:rFonts w:hint="eastAsia" w:ascii="Times New Roman" w:hAnsi="Times New Roman" w:eastAsia="仿宋_GB2312" w:cs="Times New Roman"/>
          <w:color w:val="000000"/>
          <w:sz w:val="32"/>
          <w:szCs w:val="32"/>
          <w:lang w:val="en-US" w:eastAsia="zh-CN"/>
        </w:rPr>
        <w:t>、红四方面军总指挥部旧址纪念馆和</w:t>
      </w:r>
      <w:r>
        <w:rPr>
          <w:rFonts w:hint="default" w:ascii="Times New Roman" w:hAnsi="Times New Roman" w:eastAsia="仿宋_GB2312" w:cs="Times New Roman"/>
          <w:color w:val="000000"/>
          <w:sz w:val="32"/>
          <w:szCs w:val="32"/>
        </w:rPr>
        <w:t>王坪红军烈士陵园接受廉政教育</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爱国主义教育各1</w:t>
      </w:r>
      <w:r>
        <w:rPr>
          <w:rFonts w:hint="default" w:ascii="Times New Roman" w:hAnsi="Times New Roman" w:eastAsia="仿宋_GB2312" w:cs="Times New Roman"/>
          <w:color w:val="000000"/>
          <w:sz w:val="32"/>
          <w:szCs w:val="32"/>
        </w:rPr>
        <w:t>次，</w:t>
      </w:r>
      <w:r>
        <w:rPr>
          <w:rFonts w:hint="eastAsia" w:ascii="Times New Roman" w:hAnsi="Times New Roman" w:eastAsia="仿宋_GB2312" w:cs="Times New Roman"/>
          <w:color w:val="000000"/>
          <w:sz w:val="32"/>
          <w:szCs w:val="32"/>
          <w:lang w:val="en-US" w:eastAsia="zh-CN"/>
        </w:rPr>
        <w:t>组织全体干部职工</w:t>
      </w:r>
      <w:r>
        <w:rPr>
          <w:rFonts w:hint="default" w:ascii="Times New Roman" w:hAnsi="Times New Roman" w:eastAsia="仿宋_GB2312" w:cs="Times New Roman"/>
          <w:color w:val="000000"/>
          <w:sz w:val="32"/>
          <w:szCs w:val="32"/>
          <w:lang w:val="en-US" w:eastAsia="zh-CN"/>
        </w:rPr>
        <w:t>集中观看《阳光问廉》《壁州问廉》</w:t>
      </w:r>
      <w:r>
        <w:rPr>
          <w:rFonts w:hint="default" w:ascii="Times New Roman" w:hAnsi="Times New Roman" w:eastAsia="仿宋_GB2312" w:cs="Times New Roman"/>
          <w:color w:val="000000"/>
          <w:sz w:val="32"/>
          <w:szCs w:val="32"/>
        </w:rPr>
        <w:t>。</w:t>
      </w:r>
      <w:r>
        <w:rPr>
          <w:rFonts w:hint="eastAsia" w:ascii="仿宋_GB2312" w:hAnsi="仿宋_GB2312" w:eastAsia="仿宋_GB2312" w:cs="仿宋_GB2312"/>
          <w:b/>
          <w:sz w:val="32"/>
          <w:szCs w:val="32"/>
          <w:lang w:val="en-US" w:eastAsia="zh-CN"/>
        </w:rPr>
        <w:t>三是</w:t>
      </w:r>
      <w:r>
        <w:rPr>
          <w:rFonts w:hint="default" w:ascii="仿宋_GB2312" w:hAnsi="仿宋_GB2312" w:eastAsia="仿宋_GB2312" w:cs="仿宋_GB2312"/>
          <w:b/>
          <w:sz w:val="32"/>
          <w:szCs w:val="32"/>
          <w:lang w:val="en-US" w:eastAsia="zh-CN"/>
        </w:rPr>
        <w:t>深入开展“不忘初心</w:t>
      </w:r>
      <w:r>
        <w:rPr>
          <w:rFonts w:hint="eastAsia" w:ascii="仿宋_GB2312" w:hAnsi="仿宋_GB2312" w:eastAsia="仿宋_GB2312" w:cs="仿宋_GB2312"/>
          <w:b/>
          <w:sz w:val="32"/>
          <w:szCs w:val="32"/>
          <w:lang w:val="en-US" w:eastAsia="zh-CN"/>
        </w:rPr>
        <w:t>、</w:t>
      </w:r>
      <w:bookmarkStart w:id="115" w:name="_GoBack"/>
      <w:bookmarkEnd w:id="115"/>
      <w:r>
        <w:rPr>
          <w:rFonts w:hint="default" w:ascii="仿宋_GB2312" w:hAnsi="仿宋_GB2312" w:eastAsia="仿宋_GB2312" w:cs="仿宋_GB2312"/>
          <w:b/>
          <w:sz w:val="32"/>
          <w:szCs w:val="32"/>
          <w:lang w:val="en-US" w:eastAsia="zh-CN"/>
        </w:rPr>
        <w:t>牢记使命”主题教育</w:t>
      </w:r>
      <w:r>
        <w:rPr>
          <w:rFonts w:hint="default" w:ascii="Times New Roman" w:hAnsi="Times New Roman" w:eastAsia="楷体_GB2312" w:cs="Times New Roman"/>
          <w:b/>
          <w:bCs/>
          <w:color w:val="000000"/>
          <w:sz w:val="32"/>
          <w:szCs w:val="32"/>
          <w:lang w:val="en-US" w:eastAsia="zh-CN"/>
        </w:rPr>
        <w:t>。</w:t>
      </w:r>
      <w:r>
        <w:rPr>
          <w:rFonts w:hint="default" w:ascii="Times New Roman" w:hAnsi="Times New Roman" w:eastAsia="仿宋_GB2312" w:cs="Times New Roman"/>
          <w:b w:val="0"/>
          <w:sz w:val="32"/>
          <w:lang w:val="en-US" w:eastAsia="zh-CN"/>
        </w:rPr>
        <w:t>局党组始终把主题教育与业务工作同安排、同部署、同研究，通过学习教育、问题检视、调查研究等形式，进一步</w:t>
      </w:r>
      <w:r>
        <w:rPr>
          <w:rFonts w:hint="default" w:ascii="Times New Roman" w:hAnsi="Times New Roman" w:eastAsia="仿宋_GB2312" w:cs="Times New Roman"/>
          <w:b w:val="0"/>
          <w:sz w:val="32"/>
          <w:szCs w:val="32"/>
          <w:lang w:eastAsia="zh-CN"/>
        </w:rPr>
        <w:t>坚定</w:t>
      </w:r>
      <w:r>
        <w:rPr>
          <w:rFonts w:hint="default" w:ascii="Times New Roman" w:hAnsi="Times New Roman" w:eastAsia="仿宋_GB2312" w:cs="Times New Roman"/>
          <w:b w:val="0"/>
          <w:sz w:val="32"/>
          <w:szCs w:val="32"/>
          <w:lang w:val="en-US" w:eastAsia="zh-CN"/>
        </w:rPr>
        <w:t>了</w:t>
      </w:r>
      <w:r>
        <w:rPr>
          <w:rFonts w:hint="default" w:ascii="Times New Roman" w:hAnsi="Times New Roman" w:eastAsia="仿宋_GB2312" w:cs="Times New Roman"/>
          <w:b w:val="0"/>
          <w:sz w:val="32"/>
          <w:szCs w:val="32"/>
          <w:lang w:eastAsia="zh-CN"/>
        </w:rPr>
        <w:t>党员干部的理想信念，</w:t>
      </w:r>
      <w:r>
        <w:rPr>
          <w:rFonts w:hint="default" w:ascii="Times New Roman" w:hAnsi="Times New Roman" w:eastAsia="仿宋_GB2312" w:cs="Times New Roman"/>
          <w:b w:val="0"/>
          <w:sz w:val="32"/>
          <w:szCs w:val="32"/>
          <w:lang w:val="en-US" w:eastAsia="zh-CN"/>
        </w:rPr>
        <w:t>锤炼了党性</w:t>
      </w:r>
      <w:r>
        <w:rPr>
          <w:rFonts w:hint="eastAsia" w:ascii="Times New Roman" w:hAnsi="Times New Roman" w:eastAsia="仿宋_GB2312" w:cs="Times New Roman"/>
          <w:b w:val="0"/>
          <w:sz w:val="32"/>
          <w:szCs w:val="32"/>
          <w:lang w:val="en-US" w:eastAsia="zh-CN"/>
        </w:rPr>
        <w:t>，结合职能职责完成了调研报告7篇</w:t>
      </w:r>
      <w:r>
        <w:rPr>
          <w:rFonts w:hint="default" w:ascii="Times New Roman" w:hAnsi="Times New Roman" w:eastAsia="仿宋_GB2312" w:cs="Times New Roman"/>
          <w:sz w:val="32"/>
          <w:szCs w:val="32"/>
        </w:rPr>
        <w:t>。</w:t>
      </w:r>
      <w:r>
        <w:rPr>
          <w:rFonts w:hint="eastAsia" w:ascii="仿宋_GB2312" w:hAnsi="仿宋_GB2312" w:eastAsia="仿宋_GB2312" w:cs="仿宋_GB2312"/>
          <w:b/>
          <w:sz w:val="32"/>
          <w:szCs w:val="32"/>
          <w:lang w:val="en-US" w:eastAsia="zh-CN"/>
        </w:rPr>
        <w:t>四是</w:t>
      </w:r>
      <w:r>
        <w:rPr>
          <w:rFonts w:hint="default" w:ascii="仿宋_GB2312" w:hAnsi="仿宋_GB2312" w:eastAsia="仿宋_GB2312" w:cs="仿宋_GB2312"/>
          <w:b/>
          <w:sz w:val="32"/>
          <w:szCs w:val="32"/>
          <w:lang w:val="en-US" w:eastAsia="zh-CN"/>
        </w:rPr>
        <w:t>健全和完善管理制度</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color w:val="000000"/>
          <w:sz w:val="32"/>
          <w:szCs w:val="32"/>
        </w:rPr>
        <w:t>坚持“三重一大”事项决策制度，不断修订完善机关管理制度，刚性执行中央和省市县各项规定</w:t>
      </w:r>
      <w:r>
        <w:rPr>
          <w:rFonts w:hint="eastAsia" w:ascii="Times New Roman" w:hAnsi="Times New Roman" w:eastAsia="仿宋_GB2312" w:cs="Times New Roman"/>
          <w:color w:val="000000"/>
          <w:sz w:val="32"/>
          <w:szCs w:val="32"/>
          <w:lang w:eastAsia="zh-CN"/>
        </w:rPr>
        <w:t>。</w:t>
      </w:r>
    </w:p>
    <w:p w14:paraId="78DA65FB">
      <w:pPr>
        <w:keepNext w:val="0"/>
        <w:keepLines w:val="0"/>
        <w:pageBreakBefore w:val="0"/>
        <w:pBdr>
          <w:top w:val="none" w:color="000000" w:sz="0" w:space="0"/>
          <w:left w:val="none" w:color="000000" w:sz="0" w:space="0"/>
          <w:bottom w:val="none" w:color="000000" w:sz="0" w:space="20"/>
          <w:right w:val="none" w:color="000000" w:sz="0" w:space="0"/>
        </w:pBdr>
        <w:kinsoku/>
        <w:wordWrap/>
        <w:overflowPunct/>
        <w:topLinePunct w:val="0"/>
        <w:autoSpaceDN w:val="0"/>
        <w:bidi w:val="0"/>
        <w:spacing w:line="550" w:lineRule="exact"/>
        <w:ind w:firstLine="643"/>
        <w:textAlignment w:val="auto"/>
        <w:rPr>
          <w:rFonts w:hint="default" w:ascii="Times New Roman" w:hAnsi="Times New Roman" w:eastAsia="仿宋_GB2312" w:cs="Times New Roman"/>
          <w:snapToGrid w:val="0"/>
          <w:spacing w:val="10"/>
          <w:sz w:val="32"/>
          <w:szCs w:val="32"/>
          <w:lang w:val="en-US" w:eastAsia="zh-CN"/>
        </w:rPr>
      </w:pPr>
      <w:r>
        <w:rPr>
          <w:rFonts w:hint="eastAsia" w:ascii="Times New Roman" w:hAnsi="Times New Roman" w:eastAsia="仿宋_GB2312" w:cs="Times New Roman"/>
          <w:b/>
          <w:sz w:val="32"/>
          <w:szCs w:val="32"/>
          <w:lang w:val="en-US" w:eastAsia="zh-CN"/>
        </w:rPr>
        <w:t>7、</w:t>
      </w:r>
      <w:r>
        <w:rPr>
          <w:rFonts w:hint="default" w:ascii="Times New Roman" w:hAnsi="Times New Roman" w:eastAsia="仿宋_GB2312" w:cs="Times New Roman"/>
          <w:b/>
          <w:sz w:val="32"/>
          <w:szCs w:val="32"/>
        </w:rPr>
        <w:t>统筹推进其它工作。</w:t>
      </w:r>
      <w:r>
        <w:rPr>
          <w:rFonts w:hint="eastAsia" w:ascii="Times New Roman" w:hAnsi="Times New Roman" w:eastAsia="仿宋_GB2312" w:cs="Times New Roman"/>
          <w:color w:val="000000"/>
          <w:sz w:val="32"/>
          <w:szCs w:val="32"/>
          <w:lang w:val="en-US" w:eastAsia="zh-CN"/>
        </w:rPr>
        <w:t>按照县委县政府工作要求，扎实做好省委巡视组巡视发现问题整改工作</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sz w:val="32"/>
          <w:szCs w:val="32"/>
        </w:rPr>
        <w:t>严格落实</w:t>
      </w:r>
      <w:r>
        <w:rPr>
          <w:rFonts w:hint="eastAsia" w:ascii="Times New Roman" w:hAnsi="Times New Roman" w:eastAsia="仿宋_GB2312" w:cs="Times New Roman"/>
          <w:color w:val="000000"/>
          <w:sz w:val="32"/>
          <w:szCs w:val="32"/>
          <w:lang w:val="en-US" w:eastAsia="zh-CN"/>
        </w:rPr>
        <w:t>“管行业必须管安全、管业务必须管安全、管生产经营必须管安全”及“</w:t>
      </w:r>
      <w:r>
        <w:rPr>
          <w:rFonts w:hint="default" w:ascii="Times New Roman" w:hAnsi="Times New Roman" w:eastAsia="仿宋_GB2312" w:cs="Times New Roman"/>
          <w:sz w:val="32"/>
          <w:szCs w:val="32"/>
        </w:rPr>
        <w:t>党政同责</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一岗双责</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要求，扎实推进</w:t>
      </w:r>
      <w:r>
        <w:rPr>
          <w:rFonts w:hint="eastAsia" w:ascii="Times New Roman" w:hAnsi="Times New Roman" w:eastAsia="仿宋_GB2312" w:cs="Times New Roman"/>
          <w:sz w:val="32"/>
          <w:szCs w:val="32"/>
          <w:lang w:val="en-US" w:eastAsia="zh-CN"/>
        </w:rPr>
        <w:t>天然气长输管线、粮食等行业</w:t>
      </w:r>
      <w:r>
        <w:rPr>
          <w:rFonts w:hint="default" w:ascii="Times New Roman" w:hAnsi="Times New Roman" w:eastAsia="仿宋_GB2312" w:cs="Times New Roman"/>
          <w:sz w:val="32"/>
          <w:szCs w:val="32"/>
        </w:rPr>
        <w:t>安全隐患排查整改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同时做好机关安全</w:t>
      </w:r>
      <w:r>
        <w:rPr>
          <w:rFonts w:hint="default" w:ascii="Times New Roman" w:hAnsi="Times New Roman" w:eastAsia="仿宋_GB2312" w:cs="Times New Roman"/>
          <w:sz w:val="32"/>
          <w:szCs w:val="32"/>
        </w:rPr>
        <w:t>；积极</w:t>
      </w:r>
      <w:r>
        <w:rPr>
          <w:rFonts w:hint="default" w:ascii="Times New Roman" w:hAnsi="Times New Roman" w:eastAsia="仿宋_GB2312" w:cs="Times New Roman"/>
          <w:snapToGrid w:val="0"/>
          <w:spacing w:val="10"/>
          <w:sz w:val="32"/>
          <w:szCs w:val="32"/>
        </w:rPr>
        <w:t>做好</w:t>
      </w:r>
      <w:r>
        <w:rPr>
          <w:rFonts w:hint="eastAsia" w:ascii="Times New Roman" w:hAnsi="Times New Roman" w:eastAsia="仿宋_GB2312" w:cs="Times New Roman"/>
          <w:snapToGrid w:val="0"/>
          <w:spacing w:val="10"/>
          <w:sz w:val="32"/>
          <w:szCs w:val="32"/>
          <w:lang w:val="en-US" w:eastAsia="zh-CN"/>
        </w:rPr>
        <w:t>粮食物资管理工作，制定《通江县政策性粮食库存数量和质量大清查实施方案》，顺利完成了粮食大清查工作，在市对县考核中粮食工作考核中，粮食安全生产名列全市第一；持续开展</w:t>
      </w:r>
      <w:r>
        <w:rPr>
          <w:rFonts w:hint="default" w:ascii="Times New Roman" w:hAnsi="Times New Roman" w:eastAsia="仿宋_GB2312" w:cs="Times New Roman"/>
          <w:snapToGrid w:val="0"/>
          <w:spacing w:val="10"/>
          <w:sz w:val="32"/>
          <w:szCs w:val="32"/>
          <w:lang w:val="en-US" w:eastAsia="zh-CN"/>
        </w:rPr>
        <w:t>扫黑除恶</w:t>
      </w:r>
      <w:r>
        <w:rPr>
          <w:rFonts w:hint="eastAsia" w:ascii="Times New Roman" w:hAnsi="Times New Roman" w:eastAsia="仿宋_GB2312" w:cs="Times New Roman"/>
          <w:snapToGrid w:val="0"/>
          <w:spacing w:val="10"/>
          <w:sz w:val="32"/>
          <w:szCs w:val="32"/>
          <w:lang w:val="en-US" w:eastAsia="zh-CN"/>
        </w:rPr>
        <w:t>，重点围绕工程建设招投标领域乱象、脱贫攻坚等方面开展专项整治</w:t>
      </w:r>
      <w:r>
        <w:rPr>
          <w:rFonts w:hint="default" w:ascii="Times New Roman" w:hAnsi="Times New Roman" w:eastAsia="仿宋_GB2312" w:cs="Times New Roman"/>
          <w:snapToGrid w:val="0"/>
          <w:spacing w:val="10"/>
          <w:sz w:val="32"/>
          <w:szCs w:val="32"/>
          <w:lang w:val="en-US" w:eastAsia="zh-CN"/>
        </w:rPr>
        <w:t>。</w:t>
      </w:r>
      <w:bookmarkStart w:id="26" w:name="_Toc25121"/>
      <w:bookmarkStart w:id="27" w:name="_Toc18574"/>
      <w:bookmarkStart w:id="28" w:name="_Toc15396601"/>
      <w:bookmarkStart w:id="29" w:name="_Toc15377200"/>
    </w:p>
    <w:p w14:paraId="22D8C2B1">
      <w:pPr>
        <w:keepNext w:val="0"/>
        <w:keepLines w:val="0"/>
        <w:pageBreakBefore w:val="0"/>
        <w:pBdr>
          <w:top w:val="none" w:color="000000" w:sz="0" w:space="0"/>
          <w:left w:val="none" w:color="000000" w:sz="0" w:space="0"/>
          <w:bottom w:val="none" w:color="000000" w:sz="0" w:space="20"/>
          <w:right w:val="none" w:color="000000" w:sz="0" w:space="0"/>
        </w:pBdr>
        <w:kinsoku/>
        <w:wordWrap/>
        <w:overflowPunct/>
        <w:topLinePunct w:val="0"/>
        <w:autoSpaceDN w:val="0"/>
        <w:bidi w:val="0"/>
        <w:spacing w:line="550" w:lineRule="exact"/>
        <w:ind w:firstLine="643"/>
        <w:textAlignment w:val="auto"/>
        <w:rPr>
          <w:rFonts w:hint="eastAsia" w:ascii="仿宋" w:hAnsi="仿宋" w:eastAsia="仿宋" w:cs="Times New Roman"/>
          <w:b/>
          <w:bCs w:val="0"/>
          <w:color w:val="000000"/>
          <w:kern w:val="0"/>
          <w:sz w:val="32"/>
          <w:szCs w:val="32"/>
          <w:lang w:val="en-US" w:eastAsia="zh-CN" w:bidi="ar-SA"/>
        </w:rPr>
      </w:pPr>
      <w:r>
        <w:rPr>
          <w:rFonts w:hint="eastAsia" w:ascii="仿宋" w:hAnsi="仿宋" w:eastAsia="仿宋" w:cs="Times New Roman"/>
          <w:b/>
          <w:bCs w:val="0"/>
          <w:color w:val="000000"/>
          <w:kern w:val="0"/>
          <w:sz w:val="32"/>
          <w:szCs w:val="32"/>
          <w:lang w:val="en-US" w:eastAsia="zh-CN" w:bidi="ar-SA"/>
        </w:rPr>
        <w:t>二、机构设置</w:t>
      </w:r>
      <w:bookmarkEnd w:id="26"/>
      <w:bookmarkEnd w:id="27"/>
      <w:bookmarkEnd w:id="28"/>
      <w:bookmarkEnd w:id="29"/>
      <w:bookmarkStart w:id="30" w:name="_Toc15377204"/>
      <w:bookmarkStart w:id="31" w:name="_Toc15396602"/>
    </w:p>
    <w:p w14:paraId="33D57B62">
      <w:pPr>
        <w:keepNext w:val="0"/>
        <w:keepLines w:val="0"/>
        <w:pageBreakBefore w:val="0"/>
        <w:pBdr>
          <w:top w:val="none" w:color="000000" w:sz="0" w:space="0"/>
          <w:left w:val="none" w:color="000000" w:sz="0" w:space="0"/>
          <w:bottom w:val="none" w:color="000000" w:sz="0" w:space="20"/>
          <w:right w:val="none" w:color="000000" w:sz="0" w:space="0"/>
        </w:pBdr>
        <w:kinsoku/>
        <w:wordWrap/>
        <w:overflowPunct/>
        <w:topLinePunct w:val="0"/>
        <w:autoSpaceDN w:val="0"/>
        <w:bidi w:val="0"/>
        <w:spacing w:line="550" w:lineRule="exact"/>
        <w:ind w:firstLine="643"/>
        <w:textAlignment w:val="auto"/>
        <w:rPr>
          <w:rFonts w:hint="eastAsia" w:ascii="Times New Roman" w:hAnsi="Times New Roman" w:eastAsia="仿宋_GB2312" w:cs="Times New Roman"/>
          <w:snapToGrid w:val="0"/>
          <w:spacing w:val="10"/>
          <w:sz w:val="32"/>
          <w:szCs w:val="32"/>
          <w:lang w:val="en-US" w:eastAsia="zh-CN"/>
        </w:rPr>
      </w:pPr>
      <w:r>
        <w:rPr>
          <w:rFonts w:hint="eastAsia" w:ascii="Times New Roman" w:hAnsi="Times New Roman" w:eastAsia="仿宋_GB2312" w:cs="Times New Roman"/>
          <w:snapToGrid w:val="0"/>
          <w:spacing w:val="10"/>
          <w:sz w:val="32"/>
          <w:szCs w:val="32"/>
          <w:lang w:val="en-US" w:eastAsia="zh-CN"/>
        </w:rPr>
        <w:t>设在通江县发展和改革局的所属事业单位：通江县经济信息中心、通江县节能监察中心、通江县项目办公室、通江县机场和铁路建设办公室、通江县价格认证中心。</w:t>
      </w:r>
    </w:p>
    <w:p w14:paraId="448BFA11">
      <w:pPr>
        <w:pStyle w:val="3"/>
        <w:jc w:val="center"/>
        <w:rPr>
          <w:rFonts w:hint="eastAsia"/>
        </w:rPr>
      </w:pPr>
      <w:bookmarkStart w:id="32" w:name="_Toc5847"/>
      <w:bookmarkStart w:id="33" w:name="_Toc25929"/>
      <w:r>
        <w:rPr>
          <w:rFonts w:hint="eastAsia"/>
        </w:rPr>
        <w:t>第二部分 2019年度部门决算情况说明</w:t>
      </w:r>
      <w:bookmarkEnd w:id="30"/>
      <w:bookmarkEnd w:id="31"/>
      <w:bookmarkEnd w:id="32"/>
      <w:bookmarkEnd w:id="33"/>
    </w:p>
    <w:p w14:paraId="0CEA25AE">
      <w:pPr>
        <w:pStyle w:val="4"/>
      </w:pPr>
      <w:bookmarkStart w:id="34" w:name="_Toc12296"/>
      <w:bookmarkStart w:id="35" w:name="_Toc15396603"/>
      <w:bookmarkStart w:id="36" w:name="_Toc28960"/>
      <w:bookmarkStart w:id="37" w:name="_Toc15377205"/>
      <w:r>
        <w:rPr>
          <w:rFonts w:hint="eastAsia"/>
          <w:lang w:eastAsia="zh-CN"/>
        </w:rPr>
        <w:t>一、</w:t>
      </w:r>
      <w:r>
        <w:rPr>
          <w:rFonts w:hint="eastAsia"/>
        </w:rPr>
        <w:t>收入支出决算总体情况说明</w:t>
      </w:r>
      <w:bookmarkEnd w:id="34"/>
      <w:bookmarkEnd w:id="35"/>
      <w:bookmarkEnd w:id="36"/>
      <w:bookmarkEnd w:id="37"/>
    </w:p>
    <w:p w14:paraId="61844048">
      <w:pPr>
        <w:snapToGrid w:val="0"/>
        <w:spacing w:line="520" w:lineRule="exact"/>
        <w:ind w:firstLine="640" w:firstLineChars="200"/>
        <w:rPr>
          <w:rFonts w:hint="eastAsia" w:ascii="仿宋_GB2312" w:hAnsi="仿宋" w:eastAsia="仿宋_GB2312"/>
          <w:sz w:val="32"/>
          <w:szCs w:val="32"/>
        </w:rPr>
      </w:pPr>
      <w:r>
        <w:rPr>
          <w:rFonts w:hint="eastAsia" w:ascii="仿宋" w:hAnsi="仿宋" w:eastAsia="仿宋"/>
          <w:color w:val="000000"/>
          <w:sz w:val="32"/>
          <w:szCs w:val="32"/>
        </w:rPr>
        <w:t>2019年度收、支总计</w:t>
      </w:r>
      <w:r>
        <w:rPr>
          <w:rFonts w:hint="eastAsia" w:ascii="仿宋_GB2312" w:hAnsi="仿宋" w:eastAsia="仿宋_GB2312"/>
          <w:color w:val="auto"/>
          <w:sz w:val="32"/>
          <w:szCs w:val="32"/>
          <w:lang w:val="en-US" w:eastAsia="zh-CN"/>
        </w:rPr>
        <w:t>35733.26</w:t>
      </w:r>
      <w:r>
        <w:rPr>
          <w:rFonts w:hint="eastAsia" w:ascii="仿宋_GB2312" w:hAnsi="仿宋" w:eastAsia="仿宋_GB2312"/>
          <w:sz w:val="32"/>
          <w:szCs w:val="32"/>
          <w:lang w:val="en-US" w:eastAsia="zh-CN"/>
        </w:rPr>
        <w:t>万元，</w:t>
      </w:r>
      <w:r>
        <w:rPr>
          <w:rFonts w:hint="eastAsia" w:ascii="仿宋" w:hAnsi="仿宋" w:eastAsia="仿宋"/>
          <w:color w:val="000000"/>
          <w:sz w:val="32"/>
          <w:szCs w:val="32"/>
        </w:rPr>
        <w:t>与2018年相比，收、支总计各</w:t>
      </w:r>
      <w:r>
        <w:rPr>
          <w:rFonts w:hint="eastAsia" w:ascii="仿宋_GB2312" w:hAnsi="仿宋" w:eastAsia="仿宋_GB2312"/>
          <w:sz w:val="32"/>
          <w:szCs w:val="32"/>
          <w:lang w:val="en-US" w:eastAsia="zh-CN"/>
        </w:rPr>
        <w:t>增加4388.88万元，主要系易地扶贫搬迁新增债卷资金、人员增加。</w:t>
      </w:r>
    </w:p>
    <w:p w14:paraId="3FD71B1E">
      <w:pPr>
        <w:pStyle w:val="4"/>
      </w:pPr>
      <w:bookmarkStart w:id="38" w:name="_Toc15396604"/>
      <w:bookmarkStart w:id="39" w:name="_Toc23681"/>
      <w:bookmarkStart w:id="40" w:name="_Toc15377206"/>
      <w:bookmarkStart w:id="41" w:name="_Toc11734"/>
      <w:r>
        <w:rPr>
          <w:rFonts w:hint="eastAsia"/>
          <w:lang w:eastAsia="zh-CN"/>
        </w:rPr>
        <w:t>二、</w:t>
      </w:r>
      <w:r>
        <w:rPr>
          <w:rFonts w:hint="eastAsia"/>
        </w:rPr>
        <w:t>收入决算情况说明</w:t>
      </w:r>
      <w:bookmarkEnd w:id="38"/>
      <w:bookmarkEnd w:id="39"/>
      <w:bookmarkEnd w:id="40"/>
      <w:bookmarkEnd w:id="41"/>
    </w:p>
    <w:p w14:paraId="2F00B0B2">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w:t>
      </w:r>
      <w:r>
        <w:rPr>
          <w:rFonts w:hint="eastAsia" w:ascii="仿宋" w:hAnsi="仿宋" w:eastAsia="仿宋"/>
          <w:color w:val="000000"/>
          <w:sz w:val="32"/>
          <w:szCs w:val="32"/>
          <w:lang w:eastAsia="zh-CN"/>
        </w:rPr>
        <w:t>度年初结转和结余</w:t>
      </w:r>
      <w:r>
        <w:rPr>
          <w:rFonts w:hint="eastAsia" w:ascii="仿宋" w:hAnsi="仿宋" w:eastAsia="仿宋"/>
          <w:color w:val="000000"/>
          <w:sz w:val="32"/>
          <w:szCs w:val="32"/>
          <w:lang w:val="en-US" w:eastAsia="zh-CN"/>
        </w:rPr>
        <w:t>170万元，</w:t>
      </w:r>
      <w:r>
        <w:rPr>
          <w:rFonts w:hint="eastAsia" w:ascii="仿宋" w:hAnsi="仿宋" w:eastAsia="仿宋"/>
          <w:color w:val="000000"/>
          <w:sz w:val="32"/>
          <w:szCs w:val="32"/>
        </w:rPr>
        <w:t>本年收入</w:t>
      </w:r>
      <w:r>
        <w:rPr>
          <w:rFonts w:hint="eastAsia" w:ascii="仿宋_GB2312" w:hAnsi="仿宋" w:eastAsia="仿宋_GB2312"/>
          <w:sz w:val="32"/>
          <w:szCs w:val="32"/>
          <w:lang w:val="en-US" w:eastAsia="zh-CN"/>
        </w:rPr>
        <w:t>17781.63</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（含转拨力迅交投建设有限公司2019年第二批新增一般债券资金16956万元）</w:t>
      </w:r>
      <w:r>
        <w:rPr>
          <w:rFonts w:hint="eastAsia" w:ascii="仿宋" w:hAnsi="仿宋" w:eastAsia="仿宋"/>
          <w:color w:val="000000"/>
          <w:sz w:val="32"/>
          <w:szCs w:val="32"/>
        </w:rPr>
        <w:t>，其中：一般公共预算财政拨款收入</w:t>
      </w:r>
      <w:r>
        <w:rPr>
          <w:rFonts w:hint="eastAsia" w:ascii="仿宋_GB2312" w:hAnsi="仿宋" w:eastAsia="仿宋_GB2312"/>
          <w:sz w:val="32"/>
          <w:szCs w:val="32"/>
          <w:lang w:val="en-US" w:eastAsia="zh-CN"/>
        </w:rPr>
        <w:t>17781.63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无</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eastAsia="zh-CN"/>
        </w:rPr>
        <w:t>无</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sz w:val="32"/>
          <w:szCs w:val="32"/>
        </w:rPr>
        <w:t>；</w:t>
      </w:r>
      <w:r>
        <w:rPr>
          <w:rFonts w:hint="eastAsia" w:ascii="仿宋" w:hAnsi="仿宋" w:eastAsia="仿宋"/>
          <w:color w:val="000000"/>
          <w:sz w:val="32"/>
          <w:szCs w:val="32"/>
          <w:lang w:eastAsia="zh-CN"/>
        </w:rPr>
        <w:t>无</w:t>
      </w:r>
      <w:r>
        <w:rPr>
          <w:rFonts w:hint="eastAsia" w:ascii="仿宋" w:hAnsi="仿宋" w:eastAsia="仿宋"/>
          <w:color w:val="000000"/>
          <w:sz w:val="32"/>
          <w:szCs w:val="32"/>
        </w:rPr>
        <w:t>事业收入；</w:t>
      </w:r>
      <w:r>
        <w:rPr>
          <w:rFonts w:hint="eastAsia" w:ascii="仿宋" w:hAnsi="仿宋" w:eastAsia="仿宋"/>
          <w:color w:val="000000"/>
          <w:sz w:val="32"/>
          <w:szCs w:val="32"/>
          <w:lang w:eastAsia="zh-CN"/>
        </w:rPr>
        <w:t>无</w:t>
      </w:r>
      <w:r>
        <w:rPr>
          <w:rFonts w:hint="eastAsia" w:ascii="仿宋" w:hAnsi="仿宋" w:eastAsia="仿宋"/>
          <w:color w:val="000000"/>
          <w:sz w:val="32"/>
          <w:szCs w:val="32"/>
        </w:rPr>
        <w:t>经营收入；</w:t>
      </w:r>
      <w:r>
        <w:rPr>
          <w:rFonts w:hint="eastAsia" w:ascii="仿宋" w:hAnsi="仿宋" w:eastAsia="仿宋"/>
          <w:color w:val="000000"/>
          <w:sz w:val="32"/>
          <w:szCs w:val="32"/>
          <w:lang w:eastAsia="zh-CN"/>
        </w:rPr>
        <w:t>无</w:t>
      </w:r>
      <w:r>
        <w:rPr>
          <w:rFonts w:hint="eastAsia" w:ascii="仿宋" w:hAnsi="仿宋" w:eastAsia="仿宋"/>
          <w:color w:val="000000"/>
          <w:sz w:val="32"/>
          <w:szCs w:val="32"/>
        </w:rPr>
        <w:t>附属单位上缴收入；</w:t>
      </w:r>
      <w:r>
        <w:rPr>
          <w:rFonts w:hint="eastAsia" w:ascii="仿宋" w:hAnsi="仿宋" w:eastAsia="仿宋"/>
          <w:color w:val="000000"/>
          <w:sz w:val="32"/>
          <w:szCs w:val="32"/>
          <w:lang w:eastAsia="zh-CN"/>
        </w:rPr>
        <w:t>无</w:t>
      </w:r>
      <w:r>
        <w:rPr>
          <w:rFonts w:hint="eastAsia" w:ascii="仿宋" w:hAnsi="仿宋" w:eastAsia="仿宋"/>
          <w:color w:val="000000"/>
          <w:sz w:val="32"/>
          <w:szCs w:val="32"/>
        </w:rPr>
        <w:t>其他收入。</w:t>
      </w:r>
    </w:p>
    <w:p w14:paraId="144F13A2">
      <w:pPr>
        <w:pStyle w:val="4"/>
      </w:pPr>
      <w:bookmarkStart w:id="42" w:name="_Toc15377207"/>
      <w:bookmarkStart w:id="43" w:name="_Toc15396605"/>
      <w:bookmarkStart w:id="44" w:name="_Toc3739"/>
      <w:bookmarkStart w:id="45" w:name="_Toc19003"/>
      <w:r>
        <w:rPr>
          <w:rFonts w:hint="eastAsia"/>
          <w:lang w:eastAsia="zh-CN"/>
        </w:rPr>
        <w:t>三、</w:t>
      </w:r>
      <w:r>
        <w:rPr>
          <w:rFonts w:hint="eastAsia"/>
        </w:rPr>
        <w:t>支出决算情况说明</w:t>
      </w:r>
      <w:bookmarkEnd w:id="42"/>
      <w:bookmarkEnd w:id="43"/>
      <w:bookmarkEnd w:id="44"/>
      <w:bookmarkEnd w:id="45"/>
    </w:p>
    <w:p w14:paraId="5434F9F9">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_GB2312" w:hAnsi="仿宋" w:eastAsia="仿宋_GB2312"/>
          <w:sz w:val="32"/>
          <w:szCs w:val="32"/>
          <w:lang w:val="en-US" w:eastAsia="zh-CN"/>
        </w:rPr>
        <w:t>17951.63</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（含转拨力迅交投建设有限公司2019年第二批新增一般债券资金16956万元）</w:t>
      </w:r>
      <w:r>
        <w:rPr>
          <w:rFonts w:hint="eastAsia" w:ascii="仿宋" w:hAnsi="仿宋" w:eastAsia="仿宋"/>
          <w:color w:val="000000"/>
          <w:sz w:val="32"/>
          <w:szCs w:val="32"/>
        </w:rPr>
        <w:t>，其中：基本支出</w:t>
      </w:r>
      <w:r>
        <w:rPr>
          <w:rFonts w:hint="eastAsia" w:ascii="仿宋" w:hAnsi="仿宋" w:eastAsia="仿宋"/>
          <w:color w:val="000000"/>
          <w:sz w:val="32"/>
          <w:szCs w:val="32"/>
          <w:lang w:val="en-US" w:eastAsia="zh-CN"/>
        </w:rPr>
        <w:t>753.43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17198.2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95.8</w:t>
      </w:r>
      <w:r>
        <w:rPr>
          <w:rFonts w:ascii="仿宋" w:hAnsi="仿宋" w:eastAsia="仿宋"/>
          <w:color w:val="000000"/>
          <w:sz w:val="32"/>
          <w:szCs w:val="32"/>
        </w:rPr>
        <w:t>%</w:t>
      </w:r>
      <w:r>
        <w:rPr>
          <w:rFonts w:hint="eastAsia" w:ascii="仿宋" w:hAnsi="仿宋" w:eastAsia="仿宋"/>
          <w:color w:val="000000"/>
          <w:sz w:val="32"/>
          <w:szCs w:val="32"/>
        </w:rPr>
        <w:t>；。</w:t>
      </w:r>
    </w:p>
    <w:p w14:paraId="6363F6FC">
      <w:pPr>
        <w:pStyle w:val="4"/>
      </w:pPr>
      <w:bookmarkStart w:id="46" w:name="_Toc15396606"/>
      <w:bookmarkStart w:id="47" w:name="_Toc25552"/>
      <w:bookmarkStart w:id="48" w:name="_Toc13003"/>
      <w:bookmarkStart w:id="49" w:name="_Toc15377208"/>
      <w:r>
        <w:rPr>
          <w:rFonts w:hint="eastAsia"/>
        </w:rPr>
        <w:t>四、财政拨款收入支出决算总体情况说明</w:t>
      </w:r>
      <w:bookmarkEnd w:id="46"/>
      <w:bookmarkEnd w:id="47"/>
      <w:bookmarkEnd w:id="48"/>
      <w:bookmarkEnd w:id="49"/>
    </w:p>
    <w:p w14:paraId="64A5E76B">
      <w:pPr>
        <w:snapToGrid w:val="0"/>
        <w:spacing w:line="520" w:lineRule="exact"/>
        <w:ind w:firstLine="640" w:firstLineChars="20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_GB2312" w:hAnsi="仿宋" w:eastAsia="仿宋_GB2312"/>
          <w:color w:val="auto"/>
          <w:sz w:val="32"/>
          <w:szCs w:val="32"/>
          <w:lang w:val="en-US" w:eastAsia="zh-CN"/>
        </w:rPr>
        <w:t>35733.26</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（含转拨力迅交投建设有限公司2019年第二批新增一般债券资金16956万元）</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w:t>
      </w:r>
      <w:r>
        <w:rPr>
          <w:rFonts w:hint="eastAsia" w:ascii="仿宋_GB2312" w:hAnsi="仿宋" w:eastAsia="仿宋_GB2312"/>
          <w:sz w:val="32"/>
          <w:szCs w:val="32"/>
          <w:lang w:val="en-US" w:eastAsia="zh-CN"/>
        </w:rPr>
        <w:t>增加4388.88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12.5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 w:eastAsia="仿宋_GB2312"/>
          <w:sz w:val="32"/>
          <w:szCs w:val="32"/>
          <w:lang w:val="en-US" w:eastAsia="zh-CN"/>
        </w:rPr>
        <w:t>易地扶贫搬迁新增债卷资金、人员增加。</w:t>
      </w:r>
    </w:p>
    <w:p w14:paraId="16F2D7C7">
      <w:pPr>
        <w:pStyle w:val="4"/>
      </w:pPr>
      <w:bookmarkStart w:id="50" w:name="_Toc15396607"/>
      <w:bookmarkStart w:id="51" w:name="_Toc15377209"/>
      <w:bookmarkStart w:id="52" w:name="_Toc4407"/>
      <w:bookmarkStart w:id="53" w:name="_Toc31282"/>
      <w:r>
        <w:rPr>
          <w:rFonts w:hint="eastAsia"/>
        </w:rPr>
        <w:t>五、一般公共预算财政拨款支出决算情况说明</w:t>
      </w:r>
      <w:bookmarkEnd w:id="50"/>
      <w:bookmarkEnd w:id="51"/>
      <w:bookmarkEnd w:id="52"/>
      <w:bookmarkEnd w:id="53"/>
    </w:p>
    <w:p w14:paraId="362F66AB">
      <w:pPr>
        <w:spacing w:line="600" w:lineRule="exact"/>
        <w:ind w:firstLine="643" w:firstLineChars="200"/>
        <w:outlineLvl w:val="2"/>
        <w:rPr>
          <w:rFonts w:ascii="仿宋" w:hAnsi="仿宋" w:eastAsia="仿宋"/>
          <w:b/>
          <w:color w:val="000000"/>
          <w:sz w:val="32"/>
          <w:szCs w:val="32"/>
        </w:rPr>
      </w:pPr>
      <w:bookmarkStart w:id="54" w:name="_Toc15377210"/>
      <w:r>
        <w:rPr>
          <w:rFonts w:hint="eastAsia" w:ascii="仿宋" w:hAnsi="仿宋" w:eastAsia="仿宋"/>
          <w:b/>
          <w:color w:val="000000"/>
          <w:sz w:val="32"/>
          <w:szCs w:val="32"/>
        </w:rPr>
        <w:t>（一）一般公共预算财政拨款支出决算总体情况</w:t>
      </w:r>
      <w:bookmarkEnd w:id="54"/>
    </w:p>
    <w:p w14:paraId="6E30D0CB">
      <w:pPr>
        <w:snapToGrid w:val="0"/>
        <w:spacing w:line="52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_GB2312" w:hAnsi="仿宋" w:eastAsia="仿宋_GB2312"/>
          <w:sz w:val="32"/>
          <w:szCs w:val="32"/>
          <w:lang w:val="en-US" w:eastAsia="zh-CN"/>
        </w:rPr>
        <w:t>17951.63</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（含转拨力迅交投建设有限公司2019年第二批新增一般债券资金16956万元）</w:t>
      </w:r>
      <w:r>
        <w:rPr>
          <w:rFonts w:hint="eastAsia" w:ascii="仿宋" w:hAnsi="仿宋" w:eastAsia="仿宋"/>
          <w:color w:val="000000"/>
          <w:sz w:val="32"/>
          <w:szCs w:val="32"/>
        </w:rPr>
        <w:t>，占本年支出合计的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2488.48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15.6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 w:eastAsia="仿宋_GB2312"/>
          <w:sz w:val="32"/>
          <w:szCs w:val="32"/>
          <w:lang w:val="en-US" w:eastAsia="zh-CN"/>
        </w:rPr>
        <w:t>易地扶贫搬迁新增债卷资金、人员增加。</w:t>
      </w:r>
    </w:p>
    <w:p w14:paraId="36550033">
      <w:pPr>
        <w:spacing w:line="600" w:lineRule="exact"/>
        <w:ind w:firstLine="643" w:firstLineChars="200"/>
        <w:outlineLvl w:val="2"/>
        <w:rPr>
          <w:rFonts w:ascii="仿宋" w:hAnsi="仿宋" w:eastAsia="仿宋"/>
          <w:b/>
          <w:color w:val="000000"/>
          <w:sz w:val="32"/>
          <w:szCs w:val="32"/>
        </w:rPr>
      </w:pPr>
      <w:bookmarkStart w:id="55" w:name="_Toc15377211"/>
      <w:r>
        <w:rPr>
          <w:rFonts w:hint="eastAsia" w:ascii="仿宋" w:hAnsi="仿宋" w:eastAsia="仿宋"/>
          <w:b/>
          <w:color w:val="000000"/>
          <w:sz w:val="32"/>
          <w:szCs w:val="32"/>
        </w:rPr>
        <w:t>（二）一般公共预算财政拨款支出决算结构情况</w:t>
      </w:r>
      <w:bookmarkEnd w:id="55"/>
    </w:p>
    <w:p w14:paraId="5FB31605">
      <w:pPr>
        <w:spacing w:line="600" w:lineRule="exact"/>
        <w:ind w:firstLine="640" w:firstLineChars="200"/>
        <w:outlineLvl w:val="2"/>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_GB2312" w:hAnsi="仿宋" w:eastAsia="仿宋_GB2312"/>
          <w:sz w:val="32"/>
          <w:szCs w:val="32"/>
          <w:lang w:val="en-US" w:eastAsia="zh-CN"/>
        </w:rPr>
        <w:t>17951.63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660.38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3.68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68.55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40.01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城乡社区支出</w:t>
      </w:r>
      <w:r>
        <w:rPr>
          <w:rFonts w:hint="eastAsia" w:ascii="仿宋" w:hAnsi="仿宋" w:eastAsia="仿宋"/>
          <w:color w:val="000000" w:themeColor="text1"/>
          <w:sz w:val="32"/>
          <w:szCs w:val="32"/>
          <w:lang w:val="en-US" w:eastAsia="zh-CN"/>
          <w14:textFill>
            <w14:solidFill>
              <w14:schemeClr w14:val="tx1"/>
            </w14:solidFill>
          </w14:textFill>
        </w:rPr>
        <w:t>16956万元，系</w:t>
      </w:r>
      <w:r>
        <w:rPr>
          <w:rFonts w:hint="eastAsia" w:ascii="仿宋" w:hAnsi="仿宋" w:eastAsia="仿宋"/>
          <w:color w:val="000000"/>
          <w:sz w:val="32"/>
          <w:szCs w:val="32"/>
          <w:lang w:val="en-US" w:eastAsia="zh-CN"/>
        </w:rPr>
        <w:t>转拨力迅交投建设有限公司2019年第二批新增一般债券资金，</w:t>
      </w:r>
      <w:r>
        <w:rPr>
          <w:rFonts w:hint="eastAsia" w:ascii="仿宋" w:hAnsi="仿宋" w:eastAsia="仿宋"/>
          <w:color w:val="000000" w:themeColor="text1"/>
          <w:sz w:val="32"/>
          <w:szCs w:val="32"/>
          <w:lang w:val="en-US" w:eastAsia="zh-CN"/>
          <w14:textFill>
            <w14:solidFill>
              <w14:schemeClr w14:val="tx1"/>
            </w14:solidFill>
          </w14:textFill>
        </w:rPr>
        <w:t>占94.45%；</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47.48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其他支出</w:t>
      </w:r>
      <w:r>
        <w:rPr>
          <w:rFonts w:hint="eastAsia" w:ascii="仿宋" w:hAnsi="仿宋" w:eastAsia="仿宋"/>
          <w:color w:val="000000" w:themeColor="text1"/>
          <w:sz w:val="32"/>
          <w:szCs w:val="32"/>
          <w:lang w:val="en-US" w:eastAsia="zh-CN"/>
          <w14:textFill>
            <w14:solidFill>
              <w14:schemeClr w14:val="tx1"/>
            </w14:solidFill>
          </w14:textFill>
        </w:rPr>
        <w:t>170万元，占0.97%</w:t>
      </w:r>
      <w:r>
        <w:rPr>
          <w:rFonts w:hint="eastAsia" w:ascii="仿宋" w:hAnsi="仿宋" w:eastAsia="仿宋"/>
          <w:color w:val="000000" w:themeColor="text1"/>
          <w:sz w:val="32"/>
          <w:szCs w:val="32"/>
          <w14:textFill>
            <w14:solidFill>
              <w14:schemeClr w14:val="tx1"/>
            </w14:solidFill>
          </w14:textFill>
        </w:rPr>
        <w:t>。</w:t>
      </w:r>
      <w:bookmarkStart w:id="56" w:name="_Toc15377212"/>
    </w:p>
    <w:p w14:paraId="5B8EAC4C">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56"/>
    </w:p>
    <w:p w14:paraId="78FCB87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2"/>
        <w:rPr>
          <w:rFonts w:ascii="仿宋" w:hAnsi="仿宋" w:eastAsia="仿宋"/>
          <w:color w:val="FF0000"/>
          <w:sz w:val="32"/>
          <w:szCs w:val="32"/>
        </w:rPr>
      </w:pPr>
      <w:bookmarkStart w:id="57" w:name="_Toc15378460"/>
      <w:bookmarkStart w:id="58" w:name="_Toc15377444"/>
      <w:bookmarkStart w:id="59" w:name="_Toc15377213"/>
      <w:r>
        <w:rPr>
          <w:rFonts w:hint="eastAsia" w:ascii="仿宋" w:hAnsi="仿宋" w:eastAsia="仿宋"/>
          <w:b/>
          <w:color w:val="000000" w:themeColor="text1"/>
          <w:sz w:val="32"/>
          <w:szCs w:val="32"/>
          <w14:textFill>
            <w14:solidFill>
              <w14:schemeClr w14:val="tx1"/>
            </w14:solidFill>
          </w14:textFill>
        </w:rPr>
        <w:t>2019年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_GB2312" w:hAnsi="仿宋" w:eastAsia="仿宋_GB2312"/>
          <w:sz w:val="32"/>
          <w:szCs w:val="32"/>
          <w:lang w:val="en-US" w:eastAsia="zh-CN"/>
        </w:rPr>
        <w:t>17951.63万元</w:t>
      </w:r>
      <w:r>
        <w:rPr>
          <w:rFonts w:hint="eastAsia" w:ascii="仿宋" w:hAnsi="仿宋" w:eastAsia="仿宋"/>
          <w:color w:val="000000" w:themeColor="text1"/>
          <w:sz w:val="32"/>
          <w:szCs w:val="32"/>
          <w14:textFill>
            <w14:solidFill>
              <w14:schemeClr w14:val="tx1"/>
            </w14:solidFill>
          </w14:textFill>
        </w:rPr>
        <w:t>，</w:t>
      </w:r>
      <w:r>
        <w:rPr>
          <w:rStyle w:val="16"/>
          <w:rFonts w:hint="eastAsia" w:ascii="仿宋" w:hAnsi="仿宋" w:eastAsia="仿宋"/>
          <w:bCs/>
          <w:color w:val="000000" w:themeColor="text1"/>
          <w:sz w:val="32"/>
          <w:szCs w:val="32"/>
          <w14:textFill>
            <w14:solidFill>
              <w14:schemeClr w14:val="tx1"/>
            </w14:solidFill>
          </w14:textFill>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57"/>
      <w:bookmarkEnd w:id="58"/>
      <w:bookmarkEnd w:id="59"/>
    </w:p>
    <w:p w14:paraId="1F22471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仿宋" w:hAnsi="仿宋" w:eastAsia="仿宋"/>
          <w:b/>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lang w:eastAsia="zh-CN"/>
        </w:rPr>
        <w:t>发展与改革事务</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行政运行</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384.86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一般行政管理事务</w:t>
      </w:r>
      <w:r>
        <w:rPr>
          <w:rStyle w:val="16"/>
          <w:rFonts w:hint="eastAsia" w:ascii="仿宋" w:hAnsi="仿宋" w:eastAsia="仿宋"/>
          <w:b w:val="0"/>
          <w:bCs/>
          <w:color w:val="000000"/>
          <w:sz w:val="32"/>
          <w:szCs w:val="32"/>
          <w:lang w:val="en-US" w:eastAsia="zh-CN"/>
        </w:rPr>
        <w:t>60万元，事业运行208.82万元，其他人力资源事务支出3万元，纪检监察事务3.7万元，</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eastAsia="zh-CN"/>
        </w:rPr>
        <w:t>与</w:t>
      </w:r>
      <w:r>
        <w:rPr>
          <w:rStyle w:val="16"/>
          <w:rFonts w:hint="eastAsia" w:ascii="仿宋" w:hAnsi="仿宋" w:eastAsia="仿宋"/>
          <w:b w:val="0"/>
          <w:bCs/>
          <w:color w:val="000000"/>
          <w:sz w:val="32"/>
          <w:szCs w:val="32"/>
        </w:rPr>
        <w:t>预算数</w:t>
      </w:r>
      <w:r>
        <w:rPr>
          <w:rStyle w:val="16"/>
          <w:rFonts w:hint="eastAsia" w:ascii="仿宋" w:hAnsi="仿宋" w:eastAsia="仿宋"/>
          <w:b w:val="0"/>
          <w:bCs/>
          <w:color w:val="000000"/>
          <w:sz w:val="32"/>
          <w:szCs w:val="32"/>
          <w:lang w:eastAsia="zh-CN"/>
        </w:rPr>
        <w:t>持平</w:t>
      </w:r>
      <w:r>
        <w:rPr>
          <w:rStyle w:val="16"/>
          <w:rFonts w:hint="eastAsia" w:ascii="仿宋" w:hAnsi="仿宋" w:eastAsia="仿宋"/>
          <w:b w:val="0"/>
          <w:bCs/>
          <w:color w:val="000000"/>
          <w:sz w:val="32"/>
          <w:szCs w:val="32"/>
        </w:rPr>
        <w:t>。</w:t>
      </w:r>
    </w:p>
    <w:p w14:paraId="437EF86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仿宋" w:hAnsi="仿宋" w:eastAsia="仿宋"/>
          <w:b/>
          <w:color w:val="000000"/>
          <w:sz w:val="32"/>
          <w:szCs w:val="32"/>
        </w:rPr>
      </w:pPr>
      <w:r>
        <w:rPr>
          <w:rStyle w:val="16"/>
          <w:rFonts w:ascii="仿宋" w:hAnsi="仿宋" w:eastAsia="仿宋"/>
          <w:bCs/>
          <w:color w:val="000000"/>
          <w:sz w:val="32"/>
          <w:szCs w:val="32"/>
        </w:rPr>
        <w:t>2.</w:t>
      </w:r>
      <w:r>
        <w:rPr>
          <w:rStyle w:val="16"/>
          <w:rFonts w:hint="eastAsia" w:ascii="仿宋" w:hAnsi="仿宋" w:eastAsia="仿宋"/>
          <w:bCs/>
          <w:color w:val="000000"/>
          <w:sz w:val="32"/>
          <w:szCs w:val="32"/>
        </w:rPr>
        <w:t>社会保障和就业（类）</w:t>
      </w:r>
      <w:r>
        <w:rPr>
          <w:rStyle w:val="16"/>
          <w:rFonts w:hint="eastAsia" w:ascii="仿宋" w:hAnsi="仿宋" w:eastAsia="仿宋"/>
          <w:bCs/>
          <w:color w:val="000000"/>
          <w:sz w:val="32"/>
          <w:szCs w:val="32"/>
          <w:lang w:eastAsia="zh-CN"/>
        </w:rPr>
        <w:t>行政事业单位离退休</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机关事业单位基本养老保险缴费支出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68.55</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eastAsia="zh-CN"/>
        </w:rPr>
        <w:t>与</w:t>
      </w:r>
      <w:r>
        <w:rPr>
          <w:rStyle w:val="16"/>
          <w:rFonts w:hint="eastAsia" w:ascii="仿宋" w:hAnsi="仿宋" w:eastAsia="仿宋"/>
          <w:b w:val="0"/>
          <w:bCs/>
          <w:color w:val="000000"/>
          <w:sz w:val="32"/>
          <w:szCs w:val="32"/>
        </w:rPr>
        <w:t>预算数</w:t>
      </w:r>
      <w:r>
        <w:rPr>
          <w:rStyle w:val="16"/>
          <w:rFonts w:hint="eastAsia" w:ascii="仿宋" w:hAnsi="仿宋" w:eastAsia="仿宋"/>
          <w:b w:val="0"/>
          <w:bCs/>
          <w:color w:val="000000"/>
          <w:sz w:val="32"/>
          <w:szCs w:val="32"/>
          <w:lang w:eastAsia="zh-CN"/>
        </w:rPr>
        <w:t>持平</w:t>
      </w:r>
      <w:r>
        <w:rPr>
          <w:rStyle w:val="16"/>
          <w:rFonts w:hint="eastAsia" w:ascii="仿宋" w:hAnsi="仿宋" w:eastAsia="仿宋"/>
          <w:b w:val="0"/>
          <w:bCs/>
          <w:color w:val="000000"/>
          <w:sz w:val="32"/>
          <w:szCs w:val="32"/>
        </w:rPr>
        <w:t>。</w:t>
      </w:r>
    </w:p>
    <w:p w14:paraId="4EC4DD4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3</w:t>
      </w:r>
      <w:r>
        <w:rPr>
          <w:rStyle w:val="16"/>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行政事业单位医疗</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行政单位医疗</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20.69</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事业单位医疗</w:t>
      </w:r>
      <w:r>
        <w:rPr>
          <w:rStyle w:val="16"/>
          <w:rFonts w:hint="eastAsia" w:ascii="仿宋" w:hAnsi="仿宋" w:eastAsia="仿宋"/>
          <w:b w:val="0"/>
          <w:bCs/>
          <w:color w:val="000000"/>
          <w:sz w:val="32"/>
          <w:szCs w:val="32"/>
          <w:lang w:val="en-US" w:eastAsia="zh-CN"/>
        </w:rPr>
        <w:t>14.91万元，公务员医疗补助4.41万元，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eastAsia="zh-CN"/>
        </w:rPr>
        <w:t>与</w:t>
      </w:r>
      <w:r>
        <w:rPr>
          <w:rStyle w:val="16"/>
          <w:rFonts w:hint="eastAsia" w:ascii="仿宋" w:hAnsi="仿宋" w:eastAsia="仿宋"/>
          <w:b w:val="0"/>
          <w:bCs/>
          <w:color w:val="000000"/>
          <w:sz w:val="32"/>
          <w:szCs w:val="32"/>
        </w:rPr>
        <w:t>预算数</w:t>
      </w:r>
      <w:r>
        <w:rPr>
          <w:rStyle w:val="16"/>
          <w:rFonts w:hint="eastAsia" w:ascii="仿宋" w:hAnsi="仿宋" w:eastAsia="仿宋"/>
          <w:b w:val="0"/>
          <w:bCs/>
          <w:color w:val="000000"/>
          <w:sz w:val="32"/>
          <w:szCs w:val="32"/>
          <w:lang w:eastAsia="zh-CN"/>
        </w:rPr>
        <w:t>持平</w:t>
      </w:r>
      <w:r>
        <w:rPr>
          <w:rStyle w:val="16"/>
          <w:rFonts w:hint="eastAsia" w:ascii="仿宋" w:hAnsi="仿宋" w:eastAsia="仿宋"/>
          <w:b w:val="0"/>
          <w:bCs/>
          <w:color w:val="000000"/>
          <w:sz w:val="32"/>
          <w:szCs w:val="32"/>
        </w:rPr>
        <w:t>。</w:t>
      </w:r>
    </w:p>
    <w:p w14:paraId="4AE97F8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 w:hAnsi="仿宋" w:eastAsia="仿宋"/>
          <w:color w:val="000000"/>
          <w:sz w:val="32"/>
          <w:szCs w:val="32"/>
          <w:lang w:val="en-US" w:eastAsia="zh-CN"/>
        </w:rPr>
      </w:pPr>
      <w:r>
        <w:rPr>
          <w:rStyle w:val="16"/>
          <w:rFonts w:hint="eastAsia" w:ascii="仿宋" w:hAnsi="仿宋" w:eastAsia="仿宋"/>
          <w:bCs/>
          <w:color w:val="000000"/>
          <w:sz w:val="32"/>
          <w:szCs w:val="32"/>
          <w:lang w:val="en-US" w:eastAsia="zh-CN"/>
        </w:rPr>
        <w:t>4.</w:t>
      </w:r>
      <w:r>
        <w:rPr>
          <w:rStyle w:val="16"/>
          <w:rFonts w:hint="eastAsia" w:ascii="仿宋" w:hAnsi="仿宋" w:eastAsia="仿宋"/>
          <w:bCs/>
          <w:color w:val="000000"/>
          <w:sz w:val="32"/>
          <w:szCs w:val="32"/>
          <w:lang w:eastAsia="zh-CN"/>
        </w:rPr>
        <w:t>城乡社区支出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其他城乡社区支出</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其他城乡社区支出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16956</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系</w:t>
      </w:r>
      <w:r>
        <w:rPr>
          <w:rFonts w:hint="eastAsia" w:ascii="仿宋" w:hAnsi="仿宋" w:eastAsia="仿宋"/>
          <w:color w:val="000000"/>
          <w:sz w:val="32"/>
          <w:szCs w:val="32"/>
          <w:lang w:val="en-US" w:eastAsia="zh-CN"/>
        </w:rPr>
        <w:t>转拨力迅交投建设有限公司2019年第二批新增一般债券资金16956万元。</w:t>
      </w:r>
    </w:p>
    <w:p w14:paraId="2135C9D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5.</w:t>
      </w:r>
      <w:r>
        <w:rPr>
          <w:rStyle w:val="16"/>
          <w:rFonts w:hint="eastAsia" w:ascii="仿宋" w:hAnsi="仿宋" w:eastAsia="仿宋"/>
          <w:b/>
          <w:bCs/>
          <w:color w:val="000000"/>
          <w:sz w:val="32"/>
          <w:szCs w:val="32"/>
          <w:lang w:eastAsia="zh-CN"/>
        </w:rPr>
        <w:t>农林水支出</w:t>
      </w:r>
      <w:r>
        <w:rPr>
          <w:rStyle w:val="16"/>
          <w:rFonts w:hint="eastAsia" w:ascii="仿宋" w:hAnsi="仿宋" w:eastAsia="仿宋"/>
          <w:b/>
          <w:bCs/>
          <w:color w:val="000000"/>
          <w:sz w:val="32"/>
          <w:szCs w:val="32"/>
        </w:rPr>
        <w:t>（类）</w:t>
      </w:r>
      <w:r>
        <w:rPr>
          <w:rStyle w:val="16"/>
          <w:rFonts w:hint="eastAsia" w:ascii="仿宋" w:hAnsi="仿宋" w:eastAsia="仿宋"/>
          <w:b/>
          <w:bCs/>
          <w:color w:val="000000"/>
          <w:sz w:val="32"/>
          <w:szCs w:val="32"/>
          <w:lang w:eastAsia="zh-CN"/>
        </w:rPr>
        <w:t>扶贫</w:t>
      </w:r>
      <w:r>
        <w:rPr>
          <w:rStyle w:val="16"/>
          <w:rFonts w:hint="eastAsia" w:ascii="仿宋" w:hAnsi="仿宋" w:eastAsia="仿宋"/>
          <w:b/>
          <w:bCs/>
          <w:color w:val="000000"/>
          <w:sz w:val="32"/>
          <w:szCs w:val="32"/>
        </w:rPr>
        <w:t>（款）</w:t>
      </w:r>
      <w:r>
        <w:rPr>
          <w:rStyle w:val="16"/>
          <w:rFonts w:hint="eastAsia" w:ascii="仿宋" w:hAnsi="仿宋" w:eastAsia="仿宋"/>
          <w:b/>
          <w:bCs/>
          <w:color w:val="000000"/>
          <w:sz w:val="32"/>
          <w:szCs w:val="32"/>
          <w:lang w:eastAsia="zh-CN"/>
        </w:rPr>
        <w:t>其他扶贫支出</w:t>
      </w:r>
      <w:r>
        <w:rPr>
          <w:rStyle w:val="16"/>
          <w:rFonts w:hint="eastAsia" w:ascii="仿宋" w:hAnsi="仿宋" w:eastAsia="仿宋"/>
          <w:b/>
          <w:bCs/>
          <w:color w:val="000000"/>
          <w:sz w:val="32"/>
          <w:szCs w:val="32"/>
        </w:rPr>
        <w:t>（项）</w:t>
      </w:r>
      <w:r>
        <w:rPr>
          <w:rStyle w:val="16"/>
          <w:rFonts w:ascii="仿宋" w:hAnsi="仿宋" w:eastAsia="仿宋"/>
          <w:b/>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9.2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eastAsia="zh-CN"/>
        </w:rPr>
        <w:t>与</w:t>
      </w:r>
      <w:r>
        <w:rPr>
          <w:rStyle w:val="16"/>
          <w:rFonts w:hint="eastAsia" w:ascii="仿宋" w:hAnsi="仿宋" w:eastAsia="仿宋"/>
          <w:b w:val="0"/>
          <w:bCs/>
          <w:color w:val="000000"/>
          <w:sz w:val="32"/>
          <w:szCs w:val="32"/>
        </w:rPr>
        <w:t>预算数</w:t>
      </w:r>
      <w:r>
        <w:rPr>
          <w:rStyle w:val="16"/>
          <w:rFonts w:hint="eastAsia" w:ascii="仿宋" w:hAnsi="仿宋" w:eastAsia="仿宋"/>
          <w:b w:val="0"/>
          <w:bCs/>
          <w:color w:val="000000"/>
          <w:sz w:val="32"/>
          <w:szCs w:val="32"/>
          <w:lang w:eastAsia="zh-CN"/>
        </w:rPr>
        <w:t>持平</w:t>
      </w:r>
      <w:r>
        <w:rPr>
          <w:rStyle w:val="16"/>
          <w:rFonts w:hint="eastAsia" w:ascii="仿宋" w:hAnsi="仿宋" w:eastAsia="仿宋"/>
          <w:b w:val="0"/>
          <w:bCs/>
          <w:color w:val="000000"/>
          <w:sz w:val="32"/>
          <w:szCs w:val="32"/>
        </w:rPr>
        <w:t>。</w:t>
      </w:r>
    </w:p>
    <w:p w14:paraId="1799204B">
      <w:pPr>
        <w:pStyle w:val="13"/>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0"/>
        <w:rPr>
          <w:rStyle w:val="16"/>
          <w:rFonts w:hint="eastAsia" w:ascii="仿宋" w:hAnsi="仿宋" w:eastAsia="仿宋"/>
          <w:b w:val="0"/>
          <w:bCs/>
          <w:color w:val="000000"/>
          <w:sz w:val="32"/>
          <w:szCs w:val="32"/>
        </w:rPr>
      </w:pPr>
      <w:bookmarkStart w:id="60" w:name="_Toc26028"/>
      <w:bookmarkStart w:id="61" w:name="_Toc16219"/>
      <w:r>
        <w:rPr>
          <w:rStyle w:val="16"/>
          <w:rFonts w:hint="eastAsia" w:ascii="仿宋" w:hAnsi="仿宋" w:eastAsia="仿宋"/>
          <w:b/>
          <w:bCs/>
          <w:color w:val="000000"/>
          <w:sz w:val="32"/>
          <w:szCs w:val="32"/>
          <w:lang w:val="en-US" w:eastAsia="zh-CN"/>
        </w:rPr>
        <w:t>6.</w:t>
      </w:r>
      <w:r>
        <w:rPr>
          <w:rStyle w:val="16"/>
          <w:rFonts w:hint="eastAsia" w:ascii="仿宋" w:hAnsi="仿宋" w:eastAsia="仿宋"/>
          <w:b/>
          <w:bCs/>
          <w:color w:val="000000"/>
          <w:sz w:val="32"/>
          <w:szCs w:val="32"/>
          <w:lang w:eastAsia="zh-CN"/>
        </w:rPr>
        <w:t>住房保障支出</w:t>
      </w:r>
      <w:r>
        <w:rPr>
          <w:rStyle w:val="16"/>
          <w:rFonts w:hint="eastAsia" w:ascii="仿宋" w:hAnsi="仿宋" w:eastAsia="仿宋"/>
          <w:b/>
          <w:bCs/>
          <w:color w:val="000000"/>
          <w:sz w:val="32"/>
          <w:szCs w:val="32"/>
        </w:rPr>
        <w:t>（类）</w:t>
      </w:r>
      <w:r>
        <w:rPr>
          <w:rStyle w:val="16"/>
          <w:rFonts w:hint="eastAsia" w:ascii="仿宋" w:hAnsi="仿宋" w:eastAsia="仿宋"/>
          <w:b/>
          <w:bCs/>
          <w:color w:val="000000"/>
          <w:sz w:val="32"/>
          <w:szCs w:val="32"/>
          <w:lang w:eastAsia="zh-CN"/>
        </w:rPr>
        <w:t>住房改革支出</w:t>
      </w:r>
      <w:r>
        <w:rPr>
          <w:rStyle w:val="16"/>
          <w:rFonts w:hint="eastAsia" w:ascii="仿宋" w:hAnsi="仿宋" w:eastAsia="仿宋"/>
          <w:b/>
          <w:bCs/>
          <w:color w:val="000000"/>
          <w:sz w:val="32"/>
          <w:szCs w:val="32"/>
        </w:rPr>
        <w:t>（款）</w:t>
      </w:r>
      <w:r>
        <w:rPr>
          <w:rStyle w:val="16"/>
          <w:rFonts w:hint="eastAsia" w:ascii="仿宋" w:hAnsi="仿宋" w:eastAsia="仿宋"/>
          <w:b/>
          <w:bCs/>
          <w:color w:val="000000"/>
          <w:sz w:val="32"/>
          <w:szCs w:val="32"/>
          <w:lang w:eastAsia="zh-CN"/>
        </w:rPr>
        <w:t>住房公积金</w:t>
      </w:r>
      <w:r>
        <w:rPr>
          <w:rStyle w:val="16"/>
          <w:rFonts w:hint="eastAsia" w:ascii="仿宋" w:hAnsi="仿宋" w:eastAsia="仿宋"/>
          <w:b/>
          <w:bCs/>
          <w:color w:val="000000"/>
          <w:sz w:val="32"/>
          <w:szCs w:val="32"/>
        </w:rPr>
        <w:t>（项）</w:t>
      </w:r>
      <w:r>
        <w:rPr>
          <w:rStyle w:val="16"/>
          <w:rFonts w:ascii="仿宋" w:hAnsi="仿宋" w:eastAsia="仿宋"/>
          <w:b/>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47.48</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eastAsia="zh-CN"/>
        </w:rPr>
        <w:t>与</w:t>
      </w:r>
      <w:r>
        <w:rPr>
          <w:rStyle w:val="16"/>
          <w:rFonts w:hint="eastAsia" w:ascii="仿宋" w:hAnsi="仿宋" w:eastAsia="仿宋"/>
          <w:b w:val="0"/>
          <w:bCs/>
          <w:color w:val="000000"/>
          <w:sz w:val="32"/>
          <w:szCs w:val="32"/>
        </w:rPr>
        <w:t>预算数</w:t>
      </w:r>
      <w:r>
        <w:rPr>
          <w:rStyle w:val="16"/>
          <w:rFonts w:hint="eastAsia" w:ascii="仿宋" w:hAnsi="仿宋" w:eastAsia="仿宋"/>
          <w:b w:val="0"/>
          <w:bCs/>
          <w:color w:val="000000"/>
          <w:sz w:val="32"/>
          <w:szCs w:val="32"/>
          <w:lang w:eastAsia="zh-CN"/>
        </w:rPr>
        <w:t>持平</w:t>
      </w:r>
      <w:r>
        <w:rPr>
          <w:rStyle w:val="16"/>
          <w:rFonts w:hint="eastAsia" w:ascii="仿宋" w:hAnsi="仿宋" w:eastAsia="仿宋"/>
          <w:b w:val="0"/>
          <w:bCs/>
          <w:color w:val="000000"/>
          <w:sz w:val="32"/>
          <w:szCs w:val="32"/>
        </w:rPr>
        <w:t>。</w:t>
      </w:r>
      <w:bookmarkEnd w:id="60"/>
      <w:bookmarkEnd w:id="61"/>
    </w:p>
    <w:p w14:paraId="6C8EE5DB">
      <w:pPr>
        <w:pStyle w:val="13"/>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0"/>
      </w:pPr>
      <w:bookmarkStart w:id="62" w:name="_Toc484"/>
      <w:bookmarkStart w:id="63" w:name="_Toc26383"/>
      <w:r>
        <w:rPr>
          <w:rFonts w:hint="eastAsia" w:ascii="仿宋" w:hAnsi="仿宋" w:eastAsia="仿宋"/>
          <w:color w:val="000000"/>
          <w:sz w:val="32"/>
          <w:szCs w:val="32"/>
          <w:lang w:val="en-US" w:eastAsia="zh-CN"/>
        </w:rPr>
        <w:t>7.</w:t>
      </w:r>
      <w:r>
        <w:rPr>
          <w:rStyle w:val="16"/>
          <w:rFonts w:hint="eastAsia" w:ascii="仿宋" w:hAnsi="仿宋" w:eastAsia="仿宋"/>
          <w:b/>
          <w:bCs/>
          <w:color w:val="000000"/>
          <w:sz w:val="32"/>
          <w:szCs w:val="32"/>
          <w:lang w:eastAsia="zh-CN"/>
        </w:rPr>
        <w:t>其他支出</w:t>
      </w:r>
      <w:r>
        <w:rPr>
          <w:rStyle w:val="16"/>
          <w:rFonts w:hint="eastAsia" w:ascii="仿宋" w:hAnsi="仿宋" w:eastAsia="仿宋"/>
          <w:b/>
          <w:bCs/>
          <w:color w:val="000000"/>
          <w:sz w:val="32"/>
          <w:szCs w:val="32"/>
        </w:rPr>
        <w:t>（类）</w:t>
      </w:r>
      <w:r>
        <w:rPr>
          <w:rStyle w:val="16"/>
          <w:rFonts w:hint="eastAsia" w:ascii="仿宋" w:hAnsi="仿宋" w:eastAsia="仿宋"/>
          <w:b/>
          <w:bCs/>
          <w:color w:val="000000"/>
          <w:sz w:val="32"/>
          <w:szCs w:val="32"/>
          <w:lang w:eastAsia="zh-CN"/>
        </w:rPr>
        <w:t>其他支出</w:t>
      </w:r>
      <w:r>
        <w:rPr>
          <w:rStyle w:val="16"/>
          <w:rFonts w:hint="eastAsia" w:ascii="仿宋" w:hAnsi="仿宋" w:eastAsia="仿宋"/>
          <w:b/>
          <w:bCs/>
          <w:color w:val="000000"/>
          <w:sz w:val="32"/>
          <w:szCs w:val="32"/>
        </w:rPr>
        <w:t>（款）</w:t>
      </w:r>
      <w:r>
        <w:rPr>
          <w:rStyle w:val="16"/>
          <w:rFonts w:hint="eastAsia" w:ascii="仿宋" w:hAnsi="仿宋" w:eastAsia="仿宋"/>
          <w:b/>
          <w:bCs/>
          <w:color w:val="000000"/>
          <w:sz w:val="32"/>
          <w:szCs w:val="32"/>
          <w:lang w:eastAsia="zh-CN"/>
        </w:rPr>
        <w:t>其他支出</w:t>
      </w:r>
      <w:r>
        <w:rPr>
          <w:rStyle w:val="16"/>
          <w:rFonts w:hint="eastAsia" w:ascii="仿宋" w:hAnsi="仿宋" w:eastAsia="仿宋"/>
          <w:b/>
          <w:bCs/>
          <w:color w:val="000000"/>
          <w:sz w:val="32"/>
          <w:szCs w:val="32"/>
        </w:rPr>
        <w:t>（项）</w:t>
      </w:r>
      <w:r>
        <w:rPr>
          <w:rStyle w:val="16"/>
          <w:rFonts w:ascii="仿宋" w:hAnsi="仿宋" w:eastAsia="仿宋"/>
          <w:b/>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170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eastAsia="zh-CN"/>
        </w:rPr>
        <w:t>与</w:t>
      </w:r>
      <w:r>
        <w:rPr>
          <w:rStyle w:val="16"/>
          <w:rFonts w:hint="eastAsia" w:ascii="仿宋" w:hAnsi="仿宋" w:eastAsia="仿宋"/>
          <w:b w:val="0"/>
          <w:bCs/>
          <w:color w:val="000000"/>
          <w:sz w:val="32"/>
          <w:szCs w:val="32"/>
        </w:rPr>
        <w:t>预算数</w:t>
      </w:r>
      <w:r>
        <w:rPr>
          <w:rStyle w:val="16"/>
          <w:rFonts w:hint="eastAsia" w:ascii="仿宋" w:hAnsi="仿宋" w:eastAsia="仿宋"/>
          <w:b w:val="0"/>
          <w:bCs/>
          <w:color w:val="000000"/>
          <w:sz w:val="32"/>
          <w:szCs w:val="32"/>
          <w:lang w:eastAsia="zh-CN"/>
        </w:rPr>
        <w:t>持平</w:t>
      </w:r>
      <w:r>
        <w:rPr>
          <w:rStyle w:val="16"/>
          <w:rFonts w:hint="eastAsia" w:ascii="仿宋" w:hAnsi="仿宋" w:eastAsia="仿宋"/>
          <w:b w:val="0"/>
          <w:bCs/>
          <w:color w:val="000000"/>
          <w:sz w:val="32"/>
          <w:szCs w:val="32"/>
        </w:rPr>
        <w:t>。</w:t>
      </w:r>
      <w:bookmarkEnd w:id="62"/>
      <w:bookmarkEnd w:id="63"/>
    </w:p>
    <w:p w14:paraId="646DF7E3">
      <w:pPr>
        <w:pStyle w:val="4"/>
        <w:rPr>
          <w:rStyle w:val="28"/>
          <w:b/>
          <w:bCs/>
        </w:rPr>
      </w:pPr>
      <w:bookmarkStart w:id="64" w:name="_Toc17256"/>
      <w:bookmarkStart w:id="65" w:name="_Toc15396608"/>
      <w:bookmarkStart w:id="66" w:name="_Toc15377214"/>
      <w:bookmarkStart w:id="67" w:name="_Toc15574"/>
      <w:r>
        <w:rPr>
          <w:rFonts w:hint="eastAsia"/>
        </w:rPr>
        <w:t>六、一般公共预算财政拨款基本支出决算情况说明</w:t>
      </w:r>
      <w:bookmarkEnd w:id="64"/>
      <w:bookmarkEnd w:id="65"/>
      <w:bookmarkEnd w:id="66"/>
      <w:r>
        <w:tab/>
      </w:r>
    </w:p>
    <w:bookmarkEnd w:id="67"/>
    <w:p w14:paraId="43D2CE35">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753.43</w:t>
      </w:r>
      <w:r>
        <w:rPr>
          <w:rFonts w:hint="eastAsia" w:ascii="仿宋" w:hAnsi="仿宋" w:eastAsia="仿宋"/>
          <w:color w:val="000000"/>
          <w:sz w:val="32"/>
          <w:szCs w:val="32"/>
        </w:rPr>
        <w:t>万元，其中：</w:t>
      </w:r>
    </w:p>
    <w:p w14:paraId="046D1079">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619.04</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76277B78">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108.15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190034FA">
      <w:pPr>
        <w:pStyle w:val="4"/>
      </w:pPr>
      <w:bookmarkStart w:id="68" w:name="_Toc15396609"/>
      <w:bookmarkStart w:id="69" w:name="_Toc27423"/>
      <w:bookmarkStart w:id="70" w:name="_Toc15377215"/>
      <w:bookmarkStart w:id="71" w:name="_Toc26098"/>
      <w:r>
        <w:rPr>
          <w:rFonts w:hint="eastAsia"/>
        </w:rPr>
        <w:t>七、“三公”经费财政拨款支出决算情况说明</w:t>
      </w:r>
      <w:bookmarkEnd w:id="68"/>
      <w:bookmarkEnd w:id="69"/>
      <w:bookmarkEnd w:id="70"/>
      <w:bookmarkEnd w:id="71"/>
    </w:p>
    <w:p w14:paraId="7432A90F">
      <w:pPr>
        <w:spacing w:line="600" w:lineRule="exact"/>
        <w:ind w:firstLine="640"/>
        <w:outlineLvl w:val="2"/>
        <w:rPr>
          <w:rFonts w:ascii="仿宋" w:hAnsi="仿宋" w:eastAsia="仿宋"/>
          <w:b/>
          <w:color w:val="000000"/>
          <w:sz w:val="32"/>
          <w:szCs w:val="32"/>
        </w:rPr>
      </w:pPr>
      <w:bookmarkStart w:id="72" w:name="_Toc15377216"/>
      <w:r>
        <w:rPr>
          <w:rFonts w:hint="eastAsia" w:ascii="仿宋" w:hAnsi="仿宋" w:eastAsia="仿宋"/>
          <w:b/>
          <w:color w:val="000000"/>
          <w:sz w:val="32"/>
          <w:szCs w:val="32"/>
        </w:rPr>
        <w:t>（一）“三公”经费财政拨款支出决算总体情况说明</w:t>
      </w:r>
      <w:bookmarkEnd w:id="72"/>
    </w:p>
    <w:p w14:paraId="51296D7A">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14:paraId="5D4AF7DD">
      <w:pPr>
        <w:spacing w:line="600" w:lineRule="exact"/>
        <w:ind w:firstLine="640"/>
        <w:outlineLvl w:val="2"/>
        <w:rPr>
          <w:rFonts w:ascii="仿宋" w:hAnsi="仿宋" w:eastAsia="仿宋"/>
          <w:b/>
          <w:color w:val="000000"/>
          <w:sz w:val="32"/>
          <w:szCs w:val="32"/>
        </w:rPr>
      </w:pPr>
      <w:bookmarkStart w:id="73" w:name="_Toc15377217"/>
      <w:r>
        <w:rPr>
          <w:rFonts w:hint="eastAsia" w:ascii="仿宋" w:hAnsi="仿宋" w:eastAsia="仿宋"/>
          <w:b/>
          <w:color w:val="000000"/>
          <w:sz w:val="32"/>
          <w:szCs w:val="32"/>
        </w:rPr>
        <w:t>（二）“三公”经费财政拨款支出决算具体情况说明</w:t>
      </w:r>
      <w:bookmarkEnd w:id="73"/>
    </w:p>
    <w:p w14:paraId="042502CF">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350DAD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Style w:val="16"/>
          <w:rFonts w:hint="eastAsia" w:ascii="仿宋" w:hAnsi="仿宋" w:eastAsia="仿宋"/>
          <w:b w:val="0"/>
          <w:bCs/>
          <w:color w:val="000000"/>
          <w:sz w:val="32"/>
          <w:szCs w:val="32"/>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4B6565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5FF0DA6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其中：</w:t>
      </w:r>
    </w:p>
    <w:p w14:paraId="1AEDD2B0">
      <w:pPr>
        <w:spacing w:line="600" w:lineRule="exact"/>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0.5</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78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542</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万元。</w:t>
      </w:r>
    </w:p>
    <w:p w14:paraId="149B0BD4">
      <w:pPr>
        <w:pStyle w:val="4"/>
      </w:pPr>
      <w:bookmarkStart w:id="74" w:name="_Toc15396610"/>
      <w:bookmarkStart w:id="75" w:name="_Toc22810"/>
      <w:bookmarkStart w:id="76" w:name="_Toc15377218"/>
      <w:bookmarkStart w:id="77" w:name="_Toc449"/>
      <w:r>
        <w:rPr>
          <w:rFonts w:hint="eastAsia"/>
        </w:rPr>
        <w:t>八、政府性基金预算支出决算情况说明</w:t>
      </w:r>
      <w:bookmarkEnd w:id="74"/>
      <w:bookmarkEnd w:id="75"/>
      <w:bookmarkEnd w:id="76"/>
      <w:bookmarkEnd w:id="77"/>
    </w:p>
    <w:p w14:paraId="57C55FF1">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41EC921C">
      <w:pPr>
        <w:pStyle w:val="4"/>
      </w:pPr>
      <w:bookmarkStart w:id="78" w:name="_Toc14847"/>
      <w:bookmarkStart w:id="79" w:name="_Toc19865"/>
      <w:bookmarkStart w:id="80" w:name="_Toc15396611"/>
      <w:bookmarkStart w:id="81" w:name="_Toc15377219"/>
      <w:r>
        <w:rPr>
          <w:rFonts w:hint="eastAsia"/>
          <w:lang w:eastAsia="zh-CN"/>
        </w:rPr>
        <w:t>九、</w:t>
      </w:r>
      <w:r>
        <w:rPr>
          <w:rFonts w:hint="eastAsia"/>
        </w:rPr>
        <w:t>国有资本经营预算支出决算情况说明</w:t>
      </w:r>
      <w:bookmarkEnd w:id="78"/>
      <w:bookmarkEnd w:id="79"/>
      <w:bookmarkEnd w:id="80"/>
      <w:bookmarkEnd w:id="81"/>
    </w:p>
    <w:p w14:paraId="262975BF">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65DA62C5">
      <w:pPr>
        <w:pStyle w:val="4"/>
      </w:pPr>
      <w:bookmarkStart w:id="82" w:name="_Toc27766"/>
      <w:bookmarkStart w:id="83" w:name="_Toc15396612"/>
      <w:bookmarkStart w:id="84" w:name="_Toc31229"/>
      <w:bookmarkStart w:id="85" w:name="_Toc15377221"/>
      <w:r>
        <w:rPr>
          <w:rFonts w:hint="eastAsia"/>
        </w:rPr>
        <w:t>十、其他重要事项的情况说明</w:t>
      </w:r>
      <w:bookmarkEnd w:id="82"/>
      <w:bookmarkEnd w:id="83"/>
      <w:bookmarkEnd w:id="84"/>
      <w:bookmarkEnd w:id="85"/>
    </w:p>
    <w:p w14:paraId="3718F0FA">
      <w:pPr>
        <w:spacing w:line="600" w:lineRule="exact"/>
        <w:ind w:firstLine="643" w:firstLineChars="200"/>
        <w:outlineLvl w:val="2"/>
        <w:rPr>
          <w:rFonts w:ascii="仿宋" w:hAnsi="仿宋" w:eastAsia="仿宋"/>
          <w:color w:val="000000"/>
          <w:sz w:val="32"/>
          <w:szCs w:val="32"/>
        </w:rPr>
      </w:pPr>
      <w:bookmarkStart w:id="86" w:name="_Toc15377222"/>
      <w:r>
        <w:rPr>
          <w:rFonts w:hint="eastAsia" w:ascii="仿宋" w:hAnsi="仿宋" w:eastAsia="仿宋"/>
          <w:b/>
          <w:color w:val="000000"/>
          <w:sz w:val="32"/>
          <w:szCs w:val="32"/>
        </w:rPr>
        <w:t>（一）机关运行经费支出情况</w:t>
      </w:r>
      <w:bookmarkEnd w:id="86"/>
    </w:p>
    <w:p w14:paraId="1CFA6518">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发改局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753.43</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16.17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2.1</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公用经费压缩，节约开支。</w:t>
      </w:r>
    </w:p>
    <w:p w14:paraId="38F43AB1">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7" w:name="_Toc15377223"/>
      <w:r>
        <w:rPr>
          <w:rFonts w:hint="eastAsia" w:ascii="仿宋" w:hAnsi="仿宋" w:eastAsia="仿宋"/>
          <w:b/>
          <w:color w:val="000000"/>
          <w:sz w:val="32"/>
          <w:szCs w:val="32"/>
        </w:rPr>
        <w:t>（二）政府采购支出情况</w:t>
      </w:r>
      <w:bookmarkEnd w:id="87"/>
    </w:p>
    <w:p w14:paraId="2D3A653E">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发改局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2215E319">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8" w:name="_Toc15377224"/>
      <w:r>
        <w:rPr>
          <w:rFonts w:hint="eastAsia" w:ascii="仿宋" w:hAnsi="仿宋" w:eastAsia="仿宋"/>
          <w:b/>
          <w:color w:val="000000"/>
          <w:sz w:val="32"/>
          <w:szCs w:val="32"/>
        </w:rPr>
        <w:t>（三）国有资产占有使用情况</w:t>
      </w:r>
      <w:bookmarkEnd w:id="88"/>
    </w:p>
    <w:p w14:paraId="6EFFD233">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发改局无公务用车。</w:t>
      </w:r>
    </w:p>
    <w:p w14:paraId="2991EEA6">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5B9B423D">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易地扶贫搬迁专项经费、人才引进补助、</w:t>
      </w:r>
      <w:r>
        <w:rPr>
          <w:rFonts w:hint="eastAsia" w:ascii="仿宋_GB2312" w:hAnsi="仿宋_GB2312" w:eastAsia="仿宋_GB2312" w:cs="仿宋_GB2312"/>
          <w:sz w:val="32"/>
          <w:szCs w:val="32"/>
        </w:rPr>
        <w:t>项目工作经费开展了预算事前绩效评估，对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个项目开展了绩效目标完成情况自评。</w:t>
      </w:r>
    </w:p>
    <w:p w14:paraId="2139BEF4">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72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我局按照前期定制目标，预定任务全部完成</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易地搬迁</w:t>
      </w:r>
      <w:r>
        <w:rPr>
          <w:rFonts w:hint="eastAsia" w:ascii="仿宋_GB2312" w:hAnsi="仿宋_GB2312" w:eastAsia="仿宋_GB2312" w:cs="仿宋_GB2312"/>
          <w:sz w:val="32"/>
          <w:szCs w:val="32"/>
        </w:rPr>
        <w:t>项目绩效评价，从评价情况来看</w:t>
      </w:r>
      <w:r>
        <w:rPr>
          <w:rFonts w:hint="eastAsia" w:ascii="仿宋_GB2312" w:hAnsi="仿宋_GB2312" w:eastAsia="仿宋_GB2312" w:cs="仿宋_GB2312"/>
          <w:sz w:val="32"/>
          <w:szCs w:val="32"/>
          <w:lang w:val="en-US" w:eastAsia="zh-CN"/>
        </w:rPr>
        <w:t>产出、效益、满意度”等指标值</w:t>
      </w:r>
      <w:r>
        <w:rPr>
          <w:rFonts w:hint="eastAsia" w:ascii="仿宋_GB2312" w:hAnsi="仿宋_GB2312" w:eastAsia="仿宋_GB2312" w:cs="仿宋_GB2312"/>
          <w:sz w:val="32"/>
          <w:szCs w:val="32"/>
          <w:lang w:eastAsia="zh-CN"/>
        </w:rPr>
        <w:t>评价良好，</w:t>
      </w:r>
      <w:r>
        <w:rPr>
          <w:rFonts w:hint="eastAsia" w:ascii="仿宋_GB2312" w:hAnsi="仿宋_GB2312" w:eastAsia="仿宋_GB2312" w:cs="仿宋_GB2312"/>
          <w:b w:val="0"/>
          <w:bCs/>
          <w:sz w:val="32"/>
          <w:szCs w:val="32"/>
          <w:lang w:val="zh-CN"/>
        </w:rPr>
        <w:t>存在的问题：一是</w:t>
      </w:r>
      <w:r>
        <w:rPr>
          <w:rFonts w:hint="eastAsia" w:ascii="仿宋_GB2312" w:hAnsi="仿宋_GB2312" w:eastAsia="仿宋_GB2312" w:cs="仿宋_GB2312"/>
          <w:b w:val="0"/>
          <w:bCs/>
          <w:sz w:val="32"/>
          <w:szCs w:val="32"/>
          <w:lang w:val="en-US" w:eastAsia="zh-CN"/>
        </w:rPr>
        <w:t>资金投入较少，项目建设是一项长期建设任务，投入资金有限，在一个时间范围内，完成一个整体的建设项目比较困难；二是效益评价标准降低。由于受限于资金，对关系重大民生的项目效益标准降低。</w:t>
      </w:r>
      <w:r>
        <w:rPr>
          <w:rFonts w:hint="eastAsia" w:ascii="仿宋_GB2312" w:hAnsi="仿宋_GB2312" w:eastAsia="仿宋_GB2312" w:cs="仿宋_GB2312"/>
          <w:b w:val="0"/>
          <w:bCs/>
          <w:sz w:val="32"/>
          <w:szCs w:val="32"/>
          <w:lang w:val="zh-CN"/>
        </w:rPr>
        <w:t>相关建议：一是</w:t>
      </w:r>
      <w:r>
        <w:rPr>
          <w:rFonts w:hint="eastAsia" w:ascii="仿宋_GB2312" w:hAnsi="仿宋_GB2312" w:eastAsia="仿宋_GB2312" w:cs="仿宋_GB2312"/>
          <w:b w:val="0"/>
          <w:bCs/>
          <w:sz w:val="32"/>
          <w:szCs w:val="32"/>
          <w:lang w:val="en-US" w:eastAsia="zh-CN"/>
        </w:rPr>
        <w:t>进一步加大资金投入。引进专业技术人才，组织培训，加强提升业务素质水平，加大前期项目经费投入，争取政策，积极申报项目。二是提高项目资金使用率。实时监控项目预算完成情况，对项目资金执行情况、项目进度及时通报，确保项目按质按量完成。</w:t>
      </w:r>
    </w:p>
    <w:p w14:paraId="69057E88">
      <w:pPr>
        <w:keepNext w:val="0"/>
        <w:keepLines w:val="0"/>
        <w:pageBreakBefore w:val="0"/>
        <w:widowControl w:val="0"/>
        <w:numPr>
          <w:ilvl w:val="0"/>
          <w:numId w:val="1"/>
        </w:numPr>
        <w:kinsoku/>
        <w:wordWrap/>
        <w:overflowPunct/>
        <w:topLinePunct w:val="0"/>
        <w:autoSpaceDE/>
        <w:autoSpaceDN/>
        <w:bidi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p>
    <w:p w14:paraId="3E1BDD0B">
      <w:pPr>
        <w:keepNext w:val="0"/>
        <w:keepLines w:val="0"/>
        <w:pageBreakBefore w:val="0"/>
        <w:widowControl w:val="0"/>
        <w:numPr>
          <w:ilvl w:val="0"/>
          <w:numId w:val="1"/>
        </w:numPr>
        <w:kinsoku/>
        <w:wordWrap/>
        <w:overflowPunct/>
        <w:topLinePunct w:val="0"/>
        <w:autoSpaceDE/>
        <w:autoSpaceDN/>
        <w:bidi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易地扶贫搬迁专项经费、人才引进补助、</w:t>
      </w:r>
      <w:r>
        <w:rPr>
          <w:rFonts w:hint="eastAsia" w:ascii="仿宋_GB2312" w:hAnsi="仿宋_GB2312" w:eastAsia="仿宋_GB2312" w:cs="仿宋_GB2312"/>
          <w:sz w:val="32"/>
          <w:szCs w:val="32"/>
        </w:rPr>
        <w:t>项目工作经费</w:t>
      </w:r>
      <w:r>
        <w:rPr>
          <w:rFonts w:hint="eastAsia" w:ascii="仿宋_GB2312" w:hAnsi="仿宋_GB2312" w:eastAsia="仿宋_GB2312" w:cs="仿宋_GB2312"/>
          <w:sz w:val="32"/>
          <w:szCs w:val="32"/>
          <w:lang w:eastAsia="zh-CN"/>
        </w:rPr>
        <w:t>、驻村工作经费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14:paraId="3E5A9A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易地扶贫搬迁专项经费项目绩效目标完成情况综述。项目全年预算数</w:t>
      </w:r>
      <w:r>
        <w:rPr>
          <w:rFonts w:hint="eastAsia" w:ascii="仿宋_GB2312" w:hAnsi="仿宋_GB2312" w:eastAsia="仿宋_GB2312" w:cs="仿宋_GB2312"/>
          <w:sz w:val="32"/>
          <w:szCs w:val="32"/>
          <w:lang w:val="en-US" w:eastAsia="zh-CN"/>
        </w:rPr>
        <w:t>16956万元</w:t>
      </w:r>
      <w:r>
        <w:rPr>
          <w:rFonts w:hint="eastAsia" w:ascii="仿宋_GB2312" w:hAnsi="仿宋_GB2312" w:eastAsia="仿宋_GB2312" w:cs="仿宋_GB2312"/>
          <w:sz w:val="32"/>
          <w:szCs w:val="32"/>
          <w:lang w:eastAsia="zh-CN"/>
        </w:rPr>
        <w:t>，执行数为</w:t>
      </w:r>
      <w:r>
        <w:rPr>
          <w:rFonts w:hint="eastAsia" w:ascii="仿宋_GB2312" w:hAnsi="仿宋_GB2312" w:eastAsia="仿宋_GB2312" w:cs="仿宋_GB2312"/>
          <w:sz w:val="32"/>
          <w:szCs w:val="32"/>
          <w:lang w:val="en-US" w:eastAsia="zh-CN"/>
        </w:rPr>
        <w:t>16956</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通过项目实施，全面完成2019年1041户3500人的建设任务，新建道路137公里、饮水管网52公里、安全饮水池15口、卫生室14个、文化室12个、活动室18个，改建（维修）道路9.5公里、卫生室13个、文化室15个、活动室4个，完成投资19759万；开展了易地扶贫搬迁“两不愁三保障”回头看大排查，对发现的5类4183个问题已全部完成整改；举办了易地扶贫搬迁专题培训7次，共计2652人次。同时，通过产业后续扶持，切实增强了搬迁户增收造血功能，2019年625名搬迁群众依托发展特色农林业增收，235名搬迁群众依托发展现代服务业增收，245名搬迁群众依托线上销售特色农林产品自主创业增收，206名搬迁群众就近务工就业、864人外出务工就业增收。</w:t>
      </w:r>
    </w:p>
    <w:p w14:paraId="171645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）人才引进补助项目绩效目标完成情况综述。项目全年预算数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%。通过项目实施，保障引进人才相关经费支出，</w:t>
      </w:r>
      <w:r>
        <w:rPr>
          <w:rFonts w:hint="eastAsia" w:ascii="仿宋_GB2312" w:hAnsi="仿宋_GB2312" w:eastAsia="仿宋_GB2312" w:cs="仿宋_GB2312"/>
          <w:sz w:val="32"/>
          <w:szCs w:val="32"/>
          <w:lang w:val="zh-CN" w:eastAsia="zh-CN"/>
        </w:rPr>
        <w:t>支付依据合规合法</w:t>
      </w:r>
      <w:r>
        <w:rPr>
          <w:rFonts w:hint="eastAsia" w:ascii="仿宋_GB2312" w:hAnsi="仿宋_GB2312" w:eastAsia="仿宋_GB2312" w:cs="仿宋_GB2312"/>
          <w:sz w:val="32"/>
          <w:szCs w:val="32"/>
          <w:lang w:eastAsia="zh-CN"/>
        </w:rPr>
        <w:t>。</w:t>
      </w:r>
    </w:p>
    <w:p w14:paraId="00BB51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eastAsia="zh-CN"/>
        </w:rPr>
        <w:t>（3）驻村工作经费项目绩效目标完成情况综述。项目全年预算数</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%。通过项目实施，保障驻村工作队驻村工作差旅费及往返车费补助等扶贫支出。</w: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425"/>
        <w:gridCol w:w="735"/>
        <w:gridCol w:w="1622"/>
        <w:gridCol w:w="913"/>
        <w:gridCol w:w="562"/>
        <w:gridCol w:w="1013"/>
        <w:gridCol w:w="925"/>
        <w:gridCol w:w="646"/>
        <w:gridCol w:w="814"/>
        <w:gridCol w:w="857"/>
        <w:gridCol w:w="1448"/>
      </w:tblGrid>
      <w:tr w14:paraId="760C2F9C">
        <w:tblPrEx>
          <w:tblCellMar>
            <w:top w:w="0" w:type="dxa"/>
            <w:left w:w="0" w:type="dxa"/>
            <w:bottom w:w="0" w:type="dxa"/>
            <w:right w:w="0" w:type="dxa"/>
          </w:tblCellMar>
        </w:tblPrEx>
        <w:trPr>
          <w:trHeight w:val="1034" w:hRule="atLeast"/>
          <w:jc w:val="center"/>
        </w:trPr>
        <w:tc>
          <w:tcPr>
            <w:tcW w:w="9960" w:type="dxa"/>
            <w:gridSpan w:val="11"/>
            <w:tcBorders>
              <w:top w:val="nil"/>
              <w:left w:val="nil"/>
              <w:bottom w:val="nil"/>
              <w:right w:val="nil"/>
            </w:tcBorders>
            <w:tcMar>
              <w:top w:w="15" w:type="dxa"/>
              <w:left w:w="15" w:type="dxa"/>
              <w:right w:w="15" w:type="dxa"/>
            </w:tcMar>
            <w:vAlign w:val="center"/>
          </w:tcPr>
          <w:p w14:paraId="42DBC5D1">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14:paraId="2A3DC92C">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(2019 年度)</w:t>
            </w:r>
          </w:p>
        </w:tc>
      </w:tr>
      <w:tr w14:paraId="7198EBDD">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A2C4A">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部门名称</w:t>
            </w:r>
          </w:p>
        </w:tc>
        <w:tc>
          <w:tcPr>
            <w:tcW w:w="7178"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7DD33">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通江县发展和改革局</w:t>
            </w:r>
          </w:p>
        </w:tc>
      </w:tr>
      <w:tr w14:paraId="370C71BE">
        <w:tblPrEx>
          <w:tblCellMar>
            <w:top w:w="0" w:type="dxa"/>
            <w:left w:w="0" w:type="dxa"/>
            <w:bottom w:w="0" w:type="dxa"/>
            <w:right w:w="0" w:type="dxa"/>
          </w:tblCellMar>
        </w:tblPrEx>
        <w:trPr>
          <w:trHeight w:val="276" w:hRule="atLeast"/>
          <w:jc w:val="center"/>
        </w:trPr>
        <w:tc>
          <w:tcPr>
            <w:tcW w:w="4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138CD">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年度主要任务</w:t>
            </w:r>
          </w:p>
        </w:tc>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78813">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任务名称</w:t>
            </w:r>
          </w:p>
        </w:tc>
        <w:tc>
          <w:tcPr>
            <w:tcW w:w="16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F56D0">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主要内容</w:t>
            </w:r>
          </w:p>
        </w:tc>
        <w:tc>
          <w:tcPr>
            <w:tcW w:w="9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871B2">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分值</w:t>
            </w:r>
          </w:p>
        </w:tc>
        <w:tc>
          <w:tcPr>
            <w:tcW w:w="25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2EC28">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预算金额（万元）</w:t>
            </w:r>
          </w:p>
        </w:tc>
        <w:tc>
          <w:tcPr>
            <w:tcW w:w="23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EAAC3">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实际执行（万元）</w:t>
            </w:r>
          </w:p>
        </w:tc>
        <w:tc>
          <w:tcPr>
            <w:tcW w:w="14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F3DF2">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得分</w:t>
            </w:r>
          </w:p>
        </w:tc>
      </w:tr>
      <w:tr w14:paraId="23D0F0AD">
        <w:tblPrEx>
          <w:tblCellMar>
            <w:top w:w="0" w:type="dxa"/>
            <w:left w:w="0" w:type="dxa"/>
            <w:bottom w:w="0" w:type="dxa"/>
            <w:right w:w="0" w:type="dxa"/>
          </w:tblCellMar>
        </w:tblPrEx>
        <w:trPr>
          <w:trHeight w:val="276"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C9448">
            <w:pPr>
              <w:jc w:val="center"/>
              <w:rPr>
                <w:rFonts w:ascii="宋体" w:hAns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12F8E">
            <w:pPr>
              <w:jc w:val="center"/>
              <w:rPr>
                <w:rFonts w:ascii="宋体" w:hAnsi="宋体" w:cs="宋体"/>
                <w:color w:val="000000"/>
                <w:sz w:val="24"/>
              </w:rPr>
            </w:pPr>
          </w:p>
        </w:tc>
        <w:tc>
          <w:tcPr>
            <w:tcW w:w="16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7D2AB">
            <w:pPr>
              <w:jc w:val="center"/>
            </w:pPr>
          </w:p>
        </w:tc>
        <w:tc>
          <w:tcPr>
            <w:tcW w:w="9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7EABD">
            <w:pPr>
              <w:jc w:val="center"/>
              <w:rPr>
                <w:rFonts w:ascii="宋体" w:hAnsi="宋体" w:cs="宋体"/>
                <w:color w:val="000000"/>
                <w:sz w:val="24"/>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4A3E9">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总额</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6FF18">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财政拨款</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1F430">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其他资金</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4054C">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总额</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EB4F8">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财政拨款</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D08E2">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其他资金</w:t>
            </w:r>
          </w:p>
        </w:tc>
        <w:tc>
          <w:tcPr>
            <w:tcW w:w="14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B2FD6">
            <w:pPr>
              <w:jc w:val="center"/>
            </w:pPr>
          </w:p>
        </w:tc>
      </w:tr>
      <w:tr w14:paraId="467E0719">
        <w:tblPrEx>
          <w:tblCellMar>
            <w:top w:w="0" w:type="dxa"/>
            <w:left w:w="0" w:type="dxa"/>
            <w:bottom w:w="0" w:type="dxa"/>
            <w:right w:w="0" w:type="dxa"/>
          </w:tblCellMar>
        </w:tblPrEx>
        <w:trPr>
          <w:trHeight w:val="276"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CADEE">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24F4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发展与改革事务</w:t>
            </w: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2811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是深入细致做好综合计划工作；二是合力攻坚抓好项目投资工作；三是持续深入推进脱贫攻坚工作综合施策做好价格管理工作；四是高度重视党风廉政建设和党建工作深化拓展全面创新改革；五是统筹抓好其他工作。</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D1F0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025F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660.556</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B797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660.556</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3522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6B2D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660.556</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A494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660.556</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043D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CC745">
            <w:pPr>
              <w:jc w:val="center"/>
            </w:pPr>
          </w:p>
        </w:tc>
      </w:tr>
      <w:tr w14:paraId="27F710F2">
        <w:tblPrEx>
          <w:tblCellMar>
            <w:top w:w="0" w:type="dxa"/>
            <w:left w:w="0" w:type="dxa"/>
            <w:bottom w:w="0" w:type="dxa"/>
            <w:right w:w="0" w:type="dxa"/>
          </w:tblCellMar>
        </w:tblPrEx>
        <w:trPr>
          <w:trHeight w:val="1511"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4B282">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204F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项目工作经费</w:t>
            </w: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94D5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紧盯中央、省市政策投向，积极与上级部门的沟通衔接，争取各类全县补助</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EC67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1256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A05C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A665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5CE0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9FCE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D996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2775D">
            <w:pPr>
              <w:jc w:val="center"/>
            </w:pPr>
          </w:p>
        </w:tc>
      </w:tr>
      <w:tr w14:paraId="4357AF34">
        <w:tblPrEx>
          <w:tblCellMar>
            <w:top w:w="0" w:type="dxa"/>
            <w:left w:w="0" w:type="dxa"/>
            <w:bottom w:w="0" w:type="dxa"/>
            <w:right w:w="0" w:type="dxa"/>
          </w:tblCellMar>
        </w:tblPrEx>
        <w:trPr>
          <w:trHeight w:val="276"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8FE0A0">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186D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驻村工作经费</w:t>
            </w: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3B77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保障脱贫攻坚期间准村工作队经费开支</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D42E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C5C2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B67D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5CDF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FB98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013F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D58F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1ABFD">
            <w:pPr>
              <w:jc w:val="center"/>
            </w:pPr>
          </w:p>
        </w:tc>
      </w:tr>
      <w:tr w14:paraId="2B989D11">
        <w:tblPrEx>
          <w:tblCellMar>
            <w:top w:w="0" w:type="dxa"/>
            <w:left w:w="0" w:type="dxa"/>
            <w:bottom w:w="0" w:type="dxa"/>
            <w:right w:w="0" w:type="dxa"/>
          </w:tblCellMar>
        </w:tblPrEx>
        <w:trPr>
          <w:trHeight w:val="1159"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AC18E">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992C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通用机场前期经费</w:t>
            </w: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A7A4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着力开展场址论证的前期工作，编制完成通江通用机场招商方案，报政府审定后，启动招商工作。计划在年内完成场址论证报告，并上报评审。</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3C6C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DD606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8C3B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4C60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33B1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77BD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44B7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CA169">
            <w:pPr>
              <w:jc w:val="center"/>
            </w:pPr>
          </w:p>
        </w:tc>
      </w:tr>
      <w:tr w14:paraId="058C89D6">
        <w:tblPrEx>
          <w:tblCellMar>
            <w:top w:w="0" w:type="dxa"/>
            <w:left w:w="0" w:type="dxa"/>
            <w:bottom w:w="0" w:type="dxa"/>
            <w:right w:w="0" w:type="dxa"/>
          </w:tblCellMar>
        </w:tblPrEx>
        <w:trPr>
          <w:trHeight w:val="1042" w:hRule="atLeast"/>
          <w:jc w:val="center"/>
        </w:trPr>
        <w:tc>
          <w:tcPr>
            <w:tcW w:w="425" w:type="dxa"/>
            <w:vMerge w:val="continue"/>
            <w:tcBorders>
              <w:top w:val="single" w:color="000000" w:sz="4" w:space="0"/>
              <w:left w:val="single" w:color="000000" w:sz="4" w:space="0"/>
              <w:right w:val="single" w:color="000000" w:sz="4" w:space="0"/>
            </w:tcBorders>
            <w:tcMar>
              <w:top w:w="15" w:type="dxa"/>
              <w:left w:w="15" w:type="dxa"/>
              <w:right w:w="15" w:type="dxa"/>
            </w:tcMar>
            <w:vAlign w:val="center"/>
          </w:tcPr>
          <w:p w14:paraId="5BFB9713">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54E2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2458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E384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DA5B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80EB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7DA0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3CD4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0297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D5B4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F371E">
            <w:pPr>
              <w:jc w:val="center"/>
            </w:pPr>
          </w:p>
        </w:tc>
      </w:tr>
      <w:tr w14:paraId="2639BB1A">
        <w:tblPrEx>
          <w:tblCellMar>
            <w:top w:w="0" w:type="dxa"/>
            <w:left w:w="0" w:type="dxa"/>
            <w:bottom w:w="0" w:type="dxa"/>
            <w:right w:w="0" w:type="dxa"/>
          </w:tblCellMar>
        </w:tblPrEx>
        <w:trPr>
          <w:trHeight w:val="953" w:hRule="atLeast"/>
          <w:jc w:val="center"/>
        </w:trPr>
        <w:tc>
          <w:tcPr>
            <w:tcW w:w="425" w:type="dxa"/>
            <w:vMerge w:val="continue"/>
            <w:tcBorders>
              <w:left w:val="single" w:color="000000" w:sz="4" w:space="0"/>
              <w:right w:val="single" w:color="000000" w:sz="4" w:space="0"/>
            </w:tcBorders>
            <w:tcMar>
              <w:top w:w="15" w:type="dxa"/>
              <w:left w:w="15" w:type="dxa"/>
              <w:right w:w="15" w:type="dxa"/>
            </w:tcMar>
            <w:vAlign w:val="center"/>
          </w:tcPr>
          <w:p w14:paraId="02A21724">
            <w:pPr>
              <w:jc w:val="center"/>
              <w:rPr>
                <w:rFonts w:ascii="宋体" w:hAnsi="宋体" w:cs="宋体"/>
                <w:color w:val="000000"/>
                <w:sz w:val="24"/>
              </w:rPr>
            </w:pPr>
          </w:p>
        </w:tc>
        <w:tc>
          <w:tcPr>
            <w:tcW w:w="23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065E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   计</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5712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99</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235F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C210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185C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6770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7BA3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FF33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17CA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99</w:t>
            </w:r>
          </w:p>
        </w:tc>
      </w:tr>
      <w:tr w14:paraId="34FA5A05">
        <w:tblPrEx>
          <w:tblCellMar>
            <w:top w:w="0" w:type="dxa"/>
            <w:left w:w="0" w:type="dxa"/>
            <w:bottom w:w="0" w:type="dxa"/>
            <w:right w:w="0" w:type="dxa"/>
          </w:tblCellMar>
        </w:tblPrEx>
        <w:trPr>
          <w:trHeight w:val="1297" w:hRule="atLeast"/>
          <w:jc w:val="center"/>
        </w:trPr>
        <w:tc>
          <w:tcPr>
            <w:tcW w:w="425" w:type="dxa"/>
            <w:vMerge w:val="restart"/>
            <w:tcBorders>
              <w:left w:val="single" w:color="000000" w:sz="4" w:space="0"/>
              <w:right w:val="single" w:color="000000" w:sz="4" w:space="0"/>
            </w:tcBorders>
            <w:tcMar>
              <w:top w:w="15" w:type="dxa"/>
              <w:left w:w="15" w:type="dxa"/>
              <w:right w:w="15" w:type="dxa"/>
            </w:tcMar>
            <w:vAlign w:val="center"/>
          </w:tcPr>
          <w:p w14:paraId="47B8A71B">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年度总体目标</w:t>
            </w:r>
          </w:p>
        </w:tc>
        <w:tc>
          <w:tcPr>
            <w:tcW w:w="48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1CF6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预期目标</w:t>
            </w:r>
          </w:p>
        </w:tc>
        <w:tc>
          <w:tcPr>
            <w:tcW w:w="469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EABC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实际完成目标</w:t>
            </w:r>
          </w:p>
        </w:tc>
      </w:tr>
      <w:tr w14:paraId="7FA53944">
        <w:tblPrEx>
          <w:tblCellMar>
            <w:top w:w="0" w:type="dxa"/>
            <w:left w:w="0" w:type="dxa"/>
            <w:bottom w:w="0" w:type="dxa"/>
            <w:right w:w="0" w:type="dxa"/>
          </w:tblCellMar>
        </w:tblPrEx>
        <w:trPr>
          <w:trHeight w:val="1042" w:hRule="atLeast"/>
          <w:jc w:val="center"/>
        </w:trPr>
        <w:tc>
          <w:tcPr>
            <w:tcW w:w="425" w:type="dxa"/>
            <w:vMerge w:val="continue"/>
            <w:tcBorders>
              <w:left w:val="single" w:color="000000" w:sz="4" w:space="0"/>
              <w:right w:val="single" w:color="000000" w:sz="4" w:space="0"/>
            </w:tcBorders>
            <w:tcMar>
              <w:top w:w="15" w:type="dxa"/>
              <w:left w:w="15" w:type="dxa"/>
              <w:right w:w="15" w:type="dxa"/>
            </w:tcMar>
            <w:vAlign w:val="center"/>
          </w:tcPr>
          <w:p w14:paraId="7A46F966">
            <w:pPr>
              <w:jc w:val="center"/>
              <w:rPr>
                <w:rFonts w:ascii="宋体" w:hAnsi="宋体" w:cs="宋体"/>
                <w:color w:val="000000"/>
                <w:sz w:val="24"/>
              </w:rPr>
            </w:pPr>
          </w:p>
        </w:tc>
        <w:tc>
          <w:tcPr>
            <w:tcW w:w="48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A37E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标准推进重点工作，强力推进重点项目建设。一是抓好项目储备，二是抓好项目争取，三是抓好项目推进，四是抓好项目监管；持续做好价格相关工作；加强粮食和物资储备管理工作；制定《2019年川陕革命老区振兴发展重点工作推进方案》；深化拓展全面创新改革，一是紧盯专项改革任务抓落实，细化专项改革台账强措施，不断深入推进改革发展。二是进一步深化行政审批制度和投融资体制改革，抓好供给侧结构性改革，加快形成推动高质量发展的各项体系，把去产能、去库存、去杠杆等各项工作任务落到实处。三是持续推进社会信用体系建设，加强信用信息归集共享，深化信用信息应用，继续健全守信联合激励和失信联合惩戒机制，进一步做好行政许可和行政处罚等信用信息公示工作，深入开展政府失信问题专项治理和防范新兴金融业态风险。四是做好改革经验的总结提升，加大改革成果运用，加强改革经验宣传推广，及时出台改革成果配套文件，形成推广机制。</w:t>
            </w:r>
          </w:p>
        </w:tc>
        <w:tc>
          <w:tcPr>
            <w:tcW w:w="469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6073AFC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成了年度计划编制，完成了《通江县2019年国民经济和社会发展计划》《通江县2019年1-8月国民经济和社会发展计划执行情况的报告》，并提交县十八届人大审议通过；印发了《通江县2019年重点项目建设计划》《通江县川陕革命老区振兴发展重点工作推进方案》《2019年全县经济工作要点》等；启动了“十四五”规划前期工作，编制上报了拟纳入国家和省规划的重点项目142个，总投资2353.75亿元；全年累计储备项目132个，总投资366.6亿元；开工转化项目96个，总投资231亿元。在市对县项目储备考核中名列全市第二；全面完成2019年1041户3500人的建设任务。</w:t>
            </w:r>
          </w:p>
        </w:tc>
      </w:tr>
      <w:tr w14:paraId="4FD66792">
        <w:tblPrEx>
          <w:tblCellMar>
            <w:top w:w="0" w:type="dxa"/>
            <w:left w:w="0" w:type="dxa"/>
            <w:bottom w:w="0" w:type="dxa"/>
            <w:right w:w="0" w:type="dxa"/>
          </w:tblCellMar>
        </w:tblPrEx>
        <w:trPr>
          <w:trHeight w:val="1042" w:hRule="atLeast"/>
          <w:jc w:val="center"/>
        </w:trPr>
        <w:tc>
          <w:tcPr>
            <w:tcW w:w="425" w:type="dxa"/>
            <w:vMerge w:val="restart"/>
            <w:tcBorders>
              <w:left w:val="single" w:color="000000" w:sz="4" w:space="0"/>
              <w:right w:val="single" w:color="000000" w:sz="4" w:space="0"/>
            </w:tcBorders>
            <w:tcMar>
              <w:top w:w="15" w:type="dxa"/>
              <w:left w:w="15" w:type="dxa"/>
              <w:right w:w="15" w:type="dxa"/>
            </w:tcMar>
            <w:textDirection w:val="tbRlV"/>
            <w:vAlign w:val="center"/>
          </w:tcPr>
          <w:p w14:paraId="618DEE7A">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绩效指标</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05D3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一级</w:t>
            </w:r>
          </w:p>
          <w:p w14:paraId="24FE7AF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指标</w:t>
            </w: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DB51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二级指标</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AA8F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三级指标</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CECF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分值</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6BB9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年度指标值</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DB4C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全年实际值</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2E27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得分</w:t>
            </w:r>
          </w:p>
        </w:tc>
        <w:tc>
          <w:tcPr>
            <w:tcW w:w="31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08A7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未完成原因及拟采取的改进措施</w:t>
            </w:r>
          </w:p>
        </w:tc>
      </w:tr>
      <w:tr w14:paraId="42C1CC2D">
        <w:tblPrEx>
          <w:tblCellMar>
            <w:top w:w="0" w:type="dxa"/>
            <w:left w:w="0" w:type="dxa"/>
            <w:bottom w:w="0" w:type="dxa"/>
            <w:right w:w="0" w:type="dxa"/>
          </w:tblCellMar>
        </w:tblPrEx>
        <w:trPr>
          <w:trHeight w:val="1042" w:hRule="atLeast"/>
          <w:jc w:val="center"/>
        </w:trPr>
        <w:tc>
          <w:tcPr>
            <w:tcW w:w="425" w:type="dxa"/>
            <w:vMerge w:val="continue"/>
            <w:tcBorders>
              <w:left w:val="single" w:color="000000" w:sz="4" w:space="0"/>
              <w:right w:val="single" w:color="000000" w:sz="4" w:space="0"/>
            </w:tcBorders>
            <w:tcMar>
              <w:top w:w="15" w:type="dxa"/>
              <w:left w:w="15" w:type="dxa"/>
              <w:right w:w="15" w:type="dxa"/>
            </w:tcMar>
            <w:textDirection w:val="tbRlV"/>
            <w:vAlign w:val="center"/>
          </w:tcPr>
          <w:p w14:paraId="3B5C3901">
            <w:pPr>
              <w:jc w:val="center"/>
              <w:rPr>
                <w:rFonts w:ascii="宋体" w:hAnsi="宋体" w:cs="宋体"/>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7E1D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w:t>
            </w:r>
          </w:p>
          <w:p w14:paraId="4DFFDA3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w:t>
            </w:r>
          </w:p>
          <w:p w14:paraId="4B87CF4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14:paraId="0CD2A43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14:paraId="586489D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(50分)</w:t>
            </w:r>
          </w:p>
        </w:tc>
        <w:tc>
          <w:tcPr>
            <w:tcW w:w="16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1629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数量指标</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A34A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编制2019年国民经济和社会发展年度计划</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C999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1373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1份</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74722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1份</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B292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1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BF650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0F50412">
        <w:tblPrEx>
          <w:tblCellMar>
            <w:top w:w="0" w:type="dxa"/>
            <w:left w:w="0" w:type="dxa"/>
            <w:bottom w:w="0" w:type="dxa"/>
            <w:right w:w="0" w:type="dxa"/>
          </w:tblCellMar>
        </w:tblPrEx>
        <w:trPr>
          <w:trHeight w:val="1042" w:hRule="atLeast"/>
          <w:jc w:val="center"/>
        </w:trPr>
        <w:tc>
          <w:tcPr>
            <w:tcW w:w="425" w:type="dxa"/>
            <w:vMerge w:val="continue"/>
            <w:tcBorders>
              <w:left w:val="single" w:color="000000" w:sz="4" w:space="0"/>
              <w:right w:val="single" w:color="000000" w:sz="4" w:space="0"/>
            </w:tcBorders>
            <w:tcMar>
              <w:top w:w="15" w:type="dxa"/>
              <w:left w:w="15" w:type="dxa"/>
              <w:right w:w="15" w:type="dxa"/>
            </w:tcMar>
            <w:textDirection w:val="tbRlV"/>
            <w:vAlign w:val="center"/>
          </w:tcPr>
          <w:p w14:paraId="6B6F59E1">
            <w:pPr>
              <w:jc w:val="center"/>
              <w:rPr>
                <w:rFonts w:ascii="宋体" w:hAns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11CA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6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642F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0D42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项目推进目标</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63D1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5083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全年计划实施154个市县级重点项目，总投资670.9亿元，计划完成年度投资196.3亿元</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DF86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今年全县154个重点项目完成投资196.2亿元，占年度计划的98.2%</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C1421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1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62AB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加强项目资金争取，做好项目协调，严格项目督查，促进项目实施进度</w:t>
            </w:r>
          </w:p>
        </w:tc>
      </w:tr>
      <w:tr w14:paraId="600173C2">
        <w:tblPrEx>
          <w:tblCellMar>
            <w:top w:w="0" w:type="dxa"/>
            <w:left w:w="0" w:type="dxa"/>
            <w:bottom w:w="0" w:type="dxa"/>
            <w:right w:w="0" w:type="dxa"/>
          </w:tblCellMar>
        </w:tblPrEx>
        <w:trPr>
          <w:trHeight w:val="1042" w:hRule="atLeast"/>
          <w:jc w:val="center"/>
        </w:trPr>
        <w:tc>
          <w:tcPr>
            <w:tcW w:w="425" w:type="dxa"/>
            <w:vMerge w:val="continue"/>
            <w:tcBorders>
              <w:left w:val="single" w:color="000000" w:sz="4" w:space="0"/>
              <w:right w:val="single" w:color="000000" w:sz="4" w:space="0"/>
            </w:tcBorders>
            <w:tcMar>
              <w:top w:w="15" w:type="dxa"/>
              <w:left w:w="15" w:type="dxa"/>
              <w:right w:w="15" w:type="dxa"/>
            </w:tcMar>
            <w:textDirection w:val="tbRlV"/>
            <w:vAlign w:val="center"/>
          </w:tcPr>
          <w:p w14:paraId="2ABD9A93">
            <w:pPr>
              <w:jc w:val="center"/>
              <w:rPr>
                <w:rFonts w:ascii="宋体" w:hAns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E6F8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6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C0352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7246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举办易地扶贫搬迁培训次数</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1BD9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7253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5次</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796A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7次</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8571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1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17B0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4C9C2718">
        <w:tblPrEx>
          <w:tblCellMar>
            <w:top w:w="0" w:type="dxa"/>
            <w:left w:w="0" w:type="dxa"/>
            <w:bottom w:w="0" w:type="dxa"/>
            <w:right w:w="0" w:type="dxa"/>
          </w:tblCellMar>
        </w:tblPrEx>
        <w:trPr>
          <w:trHeight w:val="1297" w:hRule="atLeast"/>
          <w:jc w:val="center"/>
        </w:trPr>
        <w:tc>
          <w:tcPr>
            <w:tcW w:w="425" w:type="dxa"/>
            <w:vMerge w:val="continue"/>
            <w:tcBorders>
              <w:left w:val="single" w:color="000000" w:sz="4" w:space="0"/>
              <w:right w:val="single" w:color="000000" w:sz="4" w:space="0"/>
            </w:tcBorders>
            <w:tcMar>
              <w:top w:w="15" w:type="dxa"/>
              <w:left w:w="15" w:type="dxa"/>
              <w:right w:w="15" w:type="dxa"/>
            </w:tcMar>
            <w:textDirection w:val="tbRlV"/>
            <w:vAlign w:val="center"/>
          </w:tcPr>
          <w:p w14:paraId="34743E26">
            <w:pPr>
              <w:jc w:val="center"/>
              <w:rPr>
                <w:rFonts w:ascii="宋体" w:hAns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4975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6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744D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B1B4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易地扶贫搬迁方面，全面完成建设任务</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E2B5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ADA5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完成2019年1041户3500人的建设任务</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38D7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全面完成2019年1041户3500人的建设任务</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9621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1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25CF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0565A485">
        <w:tblPrEx>
          <w:tblCellMar>
            <w:top w:w="0" w:type="dxa"/>
            <w:left w:w="0" w:type="dxa"/>
            <w:bottom w:w="0" w:type="dxa"/>
            <w:right w:w="0" w:type="dxa"/>
          </w:tblCellMar>
        </w:tblPrEx>
        <w:trPr>
          <w:trHeight w:val="1297" w:hRule="atLeast"/>
          <w:jc w:val="center"/>
        </w:trPr>
        <w:tc>
          <w:tcPr>
            <w:tcW w:w="425" w:type="dxa"/>
            <w:vMerge w:val="continue"/>
            <w:tcBorders>
              <w:left w:val="single" w:color="000000" w:sz="4" w:space="0"/>
              <w:right w:val="single" w:color="000000" w:sz="4" w:space="0"/>
            </w:tcBorders>
            <w:tcMar>
              <w:top w:w="15" w:type="dxa"/>
              <w:left w:w="15" w:type="dxa"/>
              <w:right w:w="15" w:type="dxa"/>
            </w:tcMar>
            <w:textDirection w:val="tbRlV"/>
            <w:vAlign w:val="center"/>
          </w:tcPr>
          <w:p w14:paraId="2EDBF09B">
            <w:pPr>
              <w:jc w:val="center"/>
              <w:rPr>
                <w:rFonts w:ascii="宋体" w:hAns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CA33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6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7782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质量指标</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4D2DA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2020年项目储备及总投资完成率</w:t>
            </w: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EA20B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74568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A623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C907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1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4AB1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14:paraId="48440662">
        <w:tblPrEx>
          <w:tblCellMar>
            <w:top w:w="0" w:type="dxa"/>
            <w:left w:w="0" w:type="dxa"/>
            <w:bottom w:w="0" w:type="dxa"/>
            <w:right w:w="0" w:type="dxa"/>
          </w:tblCellMar>
        </w:tblPrEx>
        <w:trPr>
          <w:trHeight w:val="1050" w:hRule="atLeast"/>
          <w:jc w:val="center"/>
        </w:trPr>
        <w:tc>
          <w:tcPr>
            <w:tcW w:w="425" w:type="dxa"/>
            <w:vMerge w:val="continue"/>
            <w:tcBorders>
              <w:left w:val="single" w:color="000000" w:sz="4" w:space="0"/>
              <w:bottom w:val="single" w:color="000000" w:sz="4" w:space="0"/>
              <w:right w:val="single" w:color="000000" w:sz="4" w:space="0"/>
            </w:tcBorders>
            <w:tcMar>
              <w:top w:w="15" w:type="dxa"/>
              <w:left w:w="15" w:type="dxa"/>
              <w:right w:w="15" w:type="dxa"/>
            </w:tcMar>
            <w:textDirection w:val="tbRlV"/>
            <w:vAlign w:val="center"/>
          </w:tcPr>
          <w:p w14:paraId="634317A5">
            <w:pPr>
              <w:jc w:val="center"/>
              <w:rPr>
                <w:rFonts w:ascii="宋体" w:hAns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85EE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6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F6D3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088A9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举办会议成功率</w:t>
            </w: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D13F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AB75D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BFBE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58F9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1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0B13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tbl>
      <w:tblPr>
        <w:tblStyle w:val="14"/>
        <w:tblpPr w:leftFromText="180" w:rightFromText="180" w:vertAnchor="text" w:horzAnchor="page" w:tblpX="1088" w:tblpY="629"/>
        <w:tblOverlap w:val="never"/>
        <w:tblW w:w="1040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
        <w:gridCol w:w="784"/>
        <w:gridCol w:w="958"/>
        <w:gridCol w:w="975"/>
        <w:gridCol w:w="975"/>
        <w:gridCol w:w="948"/>
        <w:gridCol w:w="959"/>
        <w:gridCol w:w="991"/>
        <w:gridCol w:w="991"/>
        <w:gridCol w:w="959"/>
        <w:gridCol w:w="818"/>
        <w:gridCol w:w="942"/>
      </w:tblGrid>
      <w:tr w14:paraId="64FE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0400" w:type="dxa"/>
            <w:gridSpan w:val="12"/>
            <w:shd w:val="clear" w:color="auto" w:fill="auto"/>
            <w:vAlign w:val="center"/>
          </w:tcPr>
          <w:p w14:paraId="3951FD8C">
            <w:pPr>
              <w:keepNext w:val="0"/>
              <w:keepLines w:val="0"/>
              <w:widowControl/>
              <w:suppressLineNumbers w:val="0"/>
              <w:jc w:val="center"/>
              <w:textAlignment w:val="center"/>
              <w:rPr>
                <w:rStyle w:val="38"/>
                <w:lang w:val="en-US" w:eastAsia="zh-CN" w:bidi="ar"/>
              </w:rPr>
            </w:pPr>
          </w:p>
          <w:p w14:paraId="38BD46AC">
            <w:pPr>
              <w:pStyle w:val="2"/>
              <w:rPr>
                <w:rStyle w:val="38"/>
                <w:lang w:val="en-US" w:eastAsia="zh-CN" w:bidi="ar"/>
              </w:rPr>
            </w:pPr>
          </w:p>
          <w:p w14:paraId="789FA15E">
            <w:pPr>
              <w:rPr>
                <w:rStyle w:val="38"/>
                <w:lang w:val="en-US" w:eastAsia="zh-CN" w:bidi="ar"/>
              </w:rPr>
            </w:pPr>
          </w:p>
          <w:p w14:paraId="1BAC1832">
            <w:pPr>
              <w:pStyle w:val="2"/>
              <w:rPr>
                <w:lang w:val="en-US" w:eastAsia="zh-CN"/>
              </w:rPr>
            </w:pPr>
          </w:p>
          <w:p w14:paraId="120F4911">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Style w:val="38"/>
                <w:lang w:val="en-US" w:eastAsia="zh-CN" w:bidi="ar"/>
              </w:rPr>
              <w:t>绩效目标自评表</w:t>
            </w:r>
            <w:r>
              <w:rPr>
                <w:rStyle w:val="39"/>
                <w:lang w:val="en-US" w:eastAsia="zh-CN" w:bidi="ar"/>
              </w:rPr>
              <w:t xml:space="preserve"> </w:t>
            </w:r>
          </w:p>
        </w:tc>
      </w:tr>
      <w:tr w14:paraId="579E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400" w:type="dxa"/>
            <w:gridSpan w:val="12"/>
            <w:tcBorders>
              <w:bottom w:val="single" w:color="000000" w:sz="4" w:space="0"/>
            </w:tcBorders>
            <w:shd w:val="clear" w:color="auto" w:fill="auto"/>
            <w:vAlign w:val="top"/>
          </w:tcPr>
          <w:p w14:paraId="4053DC36">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r>
      <w:tr w14:paraId="5B9B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5316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435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人才引进补助</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2A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37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DBFE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陈明春</w:t>
            </w:r>
          </w:p>
        </w:tc>
      </w:tr>
      <w:tr w14:paraId="14CA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72ED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D81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通江县发展和改革局</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2C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7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CF94CE">
            <w:pPr>
              <w:jc w:val="center"/>
              <w:rPr>
                <w:rFonts w:hint="eastAsia" w:ascii="宋体" w:hAnsi="宋体" w:eastAsia="宋体" w:cs="宋体"/>
                <w:i w:val="0"/>
                <w:color w:val="000000"/>
                <w:sz w:val="20"/>
                <w:szCs w:val="20"/>
                <w:u w:val="none"/>
              </w:rPr>
            </w:pPr>
          </w:p>
        </w:tc>
      </w:tr>
      <w:tr w14:paraId="5C6E1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480" w:hRule="atLeast"/>
        </w:trPr>
        <w:tc>
          <w:tcPr>
            <w:tcW w:w="2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4F37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资金情况</w:t>
            </w:r>
          </w:p>
          <w:p w14:paraId="322375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4716">
            <w:pPr>
              <w:rPr>
                <w:rFonts w:hint="eastAsia" w:ascii="宋体" w:hAnsi="宋体" w:eastAsia="宋体" w:cs="宋体"/>
                <w:i w:val="0"/>
                <w:color w:val="000000"/>
                <w:sz w:val="20"/>
                <w:szCs w:val="20"/>
                <w:u w:val="none"/>
              </w:rPr>
            </w:pP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4DC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7A6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12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E1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C4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14:paraId="6D1A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480" w:hRule="atLeast"/>
        </w:trPr>
        <w:tc>
          <w:tcPr>
            <w:tcW w:w="2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26A4E">
            <w:pPr>
              <w:jc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FE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DAB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A50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51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CFAF">
            <w:pPr>
              <w:jc w:val="left"/>
              <w:rPr>
                <w:rFonts w:hint="eastAsia" w:ascii="宋体" w:hAnsi="宋体" w:eastAsia="宋体" w:cs="宋体"/>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FB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7D85E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480" w:hRule="atLeast"/>
        </w:trPr>
        <w:tc>
          <w:tcPr>
            <w:tcW w:w="2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53D4A">
            <w:pPr>
              <w:jc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18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0"/>
                <w:lang w:val="en-US" w:eastAsia="zh-CN" w:bidi="ar"/>
              </w:rPr>
              <w:t xml:space="preserve"> 其中：本年财政拨款</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053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563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C6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78C7">
            <w:pPr>
              <w:jc w:val="left"/>
              <w:rPr>
                <w:rFonts w:hint="eastAsia" w:ascii="宋体" w:hAnsi="宋体" w:eastAsia="宋体" w:cs="宋体"/>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2E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14:paraId="5BC5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480" w:hRule="atLeast"/>
        </w:trPr>
        <w:tc>
          <w:tcPr>
            <w:tcW w:w="2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04496">
            <w:pPr>
              <w:jc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F9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0"/>
                <w:lang w:val="en-US" w:eastAsia="zh-CN" w:bidi="ar"/>
              </w:rPr>
              <w:t xml:space="preserve">       其他资金</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5BCFF">
            <w:pPr>
              <w:jc w:val="center"/>
              <w:rPr>
                <w:rFonts w:hint="eastAsia" w:ascii="宋体" w:hAnsi="宋体" w:eastAsia="宋体" w:cs="宋体"/>
                <w:i w:val="0"/>
                <w:color w:val="000000"/>
                <w:sz w:val="20"/>
                <w:szCs w:val="20"/>
                <w:u w:val="none"/>
              </w:rP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10E86">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8E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B516">
            <w:pPr>
              <w:jc w:val="left"/>
              <w:rPr>
                <w:rFonts w:hint="eastAsia" w:ascii="宋体" w:hAnsi="宋体" w:eastAsia="宋体" w:cs="宋体"/>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8C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14:paraId="32A61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BF5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2141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4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9CF6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年度总体目标完成情况综述</w:t>
            </w:r>
          </w:p>
        </w:tc>
      </w:tr>
      <w:tr w14:paraId="4C682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79A2B">
            <w:pPr>
              <w:jc w:val="center"/>
              <w:rPr>
                <w:rFonts w:hint="eastAsia" w:ascii="宋体" w:hAnsi="宋体" w:eastAsia="宋体" w:cs="宋体"/>
                <w:i w:val="0"/>
                <w:color w:val="000000"/>
                <w:sz w:val="20"/>
                <w:szCs w:val="20"/>
                <w:u w:val="none"/>
              </w:rPr>
            </w:pPr>
          </w:p>
        </w:tc>
        <w:tc>
          <w:tcPr>
            <w:tcW w:w="4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2F167C">
            <w:pPr>
              <w:jc w:val="center"/>
              <w:rPr>
                <w:rFonts w:hint="eastAsia" w:ascii="宋体" w:hAnsi="宋体" w:eastAsia="宋体" w:cs="宋体"/>
                <w:i w:val="0"/>
                <w:color w:val="000000"/>
                <w:sz w:val="20"/>
                <w:szCs w:val="20"/>
                <w:u w:val="none"/>
              </w:rPr>
            </w:pPr>
          </w:p>
        </w:tc>
        <w:tc>
          <w:tcPr>
            <w:tcW w:w="4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17CDC3">
            <w:pPr>
              <w:jc w:val="center"/>
              <w:rPr>
                <w:rFonts w:hint="eastAsia" w:ascii="宋体" w:hAnsi="宋体" w:eastAsia="宋体" w:cs="宋体"/>
                <w:i w:val="0"/>
                <w:color w:val="000000"/>
                <w:sz w:val="20"/>
                <w:szCs w:val="20"/>
                <w:u w:val="none"/>
              </w:rPr>
            </w:pPr>
          </w:p>
        </w:tc>
      </w:tr>
      <w:tr w14:paraId="18266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600"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6EAF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33C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一级</w:t>
            </w:r>
          </w:p>
          <w:p w14:paraId="3402A7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2A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32A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00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4D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4E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81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4AC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未完成原因及拟采取的改进措施</w:t>
            </w:r>
          </w:p>
        </w:tc>
      </w:tr>
      <w:tr w14:paraId="15502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7008BD">
            <w:pPr>
              <w:jc w:val="center"/>
              <w:rPr>
                <w:rFonts w:hint="eastAsia" w:ascii="宋体" w:hAnsi="宋体" w:eastAsia="宋体" w:cs="宋体"/>
                <w:i w:val="0"/>
                <w:color w:val="000000"/>
                <w:sz w:val="20"/>
                <w:szCs w:val="20"/>
                <w:u w:val="none"/>
              </w:rPr>
            </w:pP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FAE3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w:t>
            </w:r>
          </w:p>
          <w:p w14:paraId="71A0C03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w:t>
            </w:r>
          </w:p>
          <w:p w14:paraId="31B7713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14:paraId="02CEA89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14:paraId="35453E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(50分)</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495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CA4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购置办公设备台数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D0DA">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4E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25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09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58EB6">
            <w:pPr>
              <w:jc w:val="center"/>
              <w:rPr>
                <w:rFonts w:hint="eastAsia" w:ascii="宋体" w:hAnsi="宋体" w:eastAsia="宋体" w:cs="宋体"/>
                <w:i w:val="0"/>
                <w:color w:val="000000"/>
                <w:sz w:val="20"/>
                <w:szCs w:val="20"/>
                <w:u w:val="none"/>
              </w:rPr>
            </w:pPr>
          </w:p>
        </w:tc>
      </w:tr>
      <w:tr w14:paraId="76BA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7F7308F">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C49CB">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BECCC">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35BA9">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8FFF">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63A2">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04A7">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F892">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7B532">
            <w:pPr>
              <w:jc w:val="center"/>
              <w:rPr>
                <w:rFonts w:hint="eastAsia" w:ascii="宋体" w:hAnsi="宋体" w:eastAsia="宋体" w:cs="宋体"/>
                <w:i w:val="0"/>
                <w:color w:val="000000"/>
                <w:sz w:val="20"/>
                <w:szCs w:val="20"/>
                <w:u w:val="none"/>
              </w:rPr>
            </w:pPr>
          </w:p>
        </w:tc>
      </w:tr>
      <w:tr w14:paraId="6305E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81E45F">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FA94E">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DFE8B">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74F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引进人才差旅费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D743">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98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50人次以上</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21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50人次以上</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68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9AFAD">
            <w:pPr>
              <w:jc w:val="center"/>
              <w:rPr>
                <w:rFonts w:hint="eastAsia" w:ascii="宋体" w:hAnsi="宋体" w:eastAsia="宋体" w:cs="宋体"/>
                <w:i w:val="0"/>
                <w:color w:val="000000"/>
                <w:sz w:val="20"/>
                <w:szCs w:val="20"/>
                <w:u w:val="none"/>
              </w:rPr>
            </w:pPr>
          </w:p>
        </w:tc>
      </w:tr>
      <w:tr w14:paraId="53978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FC5658">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76650">
            <w:pPr>
              <w:jc w:val="center"/>
              <w:rPr>
                <w:rFonts w:hint="eastAsia" w:ascii="宋体" w:hAnsi="宋体" w:eastAsia="宋体" w:cs="宋体"/>
                <w:i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697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326E0">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5552">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A3CF">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F9EA">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A8F3">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B1F64">
            <w:pPr>
              <w:jc w:val="center"/>
              <w:rPr>
                <w:rFonts w:hint="eastAsia" w:ascii="宋体" w:hAnsi="宋体" w:eastAsia="宋体" w:cs="宋体"/>
                <w:i w:val="0"/>
                <w:color w:val="000000"/>
                <w:sz w:val="20"/>
                <w:szCs w:val="20"/>
                <w:u w:val="none"/>
              </w:rPr>
            </w:pPr>
          </w:p>
        </w:tc>
      </w:tr>
      <w:tr w14:paraId="4E717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4F7E02">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7CA7A">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6D7AC">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566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办公设备合格率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7761">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9A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B1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E2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393A4">
            <w:pPr>
              <w:jc w:val="center"/>
              <w:rPr>
                <w:rFonts w:hint="eastAsia" w:ascii="宋体" w:hAnsi="宋体" w:eastAsia="宋体" w:cs="宋体"/>
                <w:i w:val="0"/>
                <w:color w:val="000000"/>
                <w:sz w:val="20"/>
                <w:szCs w:val="20"/>
                <w:u w:val="none"/>
              </w:rPr>
            </w:pPr>
          </w:p>
        </w:tc>
      </w:tr>
      <w:tr w14:paraId="7231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21EC94">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5A7B6">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943E4">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6F9E2">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FC2E">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A9ED">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C7DC">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CC47">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6FDD7">
            <w:pPr>
              <w:jc w:val="center"/>
              <w:rPr>
                <w:rFonts w:hint="eastAsia" w:ascii="宋体" w:hAnsi="宋体" w:eastAsia="宋体" w:cs="宋体"/>
                <w:i w:val="0"/>
                <w:color w:val="000000"/>
                <w:sz w:val="20"/>
                <w:szCs w:val="20"/>
                <w:u w:val="none"/>
              </w:rPr>
            </w:pPr>
          </w:p>
        </w:tc>
      </w:tr>
      <w:tr w14:paraId="28D27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0095CF">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46CAD">
            <w:pPr>
              <w:jc w:val="center"/>
              <w:rPr>
                <w:rFonts w:hint="eastAsia" w:ascii="宋体" w:hAnsi="宋体" w:eastAsia="宋体" w:cs="宋体"/>
                <w:i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9ED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FAFC0">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9EFD">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BBD8">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8D0B">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2C46">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401FA">
            <w:pPr>
              <w:jc w:val="center"/>
              <w:rPr>
                <w:rFonts w:hint="eastAsia" w:ascii="宋体" w:hAnsi="宋体" w:eastAsia="宋体" w:cs="宋体"/>
                <w:i w:val="0"/>
                <w:color w:val="000000"/>
                <w:sz w:val="20"/>
                <w:szCs w:val="20"/>
                <w:u w:val="none"/>
              </w:rPr>
            </w:pPr>
          </w:p>
        </w:tc>
      </w:tr>
      <w:tr w14:paraId="4C4F5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793F2C">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3A4A5">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CE0EA">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EEA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12月前完成</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E393">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8A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B4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B8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E1E4A">
            <w:pPr>
              <w:jc w:val="center"/>
              <w:rPr>
                <w:rFonts w:hint="eastAsia" w:ascii="宋体" w:hAnsi="宋体" w:eastAsia="宋体" w:cs="宋体"/>
                <w:i w:val="0"/>
                <w:color w:val="000000"/>
                <w:sz w:val="20"/>
                <w:szCs w:val="20"/>
                <w:u w:val="none"/>
              </w:rPr>
            </w:pPr>
          </w:p>
        </w:tc>
      </w:tr>
      <w:tr w14:paraId="5BBC8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201CA4">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202E9">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471AF">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87847">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48BD">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94AD">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0EDD">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0CF3">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8C4C3">
            <w:pPr>
              <w:jc w:val="center"/>
              <w:rPr>
                <w:rFonts w:hint="eastAsia" w:ascii="宋体" w:hAnsi="宋体" w:eastAsia="宋体" w:cs="宋体"/>
                <w:i w:val="0"/>
                <w:color w:val="000000"/>
                <w:sz w:val="20"/>
                <w:szCs w:val="20"/>
                <w:u w:val="none"/>
              </w:rPr>
            </w:pPr>
          </w:p>
        </w:tc>
      </w:tr>
      <w:tr w14:paraId="054FF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6A8EEF">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3220E">
            <w:pPr>
              <w:jc w:val="center"/>
              <w:rPr>
                <w:rFonts w:hint="eastAsia" w:ascii="宋体" w:hAnsi="宋体" w:eastAsia="宋体" w:cs="宋体"/>
                <w:i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BF1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66865">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E819">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9A31">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AA7F">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419A">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EF0FA">
            <w:pPr>
              <w:jc w:val="center"/>
              <w:rPr>
                <w:rFonts w:hint="eastAsia" w:ascii="宋体" w:hAnsi="宋体" w:eastAsia="宋体" w:cs="宋体"/>
                <w:i w:val="0"/>
                <w:color w:val="000000"/>
                <w:sz w:val="20"/>
                <w:szCs w:val="20"/>
                <w:u w:val="none"/>
              </w:rPr>
            </w:pPr>
          </w:p>
        </w:tc>
      </w:tr>
      <w:tr w14:paraId="5094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7390E1">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8674B">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51249">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3F5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参加人员差旅费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ABA1">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58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2万元</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4C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2万元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67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FE5EF">
            <w:pPr>
              <w:jc w:val="center"/>
              <w:rPr>
                <w:rFonts w:hint="eastAsia" w:ascii="宋体" w:hAnsi="宋体" w:eastAsia="宋体" w:cs="宋体"/>
                <w:i w:val="0"/>
                <w:color w:val="000000"/>
                <w:sz w:val="20"/>
                <w:szCs w:val="20"/>
                <w:u w:val="none"/>
              </w:rPr>
            </w:pPr>
          </w:p>
        </w:tc>
      </w:tr>
      <w:tr w14:paraId="51DDE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6E2207">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4E235">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F5F91">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5C7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设备购置费用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B816">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BE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3万元</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36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3万元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E7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8F855">
            <w:pPr>
              <w:jc w:val="center"/>
              <w:rPr>
                <w:rFonts w:hint="eastAsia" w:ascii="宋体" w:hAnsi="宋体" w:eastAsia="宋体" w:cs="宋体"/>
                <w:i w:val="0"/>
                <w:color w:val="000000"/>
                <w:sz w:val="20"/>
                <w:szCs w:val="20"/>
                <w:u w:val="none"/>
              </w:rPr>
            </w:pPr>
          </w:p>
        </w:tc>
      </w:tr>
      <w:tr w14:paraId="4DA5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DE98418">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8EBB8">
            <w:pPr>
              <w:jc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EA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68637">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D365">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2386">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745E">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27B2">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AFDD5">
            <w:pPr>
              <w:jc w:val="center"/>
              <w:rPr>
                <w:rFonts w:hint="eastAsia" w:ascii="宋体" w:hAnsi="宋体" w:eastAsia="宋体" w:cs="宋体"/>
                <w:i w:val="0"/>
                <w:color w:val="000000"/>
                <w:sz w:val="20"/>
                <w:szCs w:val="20"/>
                <w:u w:val="none"/>
              </w:rPr>
            </w:pPr>
          </w:p>
        </w:tc>
      </w:tr>
      <w:tr w14:paraId="217E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95FF5B">
            <w:pPr>
              <w:jc w:val="center"/>
              <w:rPr>
                <w:rFonts w:hint="eastAsia" w:ascii="宋体" w:hAnsi="宋体" w:eastAsia="宋体" w:cs="宋体"/>
                <w:i w:val="0"/>
                <w:color w:val="000000"/>
                <w:sz w:val="20"/>
                <w:szCs w:val="20"/>
                <w:u w:val="none"/>
              </w:rPr>
            </w:pP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A005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w:t>
            </w:r>
          </w:p>
          <w:p w14:paraId="3A5BDDB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益</w:t>
            </w:r>
          </w:p>
          <w:p w14:paraId="6FC740B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14:paraId="0C85990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14:paraId="4265B8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(30分)</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414D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经济效益</w:t>
            </w:r>
          </w:p>
          <w:p w14:paraId="5A0E80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B66D6">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D134">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0C87">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6EC1">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2AB5">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73EDC">
            <w:pPr>
              <w:jc w:val="center"/>
              <w:rPr>
                <w:rFonts w:hint="eastAsia" w:ascii="宋体" w:hAnsi="宋体" w:eastAsia="宋体" w:cs="宋体"/>
                <w:i w:val="0"/>
                <w:color w:val="000000"/>
                <w:sz w:val="20"/>
                <w:szCs w:val="20"/>
                <w:u w:val="none"/>
              </w:rPr>
            </w:pPr>
          </w:p>
        </w:tc>
      </w:tr>
      <w:tr w14:paraId="121E5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8DA31A">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178A6">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B3A13">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3886E">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6B1C">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98BE">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ACF0">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3522">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9638D">
            <w:pPr>
              <w:jc w:val="center"/>
              <w:rPr>
                <w:rFonts w:hint="eastAsia" w:ascii="宋体" w:hAnsi="宋体" w:eastAsia="宋体" w:cs="宋体"/>
                <w:i w:val="0"/>
                <w:color w:val="000000"/>
                <w:sz w:val="20"/>
                <w:szCs w:val="20"/>
                <w:u w:val="none"/>
              </w:rPr>
            </w:pPr>
          </w:p>
        </w:tc>
      </w:tr>
      <w:tr w14:paraId="53EA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13ABF0">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328E2">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08E69">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59E11">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06FF">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AD34">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E72C">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B25A">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AC56C">
            <w:pPr>
              <w:jc w:val="center"/>
              <w:rPr>
                <w:rFonts w:hint="eastAsia" w:ascii="宋体" w:hAnsi="宋体" w:eastAsia="宋体" w:cs="宋体"/>
                <w:i w:val="0"/>
                <w:color w:val="000000"/>
                <w:sz w:val="20"/>
                <w:szCs w:val="20"/>
                <w:u w:val="none"/>
              </w:rPr>
            </w:pPr>
          </w:p>
        </w:tc>
      </w:tr>
      <w:tr w14:paraId="61EB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1EB619">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E4458">
            <w:pPr>
              <w:jc w:val="center"/>
              <w:rPr>
                <w:rFonts w:hint="eastAsia" w:ascii="宋体" w:hAnsi="宋体" w:eastAsia="宋体" w:cs="宋体"/>
                <w:i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FE8D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w:t>
            </w:r>
          </w:p>
          <w:p w14:paraId="4739CD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57BDC">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A838">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E20A">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9838">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9764">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F9614">
            <w:pPr>
              <w:jc w:val="center"/>
              <w:rPr>
                <w:rFonts w:hint="eastAsia" w:ascii="宋体" w:hAnsi="宋体" w:eastAsia="宋体" w:cs="宋体"/>
                <w:i w:val="0"/>
                <w:color w:val="000000"/>
                <w:sz w:val="20"/>
                <w:szCs w:val="20"/>
                <w:u w:val="none"/>
              </w:rPr>
            </w:pPr>
          </w:p>
        </w:tc>
      </w:tr>
      <w:tr w14:paraId="37968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79D9BA">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07266">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9FE1C">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4B1D2">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BACE">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B2C9">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FD99">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153A">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C3D78">
            <w:pPr>
              <w:jc w:val="center"/>
              <w:rPr>
                <w:rFonts w:hint="eastAsia" w:ascii="宋体" w:hAnsi="宋体" w:eastAsia="宋体" w:cs="宋体"/>
                <w:i w:val="0"/>
                <w:color w:val="000000"/>
                <w:sz w:val="20"/>
                <w:szCs w:val="20"/>
                <w:u w:val="none"/>
              </w:rPr>
            </w:pPr>
          </w:p>
        </w:tc>
      </w:tr>
      <w:tr w14:paraId="38331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6A269E">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290A3">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99EE5">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CD615">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6F44">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D785">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654F">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FDBD">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4E6C4">
            <w:pPr>
              <w:jc w:val="center"/>
              <w:rPr>
                <w:rFonts w:hint="eastAsia" w:ascii="宋体" w:hAnsi="宋体" w:eastAsia="宋体" w:cs="宋体"/>
                <w:i w:val="0"/>
                <w:color w:val="000000"/>
                <w:sz w:val="20"/>
                <w:szCs w:val="20"/>
                <w:u w:val="none"/>
              </w:rPr>
            </w:pPr>
          </w:p>
        </w:tc>
      </w:tr>
      <w:tr w14:paraId="0CF85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5CA4DA">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19E47">
            <w:pPr>
              <w:jc w:val="center"/>
              <w:rPr>
                <w:rFonts w:hint="eastAsia" w:ascii="宋体" w:hAnsi="宋体" w:eastAsia="宋体" w:cs="宋体"/>
                <w:i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4F9A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生态效益</w:t>
            </w:r>
          </w:p>
          <w:p w14:paraId="1262E7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800CD">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2139">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62EA">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7849">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0851">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B7F83">
            <w:pPr>
              <w:jc w:val="center"/>
              <w:rPr>
                <w:rFonts w:hint="eastAsia" w:ascii="宋体" w:hAnsi="宋体" w:eastAsia="宋体" w:cs="宋体"/>
                <w:i w:val="0"/>
                <w:color w:val="000000"/>
                <w:sz w:val="20"/>
                <w:szCs w:val="20"/>
                <w:u w:val="none"/>
              </w:rPr>
            </w:pPr>
          </w:p>
        </w:tc>
      </w:tr>
      <w:tr w14:paraId="0EA6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F4DF31">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3DBD3">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B2E7B">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9AB51">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A4D1">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8D1D">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74EF">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AFBB">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A7F7F">
            <w:pPr>
              <w:jc w:val="center"/>
              <w:rPr>
                <w:rFonts w:hint="eastAsia" w:ascii="宋体" w:hAnsi="宋体" w:eastAsia="宋体" w:cs="宋体"/>
                <w:i w:val="0"/>
                <w:color w:val="000000"/>
                <w:sz w:val="20"/>
                <w:szCs w:val="20"/>
                <w:u w:val="none"/>
              </w:rPr>
            </w:pPr>
          </w:p>
        </w:tc>
      </w:tr>
      <w:tr w14:paraId="30AFD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C0B017">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7D6B7">
            <w:pPr>
              <w:jc w:val="center"/>
              <w:rPr>
                <w:rFonts w:hint="eastAsia" w:ascii="宋体" w:hAnsi="宋体" w:eastAsia="宋体" w:cs="宋体"/>
                <w:i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669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EBA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人才引进持续影响年限</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A714">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58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7E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99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19631">
            <w:pPr>
              <w:jc w:val="center"/>
              <w:rPr>
                <w:rFonts w:hint="eastAsia" w:ascii="宋体" w:hAnsi="宋体" w:eastAsia="宋体" w:cs="宋体"/>
                <w:i w:val="0"/>
                <w:color w:val="000000"/>
                <w:sz w:val="20"/>
                <w:szCs w:val="20"/>
                <w:u w:val="none"/>
              </w:rPr>
            </w:pPr>
          </w:p>
        </w:tc>
      </w:tr>
      <w:tr w14:paraId="25A1F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CA1B53">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C8468">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CE5FC">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C893F">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299E">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2FDC">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05B9">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99B5">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57591">
            <w:pPr>
              <w:jc w:val="center"/>
              <w:rPr>
                <w:rFonts w:hint="eastAsia" w:ascii="宋体" w:hAnsi="宋体" w:eastAsia="宋体" w:cs="宋体"/>
                <w:i w:val="0"/>
                <w:color w:val="000000"/>
                <w:sz w:val="20"/>
                <w:szCs w:val="20"/>
                <w:u w:val="none"/>
              </w:rPr>
            </w:pPr>
          </w:p>
        </w:tc>
      </w:tr>
      <w:tr w14:paraId="4D4E3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42A6F7">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95E8F">
            <w:pPr>
              <w:jc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04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F36E6">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7E55">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A263">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496E">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8F9F">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091E9">
            <w:pPr>
              <w:jc w:val="center"/>
              <w:rPr>
                <w:rFonts w:hint="eastAsia" w:ascii="宋体" w:hAnsi="宋体" w:eastAsia="宋体" w:cs="宋体"/>
                <w:i w:val="0"/>
                <w:color w:val="000000"/>
                <w:sz w:val="20"/>
                <w:szCs w:val="20"/>
                <w:u w:val="none"/>
              </w:rPr>
            </w:pPr>
          </w:p>
        </w:tc>
      </w:tr>
      <w:tr w14:paraId="4172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8C518E">
            <w:pPr>
              <w:jc w:val="center"/>
              <w:rPr>
                <w:rFonts w:hint="eastAsia" w:ascii="宋体" w:hAnsi="宋体" w:eastAsia="宋体" w:cs="宋体"/>
                <w:i w:val="0"/>
                <w:color w:val="000000"/>
                <w:sz w:val="20"/>
                <w:szCs w:val="20"/>
                <w:u w:val="none"/>
              </w:rPr>
            </w:pP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08BE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p w14:paraId="563E71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(10分)</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CB51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w:t>
            </w:r>
          </w:p>
          <w:p w14:paraId="5BAC44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B65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2131">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9E5A">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≧90</w:t>
            </w:r>
            <w:r>
              <w:rPr>
                <w:rStyle w:val="40"/>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C8D3">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w:t>
            </w:r>
            <w:r>
              <w:rPr>
                <w:rStyle w:val="40"/>
                <w:lang w:val="en-US" w:eastAsia="zh-CN" w:bidi="ar"/>
              </w:rPr>
              <w:t>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67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C5F2E">
            <w:pPr>
              <w:jc w:val="center"/>
              <w:rPr>
                <w:rFonts w:hint="eastAsia" w:ascii="宋体" w:hAnsi="宋体" w:eastAsia="宋体" w:cs="宋体"/>
                <w:i w:val="0"/>
                <w:color w:val="000000"/>
                <w:sz w:val="20"/>
                <w:szCs w:val="20"/>
                <w:u w:val="none"/>
              </w:rPr>
            </w:pPr>
          </w:p>
        </w:tc>
      </w:tr>
      <w:tr w14:paraId="457E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70C0F1">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610D0">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3D64D">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EF601">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1870">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E3D3">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2F2C">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37FE">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543AE">
            <w:pPr>
              <w:jc w:val="center"/>
              <w:rPr>
                <w:rFonts w:hint="eastAsia" w:ascii="宋体" w:hAnsi="宋体" w:eastAsia="宋体" w:cs="宋体"/>
                <w:i w:val="0"/>
                <w:color w:val="000000"/>
                <w:sz w:val="20"/>
                <w:szCs w:val="20"/>
                <w:u w:val="none"/>
              </w:rPr>
            </w:pPr>
          </w:p>
        </w:tc>
      </w:tr>
      <w:tr w14:paraId="6C16B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65CEE8">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F6A48">
            <w:pPr>
              <w:jc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29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D8E81">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F5B9">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A2EE">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C957">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213A">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EBDF3">
            <w:pPr>
              <w:jc w:val="center"/>
              <w:rPr>
                <w:rFonts w:hint="eastAsia" w:ascii="宋体" w:hAnsi="宋体" w:eastAsia="宋体" w:cs="宋体"/>
                <w:i w:val="0"/>
                <w:color w:val="000000"/>
                <w:sz w:val="20"/>
                <w:szCs w:val="20"/>
                <w:u w:val="none"/>
              </w:rPr>
            </w:pPr>
          </w:p>
        </w:tc>
      </w:tr>
      <w:tr w14:paraId="50BD5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00" w:type="dxa"/>
          <w:trHeight w:val="285" w:hRule="atLeast"/>
        </w:trPr>
        <w:tc>
          <w:tcPr>
            <w:tcW w:w="4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93560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6DE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9F3C8">
            <w:pPr>
              <w:jc w:val="center"/>
              <w:rPr>
                <w:rFonts w:hint="eastAsia" w:ascii="宋体" w:hAnsi="宋体" w:eastAsia="宋体" w:cs="宋体"/>
                <w:b/>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12C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DC0AA">
            <w:pPr>
              <w:jc w:val="center"/>
              <w:rPr>
                <w:rFonts w:hint="eastAsia" w:ascii="宋体" w:hAnsi="宋体" w:eastAsia="宋体" w:cs="宋体"/>
                <w:i w:val="0"/>
                <w:color w:val="000000"/>
                <w:sz w:val="20"/>
                <w:szCs w:val="20"/>
                <w:u w:val="none"/>
              </w:rPr>
            </w:pPr>
          </w:p>
        </w:tc>
      </w:tr>
    </w:tbl>
    <w:p w14:paraId="57B2D809"/>
    <w:tbl>
      <w:tblPr>
        <w:tblStyle w:val="14"/>
        <w:tblpPr w:leftFromText="180" w:rightFromText="180" w:vertAnchor="text" w:horzAnchor="page" w:tblpX="1100" w:tblpY="437"/>
        <w:tblOverlap w:val="never"/>
        <w:tblW w:w="10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4"/>
        <w:gridCol w:w="639"/>
        <w:gridCol w:w="803"/>
        <w:gridCol w:w="1906"/>
        <w:gridCol w:w="1904"/>
        <w:gridCol w:w="533"/>
        <w:gridCol w:w="1081"/>
        <w:gridCol w:w="1081"/>
        <w:gridCol w:w="557"/>
        <w:gridCol w:w="833"/>
        <w:gridCol w:w="739"/>
      </w:tblGrid>
      <w:tr w14:paraId="118D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0570" w:type="dxa"/>
            <w:gridSpan w:val="11"/>
            <w:shd w:val="clear" w:color="auto" w:fill="auto"/>
            <w:vAlign w:val="center"/>
          </w:tcPr>
          <w:p w14:paraId="139D32C0">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i w:val="0"/>
                <w:color w:val="000000"/>
                <w:kern w:val="0"/>
                <w:sz w:val="32"/>
                <w:szCs w:val="32"/>
                <w:u w:val="none"/>
                <w:lang w:val="en-US" w:eastAsia="zh-CN" w:bidi="ar"/>
              </w:rPr>
              <w:t>绩效目标自评表</w:t>
            </w:r>
            <w:r>
              <w:rPr>
                <w:rStyle w:val="41"/>
                <w:lang w:val="en-US" w:eastAsia="zh-CN" w:bidi="ar"/>
              </w:rPr>
              <w:t xml:space="preserve"> </w:t>
            </w:r>
          </w:p>
        </w:tc>
      </w:tr>
      <w:tr w14:paraId="419C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570" w:type="dxa"/>
            <w:gridSpan w:val="11"/>
            <w:tcBorders>
              <w:bottom w:val="single" w:color="000000" w:sz="4" w:space="0"/>
            </w:tcBorders>
            <w:shd w:val="clear" w:color="auto" w:fill="auto"/>
            <w:vAlign w:val="top"/>
          </w:tcPr>
          <w:p w14:paraId="0444D74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r>
      <w:tr w14:paraId="3D1C7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E91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4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DF0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易地扶贫搬迁专项资金</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75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32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D31F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陈明春：13778790629</w:t>
            </w:r>
          </w:p>
        </w:tc>
      </w:tr>
      <w:tr w14:paraId="5BC35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050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4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D1A60">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E6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2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81AD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通江县发展和改革局</w:t>
            </w:r>
          </w:p>
        </w:tc>
      </w:tr>
      <w:tr w14:paraId="32D48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9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562F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资金情况</w:t>
            </w:r>
          </w:p>
          <w:p w14:paraId="405E06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32AB">
            <w:pPr>
              <w:rPr>
                <w:rFonts w:hint="eastAsia" w:ascii="宋体" w:hAnsi="宋体" w:eastAsia="宋体" w:cs="宋体"/>
                <w:i w:val="0"/>
                <w:color w:val="000000"/>
                <w:sz w:val="20"/>
                <w:szCs w:val="20"/>
                <w:u w:val="none"/>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8DE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903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D9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98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BF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14:paraId="05143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19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81340">
            <w:pPr>
              <w:jc w:val="center"/>
              <w:rPr>
                <w:rFonts w:hint="eastAsia" w:ascii="宋体" w:hAnsi="宋体" w:eastAsia="宋体" w:cs="宋体"/>
                <w:i w:val="0"/>
                <w:color w:val="000000"/>
                <w:sz w:val="20"/>
                <w:szCs w:val="20"/>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C2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C85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16956</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1DC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16956</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C6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BC1E">
            <w:pPr>
              <w:jc w:val="left"/>
              <w:rPr>
                <w:rFonts w:hint="eastAsia" w:ascii="宋体" w:hAnsi="宋体" w:eastAsia="宋体" w:cs="宋体"/>
                <w:i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9D44">
            <w:pPr>
              <w:rPr>
                <w:rFonts w:hint="eastAsia" w:ascii="宋体" w:hAnsi="宋体" w:eastAsia="宋体" w:cs="宋体"/>
                <w:i w:val="0"/>
                <w:color w:val="000000"/>
                <w:sz w:val="20"/>
                <w:szCs w:val="20"/>
                <w:u w:val="none"/>
              </w:rPr>
            </w:pPr>
          </w:p>
        </w:tc>
      </w:tr>
      <w:tr w14:paraId="21A47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19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67753">
            <w:pPr>
              <w:jc w:val="center"/>
              <w:rPr>
                <w:rFonts w:hint="eastAsia" w:ascii="宋体" w:hAnsi="宋体" w:eastAsia="宋体" w:cs="宋体"/>
                <w:i w:val="0"/>
                <w:color w:val="000000"/>
                <w:sz w:val="20"/>
                <w:szCs w:val="20"/>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83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其中：本年财政拨款</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3D5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16956</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10E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16956</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AB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1D6A">
            <w:pPr>
              <w:jc w:val="left"/>
              <w:rPr>
                <w:rFonts w:hint="eastAsia" w:ascii="宋体" w:hAnsi="宋体" w:eastAsia="宋体" w:cs="宋体"/>
                <w:i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83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14:paraId="03770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19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A6BF4">
            <w:pPr>
              <w:jc w:val="center"/>
              <w:rPr>
                <w:rFonts w:hint="eastAsia" w:ascii="宋体" w:hAnsi="宋体" w:eastAsia="宋体" w:cs="宋体"/>
                <w:i w:val="0"/>
                <w:color w:val="000000"/>
                <w:sz w:val="20"/>
                <w:szCs w:val="20"/>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65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7C279">
            <w:pPr>
              <w:jc w:val="center"/>
              <w:rPr>
                <w:rFonts w:hint="eastAsia" w:ascii="宋体" w:hAnsi="宋体" w:eastAsia="宋体" w:cs="宋体"/>
                <w:i w:val="0"/>
                <w:color w:val="000000"/>
                <w:sz w:val="20"/>
                <w:szCs w:val="20"/>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51D47">
            <w:pPr>
              <w:jc w:val="center"/>
              <w:rPr>
                <w:rFonts w:hint="eastAsia" w:ascii="宋体" w:hAnsi="宋体" w:eastAsia="宋体" w:cs="宋体"/>
                <w:i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C9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E2B9">
            <w:pPr>
              <w:jc w:val="left"/>
              <w:rPr>
                <w:rFonts w:hint="eastAsia" w:ascii="宋体" w:hAnsi="宋体" w:eastAsia="宋体" w:cs="宋体"/>
                <w:i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8D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14:paraId="15C08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E87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5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838F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42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EF49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年度总体目标完成情况综述</w:t>
            </w:r>
          </w:p>
        </w:tc>
      </w:tr>
      <w:tr w14:paraId="70C5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9E7D8">
            <w:pPr>
              <w:jc w:val="center"/>
              <w:rPr>
                <w:rFonts w:hint="eastAsia" w:ascii="宋体" w:hAnsi="宋体" w:eastAsia="宋体" w:cs="宋体"/>
                <w:i w:val="0"/>
                <w:color w:val="000000"/>
                <w:sz w:val="20"/>
                <w:szCs w:val="20"/>
                <w:u w:val="none"/>
              </w:rPr>
            </w:pPr>
          </w:p>
        </w:tc>
        <w:tc>
          <w:tcPr>
            <w:tcW w:w="5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D142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加强后续产业扶持，确保搬迁群众长期稳定增收脱贫；加强易迁房屋后续维护，通过脱贫摘帽验收</w:t>
            </w:r>
          </w:p>
        </w:tc>
        <w:tc>
          <w:tcPr>
            <w:tcW w:w="42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CA78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完成2019年1041户3500人的建设任务，新建道路137公里、饮水管网52公里、安全饮水池15口、卫生室14个、文化室12个、活动室18个，改建（维修）道路9.5公里、卫生室13个、文化室15个、活动室4个，完成投资19759万；开展了易地扶贫搬迁 “两不愁三保障”回头看大排查，对发现的5类4183个问题已全部完成整改；举办了易地扶贫搬迁专题培训7次，共计2652人次。同时，通过产业后续扶持，切实增强了搬迁户增收造血功能，2019年625名搬迁群众依托发展特色农林业增收，235名搬迁群众依托发展现代服务业增收，245名搬迁群众依托线上销售特色农林产品自主创业增收，206名搬迁群众就近务工就业、864人外出务工就业增收。</w:t>
            </w:r>
          </w:p>
        </w:tc>
      </w:tr>
      <w:tr w14:paraId="03D7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8797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93C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一级</w:t>
            </w:r>
          </w:p>
          <w:p w14:paraId="78E12A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55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9F3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E8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0B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33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ED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F9A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未完成原因及拟采取的改进措施</w:t>
            </w:r>
          </w:p>
        </w:tc>
      </w:tr>
      <w:tr w14:paraId="08F0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9431BE">
            <w:pPr>
              <w:jc w:val="center"/>
              <w:rPr>
                <w:rFonts w:hint="eastAsia" w:ascii="宋体" w:hAnsi="宋体" w:eastAsia="宋体" w:cs="宋体"/>
                <w:i w:val="0"/>
                <w:color w:val="000000"/>
                <w:sz w:val="20"/>
                <w:szCs w:val="20"/>
                <w:u w:val="none"/>
              </w:rPr>
            </w:pP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3456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w:t>
            </w:r>
          </w:p>
          <w:p w14:paraId="78C6645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w:t>
            </w:r>
          </w:p>
          <w:p w14:paraId="7E9FE30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14:paraId="13A2BEC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14:paraId="6ACCAD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(50分)</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9D6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354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开展易地扶贫搬迁 “两不愁三保障”回头看大排查</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5441">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E2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A0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1次</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4CA3">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C2620">
            <w:pPr>
              <w:jc w:val="center"/>
              <w:rPr>
                <w:rFonts w:hint="eastAsia" w:ascii="宋体" w:hAnsi="宋体" w:eastAsia="宋体" w:cs="宋体"/>
                <w:i w:val="0"/>
                <w:color w:val="000000"/>
                <w:sz w:val="20"/>
                <w:szCs w:val="20"/>
                <w:u w:val="none"/>
              </w:rPr>
            </w:pPr>
          </w:p>
        </w:tc>
      </w:tr>
      <w:tr w14:paraId="45D3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89AD05">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037A5">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9EC5E">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E95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开展易地扶贫搬迁专项培训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4FD0">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D0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BF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7次</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CC29">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73FE2">
            <w:pPr>
              <w:jc w:val="center"/>
              <w:rPr>
                <w:rFonts w:hint="eastAsia" w:ascii="宋体" w:hAnsi="宋体" w:eastAsia="宋体" w:cs="宋体"/>
                <w:i w:val="0"/>
                <w:color w:val="000000"/>
                <w:sz w:val="20"/>
                <w:szCs w:val="20"/>
                <w:u w:val="none"/>
              </w:rPr>
            </w:pPr>
          </w:p>
        </w:tc>
      </w:tr>
      <w:tr w14:paraId="1D006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BE8CA1">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5BB00">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272BD">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CAC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易地扶贫搬迁方面，全面完成建设任务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CC5C">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C3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完成2019年1041户3500人的建设任务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DD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全面完成2019年1041户3500人的建设任务</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E760">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21706">
            <w:pPr>
              <w:jc w:val="center"/>
              <w:rPr>
                <w:rFonts w:hint="eastAsia" w:ascii="宋体" w:hAnsi="宋体" w:eastAsia="宋体" w:cs="宋体"/>
                <w:i w:val="0"/>
                <w:color w:val="000000"/>
                <w:sz w:val="20"/>
                <w:szCs w:val="20"/>
                <w:u w:val="none"/>
              </w:rPr>
            </w:pPr>
          </w:p>
        </w:tc>
      </w:tr>
      <w:tr w14:paraId="1EA99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A17305">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3D5F8">
            <w:pPr>
              <w:jc w:val="center"/>
              <w:rPr>
                <w:rFonts w:hint="eastAsia" w:ascii="宋体" w:hAnsi="宋体" w:eastAsia="宋体" w:cs="宋体"/>
                <w:i w:val="0"/>
                <w:color w:val="000000"/>
                <w:sz w:val="20"/>
                <w:szCs w:val="20"/>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18B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FF1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培训合格率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68D2">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69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C8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C760">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2EF37">
            <w:pPr>
              <w:jc w:val="center"/>
              <w:rPr>
                <w:rFonts w:hint="eastAsia" w:ascii="宋体" w:hAnsi="宋体" w:eastAsia="宋体" w:cs="宋体"/>
                <w:i w:val="0"/>
                <w:color w:val="000000"/>
                <w:sz w:val="20"/>
                <w:szCs w:val="20"/>
                <w:u w:val="none"/>
              </w:rPr>
            </w:pPr>
          </w:p>
        </w:tc>
      </w:tr>
      <w:tr w14:paraId="2417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BDF0AD">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6CA94">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12523">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BE5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脱贫摘帽验收成功率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904A">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D6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CE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9EEB">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74974">
            <w:pPr>
              <w:jc w:val="center"/>
              <w:rPr>
                <w:rFonts w:hint="eastAsia" w:ascii="宋体" w:hAnsi="宋体" w:eastAsia="宋体" w:cs="宋体"/>
                <w:i w:val="0"/>
                <w:color w:val="000000"/>
                <w:sz w:val="20"/>
                <w:szCs w:val="20"/>
                <w:u w:val="none"/>
              </w:rPr>
            </w:pPr>
          </w:p>
        </w:tc>
      </w:tr>
      <w:tr w14:paraId="3427D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4B9755">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D9788">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E1A63">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37E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年初设定目标完成率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C81B">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E7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AB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7A75">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CD57D">
            <w:pPr>
              <w:jc w:val="center"/>
              <w:rPr>
                <w:rFonts w:hint="eastAsia" w:ascii="宋体" w:hAnsi="宋体" w:eastAsia="宋体" w:cs="宋体"/>
                <w:i w:val="0"/>
                <w:color w:val="000000"/>
                <w:sz w:val="20"/>
                <w:szCs w:val="20"/>
                <w:u w:val="none"/>
              </w:rPr>
            </w:pPr>
          </w:p>
        </w:tc>
      </w:tr>
      <w:tr w14:paraId="312EE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555100">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C2B51">
            <w:pPr>
              <w:jc w:val="center"/>
              <w:rPr>
                <w:rFonts w:hint="eastAsia" w:ascii="宋体" w:hAnsi="宋体" w:eastAsia="宋体" w:cs="宋体"/>
                <w:i w:val="0"/>
                <w:color w:val="000000"/>
                <w:sz w:val="20"/>
                <w:szCs w:val="20"/>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47D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D59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排查问题整改时限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C16D">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17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6月底前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9F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6月底前</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7684">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7751A">
            <w:pPr>
              <w:jc w:val="center"/>
              <w:rPr>
                <w:rFonts w:hint="eastAsia" w:ascii="宋体" w:hAnsi="宋体" w:eastAsia="宋体" w:cs="宋体"/>
                <w:i w:val="0"/>
                <w:color w:val="000000"/>
                <w:sz w:val="20"/>
                <w:szCs w:val="20"/>
                <w:u w:val="none"/>
              </w:rPr>
            </w:pPr>
          </w:p>
        </w:tc>
      </w:tr>
      <w:tr w14:paraId="31A2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C1C1E5">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C0D4C">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6D40E">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954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牵头编制《通江县易地扶贫搬迁综合验收方案》，完成全县易地扶贫搬迁项目的全面验收工作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185D">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AF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7月底前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C1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7月底前</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07AA">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27661">
            <w:pPr>
              <w:jc w:val="center"/>
              <w:rPr>
                <w:rFonts w:hint="eastAsia" w:ascii="宋体" w:hAnsi="宋体" w:eastAsia="宋体" w:cs="宋体"/>
                <w:i w:val="0"/>
                <w:color w:val="000000"/>
                <w:sz w:val="20"/>
                <w:szCs w:val="20"/>
                <w:u w:val="none"/>
              </w:rPr>
            </w:pPr>
          </w:p>
        </w:tc>
      </w:tr>
      <w:tr w14:paraId="3791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B3F1D2">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9C7F7">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D1BD4">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6C8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CC4B">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FF11">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E6A0">
            <w:pPr>
              <w:rPr>
                <w:rFonts w:hint="eastAsia" w:ascii="宋体" w:hAnsi="宋体" w:eastAsia="宋体" w:cs="宋体"/>
                <w:i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B282">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30926">
            <w:pPr>
              <w:jc w:val="center"/>
              <w:rPr>
                <w:rFonts w:hint="eastAsia" w:ascii="宋体" w:hAnsi="宋体" w:eastAsia="宋体" w:cs="宋体"/>
                <w:i w:val="0"/>
                <w:color w:val="000000"/>
                <w:sz w:val="20"/>
                <w:szCs w:val="20"/>
                <w:u w:val="none"/>
              </w:rPr>
            </w:pPr>
          </w:p>
        </w:tc>
      </w:tr>
      <w:tr w14:paraId="1508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CAEABD">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BC2BD">
            <w:pPr>
              <w:jc w:val="center"/>
              <w:rPr>
                <w:rFonts w:hint="eastAsia" w:ascii="宋体" w:hAnsi="宋体" w:eastAsia="宋体" w:cs="宋体"/>
                <w:i w:val="0"/>
                <w:color w:val="000000"/>
                <w:sz w:val="20"/>
                <w:szCs w:val="20"/>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434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747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培训、开展会议、差旅成本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F8A7">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9E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≥45万元</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BD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≥40万元</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0E40">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EA02D">
            <w:pPr>
              <w:jc w:val="center"/>
              <w:rPr>
                <w:rFonts w:hint="eastAsia" w:ascii="宋体" w:hAnsi="宋体" w:eastAsia="宋体" w:cs="宋体"/>
                <w:i w:val="0"/>
                <w:color w:val="000000"/>
                <w:sz w:val="20"/>
                <w:szCs w:val="20"/>
                <w:u w:val="none"/>
              </w:rPr>
            </w:pPr>
          </w:p>
        </w:tc>
      </w:tr>
      <w:tr w14:paraId="0224E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7A2627">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CEED6">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1E282">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F4210">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204C">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3A5B">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AD59">
            <w:pPr>
              <w:rPr>
                <w:rFonts w:hint="eastAsia" w:ascii="宋体" w:hAnsi="宋体" w:eastAsia="宋体" w:cs="宋体"/>
                <w:i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709A">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33DB5">
            <w:pPr>
              <w:jc w:val="center"/>
              <w:rPr>
                <w:rFonts w:hint="eastAsia" w:ascii="宋体" w:hAnsi="宋体" w:eastAsia="宋体" w:cs="宋体"/>
                <w:i w:val="0"/>
                <w:color w:val="000000"/>
                <w:sz w:val="20"/>
                <w:szCs w:val="20"/>
                <w:u w:val="none"/>
              </w:rPr>
            </w:pPr>
          </w:p>
        </w:tc>
      </w:tr>
      <w:tr w14:paraId="213F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3336F1A">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C7659">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193A4">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3E729">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CF78">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8BC">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A692">
            <w:pPr>
              <w:rPr>
                <w:rFonts w:hint="eastAsia" w:ascii="宋体" w:hAnsi="宋体" w:eastAsia="宋体" w:cs="宋体"/>
                <w:i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1364">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3DF65">
            <w:pPr>
              <w:jc w:val="center"/>
              <w:rPr>
                <w:rFonts w:hint="eastAsia" w:ascii="宋体" w:hAnsi="宋体" w:eastAsia="宋体" w:cs="宋体"/>
                <w:i w:val="0"/>
                <w:color w:val="000000"/>
                <w:sz w:val="20"/>
                <w:szCs w:val="20"/>
                <w:u w:val="none"/>
              </w:rPr>
            </w:pPr>
          </w:p>
        </w:tc>
      </w:tr>
      <w:tr w14:paraId="4DAF6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A9B41D">
            <w:pPr>
              <w:jc w:val="center"/>
              <w:rPr>
                <w:rFonts w:hint="eastAsia" w:ascii="宋体" w:hAnsi="宋体" w:eastAsia="宋体" w:cs="宋体"/>
                <w:i w:val="0"/>
                <w:color w:val="000000"/>
                <w:sz w:val="20"/>
                <w:szCs w:val="20"/>
                <w:u w:val="none"/>
              </w:rPr>
            </w:pP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0C8C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w:t>
            </w:r>
          </w:p>
          <w:p w14:paraId="521A1F6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益</w:t>
            </w:r>
          </w:p>
          <w:p w14:paraId="5EE79A5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14:paraId="1B4DFB5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14:paraId="66AD32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(30分)</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0476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经济效益</w:t>
            </w:r>
          </w:p>
          <w:p w14:paraId="02EB35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136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增强搬迁户增收造血功能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47E7">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188A">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1E0B">
            <w:pPr>
              <w:rPr>
                <w:rFonts w:hint="eastAsia" w:ascii="宋体" w:hAnsi="宋体" w:eastAsia="宋体" w:cs="宋体"/>
                <w:i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9215">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927C7">
            <w:pPr>
              <w:jc w:val="center"/>
              <w:rPr>
                <w:rFonts w:hint="eastAsia" w:ascii="宋体" w:hAnsi="宋体" w:eastAsia="宋体" w:cs="宋体"/>
                <w:i w:val="0"/>
                <w:color w:val="000000"/>
                <w:sz w:val="20"/>
                <w:szCs w:val="20"/>
                <w:u w:val="none"/>
              </w:rPr>
            </w:pPr>
          </w:p>
        </w:tc>
      </w:tr>
      <w:tr w14:paraId="12CE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74C9DD">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6B5E1">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AF847">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94A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搬迁增收群众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3CD2">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17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1800人次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04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2175人次</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A751">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95B97">
            <w:pPr>
              <w:jc w:val="center"/>
              <w:rPr>
                <w:rFonts w:hint="eastAsia" w:ascii="宋体" w:hAnsi="宋体" w:eastAsia="宋体" w:cs="宋体"/>
                <w:i w:val="0"/>
                <w:color w:val="000000"/>
                <w:sz w:val="20"/>
                <w:szCs w:val="20"/>
                <w:u w:val="none"/>
              </w:rPr>
            </w:pPr>
          </w:p>
        </w:tc>
      </w:tr>
      <w:tr w14:paraId="2F17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5340B3">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FB609">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2A902">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1FF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人均脱贫增收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DB8C">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04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≥5万元</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25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≥5万元</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E534">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717D5">
            <w:pPr>
              <w:jc w:val="center"/>
              <w:rPr>
                <w:rFonts w:hint="eastAsia" w:ascii="宋体" w:hAnsi="宋体" w:eastAsia="宋体" w:cs="宋体"/>
                <w:i w:val="0"/>
                <w:color w:val="000000"/>
                <w:sz w:val="20"/>
                <w:szCs w:val="20"/>
                <w:u w:val="none"/>
              </w:rPr>
            </w:pPr>
          </w:p>
        </w:tc>
      </w:tr>
      <w:tr w14:paraId="4B3EC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8259F4">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80A34">
            <w:pPr>
              <w:jc w:val="center"/>
              <w:rPr>
                <w:rFonts w:hint="eastAsia" w:ascii="宋体" w:hAnsi="宋体" w:eastAsia="宋体" w:cs="宋体"/>
                <w:i w:val="0"/>
                <w:color w:val="000000"/>
                <w:sz w:val="20"/>
                <w:szCs w:val="20"/>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46A0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w:t>
            </w:r>
          </w:p>
          <w:p w14:paraId="0D2CDB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6A9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解决易迁住房、基础配套设施；落实以工代赈项目劳务报酬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42C0">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C3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1E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035A">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677AA">
            <w:pPr>
              <w:jc w:val="center"/>
              <w:rPr>
                <w:rFonts w:hint="eastAsia" w:ascii="宋体" w:hAnsi="宋体" w:eastAsia="宋体" w:cs="宋体"/>
                <w:i w:val="0"/>
                <w:color w:val="000000"/>
                <w:sz w:val="20"/>
                <w:szCs w:val="20"/>
                <w:u w:val="none"/>
              </w:rPr>
            </w:pPr>
          </w:p>
        </w:tc>
      </w:tr>
      <w:tr w14:paraId="39C9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CB1A51">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D20A2">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47D8B">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94A38">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6A03">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B6DF">
            <w:pPr>
              <w:jc w:val="left"/>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774B">
            <w:pPr>
              <w:rPr>
                <w:rFonts w:hint="eastAsia" w:ascii="宋体" w:hAnsi="宋体" w:eastAsia="宋体" w:cs="宋体"/>
                <w:i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32D0">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47D38">
            <w:pPr>
              <w:jc w:val="center"/>
              <w:rPr>
                <w:rFonts w:hint="eastAsia" w:ascii="宋体" w:hAnsi="宋体" w:eastAsia="宋体" w:cs="宋体"/>
                <w:i w:val="0"/>
                <w:color w:val="000000"/>
                <w:sz w:val="20"/>
                <w:szCs w:val="20"/>
                <w:u w:val="none"/>
              </w:rPr>
            </w:pPr>
          </w:p>
        </w:tc>
      </w:tr>
      <w:tr w14:paraId="2806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4F9F31">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F0641">
            <w:pPr>
              <w:jc w:val="center"/>
              <w:rPr>
                <w:rFonts w:hint="eastAsia" w:ascii="宋体" w:hAnsi="宋体" w:eastAsia="宋体" w:cs="宋体"/>
                <w:i w:val="0"/>
                <w:color w:val="000000"/>
                <w:sz w:val="20"/>
                <w:szCs w:val="20"/>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16AF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生态效益</w:t>
            </w:r>
          </w:p>
          <w:p w14:paraId="5F5029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FD7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能耗下降率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2583">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11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0C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21F8">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8B4F1">
            <w:pPr>
              <w:jc w:val="center"/>
              <w:rPr>
                <w:rFonts w:hint="eastAsia" w:ascii="宋体" w:hAnsi="宋体" w:eastAsia="宋体" w:cs="宋体"/>
                <w:i w:val="0"/>
                <w:color w:val="000000"/>
                <w:sz w:val="20"/>
                <w:szCs w:val="20"/>
                <w:u w:val="none"/>
              </w:rPr>
            </w:pPr>
          </w:p>
        </w:tc>
      </w:tr>
      <w:tr w14:paraId="4A6B8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A9A8333">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C35B4">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7D200">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FB774">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A6C3">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C1DB">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7FEA">
            <w:pPr>
              <w:rPr>
                <w:rFonts w:hint="eastAsia" w:ascii="宋体" w:hAnsi="宋体" w:eastAsia="宋体" w:cs="宋体"/>
                <w:i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FB2F">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D5D53">
            <w:pPr>
              <w:jc w:val="center"/>
              <w:rPr>
                <w:rFonts w:hint="eastAsia" w:ascii="宋体" w:hAnsi="宋体" w:eastAsia="宋体" w:cs="宋体"/>
                <w:i w:val="0"/>
                <w:color w:val="000000"/>
                <w:sz w:val="20"/>
                <w:szCs w:val="20"/>
                <w:u w:val="none"/>
              </w:rPr>
            </w:pPr>
          </w:p>
        </w:tc>
      </w:tr>
      <w:tr w14:paraId="31FC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83C967">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19E80">
            <w:pPr>
              <w:jc w:val="center"/>
              <w:rPr>
                <w:rFonts w:hint="eastAsia" w:ascii="宋体" w:hAnsi="宋体" w:eastAsia="宋体" w:cs="宋体"/>
                <w:i w:val="0"/>
                <w:color w:val="000000"/>
                <w:sz w:val="20"/>
                <w:szCs w:val="20"/>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7CA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7A0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对本行业未来可持续发展的影响</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3A2C">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63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32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A688">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08132">
            <w:pPr>
              <w:jc w:val="center"/>
              <w:rPr>
                <w:rFonts w:hint="eastAsia" w:ascii="宋体" w:hAnsi="宋体" w:eastAsia="宋体" w:cs="宋体"/>
                <w:i w:val="0"/>
                <w:color w:val="000000"/>
                <w:sz w:val="20"/>
                <w:szCs w:val="20"/>
                <w:u w:val="none"/>
              </w:rPr>
            </w:pPr>
          </w:p>
        </w:tc>
      </w:tr>
      <w:tr w14:paraId="2AEEE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734094">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C0755">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2CE2D">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A35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持续发挥作用的期限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8C0B">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87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7E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C39E">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5CDFA">
            <w:pPr>
              <w:jc w:val="center"/>
              <w:rPr>
                <w:rFonts w:hint="eastAsia" w:ascii="宋体" w:hAnsi="宋体" w:eastAsia="宋体" w:cs="宋体"/>
                <w:i w:val="0"/>
                <w:color w:val="000000"/>
                <w:sz w:val="20"/>
                <w:szCs w:val="20"/>
                <w:u w:val="none"/>
              </w:rPr>
            </w:pPr>
          </w:p>
        </w:tc>
      </w:tr>
      <w:tr w14:paraId="2AA6F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C228A0">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0E12C">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F7A88">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FA57C">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FD4B">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89F4">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6E6C">
            <w:pPr>
              <w:rPr>
                <w:rFonts w:hint="eastAsia" w:ascii="宋体" w:hAnsi="宋体" w:eastAsia="宋体" w:cs="宋体"/>
                <w:i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0F0C">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5D199">
            <w:pPr>
              <w:jc w:val="center"/>
              <w:rPr>
                <w:rFonts w:hint="eastAsia" w:ascii="宋体" w:hAnsi="宋体" w:eastAsia="宋体" w:cs="宋体"/>
                <w:i w:val="0"/>
                <w:color w:val="000000"/>
                <w:sz w:val="20"/>
                <w:szCs w:val="20"/>
                <w:u w:val="none"/>
              </w:rPr>
            </w:pPr>
          </w:p>
        </w:tc>
      </w:tr>
      <w:tr w14:paraId="0E68E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A712F2">
            <w:pPr>
              <w:jc w:val="center"/>
              <w:rPr>
                <w:rFonts w:hint="eastAsia" w:ascii="宋体" w:hAnsi="宋体" w:eastAsia="宋体" w:cs="宋体"/>
                <w:i w:val="0"/>
                <w:color w:val="000000"/>
                <w:sz w:val="20"/>
                <w:szCs w:val="20"/>
                <w:u w:val="none"/>
              </w:rPr>
            </w:pP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EFE3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p w14:paraId="1500DB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(10分)</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7A98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w:t>
            </w:r>
          </w:p>
          <w:p w14:paraId="42B8CE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707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服务对象对发改工作的满意度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1430">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67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A6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AD56">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B7259">
            <w:pPr>
              <w:jc w:val="center"/>
              <w:rPr>
                <w:rFonts w:hint="eastAsia" w:ascii="宋体" w:hAnsi="宋体" w:eastAsia="宋体" w:cs="宋体"/>
                <w:i w:val="0"/>
                <w:color w:val="000000"/>
                <w:sz w:val="20"/>
                <w:szCs w:val="20"/>
                <w:u w:val="none"/>
              </w:rPr>
            </w:pPr>
          </w:p>
        </w:tc>
      </w:tr>
      <w:tr w14:paraId="7C3E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E8DB3F">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1BE6B">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9368C">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22B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脱贫摘帽建档立卡贫困户满意度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4E29">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A7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DA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E3B1">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8226D">
            <w:pPr>
              <w:jc w:val="center"/>
              <w:rPr>
                <w:rFonts w:hint="eastAsia" w:ascii="宋体" w:hAnsi="宋体" w:eastAsia="宋体" w:cs="宋体"/>
                <w:i w:val="0"/>
                <w:color w:val="000000"/>
                <w:sz w:val="20"/>
                <w:szCs w:val="20"/>
                <w:u w:val="none"/>
              </w:rPr>
            </w:pPr>
          </w:p>
        </w:tc>
      </w:tr>
      <w:tr w14:paraId="37B8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CAC118">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69AAA">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CF904">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F53DB">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3420">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938D">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1CD4">
            <w:pPr>
              <w:rPr>
                <w:rFonts w:hint="eastAsia" w:ascii="宋体" w:hAnsi="宋体" w:eastAsia="宋体" w:cs="宋体"/>
                <w:i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77FE">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F5F09">
            <w:pPr>
              <w:jc w:val="center"/>
              <w:rPr>
                <w:rFonts w:hint="eastAsia" w:ascii="宋体" w:hAnsi="宋体" w:eastAsia="宋体" w:cs="宋体"/>
                <w:i w:val="0"/>
                <w:color w:val="000000"/>
                <w:sz w:val="20"/>
                <w:szCs w:val="20"/>
                <w:u w:val="none"/>
              </w:rPr>
            </w:pPr>
          </w:p>
        </w:tc>
      </w:tr>
      <w:tr w14:paraId="3CD2C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57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8BD15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F66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E5AA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9D67">
            <w:pPr>
              <w:rPr>
                <w:rFonts w:hint="eastAsia" w:ascii="宋体" w:hAnsi="宋体" w:eastAsia="宋体" w:cs="宋体"/>
                <w:b/>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E72B6">
            <w:pPr>
              <w:jc w:val="center"/>
              <w:rPr>
                <w:rFonts w:hint="eastAsia" w:ascii="宋体" w:hAnsi="宋体" w:eastAsia="宋体" w:cs="宋体"/>
                <w:i w:val="0"/>
                <w:color w:val="000000"/>
                <w:sz w:val="20"/>
                <w:szCs w:val="20"/>
                <w:u w:val="none"/>
              </w:rPr>
            </w:pPr>
          </w:p>
        </w:tc>
      </w:tr>
    </w:tbl>
    <w:p w14:paraId="2DB559E1">
      <w:pPr>
        <w:spacing w:line="580" w:lineRule="exact"/>
        <w:rPr>
          <w:rFonts w:hint="eastAsia" w:ascii="楷体_GB2312" w:hAnsi="楷体_GB2312" w:eastAsia="楷体_GB2312" w:cs="楷体_GB2312"/>
          <w:sz w:val="32"/>
          <w:szCs w:val="32"/>
        </w:rPr>
      </w:pPr>
    </w:p>
    <w:p w14:paraId="5AEFE863">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6E32F4C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通江县发展和改革局</w:t>
      </w:r>
      <w:r>
        <w:rPr>
          <w:rFonts w:hint="eastAsia" w:ascii="仿宋_GB2312" w:hAnsi="仿宋_GB2312" w:eastAsia="仿宋_GB2312" w:cs="仿宋_GB2312"/>
          <w:sz w:val="32"/>
          <w:szCs w:val="32"/>
        </w:rPr>
        <w:t>2019年部门整体支出绩效评价报告》见附件（附件1）。</w:t>
      </w:r>
    </w:p>
    <w:p w14:paraId="598975F0">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易地扶贫搬迁</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人才引进</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通江县发展和改革局</w:t>
      </w:r>
      <w:r>
        <w:rPr>
          <w:rFonts w:hint="eastAsia" w:ascii="仿宋_GB2312" w:hAnsi="仿宋_GB2312" w:eastAsia="仿宋_GB2312" w:cs="仿宋_GB2312"/>
          <w:sz w:val="32"/>
          <w:szCs w:val="32"/>
        </w:rPr>
        <w:t>项目2019年绩效评价报告》见附件（附件2）。</w:t>
      </w:r>
    </w:p>
    <w:p w14:paraId="212A86EB">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67ECA219">
      <w:pPr>
        <w:pStyle w:val="3"/>
        <w:jc w:val="center"/>
      </w:pPr>
      <w:bookmarkStart w:id="89" w:name="_Toc15377225"/>
      <w:bookmarkStart w:id="90" w:name="_Toc2282"/>
      <w:bookmarkStart w:id="91" w:name="_Toc15396613"/>
      <w:bookmarkStart w:id="92" w:name="_Toc18331"/>
      <w:r>
        <w:rPr>
          <w:rFonts w:hint="eastAsia"/>
          <w:lang w:eastAsia="zh-CN"/>
        </w:rPr>
        <w:t>第三部分</w:t>
      </w:r>
      <w:r>
        <w:rPr>
          <w:rFonts w:hint="eastAsia"/>
          <w:lang w:val="en-US" w:eastAsia="zh-CN"/>
        </w:rPr>
        <w:t xml:space="preserve">  </w:t>
      </w:r>
      <w:r>
        <w:rPr>
          <w:rFonts w:hint="eastAsia"/>
        </w:rPr>
        <w:t>名词解释</w:t>
      </w:r>
      <w:bookmarkEnd w:id="89"/>
      <w:bookmarkEnd w:id="90"/>
      <w:bookmarkEnd w:id="91"/>
      <w:bookmarkEnd w:id="92"/>
    </w:p>
    <w:p w14:paraId="3BDB3252">
      <w:pPr>
        <w:spacing w:line="600" w:lineRule="exact"/>
        <w:jc w:val="left"/>
        <w:rPr>
          <w:rFonts w:ascii="宋体"/>
          <w:b/>
          <w:color w:val="000000"/>
          <w:sz w:val="44"/>
          <w:szCs w:val="44"/>
        </w:rPr>
      </w:pPr>
    </w:p>
    <w:p w14:paraId="167430EA">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71C1ABF9">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13EA76A7">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0D4C76B7">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14:paraId="02A70303">
      <w:pPr>
        <w:pStyle w:val="2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58939709">
      <w:pPr>
        <w:pStyle w:val="2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6BE43F75">
      <w:pPr>
        <w:pStyle w:val="2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3382EE48">
      <w:pPr>
        <w:pStyle w:val="2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5B40C4FD">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14:paraId="5A87A969">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14:paraId="50ECC4D7">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14:paraId="33F2FB97">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14:paraId="6D67E12B">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14:paraId="2B2780F3">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14:paraId="29EAAC4A">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14:paraId="79655E85">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14:paraId="08E7A1CB">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14:paraId="0FFBA3CE">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14:paraId="02E82D8F">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14:paraId="175B74ED">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14:paraId="141A6E98">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14:paraId="19F74590">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14:paraId="2FD53CEE">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14:paraId="378E42BA">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14:paraId="3C99698A">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14:paraId="324F3431">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14:paraId="2DFA4638">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14:paraId="3ADB9473">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14:paraId="15FF292B">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2F5C73AE">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14:paraId="02D02017">
      <w:pPr>
        <w:pStyle w:val="25"/>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6B8FBD4">
      <w:pPr>
        <w:pStyle w:val="25"/>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F404898">
      <w:pPr>
        <w:pStyle w:val="25"/>
        <w:spacing w:line="560" w:lineRule="exact"/>
        <w:ind w:firstLine="640" w:firstLineChars="200"/>
        <w:rPr>
          <w:rFonts w:ascii="仿宋_GB2312" w:eastAsia="仿宋_GB2312" w:cs="黑体"/>
          <w:sz w:val="32"/>
          <w:szCs w:val="32"/>
        </w:rPr>
      </w:pPr>
    </w:p>
    <w:p w14:paraId="7F5B4E36">
      <w:pPr>
        <w:spacing w:line="600" w:lineRule="exact"/>
        <w:jc w:val="center"/>
        <w:outlineLvl w:val="0"/>
        <w:rPr>
          <w:rStyle w:val="27"/>
        </w:rPr>
      </w:pPr>
      <w:bookmarkStart w:id="93" w:name="_Toc15377226"/>
      <w:r>
        <w:rPr>
          <w:rFonts w:ascii="宋体"/>
          <w:b/>
          <w:color w:val="000000"/>
          <w:sz w:val="44"/>
          <w:szCs w:val="44"/>
        </w:rPr>
        <w:br w:type="page"/>
      </w:r>
      <w:bookmarkStart w:id="94" w:name="_Toc15396614"/>
      <w:r>
        <w:rPr>
          <w:rStyle w:val="27"/>
          <w:rFonts w:hint="eastAsia"/>
        </w:rPr>
        <w:t>第四部分 附件</w:t>
      </w:r>
      <w:bookmarkEnd w:id="94"/>
    </w:p>
    <w:p w14:paraId="5D72C228">
      <w:pPr>
        <w:pStyle w:val="4"/>
      </w:pPr>
      <w:bookmarkStart w:id="95" w:name="_Toc1974"/>
      <w:bookmarkStart w:id="96" w:name="_Toc21773"/>
      <w:r>
        <w:rPr>
          <w:rFonts w:hint="eastAsia"/>
        </w:rPr>
        <w:t>附件1</w:t>
      </w:r>
      <w:bookmarkEnd w:id="95"/>
      <w:bookmarkEnd w:id="96"/>
    </w:p>
    <w:p w14:paraId="440C20E7">
      <w:pPr>
        <w:spacing w:line="580" w:lineRule="exact"/>
        <w:jc w:val="center"/>
        <w:rPr>
          <w:rFonts w:ascii="方正小标宋简体" w:hAnsi="方正小标宋简体" w:eastAsia="方正小标宋简体" w:cs="方正小标宋简体"/>
          <w:sz w:val="44"/>
          <w:szCs w:val="44"/>
        </w:rPr>
      </w:pPr>
    </w:p>
    <w:p w14:paraId="1C8283FA">
      <w:pPr>
        <w:pStyle w:val="42"/>
        <w:spacing w:line="240" w:lineRule="auto"/>
        <w:jc w:val="center"/>
        <w:rPr>
          <w:rFonts w:hint="eastAsia" w:ascii="黑体" w:hAnsi="黑体" w:eastAsia="黑体" w:cs="黑体"/>
          <w:b/>
          <w:sz w:val="44"/>
          <w:szCs w:val="44"/>
          <w:shd w:val="clear" w:color="auto" w:fill="FFFFFF"/>
        </w:rPr>
      </w:pPr>
      <w:r>
        <w:rPr>
          <w:rFonts w:hint="eastAsia" w:ascii="黑体" w:hAnsi="黑体" w:eastAsia="黑体" w:cs="黑体"/>
          <w:b/>
          <w:sz w:val="44"/>
          <w:szCs w:val="44"/>
          <w:shd w:val="clear" w:color="auto" w:fill="FFFFFF"/>
        </w:rPr>
        <w:t>通江县</w:t>
      </w:r>
      <w:r>
        <w:rPr>
          <w:rFonts w:hint="eastAsia" w:ascii="黑体" w:hAnsi="黑体" w:eastAsia="黑体" w:cs="黑体"/>
          <w:b/>
          <w:sz w:val="44"/>
          <w:szCs w:val="44"/>
          <w:shd w:val="clear" w:color="auto" w:fill="FFFFFF"/>
          <w:lang w:eastAsia="zh-CN"/>
        </w:rPr>
        <w:t>发展和改革局</w:t>
      </w:r>
      <w:r>
        <w:rPr>
          <w:rFonts w:hint="eastAsia" w:ascii="黑体" w:hAnsi="黑体" w:eastAsia="黑体" w:cs="黑体"/>
          <w:b/>
          <w:sz w:val="44"/>
          <w:szCs w:val="44"/>
          <w:shd w:val="clear" w:color="auto" w:fill="FFFFFF"/>
        </w:rPr>
        <w:t>2019年绩效自评报告</w:t>
      </w:r>
    </w:p>
    <w:p w14:paraId="32F901CD">
      <w:pPr>
        <w:widowControl/>
        <w:adjustRightInd w:val="0"/>
        <w:snapToGrid w:val="0"/>
        <w:spacing w:line="540" w:lineRule="exact"/>
        <w:jc w:val="left"/>
        <w:rPr>
          <w:rFonts w:hint="eastAsia" w:ascii="仿宋_GB2312" w:hAnsi="宋体" w:cs="宋体"/>
          <w:b/>
          <w:color w:val="000000"/>
          <w:kern w:val="0"/>
          <w:sz w:val="28"/>
          <w:szCs w:val="28"/>
          <w:shd w:val="clear" w:color="auto" w:fill="FFFFFF"/>
        </w:rPr>
      </w:pPr>
    </w:p>
    <w:p w14:paraId="56CFB5DF">
      <w:pPr>
        <w:widowControl/>
        <w:adjustRightInd w:val="0"/>
        <w:snapToGrid w:val="0"/>
        <w:spacing w:line="540" w:lineRule="exact"/>
        <w:ind w:firstLine="793" w:firstLineChars="247"/>
        <w:jc w:val="left"/>
        <w:rPr>
          <w:rFonts w:hint="eastAsia" w:ascii="仿宋_GB2312" w:hAnsi="宋体" w:cs="宋体"/>
          <w:b/>
          <w:color w:val="000000"/>
          <w:kern w:val="0"/>
          <w:sz w:val="32"/>
          <w:szCs w:val="32"/>
          <w:shd w:val="clear" w:color="auto" w:fill="FFFFFF"/>
        </w:rPr>
      </w:pPr>
      <w:r>
        <w:rPr>
          <w:rFonts w:hint="eastAsia" w:ascii="仿宋_GB2312" w:hAnsi="宋体" w:cs="宋体"/>
          <w:b/>
          <w:color w:val="000000"/>
          <w:kern w:val="0"/>
          <w:sz w:val="32"/>
          <w:szCs w:val="32"/>
          <w:shd w:val="clear" w:color="auto" w:fill="FFFFFF"/>
        </w:rPr>
        <w:t>一、</w:t>
      </w:r>
      <w:r>
        <w:rPr>
          <w:rFonts w:hint="eastAsia" w:ascii="仿宋_GB2312" w:hAnsi="宋体" w:cs="宋体"/>
          <w:b/>
          <w:color w:val="000000"/>
          <w:kern w:val="0"/>
          <w:sz w:val="32"/>
          <w:szCs w:val="32"/>
          <w:shd w:val="clear" w:color="auto" w:fill="FFFFFF"/>
          <w:lang w:val="zh-CN"/>
        </w:rPr>
        <w:t>基本情况</w:t>
      </w:r>
    </w:p>
    <w:p w14:paraId="53AFB83A">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（一）单位基本情况。</w:t>
      </w:r>
      <w:r>
        <w:rPr>
          <w:rFonts w:hint="eastAsia" w:ascii="仿宋_GB2312" w:hAnsi="仿宋_GB2312" w:eastAsia="仿宋_GB2312" w:cs="仿宋_GB2312"/>
          <w:sz w:val="32"/>
          <w:szCs w:val="32"/>
          <w:lang w:val="ru-RU" w:eastAsia="zh-CN"/>
        </w:rPr>
        <w:t>通江县发展和改革</w:t>
      </w:r>
      <w:r>
        <w:rPr>
          <w:rFonts w:hint="eastAsia" w:ascii="仿宋_GB2312" w:hAnsi="仿宋_GB2312" w:eastAsia="仿宋_GB2312" w:cs="仿宋_GB2312"/>
          <w:sz w:val="32"/>
          <w:szCs w:val="32"/>
          <w:lang w:val="ru-RU"/>
        </w:rPr>
        <w:t>局是</w:t>
      </w:r>
      <w:r>
        <w:rPr>
          <w:rFonts w:hint="eastAsia" w:ascii="仿宋_GB2312" w:hAnsi="仿宋_GB2312" w:eastAsia="仿宋_GB2312" w:cs="仿宋_GB2312"/>
          <w:sz w:val="32"/>
          <w:szCs w:val="32"/>
          <w:lang w:val="ru-RU" w:eastAsia="zh-CN"/>
        </w:rPr>
        <w:t>通江县人民政府</w:t>
      </w:r>
      <w:r>
        <w:rPr>
          <w:rFonts w:hint="eastAsia" w:ascii="仿宋_GB2312" w:hAnsi="仿宋_GB2312" w:eastAsia="仿宋_GB2312" w:cs="仿宋_GB2312"/>
          <w:sz w:val="32"/>
          <w:szCs w:val="32"/>
          <w:lang w:val="ru-RU"/>
        </w:rPr>
        <w:t>的部门，为</w:t>
      </w:r>
      <w:r>
        <w:rPr>
          <w:rFonts w:hint="eastAsia" w:ascii="仿宋_GB2312" w:hAnsi="仿宋_GB2312" w:eastAsia="仿宋_GB2312" w:cs="仿宋_GB2312"/>
          <w:sz w:val="32"/>
          <w:szCs w:val="32"/>
          <w:lang w:val="ru-RU" w:eastAsia="zh-CN"/>
        </w:rPr>
        <w:t>正科</w:t>
      </w:r>
      <w:r>
        <w:rPr>
          <w:rFonts w:hint="eastAsia" w:ascii="仿宋_GB2312" w:hAnsi="仿宋_GB2312" w:eastAsia="仿宋_GB2312" w:cs="仿宋_GB2312"/>
          <w:sz w:val="32"/>
          <w:szCs w:val="32"/>
          <w:lang w:val="ru-RU"/>
        </w:rPr>
        <w:t>级。加挂</w:t>
      </w:r>
      <w:r>
        <w:rPr>
          <w:rFonts w:hint="eastAsia" w:ascii="仿宋_GB2312" w:hAnsi="仿宋_GB2312" w:eastAsia="仿宋_GB2312" w:cs="仿宋_GB2312"/>
          <w:sz w:val="32"/>
          <w:szCs w:val="32"/>
          <w:lang w:val="ru-RU" w:eastAsia="zh-CN"/>
        </w:rPr>
        <w:t>中共通江县委财经委员会办公室、县川陕革命老区振兴发展办公室牌子</w:t>
      </w:r>
      <w:r>
        <w:rPr>
          <w:rFonts w:hint="eastAsia" w:ascii="仿宋_GB2312" w:hAnsi="仿宋_GB2312" w:eastAsia="仿宋_GB2312" w:cs="仿宋_GB2312"/>
          <w:sz w:val="32"/>
          <w:szCs w:val="32"/>
          <w:lang w:val="ru-RU"/>
        </w:rPr>
        <w:t>。</w:t>
      </w:r>
      <w:r>
        <w:rPr>
          <w:rFonts w:hint="eastAsia" w:ascii="仿宋_GB2312" w:hAnsi="仿宋_GB2312" w:eastAsia="仿宋_GB2312" w:cs="仿宋_GB2312"/>
          <w:sz w:val="32"/>
          <w:szCs w:val="32"/>
        </w:rPr>
        <w:t>其职能是贯彻实施国家、省、</w:t>
      </w:r>
      <w:r>
        <w:rPr>
          <w:rFonts w:hint="eastAsia" w:ascii="仿宋_GB2312" w:hAnsi="仿宋_GB2312" w:eastAsia="仿宋_GB2312" w:cs="仿宋_GB2312"/>
          <w:sz w:val="32"/>
          <w:szCs w:val="32"/>
          <w:lang w:eastAsia="zh-CN"/>
        </w:rPr>
        <w:t>市、县</w:t>
      </w:r>
      <w:r>
        <w:rPr>
          <w:rFonts w:hint="eastAsia" w:ascii="仿宋_GB2312" w:hAnsi="仿宋_GB2312" w:eastAsia="仿宋_GB2312" w:cs="仿宋_GB2312"/>
          <w:sz w:val="32"/>
          <w:szCs w:val="32"/>
        </w:rPr>
        <w:t>有关国民经济和社会发展、经济体制改革的方针、政策和法律、法规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拟订并组织实施全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国民经济和社会发展战略、中长期规划和年度计划</w:t>
      </w:r>
      <w:r>
        <w:rPr>
          <w:rFonts w:hint="eastAsia" w:ascii="仿宋_GB2312" w:hAnsi="仿宋_GB2312" w:eastAsia="仿宋_GB2312" w:cs="仿宋_GB2312"/>
          <w:sz w:val="32"/>
          <w:szCs w:val="32"/>
          <w:lang w:eastAsia="zh-CN"/>
        </w:rPr>
        <w:t>，提出加快建设全县现代化经济体系、推动高质量发展的总体目标、重大任务以及相关措施等推动经济高质量发展，为县委、县政府决策部署提供依据。</w:t>
      </w:r>
      <w:r>
        <w:rPr>
          <w:rFonts w:hint="eastAsia" w:ascii="仿宋_GB2312" w:hAnsi="仿宋_GB2312" w:eastAsia="仿宋_GB2312" w:cs="仿宋_GB2312"/>
          <w:sz w:val="32"/>
          <w:szCs w:val="32"/>
        </w:rPr>
        <w:t>内设机构有：办公室、</w:t>
      </w:r>
      <w:r>
        <w:rPr>
          <w:rFonts w:hint="eastAsia" w:ascii="仿宋_GB2312" w:hAnsi="仿宋_GB2312" w:eastAsia="仿宋_GB2312" w:cs="仿宋_GB2312"/>
          <w:sz w:val="32"/>
          <w:szCs w:val="32"/>
          <w:lang w:val="en-US" w:eastAsia="zh-CN"/>
        </w:rPr>
        <w:t>政策法规股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国民经济综合股、固定资产投资股、农村经济股、基础产业发展股、粮食和物资储备管理股、</w:t>
      </w:r>
      <w:r>
        <w:rPr>
          <w:rFonts w:hint="eastAsia" w:ascii="仿宋_GB2312" w:hAnsi="仿宋_GB2312" w:eastAsia="仿宋_GB2312" w:cs="仿宋_GB2312"/>
          <w:sz w:val="32"/>
          <w:szCs w:val="32"/>
          <w:lang w:eastAsia="zh-CN"/>
        </w:rPr>
        <w:t>价格及收费管理股、</w:t>
      </w:r>
      <w:r>
        <w:rPr>
          <w:rFonts w:hint="eastAsia" w:ascii="仿宋_GB2312" w:hAnsi="仿宋_GB2312" w:eastAsia="仿宋_GB2312" w:cs="仿宋_GB2312"/>
          <w:sz w:val="32"/>
          <w:szCs w:val="32"/>
          <w:lang w:val="en-US" w:eastAsia="zh-CN"/>
        </w:rPr>
        <w:t>行政审批股、人事股</w:t>
      </w:r>
      <w:r>
        <w:rPr>
          <w:rFonts w:hint="eastAsia" w:ascii="仿宋_GB2312" w:hAnsi="仿宋_GB2312" w:eastAsia="仿宋_GB2312" w:cs="仿宋_GB2312"/>
          <w:sz w:val="32"/>
          <w:szCs w:val="32"/>
        </w:rPr>
        <w:t>；设在通江县发展和改革局的其他机构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通江县重点项目管理协调办公室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通江县实施西部大开发办公室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通江县以工代赈办公室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国民经济动员办公室</w:t>
      </w:r>
      <w:r>
        <w:rPr>
          <w:rFonts w:hint="eastAsia" w:ascii="仿宋_GB2312" w:hAnsi="仿宋_GB2312" w:eastAsia="仿宋_GB2312" w:cs="仿宋_GB2312"/>
          <w:sz w:val="32"/>
          <w:szCs w:val="32"/>
        </w:rPr>
        <w:t>。现有在职人员</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人，退休人员1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，行政机构</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，人员与上年相比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p>
    <w:p w14:paraId="1E742482">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000000"/>
          <w:kern w:val="0"/>
          <w:sz w:val="32"/>
          <w:szCs w:val="32"/>
          <w:shd w:val="clear" w:color="auto" w:fill="FFFFFF"/>
          <w:lang w:val="zh-CN"/>
        </w:rPr>
        <w:t>二）</w:t>
      </w:r>
      <w:r>
        <w:rPr>
          <w:rFonts w:hint="eastAsia" w:ascii="仿宋_GB2312" w:hAnsi="仿宋_GB2312" w:eastAsia="仿宋_GB2312" w:cs="仿宋_GB2312"/>
          <w:sz w:val="32"/>
          <w:szCs w:val="32"/>
        </w:rPr>
        <w:t>绩效概况。2019年，</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lang w:val="en-US" w:eastAsia="zh-CN"/>
        </w:rPr>
        <w:t>积极发挥参谋助手作用，完成了</w:t>
      </w:r>
      <w:r>
        <w:rPr>
          <w:rFonts w:hint="eastAsia" w:ascii="仿宋_GB2312" w:hAnsi="仿宋_GB2312" w:eastAsia="仿宋_GB2312" w:cs="仿宋_GB2312"/>
          <w:sz w:val="32"/>
          <w:szCs w:val="32"/>
        </w:rPr>
        <w:t>《通江县2019年国民经济和社会发展计划》《通江县201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1-8月</w:t>
      </w:r>
      <w:r>
        <w:rPr>
          <w:rFonts w:hint="eastAsia" w:ascii="仿宋_GB2312" w:hAnsi="仿宋_GB2312" w:eastAsia="仿宋_GB2312" w:cs="仿宋_GB2312"/>
          <w:sz w:val="32"/>
          <w:szCs w:val="32"/>
        </w:rPr>
        <w:t>国民经济和社会发展计划执行情况</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val="en-US" w:eastAsia="zh-CN"/>
        </w:rPr>
        <w:t>》年度计划编制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并提交县十八届人大审议通过；印发了</w:t>
      </w:r>
      <w:r>
        <w:rPr>
          <w:rFonts w:hint="eastAsia" w:ascii="仿宋_GB2312" w:hAnsi="仿宋_GB2312" w:eastAsia="仿宋_GB2312" w:cs="仿宋_GB2312"/>
          <w:sz w:val="32"/>
          <w:szCs w:val="32"/>
        </w:rPr>
        <w:t>《通江县2019年重点项目建设计划》《通江县川陕革命老区振兴发展重点工作推进方案》《2019年全县经济工作要点》等工作计划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积极做好经济运行监测，</w:t>
      </w:r>
      <w:r>
        <w:rPr>
          <w:rFonts w:hint="eastAsia" w:ascii="仿宋_GB2312" w:hAnsi="仿宋_GB2312" w:eastAsia="仿宋_GB2312" w:cs="仿宋_GB2312"/>
          <w:sz w:val="32"/>
          <w:szCs w:val="32"/>
        </w:rPr>
        <w:t>加强对宏观经济监测调度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按季召开全县经济形势分析会，</w:t>
      </w:r>
      <w:r>
        <w:rPr>
          <w:rFonts w:hint="eastAsia" w:ascii="仿宋_GB2312" w:hAnsi="仿宋_GB2312" w:eastAsia="仿宋_GB2312" w:cs="仿宋_GB2312"/>
          <w:sz w:val="32"/>
          <w:szCs w:val="32"/>
        </w:rPr>
        <w:t>研判分析经济运行中的热点、难点问题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提出有针对性、可操作的政策建议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保障了经济社会的平稳发展；</w:t>
      </w:r>
      <w:r>
        <w:rPr>
          <w:rFonts w:hint="eastAsia" w:ascii="仿宋_GB2312" w:hAnsi="仿宋_GB2312" w:eastAsia="仿宋_GB2312" w:cs="仿宋_GB2312"/>
          <w:sz w:val="32"/>
          <w:szCs w:val="32"/>
        </w:rPr>
        <w:t>启动了“十四五”规划前期工作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编制上报了拟纳入国家和省规划的重点项目142个，总投资2353.75亿元，围绕基础设施、产业发展、民生改善等方面，初步拟定了8个大类38个前期研究课题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协调推进重点项目工作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积极谋划一批项目，加快</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val="en-US" w:eastAsia="zh-CN"/>
        </w:rPr>
        <w:t>一批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切实加强项目监管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扎实抓好资金争取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全面聚焦脱贫攻坚</w:t>
      </w:r>
      <w:r>
        <w:rPr>
          <w:rFonts w:hint="eastAsia" w:ascii="仿宋_GB2312" w:hAnsi="仿宋_GB2312" w:eastAsia="仿宋_GB2312" w:cs="仿宋_GB2312"/>
          <w:sz w:val="32"/>
          <w:szCs w:val="32"/>
          <w:lang w:eastAsia="zh-CN"/>
        </w:rPr>
        <w:t>，在易地扶贫搬迁、电力扶贫、东西部扶贫协作方面</w:t>
      </w:r>
      <w:r>
        <w:rPr>
          <w:rFonts w:hint="eastAsia" w:ascii="仿宋_GB2312" w:hAnsi="仿宋_GB2312" w:eastAsia="仿宋_GB2312" w:cs="仿宋_GB2312"/>
          <w:sz w:val="32"/>
          <w:szCs w:val="32"/>
        </w:rPr>
        <w:t>脱贫攻坚效果显著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做深做细价格工作，加强市场监测，</w:t>
      </w:r>
      <w:r>
        <w:rPr>
          <w:rFonts w:hint="eastAsia" w:ascii="仿宋_GB2312" w:hAnsi="仿宋_GB2312" w:eastAsia="仿宋_GB2312" w:cs="仿宋_GB2312"/>
          <w:sz w:val="32"/>
          <w:szCs w:val="32"/>
        </w:rPr>
        <w:t>深化价格机制改革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做好成本监审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依法开展</w:t>
      </w:r>
      <w:r>
        <w:rPr>
          <w:rFonts w:hint="eastAsia" w:ascii="仿宋_GB2312" w:hAnsi="仿宋_GB2312" w:eastAsia="仿宋_GB2312" w:cs="仿宋_GB2312"/>
          <w:sz w:val="32"/>
          <w:szCs w:val="32"/>
        </w:rPr>
        <w:t>价格认定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断深化体制改革，全面落实《深入推广全面创新改革试验经验成果工作方案》要求，细化工作任务，落实工作责任，完善了通江县系统推进全面创新改革“六张清单，积极对接和争取全面创新改革各项政策；稳步推进</w:t>
      </w:r>
      <w:r>
        <w:rPr>
          <w:rFonts w:hint="eastAsia" w:ascii="仿宋_GB2312" w:hAnsi="仿宋_GB2312" w:eastAsia="仿宋_GB2312" w:cs="仿宋_GB2312"/>
          <w:sz w:val="32"/>
          <w:szCs w:val="32"/>
        </w:rPr>
        <w:t>社会信用体系建设，</w:t>
      </w:r>
      <w:r>
        <w:rPr>
          <w:rFonts w:hint="eastAsia" w:ascii="仿宋_GB2312" w:hAnsi="仿宋_GB2312" w:eastAsia="仿宋_GB2312" w:cs="仿宋_GB2312"/>
          <w:sz w:val="32"/>
          <w:szCs w:val="32"/>
          <w:lang w:val="en-US" w:eastAsia="zh-CN"/>
        </w:rPr>
        <w:t>出台了《通江县建立完善守信联合激励和失信联合惩戒制度加快推进社会诚信建设实施方案》和《通江县建立健全社会信用体系加快创建一流营商环境工作推进方案》，开展了“红黑名单”认定和政府机构失信领域的专项治理工作。</w:t>
      </w:r>
    </w:p>
    <w:p w14:paraId="4F3BD8FE">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3" w:firstLineChars="200"/>
        <w:jc w:val="both"/>
        <w:textAlignment w:val="auto"/>
        <w:outlineLvl w:val="9"/>
        <w:rPr>
          <w:rFonts w:hint="eastAsia" w:ascii="仿宋_GB2312" w:hAnsi="宋体" w:cs="宋体"/>
          <w:b/>
          <w:color w:val="000000"/>
          <w:kern w:val="0"/>
          <w:sz w:val="32"/>
          <w:szCs w:val="32"/>
          <w:shd w:val="clear" w:color="auto" w:fill="FFFFFF"/>
        </w:rPr>
      </w:pPr>
      <w:r>
        <w:rPr>
          <w:rFonts w:hint="eastAsia" w:ascii="仿宋_GB2312" w:hAnsi="宋体" w:cs="宋体"/>
          <w:b/>
          <w:color w:val="000000"/>
          <w:kern w:val="0"/>
          <w:sz w:val="32"/>
          <w:szCs w:val="32"/>
          <w:shd w:val="clear" w:color="auto" w:fill="FFFFFF"/>
        </w:rPr>
        <w:t>二、资金使用情况</w:t>
      </w:r>
    </w:p>
    <w:p w14:paraId="6B9C8825">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2019年度公共财政预算收入177，816，260元，公共财政预算支出177,816,260元，同比上年减少135，627，580.25元，主要系易地扶贫搬迁、重点项目、东西部扶贫协作等专项经费减少。</w:t>
      </w:r>
      <w:r>
        <w:rPr>
          <w:rFonts w:hint="eastAsia" w:ascii="仿宋_GB2312" w:hAnsi="仿宋_GB2312" w:cs="仿宋_GB2312"/>
          <w:sz w:val="32"/>
          <w:szCs w:val="32"/>
          <w:lang w:val="en-US" w:eastAsia="zh-CN"/>
        </w:rPr>
        <w:t xml:space="preserve">            </w:t>
      </w:r>
    </w:p>
    <w:p w14:paraId="72CEB22B">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3" w:firstLineChars="200"/>
        <w:jc w:val="both"/>
        <w:textAlignment w:val="auto"/>
        <w:outlineLvl w:val="9"/>
        <w:rPr>
          <w:rFonts w:hint="eastAsia" w:ascii="仿宋_GB2312" w:hAnsi="宋体" w:cs="宋体"/>
          <w:b/>
          <w:color w:val="000000"/>
          <w:kern w:val="0"/>
          <w:sz w:val="32"/>
          <w:szCs w:val="32"/>
          <w:shd w:val="clear" w:color="auto" w:fill="FFFFFF"/>
          <w:lang w:val="zh-CN"/>
        </w:rPr>
      </w:pPr>
      <w:r>
        <w:rPr>
          <w:rFonts w:hint="eastAsia" w:ascii="仿宋_GB2312" w:hAnsi="宋体" w:cs="宋体"/>
          <w:b/>
          <w:color w:val="000000"/>
          <w:kern w:val="0"/>
          <w:sz w:val="32"/>
          <w:szCs w:val="32"/>
          <w:shd w:val="clear" w:color="auto" w:fill="FFFFFF"/>
          <w:lang w:eastAsia="zh-CN"/>
        </w:rPr>
        <w:t>三</w:t>
      </w:r>
      <w:r>
        <w:rPr>
          <w:rFonts w:hint="eastAsia" w:ascii="仿宋_GB2312" w:hAnsi="宋体" w:cs="宋体"/>
          <w:b/>
          <w:color w:val="000000"/>
          <w:kern w:val="0"/>
          <w:sz w:val="32"/>
          <w:szCs w:val="32"/>
          <w:shd w:val="clear" w:color="auto" w:fill="FFFFFF"/>
        </w:rPr>
        <w:t>、目标完成情况</w:t>
      </w:r>
    </w:p>
    <w:p w14:paraId="437F5060">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（一）目标任务量完成情况。</w:t>
      </w:r>
    </w:p>
    <w:p w14:paraId="09FC9B52">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按前期设定目标任务，预定任务已全部完成。</w:t>
      </w:r>
    </w:p>
    <w:p w14:paraId="3251DC80">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（二）目标质量完成情况。</w:t>
      </w:r>
    </w:p>
    <w:p w14:paraId="0D059D5F">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严格按照县财政局预算编制要求，按时完成了基础信息报送工作，按时完成预算编制。</w:t>
      </w:r>
      <w:r>
        <w:rPr>
          <w:rFonts w:hint="eastAsia" w:ascii="仿宋_GB2312" w:hAnsi="仿宋_GB2312" w:eastAsia="仿宋_GB2312" w:cs="仿宋_GB2312"/>
          <w:sz w:val="32"/>
          <w:szCs w:val="32"/>
          <w:lang w:val="zh-CN" w:eastAsia="zh-CN"/>
        </w:rPr>
        <w:t>按照前期质量目标监管，均实现预定目标质量验收合格。</w:t>
      </w:r>
    </w:p>
    <w:p w14:paraId="2A52F907">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（三）目标进度完成情况。</w:t>
      </w:r>
    </w:p>
    <w:p w14:paraId="4295FDA6">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对照预定计划进度，均按期完成</w:t>
      </w:r>
      <w:r>
        <w:rPr>
          <w:rFonts w:hint="eastAsia" w:ascii="仿宋_GB2312" w:hAnsi="仿宋_GB2312" w:eastAsia="仿宋_GB2312" w:cs="仿宋_GB2312"/>
          <w:sz w:val="32"/>
          <w:szCs w:val="32"/>
          <w:lang w:val="en-US" w:eastAsia="zh-CN"/>
        </w:rPr>
        <w:t>。</w:t>
      </w:r>
    </w:p>
    <w:p w14:paraId="1A3DC425">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（四）评价结论。</w:t>
      </w:r>
    </w:p>
    <w:p w14:paraId="0C2A4496">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2019年通江县发改局在县委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zh-CN" w:eastAsia="zh-CN"/>
        </w:rPr>
        <w:t>政府的正确领导下，全体干部职工，振奋精神，攻坚克难，全力推进了各项目标任务的完成。按照预算支出，坚持以节约为目的，严格控制费用支出。根据《部门整体支出指标绩效评价表》，2019年部门整体支出初步绩效评价得分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eastAsia="zh-CN"/>
        </w:rPr>
        <w:t>分。</w:t>
      </w:r>
      <w:r>
        <w:rPr>
          <w:rFonts w:hint="eastAsia" w:ascii="仿宋_GB2312" w:hAnsi="仿宋_GB2312" w:eastAsia="仿宋_GB2312" w:cs="仿宋_GB2312"/>
          <w:sz w:val="32"/>
          <w:szCs w:val="32"/>
          <w:lang w:val="en-US" w:eastAsia="zh-CN"/>
        </w:rPr>
        <w:t>通过开展绩效评价，一是促进我局不断加强预算收支管理，确保财政资金发挥最大效能。二是促进机关建设不断增强。三是促进制度建设不断增强，落地落细更加精准。</w:t>
      </w:r>
    </w:p>
    <w:p w14:paraId="5D1267ED">
      <w:pPr>
        <w:keepNext w:val="0"/>
        <w:keepLines w:val="0"/>
        <w:pageBreakBefore w:val="0"/>
        <w:widowControl w:val="0"/>
        <w:numPr>
          <w:ilvl w:val="0"/>
          <w:numId w:val="2"/>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3" w:firstLineChars="200"/>
        <w:jc w:val="both"/>
        <w:textAlignment w:val="auto"/>
        <w:outlineLvl w:val="9"/>
        <w:rPr>
          <w:rFonts w:hint="eastAsia" w:ascii="仿宋_GB2312" w:hAnsi="宋体" w:cs="宋体"/>
          <w:b/>
          <w:color w:val="000000"/>
          <w:kern w:val="0"/>
          <w:sz w:val="32"/>
          <w:szCs w:val="32"/>
          <w:shd w:val="clear" w:color="auto" w:fill="FFFFFF"/>
        </w:rPr>
      </w:pPr>
      <w:r>
        <w:rPr>
          <w:rFonts w:hint="eastAsia" w:ascii="仿宋_GB2312" w:hAnsi="宋体" w:cs="宋体"/>
          <w:b/>
          <w:color w:val="000000"/>
          <w:kern w:val="0"/>
          <w:sz w:val="32"/>
          <w:szCs w:val="32"/>
          <w:shd w:val="clear" w:color="auto" w:fill="FFFFFF"/>
        </w:rPr>
        <w:t>问题及建议</w:t>
      </w:r>
    </w:p>
    <w:p w14:paraId="29DFB04B">
      <w:pPr>
        <w:keepNext w:val="0"/>
        <w:keepLines w:val="0"/>
        <w:pageBreakBefore w:val="0"/>
        <w:widowControl w:val="0"/>
        <w:numPr>
          <w:ilvl w:val="0"/>
          <w:numId w:val="2"/>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562" w:firstLineChars="200"/>
        <w:jc w:val="both"/>
        <w:textAlignment w:val="auto"/>
        <w:outlineLvl w:val="9"/>
        <w:rPr>
          <w:rFonts w:hint="eastAsia" w:ascii="仿宋_GB2312" w:hAnsi="微软雅黑"/>
          <w:b/>
          <w:bCs/>
          <w:color w:val="000000"/>
          <w:sz w:val="28"/>
          <w:szCs w:val="28"/>
          <w:shd w:val="clear" w:color="auto" w:fill="FFFFFF"/>
          <w:lang w:val="zh-CN"/>
        </w:rPr>
      </w:pPr>
      <w:r>
        <w:rPr>
          <w:rFonts w:hint="eastAsia" w:ascii="仿宋_GB2312" w:hAnsi="微软雅黑"/>
          <w:b/>
          <w:bCs/>
          <w:color w:val="000000"/>
          <w:sz w:val="28"/>
          <w:szCs w:val="28"/>
          <w:shd w:val="clear" w:color="auto" w:fill="FFFFFF"/>
          <w:lang w:val="zh-CN"/>
        </w:rPr>
        <w:t>（一）存在的问题。</w:t>
      </w:r>
    </w:p>
    <w:p w14:paraId="0AFBA723">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1、资金投入较少。项目建设是一项长期建设任务，投入资金有限，在一个时间范围内，完成一个整体的建设项目比较困难。</w:t>
      </w:r>
    </w:p>
    <w:p w14:paraId="7DCB27C2">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2、效益评价标准降低。由于受限于资金，对关系重大民生的项目效益标准降低。</w:t>
      </w:r>
    </w:p>
    <w:p w14:paraId="5FC6CA6A">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3" w:firstLineChars="200"/>
        <w:jc w:val="both"/>
        <w:textAlignment w:val="auto"/>
        <w:outlineLvl w:val="9"/>
        <w:rPr>
          <w:rFonts w:hint="eastAsia" w:ascii="仿宋_GB2312" w:hAnsi="宋体" w:cs="宋体"/>
          <w:b/>
          <w:color w:val="000000"/>
          <w:kern w:val="0"/>
          <w:sz w:val="32"/>
          <w:szCs w:val="32"/>
          <w:shd w:val="clear" w:color="auto" w:fill="FFFFFF"/>
          <w:lang w:val="zh-CN"/>
        </w:rPr>
      </w:pPr>
      <w:r>
        <w:rPr>
          <w:rFonts w:hint="eastAsia" w:ascii="仿宋_GB2312" w:hAnsi="宋体" w:cs="宋体"/>
          <w:b/>
          <w:color w:val="000000"/>
          <w:kern w:val="0"/>
          <w:sz w:val="32"/>
          <w:szCs w:val="32"/>
          <w:shd w:val="clear" w:color="auto" w:fill="FFFFFF"/>
          <w:lang w:val="zh-CN"/>
        </w:rPr>
        <w:t>（二）相关建议。</w:t>
      </w:r>
    </w:p>
    <w:p w14:paraId="37ECEB85">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1、进一步加大资金投入。引进专业技术人才，组织培训，加强提升业务素质水平，加大前期项目经费投入，争取政策，积极申报项目。</w:t>
      </w:r>
    </w:p>
    <w:p w14:paraId="21B13589">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2、提高项目资金使用率。实时监控项目预算完成情况，对项目资金执行情况、项目进度及时通报，确保项目按质按量完成。</w:t>
      </w:r>
    </w:p>
    <w:p w14:paraId="0E2DF475">
      <w:pPr>
        <w:spacing w:line="580" w:lineRule="exact"/>
        <w:ind w:firstLine="640" w:firstLineChars="200"/>
        <w:rPr>
          <w:rFonts w:hint="eastAsia" w:ascii="仿宋_GB2312" w:hAnsi="仿宋_GB2312" w:eastAsia="仿宋_GB2312" w:cs="仿宋_GB2312"/>
          <w:sz w:val="32"/>
          <w:szCs w:val="32"/>
          <w:lang w:val="en-US" w:eastAsia="zh-CN"/>
        </w:rPr>
      </w:pPr>
    </w:p>
    <w:p w14:paraId="0F66B1CF">
      <w:pPr>
        <w:spacing w:line="580" w:lineRule="exact"/>
        <w:ind w:firstLine="640" w:firstLineChars="200"/>
        <w:rPr>
          <w:rFonts w:hint="eastAsia" w:ascii="仿宋_GB2312" w:hAnsi="仿宋_GB2312" w:eastAsia="仿宋_GB2312" w:cs="仿宋_GB2312"/>
          <w:sz w:val="32"/>
          <w:szCs w:val="32"/>
          <w:lang w:val="en-US" w:eastAsia="zh-CN"/>
        </w:rPr>
      </w:pPr>
    </w:p>
    <w:p w14:paraId="4E01466A">
      <w:pPr>
        <w:spacing w:line="580" w:lineRule="exact"/>
        <w:ind w:firstLine="640" w:firstLineChars="200"/>
        <w:rPr>
          <w:rFonts w:hint="eastAsia" w:ascii="仿宋_GB2312" w:hAnsi="仿宋_GB2312" w:eastAsia="仿宋_GB2312" w:cs="仿宋_GB2312"/>
          <w:sz w:val="32"/>
          <w:szCs w:val="32"/>
          <w:lang w:val="en-US" w:eastAsia="zh-CN"/>
        </w:rPr>
      </w:pPr>
    </w:p>
    <w:p w14:paraId="69334A04">
      <w:pPr>
        <w:spacing w:line="580" w:lineRule="exact"/>
        <w:ind w:firstLine="640" w:firstLineChars="200"/>
        <w:rPr>
          <w:rFonts w:hint="eastAsia" w:ascii="仿宋_GB2312" w:hAnsi="仿宋_GB2312" w:eastAsia="仿宋_GB2312" w:cs="仿宋_GB2312"/>
          <w:sz w:val="32"/>
          <w:szCs w:val="32"/>
          <w:lang w:val="en-US" w:eastAsia="zh-CN"/>
        </w:rPr>
      </w:pPr>
    </w:p>
    <w:p w14:paraId="4DE0EC96">
      <w:pPr>
        <w:spacing w:line="580" w:lineRule="exact"/>
        <w:ind w:firstLine="640" w:firstLineChars="200"/>
        <w:rPr>
          <w:rFonts w:hint="eastAsia" w:ascii="仿宋_GB2312" w:hAnsi="仿宋_GB2312" w:eastAsia="仿宋_GB2312" w:cs="仿宋_GB2312"/>
          <w:sz w:val="32"/>
          <w:szCs w:val="32"/>
          <w:lang w:val="en-US" w:eastAsia="zh-CN"/>
        </w:rPr>
      </w:pPr>
    </w:p>
    <w:p w14:paraId="6E5182FE">
      <w:pPr>
        <w:spacing w:line="580" w:lineRule="exact"/>
        <w:ind w:firstLine="640" w:firstLineChars="200"/>
        <w:rPr>
          <w:rFonts w:hint="eastAsia" w:ascii="仿宋_GB2312" w:hAnsi="仿宋_GB2312" w:eastAsia="仿宋_GB2312" w:cs="仿宋_GB2312"/>
          <w:sz w:val="32"/>
          <w:szCs w:val="32"/>
          <w:lang w:val="en-US" w:eastAsia="zh-CN"/>
        </w:rPr>
      </w:pPr>
    </w:p>
    <w:p w14:paraId="72FD535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14:paraId="48E7EAA5">
      <w:pPr>
        <w:pStyle w:val="4"/>
      </w:pPr>
      <w:bookmarkStart w:id="97" w:name="_Toc15812"/>
      <w:bookmarkStart w:id="98" w:name="_Toc32713"/>
      <w:r>
        <w:rPr>
          <w:rFonts w:hint="eastAsia"/>
        </w:rPr>
        <w:t>附件2</w:t>
      </w:r>
      <w:bookmarkEnd w:id="97"/>
      <w:bookmarkEnd w:id="98"/>
    </w:p>
    <w:p w14:paraId="677BB067">
      <w:pPr>
        <w:spacing w:line="580" w:lineRule="exact"/>
        <w:ind w:firstLine="640" w:firstLineChars="200"/>
        <w:rPr>
          <w:rFonts w:ascii="仿宋_GB2312" w:hAnsi="仿宋_GB2312" w:eastAsia="仿宋_GB2312" w:cs="仿宋_GB2312"/>
          <w:sz w:val="32"/>
          <w:szCs w:val="32"/>
        </w:rPr>
      </w:pPr>
    </w:p>
    <w:p w14:paraId="69AD5735">
      <w:pPr>
        <w:pStyle w:val="42"/>
        <w:spacing w:line="240" w:lineRule="auto"/>
        <w:jc w:val="center"/>
        <w:rPr>
          <w:rFonts w:hint="eastAsia" w:ascii="宋体" w:hAnsi="宋体"/>
          <w:b/>
          <w:sz w:val="44"/>
          <w:szCs w:val="44"/>
        </w:rPr>
      </w:pPr>
      <w:r>
        <w:rPr>
          <w:rFonts w:hint="eastAsia" w:ascii="宋体" w:hAnsi="宋体"/>
          <w:b/>
          <w:sz w:val="44"/>
          <w:szCs w:val="44"/>
          <w:lang w:eastAsia="zh-CN"/>
        </w:rPr>
        <w:t>通江县发展和改革局关于</w:t>
      </w:r>
      <w:r>
        <w:rPr>
          <w:rFonts w:hint="eastAsia" w:ascii="宋体" w:hAnsi="宋体"/>
          <w:b/>
          <w:sz w:val="44"/>
          <w:szCs w:val="44"/>
          <w:lang w:val="en-US" w:eastAsia="zh-CN"/>
        </w:rPr>
        <w:t>2019年易地扶贫搬迁专项资金</w:t>
      </w:r>
      <w:r>
        <w:rPr>
          <w:rFonts w:hint="eastAsia" w:ascii="宋体" w:hAnsi="宋体"/>
          <w:b/>
          <w:sz w:val="44"/>
          <w:szCs w:val="44"/>
        </w:rPr>
        <w:t>绩效自评报告</w:t>
      </w:r>
    </w:p>
    <w:p w14:paraId="2032D34A">
      <w:pPr>
        <w:pStyle w:val="42"/>
        <w:spacing w:line="240" w:lineRule="auto"/>
        <w:jc w:val="center"/>
        <w:rPr>
          <w:rFonts w:hint="eastAsia" w:ascii="宋体" w:hAnsi="宋体"/>
          <w:b w:val="0"/>
          <w:bCs/>
          <w:sz w:val="32"/>
          <w:szCs w:val="32"/>
          <w:lang w:eastAsia="zh-CN"/>
        </w:rPr>
      </w:pPr>
    </w:p>
    <w:p w14:paraId="59D1797F">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一、基本情况</w:t>
      </w:r>
    </w:p>
    <w:p w14:paraId="0D2766EA">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（一）单位基本情况</w:t>
      </w:r>
    </w:p>
    <w:p w14:paraId="4AFCFB2A">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2019年财政全额预算拨款57人，其中：行政人员30人，事业人员27人，行政机构1个，挂靠在通江县发展和改革局的其他机构：</w:t>
      </w:r>
      <w:r>
        <w:rPr>
          <w:rFonts w:hint="eastAsia" w:ascii="仿宋_GB2312" w:hAnsi="仿宋_GB2312" w:eastAsia="仿宋_GB2312" w:cs="仿宋_GB2312"/>
          <w:sz w:val="32"/>
          <w:szCs w:val="32"/>
          <w:lang w:val="ru-RU" w:eastAsia="zh-CN"/>
        </w:rPr>
        <w:t>县川陕革命老区振兴发展办公室、</w:t>
      </w:r>
      <w:r>
        <w:rPr>
          <w:rFonts w:hint="eastAsia" w:ascii="仿宋_GB2312" w:hAnsi="仿宋_GB2312" w:eastAsia="仿宋_GB2312" w:cs="仿宋_GB2312"/>
          <w:sz w:val="32"/>
          <w:szCs w:val="32"/>
          <w:lang w:val="en-US" w:eastAsia="zh-CN"/>
        </w:rPr>
        <w:t>通江县重点项目管理协调办公室、通江县实施西部大开发办公室、通江县以工代赈办公室。</w:t>
      </w:r>
    </w:p>
    <w:p w14:paraId="3C64D79B">
      <w:pPr>
        <w:keepNext w:val="0"/>
        <w:keepLines w:val="0"/>
        <w:pageBreakBefore w:val="0"/>
        <w:widowControl w:val="0"/>
        <w:numPr>
          <w:ilvl w:val="0"/>
          <w:numId w:val="3"/>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绩效概况</w:t>
      </w:r>
    </w:p>
    <w:p w14:paraId="2C6C117A">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2019年度预算追加易地扶贫搬迁专项资金16956万元，主要是用于</w:t>
      </w:r>
      <w:r>
        <w:rPr>
          <w:rFonts w:hint="eastAsia" w:ascii="仿宋" w:hAnsi="仿宋" w:eastAsia="仿宋"/>
          <w:color w:val="000000"/>
          <w:sz w:val="32"/>
          <w:szCs w:val="32"/>
          <w:lang w:val="en-US" w:eastAsia="zh-CN"/>
        </w:rPr>
        <w:t>转拨力迅交投建设有限公司2019年第二批新增一般债券资金16956万元。</w:t>
      </w:r>
    </w:p>
    <w:p w14:paraId="3F4AC09A">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二、资金使用情况</w:t>
      </w:r>
    </w:p>
    <w:p w14:paraId="13B82A5D">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截止</w:t>
      </w:r>
      <w:r>
        <w:rPr>
          <w:rFonts w:hint="eastAsia" w:ascii="仿宋_GB2312" w:hAnsi="仿宋_GB2312" w:eastAsia="仿宋_GB2312" w:cs="仿宋_GB2312"/>
          <w:sz w:val="32"/>
          <w:szCs w:val="32"/>
          <w:lang w:val="en-US" w:eastAsia="zh-CN"/>
        </w:rPr>
        <w:t>2019年12月底，</w:t>
      </w:r>
      <w:r>
        <w:rPr>
          <w:rFonts w:hint="eastAsia" w:ascii="仿宋_GB2312" w:hAnsi="仿宋_GB2312" w:eastAsia="仿宋_GB2312" w:cs="仿宋_GB2312"/>
          <w:sz w:val="32"/>
          <w:szCs w:val="32"/>
          <w:lang w:val="zh-CN" w:eastAsia="zh-CN"/>
        </w:rPr>
        <w:t>实际支付资金</w:t>
      </w:r>
      <w:r>
        <w:rPr>
          <w:rFonts w:hint="eastAsia" w:ascii="仿宋_GB2312" w:hAnsi="仿宋_GB2312" w:eastAsia="仿宋_GB2312" w:cs="仿宋_GB2312"/>
          <w:sz w:val="32"/>
          <w:szCs w:val="32"/>
          <w:lang w:val="en-US" w:eastAsia="zh-CN"/>
        </w:rPr>
        <w:t>16956万元</w:t>
      </w:r>
      <w:r>
        <w:rPr>
          <w:rFonts w:hint="eastAsia" w:ascii="仿宋_GB2312" w:hAnsi="仿宋_GB2312" w:eastAsia="仿宋_GB2312" w:cs="仿宋_GB2312"/>
          <w:sz w:val="32"/>
          <w:szCs w:val="32"/>
          <w:lang w:val="zh-CN" w:eastAsia="zh-CN"/>
        </w:rPr>
        <w:t>，主要用于易地扶贫搬迁及配套资金工作，支付依据合规合法，资金支付与预算相符。</w:t>
      </w:r>
    </w:p>
    <w:p w14:paraId="60B16019">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三、目标完成情况</w:t>
      </w:r>
      <w:r>
        <w:rPr>
          <w:rFonts w:hint="eastAsia" w:ascii="仿宋_GB2312" w:hAnsi="仿宋_GB2312" w:eastAsia="仿宋_GB2312" w:cs="仿宋_GB2312"/>
          <w:sz w:val="32"/>
          <w:szCs w:val="32"/>
          <w:lang w:val="zh-CN" w:eastAsia="zh-CN"/>
        </w:rPr>
        <w:tab/>
      </w:r>
    </w:p>
    <w:p w14:paraId="5E8DD104">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（一）目标任务量完成情况。</w:t>
      </w:r>
    </w:p>
    <w:p w14:paraId="6C2E906C">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按照前期设定目标任务，预定任务已全部完成。</w:t>
      </w:r>
    </w:p>
    <w:p w14:paraId="69E3E92C">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（二）目标质量完成情况。</w:t>
      </w:r>
    </w:p>
    <w:p w14:paraId="72FB94CD">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按照前期质量目标监管，均实现预定目标质量验收合格。</w:t>
      </w:r>
    </w:p>
    <w:p w14:paraId="42B8073A">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（三）目标进度完成情况。</w:t>
      </w:r>
    </w:p>
    <w:p w14:paraId="4E35BE77">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对照预定计划进度，均按期完成。</w:t>
      </w:r>
    </w:p>
    <w:p w14:paraId="04C295C0">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四、项目效益情况</w:t>
      </w:r>
    </w:p>
    <w:p w14:paraId="79B68A16">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按照财政部对</w:t>
      </w:r>
      <w:r>
        <w:rPr>
          <w:rFonts w:hint="eastAsia" w:ascii="仿宋_GB2312" w:hAnsi="仿宋_GB2312" w:eastAsia="仿宋_GB2312" w:cs="仿宋_GB2312"/>
          <w:sz w:val="32"/>
          <w:szCs w:val="32"/>
          <w:lang w:val="en-US" w:eastAsia="zh-CN"/>
        </w:rPr>
        <w:t>2019年度的绩效目标设置的要求，设置了“产出、效益、满意度”等指标值。</w:t>
      </w:r>
    </w:p>
    <w:p w14:paraId="3C9A3253">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五、问题及建议</w:t>
      </w:r>
    </w:p>
    <w:p w14:paraId="4CE3F0E1">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（一）存在的问题。</w:t>
      </w:r>
    </w:p>
    <w:p w14:paraId="449C86D1">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1、资金投入较少。项目建设是一项长期建设任务，投入资金有限，在一个时间范围内，完成一个整体的建设项目比较困难。</w:t>
      </w:r>
    </w:p>
    <w:p w14:paraId="07992D7F">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2、效益评价标准降低。由于受限于资金，对关系重大民生的项目效益标准降低。</w:t>
      </w:r>
    </w:p>
    <w:p w14:paraId="0B856361">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（二）相关建议。</w:t>
      </w:r>
    </w:p>
    <w:p w14:paraId="21689293">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1、进一步加大资金投入。引进专业技术人才，组织培训，加强提升业务素质水平，加大前期项目经费投入，争取政策，积极申报项目。</w:t>
      </w:r>
    </w:p>
    <w:p w14:paraId="7E976422">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2、提高项目资金使用率。实时监控项目预算完成情况，对项目资金执行情况、项目进度及时通报，确保项目按质按量完成。</w:t>
      </w:r>
    </w:p>
    <w:p w14:paraId="5EE9D31C">
      <w:pPr>
        <w:pStyle w:val="2"/>
        <w:ind w:left="0" w:leftChars="0" w:firstLine="0" w:firstLineChars="0"/>
        <w:rPr>
          <w:rFonts w:hint="eastAsia"/>
          <w:lang w:val="en-US" w:eastAsia="zh-CN"/>
        </w:rPr>
      </w:pPr>
    </w:p>
    <w:p w14:paraId="4CB51FBA">
      <w:pPr>
        <w:pStyle w:val="4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rPr>
      </w:pPr>
      <w:r>
        <w:rPr>
          <w:rFonts w:hint="eastAsia" w:ascii="宋体" w:hAnsi="宋体"/>
          <w:b/>
          <w:sz w:val="44"/>
          <w:szCs w:val="44"/>
          <w:lang w:eastAsia="zh-CN"/>
        </w:rPr>
        <w:t>通江县发展和改革局关于</w:t>
      </w:r>
      <w:r>
        <w:rPr>
          <w:rFonts w:hint="eastAsia" w:ascii="宋体" w:hAnsi="宋体"/>
          <w:b/>
          <w:sz w:val="44"/>
          <w:szCs w:val="44"/>
          <w:lang w:val="en-US" w:eastAsia="zh-CN"/>
        </w:rPr>
        <w:t>2019年度人才引进补助项目支出</w:t>
      </w:r>
      <w:r>
        <w:rPr>
          <w:rFonts w:hint="eastAsia" w:ascii="宋体" w:hAnsi="宋体"/>
          <w:b/>
          <w:sz w:val="44"/>
          <w:szCs w:val="44"/>
        </w:rPr>
        <w:t>绩效自评报告</w:t>
      </w:r>
    </w:p>
    <w:p w14:paraId="38EDEF58">
      <w:pPr>
        <w:pStyle w:val="42"/>
        <w:spacing w:line="240" w:lineRule="auto"/>
        <w:jc w:val="center"/>
        <w:rPr>
          <w:rFonts w:hint="eastAsia" w:ascii="宋体" w:hAnsi="宋体"/>
          <w:b w:val="0"/>
          <w:bCs/>
          <w:sz w:val="32"/>
          <w:szCs w:val="32"/>
          <w:lang w:eastAsia="zh-CN"/>
        </w:rPr>
      </w:pPr>
    </w:p>
    <w:p w14:paraId="582CA3D5">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一、基本情况</w:t>
      </w:r>
    </w:p>
    <w:p w14:paraId="5BBBCD5F">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（一）单位基本情况</w:t>
      </w:r>
    </w:p>
    <w:p w14:paraId="244C3DED">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2019年财政全额预算拨款57人，其中：行政人员30人，事业人员27人，行政机构1个，挂靠在通江县发展和改革局的其他机构：</w:t>
      </w:r>
      <w:r>
        <w:rPr>
          <w:rFonts w:hint="eastAsia" w:ascii="仿宋_GB2312" w:hAnsi="仿宋_GB2312" w:eastAsia="仿宋_GB2312" w:cs="仿宋_GB2312"/>
          <w:sz w:val="32"/>
          <w:szCs w:val="32"/>
          <w:lang w:val="ru-RU" w:eastAsia="zh-CN"/>
        </w:rPr>
        <w:t>县川陕革命老区振兴发展办公室、</w:t>
      </w:r>
      <w:r>
        <w:rPr>
          <w:rFonts w:hint="eastAsia" w:ascii="仿宋_GB2312" w:hAnsi="仿宋_GB2312" w:eastAsia="仿宋_GB2312" w:cs="仿宋_GB2312"/>
          <w:sz w:val="32"/>
          <w:szCs w:val="32"/>
          <w:lang w:val="en-US" w:eastAsia="zh-CN"/>
        </w:rPr>
        <w:t>通江县重点项目管理协调办公室、通江县实施西部大开发办公室、通江县以工代赈办公室。</w:t>
      </w:r>
    </w:p>
    <w:p w14:paraId="17148CBF">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（二）绩效概况</w:t>
      </w:r>
    </w:p>
    <w:p w14:paraId="6116A569">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2019年度预算</w:t>
      </w:r>
      <w:r>
        <w:rPr>
          <w:rFonts w:hint="eastAsia" w:ascii="仿宋_GB2312" w:hAnsi="仿宋_GB2312" w:eastAsia="仿宋_GB2312" w:cs="仿宋_GB2312"/>
          <w:sz w:val="32"/>
          <w:szCs w:val="32"/>
          <w:lang w:val="zh-CN" w:eastAsia="zh-CN"/>
        </w:rPr>
        <w:t>人才引进补助费用</w:t>
      </w:r>
      <w:r>
        <w:rPr>
          <w:rFonts w:hint="eastAsia" w:ascii="仿宋_GB2312" w:hAnsi="仿宋_GB2312" w:eastAsia="仿宋_GB2312" w:cs="仿宋_GB2312"/>
          <w:sz w:val="32"/>
          <w:szCs w:val="32"/>
          <w:lang w:val="en-US" w:eastAsia="zh-CN"/>
        </w:rPr>
        <w:t>3万元，主要是用于我局蒋福莲等4名引进人才相关工作。</w:t>
      </w:r>
    </w:p>
    <w:p w14:paraId="42F654E3">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二、资金使用情况</w:t>
      </w:r>
    </w:p>
    <w:p w14:paraId="182768EA">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截止</w:t>
      </w:r>
      <w:r>
        <w:rPr>
          <w:rFonts w:hint="eastAsia" w:ascii="仿宋_GB2312" w:hAnsi="仿宋_GB2312" w:eastAsia="仿宋_GB2312" w:cs="仿宋_GB2312"/>
          <w:sz w:val="32"/>
          <w:szCs w:val="32"/>
          <w:lang w:val="en-US" w:eastAsia="zh-CN"/>
        </w:rPr>
        <w:t>2019年12月底，</w:t>
      </w:r>
      <w:r>
        <w:rPr>
          <w:rFonts w:hint="eastAsia" w:ascii="仿宋_GB2312" w:hAnsi="仿宋_GB2312" w:eastAsia="仿宋_GB2312" w:cs="仿宋_GB2312"/>
          <w:sz w:val="32"/>
          <w:szCs w:val="32"/>
          <w:lang w:val="zh-CN" w:eastAsia="zh-CN"/>
        </w:rPr>
        <w:t>实际支付资金</w:t>
      </w:r>
      <w:r>
        <w:rPr>
          <w:rFonts w:hint="eastAsia" w:ascii="仿宋_GB2312" w:hAnsi="仿宋_GB2312" w:eastAsia="仿宋_GB2312" w:cs="仿宋_GB2312"/>
          <w:sz w:val="32"/>
          <w:szCs w:val="32"/>
          <w:lang w:val="en-US" w:eastAsia="zh-CN"/>
        </w:rPr>
        <w:t>3万元</w:t>
      </w:r>
      <w:r>
        <w:rPr>
          <w:rFonts w:hint="eastAsia" w:ascii="仿宋_GB2312" w:hAnsi="仿宋_GB2312" w:eastAsia="仿宋_GB2312" w:cs="仿宋_GB2312"/>
          <w:sz w:val="32"/>
          <w:szCs w:val="32"/>
          <w:lang w:val="zh-CN" w:eastAsia="zh-CN"/>
        </w:rPr>
        <w:t>，支付依据合规合法，资金支付与预算相符。</w:t>
      </w:r>
    </w:p>
    <w:p w14:paraId="7387B98F">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三、目标完成情况</w:t>
      </w:r>
      <w:r>
        <w:rPr>
          <w:rFonts w:hint="eastAsia" w:ascii="仿宋_GB2312" w:hAnsi="仿宋_GB2312" w:eastAsia="仿宋_GB2312" w:cs="仿宋_GB2312"/>
          <w:sz w:val="32"/>
          <w:szCs w:val="32"/>
          <w:lang w:val="zh-CN" w:eastAsia="zh-CN"/>
        </w:rPr>
        <w:tab/>
      </w:r>
    </w:p>
    <w:p w14:paraId="0FD21F7E">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（一）目标任务量完成情况。</w:t>
      </w:r>
    </w:p>
    <w:p w14:paraId="3C7213A1">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按照前期设定目标任务，预定任务已全部完成。</w:t>
      </w:r>
    </w:p>
    <w:p w14:paraId="45CE119B">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（二）目标质量完成情况。</w:t>
      </w:r>
    </w:p>
    <w:p w14:paraId="44A97A27">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按照前期质量目标监管，均实现预定目标质量验收合格。</w:t>
      </w:r>
    </w:p>
    <w:p w14:paraId="4D6F1A2D">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（三）目标进度完成情况。</w:t>
      </w:r>
    </w:p>
    <w:p w14:paraId="184E4DE1">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对照预定计划进度，均按期完成。</w:t>
      </w:r>
    </w:p>
    <w:p w14:paraId="5E0F3A13">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四、项目效益情况</w:t>
      </w:r>
    </w:p>
    <w:p w14:paraId="3D89719B">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按照财政部对</w:t>
      </w:r>
      <w:r>
        <w:rPr>
          <w:rFonts w:hint="eastAsia" w:ascii="仿宋_GB2312" w:hAnsi="仿宋_GB2312" w:eastAsia="仿宋_GB2312" w:cs="仿宋_GB2312"/>
          <w:sz w:val="32"/>
          <w:szCs w:val="32"/>
          <w:lang w:val="en-US" w:eastAsia="zh-CN"/>
        </w:rPr>
        <w:t>2019年度的绩效目标设置的要求，设置了“产出、效益、满意度”等指标值。</w:t>
      </w:r>
    </w:p>
    <w:p w14:paraId="65271201">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五、问题及建议</w:t>
      </w:r>
    </w:p>
    <w:p w14:paraId="7F30AEB4">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（一）存在的问题。</w:t>
      </w:r>
    </w:p>
    <w:p w14:paraId="26412754">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1、资金投入较少。项目建设是一项长期建设任务，投入资金有限，在一个时间范围内，完成一个整体的建设项目比较困难。</w:t>
      </w:r>
    </w:p>
    <w:p w14:paraId="6BE13DB8">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2、效益评价标准降低。由于受限于资金，对关系重大民生的项目效益标准降低。</w:t>
      </w:r>
    </w:p>
    <w:p w14:paraId="1E19B18D">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（二）相关建议。</w:t>
      </w:r>
    </w:p>
    <w:p w14:paraId="1699243E">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1、进一步加大资金投入。引进专业技术人才，组织培训，加强提升业务素质水平，加大前期项目经费投入，争取政策，积极申报项目。</w:t>
      </w:r>
    </w:p>
    <w:p w14:paraId="03A3BE46">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2、提高项目资金使用率。实时监控项目预算完成情况，对项目资金执行情况、项目进度及时通报，确保项目按质按量完成。        </w:t>
      </w:r>
    </w:p>
    <w:p w14:paraId="10FF2918">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CD47949">
      <w:pPr>
        <w:pStyle w:val="2"/>
        <w:rPr>
          <w:rFonts w:hint="eastAsia" w:ascii="仿宋_GB2312" w:hAnsi="仿宋_GB2312" w:eastAsia="仿宋_GB2312" w:cs="仿宋_GB2312"/>
          <w:sz w:val="32"/>
          <w:szCs w:val="32"/>
          <w:lang w:val="en-US" w:eastAsia="zh-CN"/>
        </w:rPr>
      </w:pPr>
    </w:p>
    <w:p w14:paraId="59C41C7A">
      <w:pPr>
        <w:rPr>
          <w:rFonts w:hint="eastAsia" w:ascii="仿宋_GB2312" w:hAnsi="仿宋_GB2312" w:eastAsia="仿宋_GB2312" w:cs="仿宋_GB2312"/>
          <w:sz w:val="32"/>
          <w:szCs w:val="32"/>
          <w:lang w:val="en-US" w:eastAsia="zh-CN"/>
        </w:rPr>
      </w:pPr>
    </w:p>
    <w:p w14:paraId="7DBE4067">
      <w:pPr>
        <w:pStyle w:val="2"/>
        <w:rPr>
          <w:rFonts w:hint="eastAsia" w:ascii="仿宋_GB2312" w:hAnsi="仿宋_GB2312" w:eastAsia="仿宋_GB2312" w:cs="仿宋_GB2312"/>
          <w:sz w:val="32"/>
          <w:szCs w:val="32"/>
          <w:lang w:val="en-US" w:eastAsia="zh-CN"/>
        </w:rPr>
      </w:pPr>
    </w:p>
    <w:p w14:paraId="4C4DF613"/>
    <w:p w14:paraId="4DA32245">
      <w:pPr>
        <w:pStyle w:val="3"/>
        <w:jc w:val="center"/>
        <w:rPr>
          <w:rFonts w:hint="eastAsia"/>
        </w:rPr>
      </w:pPr>
      <w:bookmarkStart w:id="99" w:name="_Toc10068"/>
      <w:bookmarkStart w:id="100" w:name="_Toc15396618"/>
      <w:bookmarkStart w:id="101" w:name="_Toc13484"/>
      <w:r>
        <w:rPr>
          <w:rFonts w:hint="eastAsia"/>
        </w:rPr>
        <w:t>第五部分 附表</w:t>
      </w:r>
      <w:bookmarkEnd w:id="93"/>
      <w:bookmarkEnd w:id="99"/>
      <w:bookmarkEnd w:id="100"/>
      <w:bookmarkEnd w:id="101"/>
      <w:bookmarkStart w:id="102" w:name="_Toc15396619"/>
    </w:p>
    <w:p w14:paraId="72A30FFD">
      <w:pPr>
        <w:pStyle w:val="2"/>
        <w:rPr>
          <w:rFonts w:hint="eastAsia"/>
        </w:rPr>
      </w:pPr>
    </w:p>
    <w:p w14:paraId="76538D49">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一、收入支出决算总表</w:t>
      </w:r>
      <w:bookmarkEnd w:id="102"/>
      <w:bookmarkStart w:id="103" w:name="_Toc15396620"/>
    </w:p>
    <w:p w14:paraId="6ECACBAB">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二、收入决算表</w:t>
      </w:r>
      <w:bookmarkEnd w:id="103"/>
      <w:bookmarkStart w:id="104" w:name="_Toc15396621"/>
    </w:p>
    <w:p w14:paraId="4C935C92">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三、支出决算表</w:t>
      </w:r>
      <w:bookmarkEnd w:id="104"/>
      <w:bookmarkStart w:id="105" w:name="_Toc15396622"/>
    </w:p>
    <w:p w14:paraId="1788A6E5">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四、财政拨款收入支出决算总表</w:t>
      </w:r>
      <w:bookmarkEnd w:id="105"/>
      <w:bookmarkStart w:id="106" w:name="_Toc15396623"/>
    </w:p>
    <w:p w14:paraId="2BEB9249">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五、财政拨款支出决算明细表</w:t>
      </w:r>
      <w:bookmarkEnd w:id="106"/>
      <w:bookmarkStart w:id="107" w:name="_Toc15396624"/>
    </w:p>
    <w:p w14:paraId="4D11D359">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六、一般公共预算财政拨款支出决算表</w:t>
      </w:r>
      <w:bookmarkEnd w:id="107"/>
      <w:bookmarkStart w:id="108" w:name="_Toc15396625"/>
    </w:p>
    <w:p w14:paraId="1F52949B">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七、一般公共预算财政拨款支出决算明细表</w:t>
      </w:r>
      <w:bookmarkEnd w:id="108"/>
      <w:bookmarkStart w:id="109" w:name="_Toc15396626"/>
    </w:p>
    <w:p w14:paraId="36F975FD">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八、一般公共预算财政拨款基本支出决算表</w:t>
      </w:r>
      <w:bookmarkEnd w:id="109"/>
      <w:bookmarkStart w:id="110" w:name="_Toc15396627"/>
    </w:p>
    <w:p w14:paraId="6D89CBF5">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九、一般公共预算财政拨款项目支出决算表</w:t>
      </w:r>
      <w:bookmarkEnd w:id="110"/>
      <w:bookmarkStart w:id="111" w:name="_Toc15396628"/>
    </w:p>
    <w:p w14:paraId="64EB033B">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十、一般公共预算财政拨款“三公”经费支出决算表</w:t>
      </w:r>
      <w:bookmarkEnd w:id="111"/>
    </w:p>
    <w:p w14:paraId="15A6ED9A">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bookmarkStart w:id="112" w:name="_Toc15396629"/>
      <w:r>
        <w:rPr>
          <w:rFonts w:hint="eastAsia" w:ascii="仿宋_GB2312" w:hAnsi="仿宋_GB2312" w:eastAsia="仿宋_GB2312" w:cs="仿宋_GB2312"/>
          <w:sz w:val="32"/>
          <w:szCs w:val="32"/>
          <w:lang w:val="en-US" w:eastAsia="zh-CN"/>
        </w:rPr>
        <w:t>十一、政府性基金预算财政拨款收入支出决算表</w:t>
      </w:r>
      <w:bookmarkEnd w:id="112"/>
    </w:p>
    <w:p w14:paraId="3A24341B">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bookmarkStart w:id="113" w:name="_Toc15396630"/>
      <w:r>
        <w:rPr>
          <w:rFonts w:hint="eastAsia" w:ascii="仿宋_GB2312" w:hAnsi="仿宋_GB2312" w:eastAsia="仿宋_GB2312" w:cs="仿宋_GB2312"/>
          <w:sz w:val="32"/>
          <w:szCs w:val="32"/>
          <w:lang w:val="en-US" w:eastAsia="zh-CN"/>
        </w:rPr>
        <w:t>十二、政府性基金预算财政拨款“三公”经费支出决算表</w:t>
      </w:r>
      <w:bookmarkEnd w:id="113"/>
    </w:p>
    <w:p w14:paraId="5560E8A9">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bookmarkStart w:id="114" w:name="_Toc15396631"/>
      <w:r>
        <w:rPr>
          <w:rFonts w:hint="eastAsia" w:ascii="仿宋_GB2312" w:hAnsi="仿宋_GB2312" w:eastAsia="仿宋_GB2312" w:cs="仿宋_GB2312"/>
          <w:sz w:val="32"/>
          <w:szCs w:val="32"/>
          <w:lang w:val="en-US" w:eastAsia="zh-CN"/>
        </w:rPr>
        <w:t>十三、国有资本经营预算支出决算表</w:t>
      </w:r>
      <w:bookmarkEnd w:id="114"/>
    </w:p>
    <w:sectPr>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472D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7E686">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603A">
    <w:pPr>
      <w:pStyle w:val="9"/>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051FA">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DC68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8DC68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1E5A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8A5E4">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78A5E4">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F6B7F">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97505">
    <w:pPr>
      <w:pStyle w:val="10"/>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324E4"/>
    <w:multiLevelType w:val="singleLevel"/>
    <w:tmpl w:val="5F6324E4"/>
    <w:lvl w:ilvl="0" w:tentative="0">
      <w:start w:val="4"/>
      <w:numFmt w:val="chineseCounting"/>
      <w:suff w:val="nothing"/>
      <w:lvlText w:val="%1、"/>
      <w:lvlJc w:val="left"/>
    </w:lvl>
  </w:abstractNum>
  <w:abstractNum w:abstractNumId="1">
    <w:nsid w:val="5F8813A2"/>
    <w:multiLevelType w:val="singleLevel"/>
    <w:tmpl w:val="5F8813A2"/>
    <w:lvl w:ilvl="0" w:tentative="0">
      <w:start w:val="1"/>
      <w:numFmt w:val="decimal"/>
      <w:suff w:val="nothing"/>
      <w:lvlText w:val="%1."/>
      <w:lvlJc w:val="left"/>
    </w:lvl>
  </w:abstractNum>
  <w:abstractNum w:abstractNumId="2">
    <w:nsid w:val="5F963888"/>
    <w:multiLevelType w:val="singleLevel"/>
    <w:tmpl w:val="5F963888"/>
    <w:lvl w:ilvl="0" w:tentative="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2AFC"/>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29DC"/>
    <w:rsid w:val="00FA23E8"/>
    <w:rsid w:val="00FD3CC1"/>
    <w:rsid w:val="00FF1E02"/>
    <w:rsid w:val="00FF30B4"/>
    <w:rsid w:val="0409438A"/>
    <w:rsid w:val="0A1A3914"/>
    <w:rsid w:val="0E5D72FE"/>
    <w:rsid w:val="0F404762"/>
    <w:rsid w:val="10C055FF"/>
    <w:rsid w:val="111B51EE"/>
    <w:rsid w:val="16BB723D"/>
    <w:rsid w:val="1F184143"/>
    <w:rsid w:val="1FB9767C"/>
    <w:rsid w:val="240371BF"/>
    <w:rsid w:val="25AE7CF0"/>
    <w:rsid w:val="28BC12D3"/>
    <w:rsid w:val="29950915"/>
    <w:rsid w:val="29FD04D3"/>
    <w:rsid w:val="2B5C6DD6"/>
    <w:rsid w:val="2B6C4E94"/>
    <w:rsid w:val="2C244709"/>
    <w:rsid w:val="30A07EA2"/>
    <w:rsid w:val="319F7F4E"/>
    <w:rsid w:val="339736B4"/>
    <w:rsid w:val="3A112735"/>
    <w:rsid w:val="3A8D1452"/>
    <w:rsid w:val="431C486F"/>
    <w:rsid w:val="43791D90"/>
    <w:rsid w:val="47436D0D"/>
    <w:rsid w:val="4A211CFD"/>
    <w:rsid w:val="4B847799"/>
    <w:rsid w:val="4ECE2238"/>
    <w:rsid w:val="51746017"/>
    <w:rsid w:val="53700374"/>
    <w:rsid w:val="555B1D77"/>
    <w:rsid w:val="5A882FE2"/>
    <w:rsid w:val="5BF60EB8"/>
    <w:rsid w:val="61411C78"/>
    <w:rsid w:val="64085883"/>
    <w:rsid w:val="6AD67D20"/>
    <w:rsid w:val="6E3333AA"/>
    <w:rsid w:val="70867815"/>
    <w:rsid w:val="72734D90"/>
    <w:rsid w:val="784B088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uiPriority w:val="1"/>
  </w:style>
  <w:style w:type="table" w:default="1" w:styleId="14">
    <w:name w:val="Normal Table"/>
    <w:unhideWhenUsed/>
    <w:uiPriority w:val="99"/>
    <w:tblPr>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Title"/>
    <w:basedOn w:val="1"/>
    <w:next w:val="1"/>
    <w:qFormat/>
    <w:uiPriority w:val="10"/>
    <w:pPr>
      <w:spacing w:before="240" w:after="60"/>
      <w:jc w:val="center"/>
      <w:outlineLvl w:val="0"/>
    </w:pPr>
    <w:rPr>
      <w:rFonts w:ascii="Arial" w:hAnsi="Arial" w:cs="Arial"/>
      <w:b/>
      <w:bCs/>
      <w:sz w:val="32"/>
      <w:szCs w:val="32"/>
    </w:rPr>
  </w:style>
  <w:style w:type="character" w:styleId="16">
    <w:name w:val="Strong"/>
    <w:basedOn w:val="15"/>
    <w:qFormat/>
    <w:uiPriority w:val="99"/>
    <w:rPr>
      <w:b/>
    </w:rPr>
  </w:style>
  <w:style w:type="character" w:styleId="17">
    <w:name w:val="page number"/>
    <w:basedOn w:val="15"/>
    <w:unhideWhenUsed/>
    <w:qFormat/>
    <w:uiPriority w:val="99"/>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List Paragraph"/>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b/>
      <w:bCs/>
      <w:kern w:val="44"/>
      <w:sz w:val="44"/>
      <w:szCs w:val="44"/>
    </w:rPr>
  </w:style>
  <w:style w:type="character" w:customStyle="1" w:styleId="28">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font121"/>
    <w:basedOn w:val="15"/>
    <w:qFormat/>
    <w:uiPriority w:val="0"/>
    <w:rPr>
      <w:rFonts w:hint="default" w:ascii="Times New Roman" w:hAnsi="Times New Roman" w:cs="Times New Roman"/>
      <w:color w:val="000000"/>
      <w:sz w:val="12"/>
      <w:szCs w:val="12"/>
      <w:u w:val="none"/>
    </w:rPr>
  </w:style>
  <w:style w:type="character" w:customStyle="1" w:styleId="34">
    <w:name w:val="font101"/>
    <w:basedOn w:val="15"/>
    <w:qFormat/>
    <w:uiPriority w:val="0"/>
    <w:rPr>
      <w:rFonts w:hint="eastAsia" w:ascii="仿宋_GB2312" w:eastAsia="仿宋_GB2312" w:cs="仿宋_GB2312"/>
      <w:color w:val="000000"/>
      <w:sz w:val="12"/>
      <w:szCs w:val="12"/>
      <w:u w:val="none"/>
    </w:rPr>
  </w:style>
  <w:style w:type="character" w:customStyle="1" w:styleId="35">
    <w:name w:val="font111"/>
    <w:basedOn w:val="15"/>
    <w:qFormat/>
    <w:uiPriority w:val="0"/>
    <w:rPr>
      <w:rFonts w:hint="eastAsia" w:ascii="宋体" w:hAnsi="宋体" w:eastAsia="宋体" w:cs="宋体"/>
      <w:color w:val="000000"/>
      <w:sz w:val="12"/>
      <w:szCs w:val="12"/>
      <w:u w:val="none"/>
    </w:rPr>
  </w:style>
  <w:style w:type="character" w:customStyle="1" w:styleId="36">
    <w:name w:val="font81"/>
    <w:basedOn w:val="15"/>
    <w:qFormat/>
    <w:uiPriority w:val="0"/>
    <w:rPr>
      <w:rFonts w:hint="eastAsia" w:ascii="宋体" w:hAnsi="宋体" w:eastAsia="宋体" w:cs="宋体"/>
      <w:color w:val="000000"/>
      <w:sz w:val="18"/>
      <w:szCs w:val="18"/>
      <w:u w:val="none"/>
    </w:rPr>
  </w:style>
  <w:style w:type="character" w:customStyle="1" w:styleId="37">
    <w:name w:val="font31"/>
    <w:basedOn w:val="15"/>
    <w:uiPriority w:val="0"/>
    <w:rPr>
      <w:rFonts w:hint="eastAsia" w:ascii="宋体" w:hAnsi="宋体" w:eastAsia="宋体" w:cs="宋体"/>
      <w:color w:val="000000"/>
      <w:sz w:val="12"/>
      <w:szCs w:val="12"/>
      <w:u w:val="none"/>
    </w:rPr>
  </w:style>
  <w:style w:type="character" w:customStyle="1" w:styleId="38">
    <w:name w:val="font01"/>
    <w:basedOn w:val="15"/>
    <w:qFormat/>
    <w:uiPriority w:val="0"/>
    <w:rPr>
      <w:rFonts w:hint="eastAsia" w:ascii="宋体" w:hAnsi="宋体" w:eastAsia="宋体" w:cs="宋体"/>
      <w:b/>
      <w:color w:val="000000"/>
      <w:sz w:val="32"/>
      <w:szCs w:val="32"/>
      <w:u w:val="none"/>
    </w:rPr>
  </w:style>
  <w:style w:type="character" w:customStyle="1" w:styleId="39">
    <w:name w:val="font21"/>
    <w:basedOn w:val="15"/>
    <w:qFormat/>
    <w:uiPriority w:val="0"/>
    <w:rPr>
      <w:rFonts w:hint="eastAsia" w:ascii="宋体" w:hAnsi="宋体" w:eastAsia="宋体" w:cs="宋体"/>
      <w:color w:val="000000"/>
      <w:sz w:val="32"/>
      <w:szCs w:val="32"/>
      <w:u w:val="none"/>
    </w:rPr>
  </w:style>
  <w:style w:type="character" w:customStyle="1" w:styleId="40">
    <w:name w:val="font51"/>
    <w:basedOn w:val="15"/>
    <w:qFormat/>
    <w:uiPriority w:val="0"/>
    <w:rPr>
      <w:rFonts w:hint="eastAsia" w:ascii="宋体" w:hAnsi="宋体" w:eastAsia="宋体" w:cs="宋体"/>
      <w:color w:val="000000"/>
      <w:sz w:val="20"/>
      <w:szCs w:val="20"/>
      <w:u w:val="none"/>
    </w:rPr>
  </w:style>
  <w:style w:type="character" w:customStyle="1" w:styleId="41">
    <w:name w:val="font41"/>
    <w:basedOn w:val="15"/>
    <w:qFormat/>
    <w:uiPriority w:val="0"/>
    <w:rPr>
      <w:rFonts w:hint="eastAsia" w:ascii="宋体" w:hAnsi="宋体" w:eastAsia="宋体" w:cs="宋体"/>
      <w:color w:val="000000"/>
      <w:sz w:val="32"/>
      <w:szCs w:val="32"/>
      <w:u w:val="none"/>
    </w:rPr>
  </w:style>
  <w:style w:type="paragraph" w:customStyle="1" w:styleId="42">
    <w:name w:val="四号正文"/>
    <w:basedOn w:val="1"/>
    <w:qFormat/>
    <w:uiPriority w:val="0"/>
    <w:pPr>
      <w:spacing w:line="360" w:lineRule="auto"/>
    </w:pPr>
    <w:rPr>
      <w:rFonts w:ascii="??" w:hAnsi="??" w:eastAsia="宋体" w:cs="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36</Pages>
  <Words>10900</Words>
  <Characters>11777</Characters>
  <Lines>60</Lines>
  <Paragraphs>17</Paragraphs>
  <TotalTime>7</TotalTime>
  <ScaleCrop>false</ScaleCrop>
  <LinksUpToDate>false</LinksUpToDate>
  <CharactersWithSpaces>11846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lenov</cp:lastModifiedBy>
  <cp:lastPrinted>2020-10-29T01:06:00Z</cp:lastPrinted>
  <dcterms:modified xsi:type="dcterms:W3CDTF">2024-12-19T02:05:35Z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B02E6DDB0EC64EB5BB0A718833DD2804</vt:lpwstr>
  </property>
</Properties>
</file>