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hint="eastAsia" w:ascii="方正小标宋简体" w:hAnsi="宋体" w:eastAsia="方正小标宋简体"/>
          <w:color w:val="000000"/>
          <w:sz w:val="72"/>
          <w:szCs w:val="72"/>
          <w:lang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9"/>
        <w:rPr>
          <w:rFonts w:ascii="方正小标宋简体" w:hAnsi="宋体" w:eastAsia="方正小标宋简体"/>
          <w:color w:val="000000"/>
          <w:sz w:val="72"/>
          <w:szCs w:val="72"/>
        </w:rPr>
      </w:pPr>
      <w:bookmarkStart w:id="1" w:name="_Toc15396475"/>
      <w:bookmarkStart w:id="2" w:name="_Toc15396597"/>
      <w:bookmarkStart w:id="3" w:name="_Toc15378441"/>
      <w:bookmarkStart w:id="4" w:name="_Toc15377425"/>
      <w:bookmarkStart w:id="5" w:name="_Toc15377193"/>
      <w:bookmarkStart w:id="6" w:name="_Toc29005"/>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9"/>
        <w:rPr>
          <w:rFonts w:hint="eastAsia" w:ascii="方正小标宋简体" w:hAnsi="宋体" w:eastAsia="方正小标宋简体"/>
          <w:color w:val="000000"/>
          <w:sz w:val="72"/>
          <w:szCs w:val="72"/>
          <w:lang w:eastAsia="zh-CN"/>
        </w:rPr>
      </w:pPr>
      <w:bookmarkStart w:id="7" w:name="_Toc5273"/>
      <w:bookmarkStart w:id="8" w:name="_Toc15396476"/>
      <w:bookmarkStart w:id="9" w:name="_Toc15377426"/>
      <w:bookmarkStart w:id="10" w:name="_Toc15377194"/>
      <w:bookmarkStart w:id="11" w:name="_Toc15396598"/>
      <w:bookmarkStart w:id="12" w:name="_Toc15378442"/>
      <w:r>
        <w:rPr>
          <w:rFonts w:hint="eastAsia" w:ascii="方正小标宋简体" w:hAnsi="宋体" w:eastAsia="方正小标宋简体"/>
          <w:color w:val="000000"/>
          <w:sz w:val="72"/>
          <w:szCs w:val="72"/>
        </w:rPr>
        <w:t>四川省</w:t>
      </w:r>
      <w:bookmarkStart w:id="13" w:name="_Toc15306268"/>
      <w:r>
        <w:rPr>
          <w:rFonts w:hint="eastAsia" w:ascii="方正小标宋简体" w:hAnsi="宋体" w:eastAsia="方正小标宋简体"/>
          <w:color w:val="000000"/>
          <w:sz w:val="72"/>
          <w:szCs w:val="72"/>
          <w:lang w:eastAsia="zh-CN"/>
        </w:rPr>
        <w:t>通江县</w:t>
      </w:r>
      <w:r>
        <w:rPr>
          <w:rFonts w:hint="eastAsia" w:ascii="方正小标宋简体" w:hAnsi="宋体" w:eastAsia="方正小标宋简体"/>
          <w:color w:val="000000"/>
          <w:sz w:val="72"/>
          <w:szCs w:val="72"/>
          <w:lang w:val="en-US" w:eastAsia="zh-CN"/>
        </w:rPr>
        <w:t>铁溪</w:t>
      </w:r>
      <w:r>
        <w:rPr>
          <w:rFonts w:hint="eastAsia" w:ascii="方正小标宋简体" w:hAnsi="宋体" w:eastAsia="方正小标宋简体"/>
          <w:color w:val="000000"/>
          <w:sz w:val="72"/>
          <w:szCs w:val="72"/>
          <w:lang w:eastAsia="zh-CN"/>
        </w:rPr>
        <w:t>镇</w:t>
      </w:r>
      <w:bookmarkEnd w:id="7"/>
    </w:p>
    <w:p>
      <w:pPr>
        <w:adjustRightInd w:val="0"/>
        <w:snapToGrid w:val="0"/>
        <w:spacing w:line="360" w:lineRule="auto"/>
        <w:jc w:val="center"/>
        <w:outlineLvl w:val="9"/>
        <w:rPr>
          <w:rFonts w:hint="eastAsia" w:ascii="方正小标宋简体" w:hAnsi="宋体" w:eastAsia="方正小标宋简体"/>
          <w:color w:val="000000"/>
          <w:sz w:val="72"/>
          <w:szCs w:val="72"/>
          <w:lang w:eastAsia="zh-CN"/>
        </w:rPr>
      </w:pPr>
      <w:bookmarkStart w:id="14" w:name="_Toc17435"/>
      <w:r>
        <w:rPr>
          <w:rFonts w:hint="eastAsia" w:ascii="方正小标宋简体" w:hAnsi="宋体" w:eastAsia="方正小标宋简体"/>
          <w:color w:val="000000"/>
          <w:sz w:val="72"/>
          <w:szCs w:val="72"/>
        </w:rPr>
        <w:t>部门决算</w:t>
      </w:r>
      <w:bookmarkEnd w:id="8"/>
      <w:bookmarkEnd w:id="9"/>
      <w:bookmarkEnd w:id="10"/>
      <w:bookmarkEnd w:id="11"/>
      <w:bookmarkEnd w:id="12"/>
      <w:bookmarkEnd w:id="13"/>
      <w:r>
        <w:rPr>
          <w:rFonts w:hint="eastAsia" w:ascii="方正小标宋简体" w:hAnsi="宋体" w:eastAsia="方正小标宋简体"/>
          <w:color w:val="000000"/>
          <w:sz w:val="72"/>
          <w:szCs w:val="72"/>
          <w:lang w:eastAsia="zh-CN"/>
        </w:rPr>
        <w:t>说明</w:t>
      </w:r>
      <w:bookmarkEnd w:id="14"/>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pPr>
      <w:r>
        <w:rPr>
          <w:rFonts w:hint="eastAsia"/>
        </w:rPr>
        <w:t>公开时间：</w:t>
      </w:r>
      <w:r>
        <w:t>2021</w:t>
      </w:r>
      <w:r>
        <w:rPr>
          <w:rFonts w:hint="eastAsia"/>
        </w:rPr>
        <w:t xml:space="preserve">年 </w:t>
      </w:r>
      <w:r>
        <w:rPr>
          <w:rFonts w:hint="eastAsia"/>
          <w:lang w:val="en-US" w:eastAsia="zh-CN"/>
        </w:rPr>
        <w:t>10</w:t>
      </w:r>
      <w:r>
        <w:rPr>
          <w:rFonts w:hint="eastAsia"/>
        </w:rPr>
        <w:t>月</w:t>
      </w:r>
      <w:r>
        <w:rPr>
          <w:rFonts w:hint="eastAsia"/>
          <w:lang w:val="en-US" w:eastAsia="zh-CN"/>
        </w:rPr>
        <w:t>9</w:t>
      </w:r>
      <w:r>
        <w:rPr>
          <w:rFonts w:hint="eastAsia"/>
        </w:rPr>
        <w:t xml:space="preserve"> 日</w:t>
      </w:r>
    </w:p>
    <w:p>
      <w:pPr>
        <w:widowControl/>
        <w:jc w:val="center"/>
        <w:rPr>
          <w:rFonts w:ascii="黑体" w:hAnsi="黑体" w:eastAsia="黑体"/>
          <w:color w:val="000000"/>
          <w:sz w:val="48"/>
          <w:szCs w:val="48"/>
        </w:rPr>
      </w:pPr>
      <w: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bookmarkStart w:id="15" w:name="_Toc15377196"/>
      <w:bookmarkStart w:id="16" w:name="_Toc15396599"/>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TOC \o "1-3" \h \u </w:instrText>
      </w:r>
      <w:r>
        <w:rPr>
          <w:rFonts w:hint="eastAsia" w:ascii="宋体" w:hAnsi="宋体" w:eastAsia="宋体" w:cs="宋体"/>
          <w:bCs/>
          <w:kern w:val="44"/>
          <w:sz w:val="28"/>
          <w:szCs w:val="28"/>
        </w:rPr>
        <w:fldChar w:fldCharType="separate"/>
      </w: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_Toc20417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 xml:space="preserve">第一部分 </w:t>
      </w:r>
      <w:r>
        <w:rPr>
          <w:rFonts w:hint="eastAsia" w:ascii="宋体" w:hAnsi="宋体" w:eastAsia="宋体" w:cs="宋体"/>
          <w:bCs w:val="0"/>
          <w:sz w:val="28"/>
          <w:szCs w:val="28"/>
        </w:rPr>
        <w:t>部门概况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_Toc20417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_Toc13430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一、基</w:t>
      </w:r>
      <w:r>
        <w:rPr>
          <w:rFonts w:hint="eastAsia" w:ascii="宋体" w:hAnsi="宋体" w:eastAsia="宋体" w:cs="宋体"/>
          <w:bCs w:val="0"/>
          <w:sz w:val="28"/>
          <w:szCs w:val="28"/>
        </w:rPr>
        <w:t>本职能及主要工作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_Toc13430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_Toc2828 </w:instrText>
      </w:r>
      <w:r>
        <w:rPr>
          <w:rFonts w:hint="eastAsia" w:ascii="宋体" w:hAnsi="宋体" w:eastAsia="宋体" w:cs="宋体"/>
          <w:bCs/>
          <w:kern w:val="44"/>
          <w:sz w:val="28"/>
          <w:szCs w:val="28"/>
        </w:rPr>
        <w:fldChar w:fldCharType="separate"/>
      </w:r>
      <w:r>
        <w:rPr>
          <w:rFonts w:hint="eastAsia" w:ascii="宋体" w:hAnsi="宋体" w:eastAsia="宋体" w:cs="宋体"/>
          <w:bCs/>
          <w:sz w:val="28"/>
          <w:szCs w:val="28"/>
        </w:rPr>
        <w:t>（一）</w:t>
      </w:r>
      <w:r>
        <w:rPr>
          <w:rFonts w:hint="eastAsia" w:ascii="宋体" w:hAnsi="宋体" w:eastAsia="宋体" w:cs="宋体"/>
          <w:bCs w:val="0"/>
          <w:sz w:val="28"/>
          <w:szCs w:val="28"/>
        </w:rPr>
        <w:t>主要职能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_Toc2828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_Toc20761 </w:instrText>
      </w:r>
      <w:r>
        <w:rPr>
          <w:rFonts w:hint="eastAsia" w:ascii="宋体" w:hAnsi="宋体" w:eastAsia="宋体" w:cs="宋体"/>
          <w:bCs/>
          <w:kern w:val="44"/>
          <w:sz w:val="28"/>
          <w:szCs w:val="28"/>
        </w:rPr>
        <w:fldChar w:fldCharType="separate"/>
      </w:r>
      <w:r>
        <w:rPr>
          <w:rFonts w:hint="eastAsia" w:ascii="宋体" w:hAnsi="宋体" w:eastAsia="宋体" w:cs="宋体"/>
          <w:bCs/>
          <w:sz w:val="28"/>
          <w:szCs w:val="28"/>
        </w:rPr>
        <w:t>（二）2020年重点工作完成情况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_Toc20761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_Toc22964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二、机</w:t>
      </w:r>
      <w:r>
        <w:rPr>
          <w:rFonts w:hint="eastAsia" w:ascii="宋体" w:hAnsi="宋体" w:eastAsia="宋体" w:cs="宋体"/>
          <w:bCs w:val="0"/>
          <w:sz w:val="28"/>
          <w:szCs w:val="28"/>
        </w:rPr>
        <w:t>构设置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_Toc22964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_Toc18197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 xml:space="preserve">第二部分 </w:t>
      </w:r>
      <w:r>
        <w:rPr>
          <w:rFonts w:hint="eastAsia" w:ascii="宋体" w:hAnsi="宋体" w:eastAsia="宋体" w:cs="宋体"/>
          <w:bCs w:val="0"/>
          <w:sz w:val="28"/>
          <w:szCs w:val="28"/>
        </w:rPr>
        <w:t>2020年度</w:t>
      </w:r>
      <w:r>
        <w:rPr>
          <w:rFonts w:hint="eastAsia" w:ascii="宋体" w:hAnsi="宋体" w:eastAsia="宋体" w:cs="宋体"/>
          <w:sz w:val="28"/>
          <w:szCs w:val="28"/>
        </w:rPr>
        <w:t>部门决算情况说明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_Toc18197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_Toc25352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一、 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_Toc25352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_Toc13784 </w:instrText>
      </w:r>
      <w:r>
        <w:rPr>
          <w:rFonts w:hint="eastAsia" w:ascii="宋体" w:hAnsi="宋体" w:eastAsia="宋体" w:cs="宋体"/>
          <w:bCs/>
          <w:kern w:val="44"/>
          <w:sz w:val="28"/>
          <w:szCs w:val="28"/>
        </w:rPr>
        <w:fldChar w:fldCharType="separate"/>
      </w:r>
      <w:r>
        <w:rPr>
          <w:rFonts w:hint="eastAsia" w:ascii="宋体" w:hAnsi="宋体" w:eastAsia="宋体" w:cs="宋体"/>
          <w:bCs/>
          <w:sz w:val="28"/>
          <w:szCs w:val="28"/>
          <w:lang w:val="en-US" w:eastAsia="zh-CN" w:bidi="ar-SA"/>
        </w:rPr>
        <w:t>二、收入决算情况说明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_Toc13784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_Toc4255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lang w:val="en-US" w:eastAsia="zh-CN"/>
        </w:rPr>
        <w:t>三、</w:t>
      </w:r>
      <w:r>
        <w:rPr>
          <w:rFonts w:hint="eastAsia" w:ascii="宋体" w:hAnsi="宋体" w:eastAsia="宋体" w:cs="宋体"/>
          <w:sz w:val="28"/>
          <w:szCs w:val="28"/>
        </w:rPr>
        <w:t>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_Toc4255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_Toc28947 </w:instrText>
      </w:r>
      <w:r>
        <w:rPr>
          <w:rFonts w:hint="eastAsia" w:ascii="宋体" w:hAnsi="宋体" w:eastAsia="宋体" w:cs="宋体"/>
          <w:bCs/>
          <w:kern w:val="44"/>
          <w:sz w:val="28"/>
          <w:szCs w:val="28"/>
        </w:rPr>
        <w:fldChar w:fldCharType="separate"/>
      </w:r>
      <w:r>
        <w:rPr>
          <w:rFonts w:hint="eastAsia" w:ascii="宋体" w:hAnsi="宋体" w:eastAsia="宋体" w:cs="宋体"/>
          <w:bCs/>
          <w:sz w:val="28"/>
          <w:szCs w:val="28"/>
        </w:rPr>
        <w:t>四、财政拨款收入支出决算总体情况说明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_Toc28947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_Toc32270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五、一般公共预算财政拨款支出决算情况说明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_Toc32270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_Toc2568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（一）一般公共预算财政拨款支出决算总体情况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_Toc2568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_Toc21383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（二）一般公共预算财政拨款支出决算结构情况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_Toc21383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_Toc23604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（三）一般公共预算财政拨款支出决算具体情况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_Toc23604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_Toc19039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六、一般公共预算财政拨款基本支出决算情况说明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_Toc19039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_Toc59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七、“三公”经费财政拨款支出决算情况说明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_Toc59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_Toc21187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（一）“三公”经费财政拨款支出决算总体情况说明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_Toc21187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_Toc24386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（二）“三公”经费财政拨款支出决算具体情况说明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_Toc24386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_Toc19502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八、政府性基金预算支出决算情况说明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_Toc19502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_Toc12833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九、 国有资本经营预算支出决算情况说明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_Toc12833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_Toc3668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十、其他重要事项的情况说明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_Toc3668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_Toc21260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（一）机关运行经费支出情况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_Toc21260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2"/>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_Toc11933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）预算绩效管理情况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_Toc11933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_Toc15787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第三部分 名词解释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_Toc15787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_Toc3700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第四部分 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_Toc3700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_Toc14511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附件1</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_Toc14511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_Toc24808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附件2</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_Toc24808 </w:instrText>
      </w:r>
      <w:r>
        <w:rPr>
          <w:rFonts w:hint="eastAsia" w:ascii="宋体" w:hAnsi="宋体" w:eastAsia="宋体" w:cs="宋体"/>
          <w:sz w:val="28"/>
          <w:szCs w:val="28"/>
        </w:rPr>
        <w:fldChar w:fldCharType="separate"/>
      </w:r>
      <w:r>
        <w:rPr>
          <w:rFonts w:hint="eastAsia" w:ascii="宋体" w:hAnsi="宋体" w:eastAsia="宋体" w:cs="宋体"/>
          <w:sz w:val="28"/>
          <w:szCs w:val="28"/>
        </w:rPr>
        <w:t>42</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3"/>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_Toc15727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第五部分 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_Toc15727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_Toc2673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一、收</w:t>
      </w:r>
      <w:r>
        <w:rPr>
          <w:rFonts w:hint="eastAsia" w:ascii="宋体" w:hAnsi="宋体" w:eastAsia="宋体" w:cs="宋体"/>
          <w:bCs/>
          <w:sz w:val="28"/>
          <w:szCs w:val="28"/>
        </w:rPr>
        <w:t>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_Toc2673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_Toc5396 </w:instrText>
      </w:r>
      <w:r>
        <w:rPr>
          <w:rFonts w:hint="eastAsia" w:ascii="宋体" w:hAnsi="宋体" w:eastAsia="宋体" w:cs="宋体"/>
          <w:bCs/>
          <w:kern w:val="44"/>
          <w:sz w:val="28"/>
          <w:szCs w:val="28"/>
        </w:rPr>
        <w:fldChar w:fldCharType="separate"/>
      </w:r>
      <w:r>
        <w:rPr>
          <w:rFonts w:hint="eastAsia" w:ascii="宋体" w:hAnsi="宋体" w:eastAsia="宋体" w:cs="宋体"/>
          <w:sz w:val="28"/>
          <w:szCs w:val="28"/>
        </w:rPr>
        <w:t>二、收</w:t>
      </w:r>
      <w:r>
        <w:rPr>
          <w:rFonts w:hint="eastAsia" w:ascii="宋体" w:hAnsi="宋体" w:eastAsia="宋体" w:cs="宋体"/>
          <w:bCs/>
          <w:sz w:val="28"/>
          <w:szCs w:val="28"/>
        </w:rPr>
        <w:t>入决算表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_Toc5396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_Toc5088 </w:instrText>
      </w:r>
      <w:r>
        <w:rPr>
          <w:rFonts w:hint="eastAsia" w:ascii="宋体" w:hAnsi="宋体" w:eastAsia="宋体" w:cs="宋体"/>
          <w:bCs/>
          <w:kern w:val="44"/>
          <w:sz w:val="28"/>
          <w:szCs w:val="28"/>
        </w:rPr>
        <w:fldChar w:fldCharType="separate"/>
      </w:r>
      <w:r>
        <w:rPr>
          <w:rFonts w:hint="eastAsia" w:ascii="宋体" w:hAnsi="宋体" w:eastAsia="宋体" w:cs="宋体"/>
          <w:bCs/>
          <w:sz w:val="28"/>
          <w:szCs w:val="28"/>
        </w:rPr>
        <w:t>三、</w:t>
      </w:r>
      <w:r>
        <w:rPr>
          <w:rFonts w:hint="eastAsia" w:ascii="宋体" w:hAnsi="宋体" w:eastAsia="宋体" w:cs="宋体"/>
          <w:sz w:val="28"/>
          <w:szCs w:val="28"/>
        </w:rPr>
        <w:t>支</w:t>
      </w:r>
      <w:r>
        <w:rPr>
          <w:rFonts w:hint="eastAsia" w:ascii="宋体" w:hAnsi="宋体" w:eastAsia="宋体" w:cs="宋体"/>
          <w:bCs/>
          <w:sz w:val="28"/>
          <w:szCs w:val="28"/>
        </w:rPr>
        <w:t>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_Toc5088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_Toc8271 </w:instrText>
      </w:r>
      <w:r>
        <w:rPr>
          <w:rFonts w:hint="eastAsia" w:ascii="宋体" w:hAnsi="宋体" w:eastAsia="宋体" w:cs="宋体"/>
          <w:bCs/>
          <w:kern w:val="44"/>
          <w:sz w:val="28"/>
          <w:szCs w:val="28"/>
        </w:rPr>
        <w:fldChar w:fldCharType="separate"/>
      </w:r>
      <w:r>
        <w:rPr>
          <w:rFonts w:hint="eastAsia" w:ascii="宋体" w:hAnsi="宋体" w:eastAsia="宋体" w:cs="宋体"/>
          <w:bCs/>
          <w:sz w:val="28"/>
          <w:szCs w:val="28"/>
        </w:rPr>
        <w:t>四、</w:t>
      </w:r>
      <w:r>
        <w:rPr>
          <w:rFonts w:hint="eastAsia" w:ascii="宋体" w:hAnsi="宋体" w:eastAsia="宋体" w:cs="宋体"/>
          <w:sz w:val="28"/>
          <w:szCs w:val="28"/>
        </w:rPr>
        <w:t>财</w:t>
      </w:r>
      <w:r>
        <w:rPr>
          <w:rFonts w:hint="eastAsia" w:ascii="宋体" w:hAnsi="宋体" w:eastAsia="宋体" w:cs="宋体"/>
          <w:bCs/>
          <w:sz w:val="28"/>
          <w:szCs w:val="28"/>
        </w:rPr>
        <w:t>政拨款收入支出决算总表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_Toc8271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_Toc29116 </w:instrText>
      </w:r>
      <w:r>
        <w:rPr>
          <w:rFonts w:hint="eastAsia" w:ascii="宋体" w:hAnsi="宋体" w:eastAsia="宋体" w:cs="宋体"/>
          <w:bCs/>
          <w:kern w:val="44"/>
          <w:sz w:val="28"/>
          <w:szCs w:val="28"/>
        </w:rPr>
        <w:fldChar w:fldCharType="separate"/>
      </w:r>
      <w:r>
        <w:rPr>
          <w:rFonts w:hint="eastAsia" w:ascii="宋体" w:hAnsi="宋体" w:eastAsia="宋体" w:cs="宋体"/>
          <w:bCs/>
          <w:sz w:val="28"/>
          <w:szCs w:val="28"/>
        </w:rPr>
        <w:t>五、</w:t>
      </w:r>
      <w:r>
        <w:rPr>
          <w:rFonts w:hint="eastAsia" w:ascii="宋体" w:hAnsi="宋体" w:eastAsia="宋体" w:cs="宋体"/>
          <w:sz w:val="28"/>
          <w:szCs w:val="28"/>
        </w:rPr>
        <w:t>财</w:t>
      </w:r>
      <w:r>
        <w:rPr>
          <w:rFonts w:hint="eastAsia" w:ascii="宋体" w:hAnsi="宋体" w:eastAsia="宋体" w:cs="宋体"/>
          <w:bCs/>
          <w:sz w:val="28"/>
          <w:szCs w:val="28"/>
        </w:rPr>
        <w:t>政拨款支出决算明细表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_Toc29116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_Toc9658 </w:instrText>
      </w:r>
      <w:r>
        <w:rPr>
          <w:rFonts w:hint="eastAsia" w:ascii="宋体" w:hAnsi="宋体" w:eastAsia="宋体" w:cs="宋体"/>
          <w:bCs/>
          <w:kern w:val="44"/>
          <w:sz w:val="28"/>
          <w:szCs w:val="28"/>
        </w:rPr>
        <w:fldChar w:fldCharType="separate"/>
      </w:r>
      <w:r>
        <w:rPr>
          <w:rFonts w:hint="eastAsia" w:ascii="宋体" w:hAnsi="宋体" w:eastAsia="宋体" w:cs="宋体"/>
          <w:bCs/>
          <w:sz w:val="28"/>
          <w:szCs w:val="28"/>
        </w:rPr>
        <w:t>六、</w:t>
      </w:r>
      <w:r>
        <w:rPr>
          <w:rFonts w:hint="eastAsia" w:ascii="宋体" w:hAnsi="宋体" w:eastAsia="宋体" w:cs="宋体"/>
          <w:sz w:val="28"/>
          <w:szCs w:val="28"/>
        </w:rPr>
        <w:t>一</w:t>
      </w:r>
      <w:r>
        <w:rPr>
          <w:rFonts w:hint="eastAsia" w:ascii="宋体" w:hAnsi="宋体" w:eastAsia="宋体" w:cs="宋体"/>
          <w:bCs/>
          <w:sz w:val="28"/>
          <w:szCs w:val="28"/>
        </w:rPr>
        <w:t>般公共预算财政拨款支出决算表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_Toc9658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_Toc11164 </w:instrText>
      </w:r>
      <w:r>
        <w:rPr>
          <w:rFonts w:hint="eastAsia" w:ascii="宋体" w:hAnsi="宋体" w:eastAsia="宋体" w:cs="宋体"/>
          <w:bCs/>
          <w:kern w:val="44"/>
          <w:sz w:val="28"/>
          <w:szCs w:val="28"/>
        </w:rPr>
        <w:fldChar w:fldCharType="separate"/>
      </w:r>
      <w:r>
        <w:rPr>
          <w:rFonts w:hint="eastAsia" w:ascii="宋体" w:hAnsi="宋体" w:eastAsia="宋体" w:cs="宋体"/>
          <w:bCs/>
          <w:sz w:val="28"/>
          <w:szCs w:val="28"/>
        </w:rPr>
        <w:t>七、</w:t>
      </w:r>
      <w:r>
        <w:rPr>
          <w:rFonts w:hint="eastAsia" w:ascii="宋体" w:hAnsi="宋体" w:eastAsia="宋体" w:cs="宋体"/>
          <w:sz w:val="28"/>
          <w:szCs w:val="28"/>
        </w:rPr>
        <w:t>一</w:t>
      </w:r>
      <w:r>
        <w:rPr>
          <w:rFonts w:hint="eastAsia" w:ascii="宋体" w:hAnsi="宋体" w:eastAsia="宋体" w:cs="宋体"/>
          <w:bCs/>
          <w:sz w:val="28"/>
          <w:szCs w:val="28"/>
        </w:rPr>
        <w:t>般公共预算财政拨款支出决算明细表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_Toc11164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_Toc9301 </w:instrText>
      </w:r>
      <w:r>
        <w:rPr>
          <w:rFonts w:hint="eastAsia" w:ascii="宋体" w:hAnsi="宋体" w:eastAsia="宋体" w:cs="宋体"/>
          <w:bCs/>
          <w:kern w:val="44"/>
          <w:sz w:val="28"/>
          <w:szCs w:val="28"/>
        </w:rPr>
        <w:fldChar w:fldCharType="separate"/>
      </w:r>
      <w:r>
        <w:rPr>
          <w:rFonts w:hint="eastAsia" w:ascii="宋体" w:hAnsi="宋体" w:eastAsia="宋体" w:cs="宋体"/>
          <w:bCs/>
          <w:sz w:val="28"/>
          <w:szCs w:val="28"/>
        </w:rPr>
        <w:t>八、</w:t>
      </w:r>
      <w:r>
        <w:rPr>
          <w:rFonts w:hint="eastAsia" w:ascii="宋体" w:hAnsi="宋体" w:eastAsia="宋体" w:cs="宋体"/>
          <w:sz w:val="28"/>
          <w:szCs w:val="28"/>
        </w:rPr>
        <w:t>一</w:t>
      </w:r>
      <w:r>
        <w:rPr>
          <w:rFonts w:hint="eastAsia" w:ascii="宋体" w:hAnsi="宋体" w:eastAsia="宋体" w:cs="宋体"/>
          <w:bCs/>
          <w:sz w:val="28"/>
          <w:szCs w:val="28"/>
        </w:rPr>
        <w:t>般公共预算财政拨款基本支出决算表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_Toc9301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_Toc2877 </w:instrText>
      </w:r>
      <w:r>
        <w:rPr>
          <w:rFonts w:hint="eastAsia" w:ascii="宋体" w:hAnsi="宋体" w:eastAsia="宋体" w:cs="宋体"/>
          <w:bCs/>
          <w:kern w:val="44"/>
          <w:sz w:val="28"/>
          <w:szCs w:val="28"/>
        </w:rPr>
        <w:fldChar w:fldCharType="separate"/>
      </w:r>
      <w:r>
        <w:rPr>
          <w:rFonts w:hint="eastAsia" w:ascii="宋体" w:hAnsi="宋体" w:eastAsia="宋体" w:cs="宋体"/>
          <w:bCs/>
          <w:sz w:val="28"/>
          <w:szCs w:val="28"/>
        </w:rPr>
        <w:t>九、</w:t>
      </w:r>
      <w:r>
        <w:rPr>
          <w:rFonts w:hint="eastAsia" w:ascii="宋体" w:hAnsi="宋体" w:eastAsia="宋体" w:cs="宋体"/>
          <w:sz w:val="28"/>
          <w:szCs w:val="28"/>
        </w:rPr>
        <w:t>一</w:t>
      </w:r>
      <w:r>
        <w:rPr>
          <w:rFonts w:hint="eastAsia" w:ascii="宋体" w:hAnsi="宋体" w:eastAsia="宋体" w:cs="宋体"/>
          <w:bCs/>
          <w:sz w:val="28"/>
          <w:szCs w:val="28"/>
        </w:rPr>
        <w:t>般公共预算财政拨款项目支出决算表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_Toc2877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_Toc21174 </w:instrText>
      </w:r>
      <w:r>
        <w:rPr>
          <w:rFonts w:hint="eastAsia" w:ascii="宋体" w:hAnsi="宋体" w:eastAsia="宋体" w:cs="宋体"/>
          <w:bCs/>
          <w:kern w:val="44"/>
          <w:sz w:val="28"/>
          <w:szCs w:val="28"/>
        </w:rPr>
        <w:fldChar w:fldCharType="separate"/>
      </w:r>
      <w:r>
        <w:rPr>
          <w:rFonts w:hint="eastAsia" w:ascii="宋体" w:hAnsi="宋体" w:eastAsia="宋体" w:cs="宋体"/>
          <w:bCs/>
          <w:sz w:val="28"/>
          <w:szCs w:val="28"/>
        </w:rPr>
        <w:t>十、</w:t>
      </w:r>
      <w:r>
        <w:rPr>
          <w:rFonts w:hint="eastAsia" w:ascii="宋体" w:hAnsi="宋体" w:eastAsia="宋体" w:cs="宋体"/>
          <w:sz w:val="28"/>
          <w:szCs w:val="28"/>
        </w:rPr>
        <w:t>一</w:t>
      </w:r>
      <w:r>
        <w:rPr>
          <w:rFonts w:hint="eastAsia" w:ascii="宋体" w:hAnsi="宋体" w:eastAsia="宋体" w:cs="宋体"/>
          <w:bCs/>
          <w:sz w:val="28"/>
          <w:szCs w:val="28"/>
        </w:rPr>
        <w:t>般公共预算财政拨款“三公”经费支出决算表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_Toc21174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_Toc31083 </w:instrText>
      </w:r>
      <w:r>
        <w:rPr>
          <w:rFonts w:hint="eastAsia" w:ascii="宋体" w:hAnsi="宋体" w:eastAsia="宋体" w:cs="宋体"/>
          <w:bCs/>
          <w:kern w:val="44"/>
          <w:sz w:val="28"/>
          <w:szCs w:val="28"/>
        </w:rPr>
        <w:fldChar w:fldCharType="separate"/>
      </w:r>
      <w:r>
        <w:rPr>
          <w:rFonts w:hint="eastAsia" w:ascii="宋体" w:hAnsi="宋体" w:eastAsia="宋体" w:cs="宋体"/>
          <w:bCs/>
          <w:sz w:val="28"/>
          <w:szCs w:val="28"/>
        </w:rPr>
        <w:t>十一、</w:t>
      </w:r>
      <w:r>
        <w:rPr>
          <w:rFonts w:hint="eastAsia" w:ascii="宋体" w:hAnsi="宋体" w:eastAsia="宋体" w:cs="宋体"/>
          <w:sz w:val="28"/>
          <w:szCs w:val="28"/>
        </w:rPr>
        <w:t>政</w:t>
      </w:r>
      <w:r>
        <w:rPr>
          <w:rFonts w:hint="eastAsia" w:ascii="宋体" w:hAnsi="宋体" w:eastAsia="宋体" w:cs="宋体"/>
          <w:bCs/>
          <w:sz w:val="28"/>
          <w:szCs w:val="28"/>
        </w:rPr>
        <w:t>府性基金预算财政拨款收入支出决算表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_Toc31083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_Toc30946 </w:instrText>
      </w:r>
      <w:r>
        <w:rPr>
          <w:rFonts w:hint="eastAsia" w:ascii="宋体" w:hAnsi="宋体" w:eastAsia="宋体" w:cs="宋体"/>
          <w:bCs/>
          <w:kern w:val="44"/>
          <w:sz w:val="28"/>
          <w:szCs w:val="28"/>
        </w:rPr>
        <w:fldChar w:fldCharType="separate"/>
      </w:r>
      <w:r>
        <w:rPr>
          <w:rFonts w:hint="eastAsia" w:ascii="宋体" w:hAnsi="宋体" w:eastAsia="宋体" w:cs="宋体"/>
          <w:bCs/>
          <w:sz w:val="28"/>
          <w:szCs w:val="28"/>
        </w:rPr>
        <w:t>十二、</w:t>
      </w:r>
      <w:r>
        <w:rPr>
          <w:rFonts w:hint="eastAsia" w:ascii="宋体" w:hAnsi="宋体" w:eastAsia="宋体" w:cs="宋体"/>
          <w:sz w:val="28"/>
          <w:szCs w:val="28"/>
        </w:rPr>
        <w:t>政</w:t>
      </w:r>
      <w:r>
        <w:rPr>
          <w:rFonts w:hint="eastAsia" w:ascii="宋体" w:hAnsi="宋体" w:eastAsia="宋体" w:cs="宋体"/>
          <w:bCs/>
          <w:sz w:val="28"/>
          <w:szCs w:val="28"/>
        </w:rPr>
        <w:t>府性基金预算财政拨款“三公”经费支出决算表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_Toc30946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pStyle w:val="4"/>
        <w:keepNext w:val="0"/>
        <w:keepLines w:val="0"/>
        <w:pageBreakBefore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8"/>
          <w:szCs w:val="28"/>
        </w:rPr>
      </w:pPr>
      <w:r>
        <w:rPr>
          <w:rFonts w:hint="eastAsia" w:ascii="宋体" w:hAnsi="宋体" w:eastAsia="宋体" w:cs="宋体"/>
          <w:bCs/>
          <w:kern w:val="44"/>
          <w:sz w:val="28"/>
          <w:szCs w:val="28"/>
        </w:rPr>
        <w:fldChar w:fldCharType="begin"/>
      </w:r>
      <w:r>
        <w:rPr>
          <w:rFonts w:hint="eastAsia" w:ascii="宋体" w:hAnsi="宋体" w:eastAsia="宋体" w:cs="宋体"/>
          <w:bCs/>
          <w:kern w:val="44"/>
          <w:sz w:val="28"/>
          <w:szCs w:val="28"/>
        </w:rPr>
        <w:instrText xml:space="preserve"> HYPERLINK \l _Toc7914 </w:instrText>
      </w:r>
      <w:r>
        <w:rPr>
          <w:rFonts w:hint="eastAsia" w:ascii="宋体" w:hAnsi="宋体" w:eastAsia="宋体" w:cs="宋体"/>
          <w:bCs/>
          <w:kern w:val="44"/>
          <w:sz w:val="28"/>
          <w:szCs w:val="28"/>
        </w:rPr>
        <w:fldChar w:fldCharType="separate"/>
      </w:r>
      <w:r>
        <w:rPr>
          <w:rFonts w:hint="eastAsia" w:ascii="宋体" w:hAnsi="宋体" w:eastAsia="宋体" w:cs="宋体"/>
          <w:bCs/>
          <w:sz w:val="28"/>
          <w:szCs w:val="28"/>
        </w:rPr>
        <w:t>十三、</w:t>
      </w:r>
      <w:r>
        <w:rPr>
          <w:rFonts w:hint="eastAsia" w:ascii="宋体" w:hAnsi="宋体" w:eastAsia="宋体" w:cs="宋体"/>
          <w:sz w:val="28"/>
          <w:szCs w:val="28"/>
        </w:rPr>
        <w:t>国</w:t>
      </w:r>
      <w:r>
        <w:rPr>
          <w:rFonts w:hint="eastAsia" w:ascii="宋体" w:hAnsi="宋体" w:eastAsia="宋体" w:cs="宋体"/>
          <w:bCs/>
          <w:sz w:val="28"/>
          <w:szCs w:val="28"/>
        </w:rPr>
        <w:t>有资本经营预算财政拨款支出决算表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_Toc7914 </w:instrText>
      </w:r>
      <w:r>
        <w:rPr>
          <w:rFonts w:hint="eastAsia" w:ascii="宋体" w:hAnsi="宋体" w:eastAsia="宋体" w:cs="宋体"/>
          <w:sz w:val="28"/>
          <w:szCs w:val="28"/>
        </w:rPr>
        <w:fldChar w:fldCharType="separate"/>
      </w:r>
      <w:r>
        <w:rPr>
          <w:rFonts w:hint="eastAsia" w:ascii="宋体" w:hAnsi="宋体" w:eastAsia="宋体" w:cs="宋体"/>
          <w:sz w:val="28"/>
          <w:szCs w:val="28"/>
        </w:rPr>
        <w:t>46</w:t>
      </w:r>
      <w:r>
        <w:rPr>
          <w:rFonts w:hint="eastAsia" w:ascii="宋体" w:hAnsi="宋体" w:eastAsia="宋体" w:cs="宋体"/>
          <w:sz w:val="28"/>
          <w:szCs w:val="28"/>
        </w:rPr>
        <w:fldChar w:fldCharType="end"/>
      </w:r>
      <w:r>
        <w:rPr>
          <w:rFonts w:hint="eastAsia" w:ascii="宋体" w:hAnsi="宋体" w:eastAsia="宋体" w:cs="宋体"/>
          <w:bCs/>
          <w:kern w:val="44"/>
          <w:sz w:val="28"/>
          <w:szCs w:val="28"/>
        </w:rPr>
        <w:fldChar w:fldCharType="end"/>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仿宋" w:hAnsi="仿宋" w:eastAsia="仿宋"/>
          <w:bCs/>
          <w:kern w:val="44"/>
          <w:sz w:val="28"/>
          <w:szCs w:val="28"/>
        </w:rPr>
      </w:pPr>
      <w:r>
        <w:rPr>
          <w:rFonts w:hint="eastAsia" w:ascii="宋体" w:hAnsi="宋体" w:eastAsia="宋体" w:cs="宋体"/>
          <w:bCs/>
          <w:kern w:val="44"/>
          <w:sz w:val="28"/>
          <w:szCs w:val="28"/>
        </w:rPr>
        <w:fldChar w:fldCharType="end"/>
      </w:r>
    </w:p>
    <w:p>
      <w:pPr>
        <w:pStyle w:val="9"/>
        <w:keepNext w:val="0"/>
        <w:keepLines/>
        <w:pageBreakBefore/>
        <w:widowControl w:val="0"/>
        <w:kinsoku/>
        <w:wordWrap/>
        <w:overflowPunct/>
        <w:topLinePunct w:val="0"/>
        <w:autoSpaceDE/>
        <w:autoSpaceDN/>
        <w:bidi w:val="0"/>
        <w:adjustRightInd/>
        <w:snapToGrid/>
        <w:spacing w:line="579" w:lineRule="auto"/>
        <w:jc w:val="center"/>
        <w:textAlignment w:val="auto"/>
        <w:outlineLvl w:val="0"/>
        <w:rPr>
          <w:rStyle w:val="32"/>
          <w:rFonts w:ascii="黑体" w:hAnsi="黑体" w:eastAsia="黑体"/>
          <w:b w:val="0"/>
          <w:bCs w:val="0"/>
        </w:rPr>
      </w:pPr>
      <w:bookmarkStart w:id="17" w:name="_Toc20417"/>
      <w:r>
        <w:rPr>
          <w:rFonts w:hint="eastAsia" w:ascii="黑体" w:hAnsi="黑体" w:eastAsia="黑体"/>
          <w:b w:val="0"/>
        </w:rPr>
        <w:t>第一部分</w:t>
      </w:r>
      <w:r>
        <w:rPr>
          <w:rFonts w:ascii="黑体" w:hAnsi="黑体" w:eastAsia="黑体"/>
          <w:b w:val="0"/>
        </w:rPr>
        <w:t xml:space="preserve"> </w:t>
      </w:r>
      <w:r>
        <w:rPr>
          <w:rStyle w:val="32"/>
          <w:rFonts w:hint="eastAsia" w:ascii="黑体" w:hAnsi="黑体" w:eastAsia="黑体"/>
          <w:b w:val="0"/>
          <w:bCs w:val="0"/>
        </w:rPr>
        <w:t>部门概况</w:t>
      </w:r>
      <w:bookmarkEnd w:id="15"/>
      <w:bookmarkEnd w:id="16"/>
      <w:bookmarkEnd w:id="17"/>
    </w:p>
    <w:p>
      <w:pPr>
        <w:widowControl/>
        <w:jc w:val="left"/>
        <w:rPr>
          <w:rFonts w:ascii="黑体" w:eastAsia="黑体"/>
          <w:color w:val="000000"/>
          <w:sz w:val="32"/>
          <w:szCs w:val="32"/>
        </w:rPr>
      </w:pPr>
    </w:p>
    <w:p>
      <w:pPr>
        <w:pStyle w:val="10"/>
        <w:rPr>
          <w:rStyle w:val="33"/>
          <w:rFonts w:ascii="仿宋" w:hAnsi="仿宋" w:eastAsia="仿宋"/>
          <w:b w:val="0"/>
          <w:bCs w:val="0"/>
        </w:rPr>
      </w:pPr>
      <w:bookmarkStart w:id="18" w:name="_Toc15396600"/>
      <w:bookmarkStart w:id="19" w:name="_Toc15377197"/>
      <w:bookmarkStart w:id="20" w:name="_Toc13430"/>
      <w:r>
        <w:rPr>
          <w:rFonts w:hint="eastAsia" w:ascii="黑体" w:hAnsi="黑体" w:eastAsia="黑体"/>
          <w:b w:val="0"/>
          <w:color w:val="000000"/>
        </w:rPr>
        <w:t>一、基</w:t>
      </w:r>
      <w:r>
        <w:rPr>
          <w:rStyle w:val="33"/>
          <w:rFonts w:hint="eastAsia" w:ascii="黑体" w:hAnsi="黑体" w:eastAsia="黑体"/>
          <w:b w:val="0"/>
          <w:bCs w:val="0"/>
        </w:rPr>
        <w:t>本职能及主要工作</w:t>
      </w:r>
      <w:bookmarkEnd w:id="18"/>
      <w:bookmarkEnd w:id="19"/>
      <w:bookmarkEnd w:id="20"/>
    </w:p>
    <w:p>
      <w:pPr>
        <w:widowControl/>
        <w:jc w:val="left"/>
        <w:outlineLvl w:val="2"/>
        <w:rPr>
          <w:rFonts w:hint="eastAsia" w:ascii="仿宋_GB2312" w:hAnsi="Times New Roman" w:eastAsia="仿宋_GB2312" w:cs="Times New Roman"/>
          <w:sz w:val="32"/>
          <w:szCs w:val="32"/>
        </w:rPr>
      </w:pPr>
      <w:bookmarkStart w:id="21" w:name="_Toc15378445"/>
      <w:bookmarkStart w:id="22" w:name="_Toc15377198"/>
      <w:bookmarkStart w:id="23" w:name="_Toc2828"/>
      <w:r>
        <w:rPr>
          <w:rFonts w:hint="eastAsia" w:ascii="仿宋" w:hAnsi="仿宋" w:eastAsia="仿宋"/>
          <w:bCs/>
          <w:color w:val="000000"/>
          <w:sz w:val="32"/>
          <w:szCs w:val="32"/>
        </w:rPr>
        <w:t>（一）</w:t>
      </w:r>
      <w:r>
        <w:rPr>
          <w:rFonts w:hint="eastAsia" w:ascii="仿宋" w:hAnsi="仿宋" w:eastAsia="仿宋"/>
          <w:b/>
          <w:bCs w:val="0"/>
          <w:color w:val="000000"/>
          <w:sz w:val="32"/>
          <w:szCs w:val="32"/>
        </w:rPr>
        <w:t>主要职能</w:t>
      </w:r>
      <w:bookmarkEnd w:id="21"/>
      <w:bookmarkEnd w:id="22"/>
      <w:bookmarkEnd w:id="23"/>
    </w:p>
    <w:p>
      <w:pPr>
        <w:widowControl/>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1.落实政策。宣传、落实好党的路线、方针、政策和国家的法律、法规，稳定农村基本经济制度，坚持依法行政，推进政务公开，加强对村民委员会的指导，提高、培育村民委员会自治能力。</w:t>
      </w:r>
    </w:p>
    <w:p>
      <w:pPr>
        <w:widowControl/>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促进发展。科学制订发展规划，营造农村经济发展环境，加强农村市场监管，培育、提升市场功能，搞活市场流通，推广农业技术，完善农业社会化服务体系，引导农民发展现代农业，调整产业结构，加强农村劳动力技能培训，引导农村劳动力转移和就业，不断提高社会主义新农村建设水平。</w:t>
      </w:r>
    </w:p>
    <w:p>
      <w:pPr>
        <w:widowControl/>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3.维护稳定。要坚持“立党为公、执政为民”，紧紧围绕实现和维护群众利益开展工作，突出解决人民群众最关心、最直接、最现实的利益问题。加强和巩固农村基层政权建设和民主法</w:t>
      </w:r>
      <w:r>
        <w:rPr>
          <w:rFonts w:hint="eastAsia" w:ascii="仿宋_GB2312" w:eastAsia="仿宋_GB2312" w:cs="Times New Roman"/>
          <w:sz w:val="32"/>
          <w:szCs w:val="32"/>
          <w:lang w:eastAsia="zh-CN"/>
        </w:rPr>
        <w:t>治</w:t>
      </w:r>
      <w:r>
        <w:rPr>
          <w:rFonts w:hint="eastAsia" w:ascii="仿宋_GB2312" w:hAnsi="Times New Roman" w:eastAsia="仿宋_GB2312" w:cs="Times New Roman"/>
          <w:sz w:val="32"/>
          <w:szCs w:val="32"/>
        </w:rPr>
        <w:t>建设，加强社会治安综合治理，加强对突发事件的预警和管理，建立健全各种应急机制，加强民事纠纷调解，化解农村社会矛盾，开展农村扶贫和社会救助，切实保障农民合法权益，维护农村社会稳定。</w:t>
      </w:r>
    </w:p>
    <w:p>
      <w:pPr>
        <w:widowControl/>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加强管理。加强民政、教育、科技、文化、卫生、计划生育、安全生产、劳动保障和乡村规划等社会管理，加强社会主义精神文明建设，做好防灾减灾工作，加强环境保护，努力改善农村人居环境，不断提高农村人口素质和农民生活质量。</w:t>
      </w:r>
    </w:p>
    <w:p>
      <w:pPr>
        <w:widowControl/>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5.提供服务。进一步发展和完善农</w:t>
      </w:r>
      <w:r>
        <w:rPr>
          <w:rFonts w:hint="eastAsia" w:ascii="仿宋_GB2312" w:eastAsia="仿宋_GB2312" w:cs="Times New Roman"/>
          <w:sz w:val="32"/>
          <w:szCs w:val="32"/>
          <w:lang w:eastAsia="zh-CN"/>
        </w:rPr>
        <w:t>业</w:t>
      </w:r>
      <w:r>
        <w:rPr>
          <w:rFonts w:hint="eastAsia" w:ascii="仿宋_GB2312" w:hAnsi="Times New Roman" w:eastAsia="仿宋_GB2312" w:cs="Times New Roman"/>
          <w:sz w:val="32"/>
          <w:szCs w:val="32"/>
        </w:rPr>
        <w:t>社会化服务体系，引导各类协会和农村专业合作经济组织发展并充分发挥其作用，发展农村社会公益事业和集体公益事业，加强农村基础设施建设，增加公共产品，提供政策、科技、市场信息和社会救济、救助服务，及时向上级党委、政府反映社情民意，进一步密切党和政府与人民群众的关系。</w:t>
      </w:r>
    </w:p>
    <w:p>
      <w:pPr>
        <w:widowControl/>
        <w:jc w:val="left"/>
        <w:outlineLvl w:val="2"/>
        <w:rPr>
          <w:rFonts w:hint="eastAsia" w:ascii="仿宋" w:hAnsi="仿宋" w:eastAsia="仿宋" w:cs="Times New Roman"/>
          <w:bCs/>
          <w:color w:val="000000"/>
          <w:sz w:val="32"/>
          <w:szCs w:val="32"/>
        </w:rPr>
      </w:pPr>
      <w:bookmarkStart w:id="24" w:name="_Toc20761"/>
      <w:r>
        <w:rPr>
          <w:rFonts w:hint="eastAsia" w:ascii="仿宋" w:hAnsi="仿宋" w:eastAsia="仿宋" w:cs="Times New Roman"/>
          <w:bCs/>
          <w:color w:val="000000"/>
          <w:sz w:val="32"/>
          <w:szCs w:val="32"/>
        </w:rPr>
        <w:t>（二）2020年重点工作完成情况</w:t>
      </w:r>
      <w:bookmarkEnd w:id="24"/>
    </w:p>
    <w:p>
      <w:pPr>
        <w:pStyle w:val="2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楷体" w:cs="Times New Roman"/>
          <w:b/>
          <w:bCs/>
          <w:color w:val="000000"/>
          <w:spacing w:val="0"/>
          <w:sz w:val="32"/>
          <w:szCs w:val="32"/>
          <w:lang w:val="en-US" w:eastAsia="zh-CN"/>
        </w:rPr>
      </w:pPr>
      <w:r>
        <w:rPr>
          <w:rFonts w:hint="eastAsia" w:ascii="Times New Roman" w:hAnsi="Times New Roman" w:eastAsia="楷体" w:cs="Times New Roman"/>
          <w:b/>
          <w:bCs/>
          <w:color w:val="000000"/>
          <w:spacing w:val="0"/>
          <w:sz w:val="32"/>
          <w:szCs w:val="32"/>
          <w:shd w:val="clear" w:color="auto" w:fill="auto"/>
          <w:lang w:val="en-US" w:eastAsia="zh-CN"/>
        </w:rPr>
        <w:t>1.抓党建保运行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shd w:val="clear" w:color="auto" w:fill="auto"/>
          <w:lang w:eastAsia="zh-CN"/>
        </w:rPr>
        <w:t>着力干部队伍建设。</w:t>
      </w:r>
      <w:r>
        <w:rPr>
          <w:rFonts w:hint="default" w:ascii="Times New Roman" w:hAnsi="Times New Roman" w:eastAsia="仿宋_GB2312" w:cs="Times New Roman"/>
          <w:b/>
          <w:bCs/>
          <w:spacing w:val="0"/>
          <w:sz w:val="32"/>
          <w:szCs w:val="32"/>
          <w:shd w:val="clear" w:color="auto" w:fill="auto"/>
          <w:lang w:eastAsia="zh-CN"/>
        </w:rPr>
        <w:t>一是</w:t>
      </w:r>
      <w:r>
        <w:rPr>
          <w:rFonts w:hint="default" w:ascii="Times New Roman" w:hAnsi="Times New Roman" w:eastAsia="仿宋_GB2312" w:cs="Times New Roman"/>
          <w:spacing w:val="0"/>
          <w:sz w:val="32"/>
          <w:szCs w:val="32"/>
          <w:shd w:val="clear" w:color="auto" w:fill="auto"/>
          <w:lang w:eastAsia="zh-CN"/>
        </w:rPr>
        <w:t>加强村（社区）党组织建设。</w:t>
      </w:r>
      <w:r>
        <w:rPr>
          <w:rFonts w:hint="default" w:ascii="Times New Roman" w:hAnsi="Times New Roman" w:eastAsia="仿宋_GB2312" w:cs="Times New Roman"/>
          <w:spacing w:val="0"/>
          <w:sz w:val="32"/>
          <w:szCs w:val="32"/>
          <w:shd w:val="clear" w:color="auto" w:fill="auto"/>
          <w:lang w:val="en-US" w:eastAsia="zh-CN"/>
        </w:rPr>
        <w:t>大力推进</w:t>
      </w:r>
      <w:r>
        <w:rPr>
          <w:rFonts w:hint="default" w:ascii="Times New Roman" w:hAnsi="Times New Roman" w:eastAsia="仿宋_GB2312" w:cs="Times New Roman"/>
          <w:color w:val="000000"/>
          <w:spacing w:val="0"/>
          <w:sz w:val="32"/>
          <w:szCs w:val="32"/>
          <w:shd w:val="clear" w:color="auto" w:fill="auto"/>
        </w:rPr>
        <w:t>村</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 xml:space="preserve">社区 </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rPr>
        <w:t>党组织书记、村</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居</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rPr>
        <w:t>委会主任“一肩挑”工作有序推进，</w:t>
      </w:r>
      <w:r>
        <w:rPr>
          <w:rFonts w:hint="default" w:ascii="Times New Roman" w:hAnsi="Times New Roman" w:eastAsia="仿宋_GB2312" w:cs="Times New Roman"/>
          <w:spacing w:val="0"/>
          <w:sz w:val="32"/>
          <w:szCs w:val="32"/>
          <w:shd w:val="clear" w:color="auto" w:fill="auto"/>
        </w:rPr>
        <w:t>选优配强配齐了1</w:t>
      </w:r>
      <w:r>
        <w:rPr>
          <w:rFonts w:hint="default" w:ascii="Times New Roman" w:hAnsi="Times New Roman" w:eastAsia="仿宋_GB2312" w:cs="Times New Roman"/>
          <w:spacing w:val="0"/>
          <w:sz w:val="32"/>
          <w:szCs w:val="32"/>
          <w:shd w:val="clear" w:color="auto" w:fill="auto"/>
          <w:lang w:val="en-US" w:eastAsia="zh-CN"/>
        </w:rPr>
        <w:t>1</w:t>
      </w:r>
      <w:r>
        <w:rPr>
          <w:rFonts w:hint="default" w:ascii="Times New Roman" w:hAnsi="Times New Roman" w:eastAsia="仿宋_GB2312" w:cs="Times New Roman"/>
          <w:spacing w:val="0"/>
          <w:sz w:val="32"/>
          <w:szCs w:val="32"/>
          <w:shd w:val="clear" w:color="auto" w:fill="auto"/>
        </w:rPr>
        <w:t>个村、</w:t>
      </w:r>
      <w:r>
        <w:rPr>
          <w:rFonts w:hint="default" w:ascii="Times New Roman" w:hAnsi="Times New Roman" w:eastAsia="仿宋_GB2312" w:cs="Times New Roman"/>
          <w:spacing w:val="0"/>
          <w:sz w:val="32"/>
          <w:szCs w:val="32"/>
          <w:shd w:val="clear" w:color="auto" w:fill="auto"/>
          <w:lang w:val="en-US" w:eastAsia="zh-CN"/>
        </w:rPr>
        <w:t>2</w:t>
      </w:r>
      <w:r>
        <w:rPr>
          <w:rFonts w:hint="default" w:ascii="Times New Roman" w:hAnsi="Times New Roman" w:eastAsia="仿宋_GB2312" w:cs="Times New Roman"/>
          <w:spacing w:val="0"/>
          <w:sz w:val="32"/>
          <w:szCs w:val="32"/>
          <w:shd w:val="clear" w:color="auto" w:fill="auto"/>
        </w:rPr>
        <w:t>个社区的村</w:t>
      </w:r>
      <w:r>
        <w:rPr>
          <w:rFonts w:hint="default" w:ascii="Times New Roman" w:hAnsi="Times New Roman" w:eastAsia="仿宋_GB2312" w:cs="Times New Roman"/>
          <w:spacing w:val="0"/>
          <w:sz w:val="32"/>
          <w:szCs w:val="32"/>
          <w:shd w:val="clear" w:color="auto" w:fill="auto"/>
          <w:lang w:eastAsia="zh-CN"/>
        </w:rPr>
        <w:t>两委干部</w:t>
      </w:r>
      <w:r>
        <w:rPr>
          <w:rFonts w:hint="eastAsia" w:eastAsia="仿宋_GB2312" w:cs="Times New Roman"/>
          <w:spacing w:val="0"/>
          <w:sz w:val="32"/>
          <w:szCs w:val="32"/>
          <w:shd w:val="clear" w:color="auto" w:fill="auto"/>
          <w:lang w:val="en-US" w:eastAsia="zh-CN"/>
        </w:rPr>
        <w:t>和</w:t>
      </w:r>
      <w:r>
        <w:rPr>
          <w:rFonts w:hint="default" w:ascii="Times New Roman" w:hAnsi="Times New Roman" w:eastAsia="仿宋_GB2312" w:cs="Times New Roman"/>
          <w:spacing w:val="0"/>
          <w:sz w:val="32"/>
          <w:szCs w:val="32"/>
          <w:shd w:val="clear" w:color="auto" w:fill="auto"/>
          <w:lang w:eastAsia="zh-CN"/>
        </w:rPr>
        <w:t>村四职干部</w:t>
      </w:r>
      <w:r>
        <w:rPr>
          <w:rFonts w:hint="eastAsia"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lang w:eastAsia="zh-CN"/>
        </w:rPr>
        <w:t>全面落实离职村“两委”干部保障制度</w:t>
      </w:r>
      <w:r>
        <w:rPr>
          <w:rFonts w:hint="eastAsia"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lang w:eastAsia="zh-CN"/>
        </w:rPr>
        <w:t>确保事有人干，经费有保障</w:t>
      </w:r>
      <w:r>
        <w:rPr>
          <w:rFonts w:hint="eastAsia"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健全完善了村级工作制度，严格执行“四议</w:t>
      </w:r>
      <w:r>
        <w:rPr>
          <w:rFonts w:hint="default" w:ascii="Times New Roman" w:hAnsi="Times New Roman" w:eastAsia="仿宋_GB2312" w:cs="Times New Roman"/>
          <w:spacing w:val="0"/>
          <w:sz w:val="32"/>
          <w:szCs w:val="32"/>
          <w:shd w:val="clear" w:color="auto" w:fill="auto"/>
          <w:lang w:eastAsia="zh-CN"/>
        </w:rPr>
        <w:t>四调四评”和“四议两公开</w:t>
      </w:r>
      <w:r>
        <w:rPr>
          <w:rFonts w:hint="default" w:ascii="Times New Roman" w:hAnsi="Times New Roman" w:eastAsia="仿宋_GB2312" w:cs="Times New Roman"/>
          <w:spacing w:val="0"/>
          <w:sz w:val="32"/>
          <w:szCs w:val="32"/>
          <w:shd w:val="clear" w:color="auto" w:fill="auto"/>
        </w:rPr>
        <w:t>一监督”制度，</w:t>
      </w:r>
      <w:r>
        <w:rPr>
          <w:rFonts w:hint="default" w:ascii="Times New Roman" w:hAnsi="Times New Roman" w:eastAsia="仿宋_GB2312" w:cs="Times New Roman"/>
          <w:spacing w:val="0"/>
          <w:sz w:val="32"/>
          <w:szCs w:val="32"/>
          <w:shd w:val="clear" w:color="auto" w:fill="auto"/>
          <w:lang w:eastAsia="zh-CN"/>
        </w:rPr>
        <w:t>坚持</w:t>
      </w:r>
      <w:r>
        <w:rPr>
          <w:rFonts w:hint="default" w:ascii="Times New Roman" w:hAnsi="Times New Roman" w:eastAsia="仿宋_GB2312" w:cs="Times New Roman"/>
          <w:spacing w:val="0"/>
          <w:sz w:val="32"/>
          <w:szCs w:val="32"/>
          <w:shd w:val="clear" w:color="auto" w:fill="auto"/>
        </w:rPr>
        <w:t>党务、村务公开，推进村级工作的制度化、规范化和科学化，从源头上防止腐败问题发生。</w:t>
      </w:r>
      <w:r>
        <w:rPr>
          <w:rFonts w:hint="default" w:ascii="Times New Roman" w:hAnsi="Times New Roman" w:eastAsia="仿宋_GB2312" w:cs="Times New Roman"/>
          <w:spacing w:val="0"/>
          <w:sz w:val="32"/>
          <w:szCs w:val="32"/>
          <w:shd w:val="clear" w:color="auto" w:fill="auto"/>
          <w:lang w:eastAsia="zh-CN"/>
        </w:rPr>
        <w:t>针对</w:t>
      </w:r>
      <w:r>
        <w:rPr>
          <w:rFonts w:hint="default" w:ascii="Times New Roman" w:hAnsi="Times New Roman" w:eastAsia="仿宋_GB2312" w:cs="Times New Roman"/>
          <w:spacing w:val="0"/>
          <w:sz w:val="32"/>
          <w:szCs w:val="32"/>
          <w:shd w:val="clear" w:color="auto" w:fill="auto"/>
        </w:rPr>
        <w:t>软弱涣散党组织</w:t>
      </w:r>
      <w:r>
        <w:rPr>
          <w:rFonts w:hint="default" w:ascii="Times New Roman" w:hAnsi="Times New Roman" w:eastAsia="仿宋_GB2312" w:cs="Times New Roman"/>
          <w:spacing w:val="0"/>
          <w:sz w:val="32"/>
          <w:szCs w:val="32"/>
          <w:shd w:val="clear" w:color="auto" w:fill="auto"/>
          <w:lang w:eastAsia="zh-CN"/>
        </w:rPr>
        <w:t>五童坝村</w:t>
      </w:r>
      <w:r>
        <w:rPr>
          <w:rFonts w:hint="default" w:ascii="Times New Roman" w:hAnsi="Times New Roman" w:eastAsia="仿宋_GB2312" w:cs="Times New Roman"/>
          <w:spacing w:val="0"/>
          <w:sz w:val="32"/>
          <w:szCs w:val="32"/>
          <w:shd w:val="clear" w:color="auto" w:fill="auto"/>
        </w:rPr>
        <w:t>，镇党委</w:t>
      </w:r>
      <w:r>
        <w:rPr>
          <w:rFonts w:hint="default" w:ascii="Times New Roman" w:hAnsi="Times New Roman" w:eastAsia="仿宋_GB2312" w:cs="Times New Roman"/>
          <w:spacing w:val="0"/>
          <w:sz w:val="32"/>
          <w:szCs w:val="32"/>
          <w:shd w:val="clear" w:color="auto" w:fill="auto"/>
          <w:lang w:eastAsia="zh-CN"/>
        </w:rPr>
        <w:t>成立专门的领导小组，党政一把手</w:t>
      </w:r>
      <w:r>
        <w:rPr>
          <w:rFonts w:hint="default" w:ascii="Times New Roman" w:hAnsi="Times New Roman" w:eastAsia="仿宋_GB2312" w:cs="Times New Roman"/>
          <w:spacing w:val="0"/>
          <w:sz w:val="32"/>
          <w:szCs w:val="32"/>
          <w:shd w:val="clear" w:color="auto" w:fill="auto"/>
        </w:rPr>
        <w:t>多次深入群众了解民情民意，召开专题会议研究，</w:t>
      </w:r>
      <w:r>
        <w:rPr>
          <w:rFonts w:hint="default" w:ascii="Times New Roman" w:hAnsi="Times New Roman" w:eastAsia="仿宋_GB2312" w:cs="Times New Roman"/>
          <w:spacing w:val="0"/>
          <w:sz w:val="32"/>
          <w:szCs w:val="32"/>
          <w:shd w:val="clear" w:color="auto" w:fill="auto"/>
          <w:lang w:eastAsia="zh-CN"/>
        </w:rPr>
        <w:t>切实</w:t>
      </w:r>
      <w:r>
        <w:rPr>
          <w:rFonts w:hint="default" w:ascii="Times New Roman" w:hAnsi="Times New Roman" w:eastAsia="仿宋_GB2312" w:cs="Times New Roman"/>
          <w:spacing w:val="0"/>
          <w:sz w:val="32"/>
          <w:szCs w:val="32"/>
          <w:shd w:val="clear" w:color="auto" w:fill="auto"/>
        </w:rPr>
        <w:t>加强对</w:t>
      </w:r>
      <w:r>
        <w:rPr>
          <w:rFonts w:hint="default" w:ascii="Times New Roman" w:hAnsi="Times New Roman" w:eastAsia="仿宋_GB2312" w:cs="Times New Roman"/>
          <w:spacing w:val="0"/>
          <w:sz w:val="32"/>
          <w:szCs w:val="32"/>
          <w:shd w:val="clear" w:color="auto" w:fill="auto"/>
          <w:lang w:eastAsia="zh-CN"/>
        </w:rPr>
        <w:t>后进</w:t>
      </w:r>
      <w:r>
        <w:rPr>
          <w:rFonts w:hint="default" w:ascii="Times New Roman" w:hAnsi="Times New Roman" w:eastAsia="仿宋_GB2312" w:cs="Times New Roman"/>
          <w:spacing w:val="0"/>
          <w:sz w:val="32"/>
          <w:szCs w:val="32"/>
          <w:shd w:val="clear" w:color="auto" w:fill="auto"/>
        </w:rPr>
        <w:t>党组织的整</w:t>
      </w:r>
      <w:r>
        <w:rPr>
          <w:rFonts w:hint="default" w:ascii="Times New Roman" w:hAnsi="Times New Roman" w:eastAsia="仿宋_GB2312" w:cs="Times New Roman"/>
          <w:spacing w:val="0"/>
          <w:sz w:val="32"/>
          <w:szCs w:val="32"/>
          <w:shd w:val="clear" w:color="auto" w:fill="auto"/>
          <w:lang w:eastAsia="zh-CN"/>
        </w:rPr>
        <w:t>顿</w:t>
      </w:r>
      <w:r>
        <w:rPr>
          <w:rFonts w:hint="default" w:ascii="Times New Roman" w:hAnsi="Times New Roman" w:eastAsia="仿宋_GB2312" w:cs="Times New Roman"/>
          <w:spacing w:val="0"/>
          <w:sz w:val="32"/>
          <w:szCs w:val="32"/>
          <w:shd w:val="clear" w:color="auto" w:fill="auto"/>
        </w:rPr>
        <w:t>力度</w:t>
      </w:r>
      <w:r>
        <w:rPr>
          <w:rFonts w:hint="default" w:ascii="Times New Roman" w:hAnsi="Times New Roman" w:eastAsia="仿宋_GB2312" w:cs="Times New Roman"/>
          <w:spacing w:val="0"/>
          <w:sz w:val="32"/>
          <w:szCs w:val="32"/>
          <w:shd w:val="clear" w:color="auto" w:fill="auto"/>
          <w:lang w:eastAsia="zh-CN"/>
        </w:rPr>
        <w:t>。通过</w:t>
      </w:r>
      <w:r>
        <w:rPr>
          <w:rFonts w:hint="default" w:ascii="Times New Roman" w:hAnsi="Times New Roman" w:eastAsia="仿宋_GB2312" w:cs="Times New Roman"/>
          <w:spacing w:val="0"/>
          <w:sz w:val="32"/>
          <w:szCs w:val="32"/>
          <w:shd w:val="clear" w:color="auto" w:fill="auto"/>
        </w:rPr>
        <w:t>抓好</w:t>
      </w:r>
      <w:r>
        <w:rPr>
          <w:rFonts w:hint="default" w:ascii="Times New Roman" w:hAnsi="Times New Roman" w:eastAsia="仿宋_GB2312" w:cs="Times New Roman"/>
          <w:spacing w:val="0"/>
          <w:sz w:val="32"/>
          <w:szCs w:val="32"/>
          <w:shd w:val="clear" w:color="auto" w:fill="auto"/>
          <w:lang w:eastAsia="zh-CN"/>
        </w:rPr>
        <w:t>制度</w:t>
      </w:r>
      <w:r>
        <w:rPr>
          <w:rFonts w:hint="default" w:ascii="Times New Roman" w:hAnsi="Times New Roman" w:eastAsia="仿宋_GB2312" w:cs="Times New Roman"/>
          <w:spacing w:val="0"/>
          <w:sz w:val="32"/>
          <w:szCs w:val="32"/>
          <w:shd w:val="clear" w:color="auto" w:fill="auto"/>
        </w:rPr>
        <w:t>建设</w:t>
      </w:r>
      <w:r>
        <w:rPr>
          <w:rFonts w:hint="default" w:ascii="Times New Roman" w:hAnsi="Times New Roman" w:eastAsia="仿宋_GB2312" w:cs="Times New Roman"/>
          <w:spacing w:val="0"/>
          <w:sz w:val="32"/>
          <w:szCs w:val="32"/>
          <w:shd w:val="clear" w:color="auto" w:fill="auto"/>
          <w:lang w:eastAsia="zh-CN"/>
        </w:rPr>
        <w:t>及班子建设，</w:t>
      </w:r>
      <w:r>
        <w:rPr>
          <w:rFonts w:hint="default" w:ascii="Times New Roman" w:hAnsi="Times New Roman" w:eastAsia="仿宋_GB2312" w:cs="Times New Roman"/>
          <w:spacing w:val="0"/>
          <w:sz w:val="32"/>
          <w:szCs w:val="32"/>
          <w:shd w:val="clear" w:color="auto" w:fill="auto"/>
        </w:rPr>
        <w:t>以解决群众关心的问题为突破口，</w:t>
      </w:r>
      <w:r>
        <w:rPr>
          <w:rFonts w:hint="default" w:ascii="Times New Roman" w:hAnsi="Times New Roman" w:eastAsia="仿宋_GB2312" w:cs="Times New Roman"/>
          <w:spacing w:val="0"/>
          <w:sz w:val="32"/>
          <w:szCs w:val="32"/>
          <w:shd w:val="clear" w:color="auto" w:fill="auto"/>
          <w:lang w:eastAsia="zh-CN"/>
        </w:rPr>
        <w:t>积极化解沉积矛盾，切实加强后进党支部整顿。全面完成</w:t>
      </w:r>
      <w:r>
        <w:rPr>
          <w:rFonts w:hint="eastAsia" w:ascii="Times New Roman" w:hAnsi="Times New Roman" w:eastAsia="仿宋_GB2312" w:cs="Times New Roman"/>
          <w:spacing w:val="0"/>
          <w:sz w:val="32"/>
          <w:szCs w:val="32"/>
          <w:shd w:val="clear" w:color="auto" w:fill="auto"/>
          <w:lang w:val="en-US" w:eastAsia="zh-CN"/>
        </w:rPr>
        <w:t>了</w:t>
      </w:r>
      <w:r>
        <w:rPr>
          <w:rFonts w:hint="default" w:ascii="Times New Roman" w:hAnsi="Times New Roman" w:eastAsia="仿宋_GB2312" w:cs="Times New Roman"/>
          <w:spacing w:val="0"/>
          <w:sz w:val="32"/>
          <w:szCs w:val="32"/>
          <w:shd w:val="clear" w:color="auto" w:fill="auto"/>
          <w:lang w:eastAsia="zh-CN"/>
        </w:rPr>
        <w:t>乡镇行政区划和村级建制调整，</w:t>
      </w:r>
      <w:r>
        <w:rPr>
          <w:rFonts w:hint="eastAsia" w:ascii="Times New Roman" w:hAnsi="Times New Roman" w:eastAsia="仿宋_GB2312" w:cs="Times New Roman"/>
          <w:spacing w:val="0"/>
          <w:sz w:val="32"/>
          <w:szCs w:val="32"/>
          <w:shd w:val="clear" w:color="auto" w:fill="auto"/>
          <w:lang w:val="en-US" w:eastAsia="zh-CN"/>
        </w:rPr>
        <w:t>将</w:t>
      </w:r>
      <w:r>
        <w:rPr>
          <w:rFonts w:hint="default" w:ascii="Times New Roman" w:hAnsi="Times New Roman" w:eastAsia="仿宋_GB2312" w:cs="Times New Roman"/>
          <w:spacing w:val="0"/>
          <w:sz w:val="32"/>
          <w:szCs w:val="32"/>
          <w:shd w:val="clear" w:color="auto" w:fill="auto"/>
          <w:lang w:eastAsia="zh-CN"/>
        </w:rPr>
        <w:t>朱元</w:t>
      </w:r>
      <w:r>
        <w:rPr>
          <w:rFonts w:hint="eastAsia" w:ascii="Times New Roman" w:hAnsi="Times New Roman" w:eastAsia="仿宋_GB2312" w:cs="Times New Roman"/>
          <w:spacing w:val="0"/>
          <w:sz w:val="32"/>
          <w:szCs w:val="32"/>
          <w:shd w:val="clear" w:color="auto" w:fill="auto"/>
          <w:lang w:val="en-US" w:eastAsia="zh-CN"/>
        </w:rPr>
        <w:t>乡</w:t>
      </w:r>
      <w:r>
        <w:rPr>
          <w:rFonts w:hint="default" w:ascii="Times New Roman" w:hAnsi="Times New Roman" w:eastAsia="仿宋_GB2312" w:cs="Times New Roman"/>
          <w:spacing w:val="0"/>
          <w:sz w:val="32"/>
          <w:szCs w:val="32"/>
          <w:shd w:val="clear" w:color="auto" w:fill="auto"/>
          <w:lang w:eastAsia="zh-CN"/>
        </w:rPr>
        <w:t>并入</w:t>
      </w:r>
      <w:r>
        <w:rPr>
          <w:rFonts w:hint="eastAsia" w:ascii="Times New Roman" w:hAnsi="Times New Roman" w:eastAsia="仿宋_GB2312" w:cs="Times New Roman"/>
          <w:spacing w:val="0"/>
          <w:sz w:val="32"/>
          <w:szCs w:val="32"/>
          <w:shd w:val="clear" w:color="auto" w:fill="auto"/>
          <w:lang w:val="en-US" w:eastAsia="zh-CN"/>
        </w:rPr>
        <w:t>了</w:t>
      </w:r>
      <w:r>
        <w:rPr>
          <w:rFonts w:hint="default" w:ascii="Times New Roman" w:hAnsi="Times New Roman" w:eastAsia="仿宋_GB2312" w:cs="Times New Roman"/>
          <w:spacing w:val="0"/>
          <w:sz w:val="32"/>
          <w:szCs w:val="32"/>
          <w:shd w:val="clear" w:color="auto" w:fill="auto"/>
          <w:lang w:eastAsia="zh-CN"/>
        </w:rPr>
        <w:t>铁溪</w:t>
      </w:r>
      <w:r>
        <w:rPr>
          <w:rFonts w:hint="eastAsia" w:ascii="Times New Roman" w:hAnsi="Times New Roman" w:eastAsia="仿宋_GB2312" w:cs="Times New Roman"/>
          <w:spacing w:val="0"/>
          <w:sz w:val="32"/>
          <w:szCs w:val="32"/>
          <w:shd w:val="clear" w:color="auto" w:fill="auto"/>
          <w:lang w:val="en-US" w:eastAsia="zh-CN"/>
        </w:rPr>
        <w:t>镇</w:t>
      </w:r>
      <w:r>
        <w:rPr>
          <w:rFonts w:hint="eastAsia" w:ascii="Times New Roman" w:hAnsi="Times New Roman" w:eastAsia="仿宋_GB2312" w:cs="Times New Roman"/>
          <w:spacing w:val="0"/>
          <w:sz w:val="32"/>
          <w:szCs w:val="32"/>
          <w:shd w:val="clear" w:color="auto" w:fill="auto"/>
          <w:lang w:eastAsia="zh-CN"/>
        </w:rPr>
        <w:t>。</w:t>
      </w:r>
      <w:r>
        <w:rPr>
          <w:rFonts w:hint="eastAsia" w:ascii="Times New Roman" w:hAnsi="Times New Roman" w:eastAsia="仿宋_GB2312" w:cs="Times New Roman"/>
          <w:spacing w:val="0"/>
          <w:sz w:val="32"/>
          <w:szCs w:val="32"/>
          <w:shd w:val="clear" w:color="auto" w:fill="auto"/>
          <w:lang w:val="en-US" w:eastAsia="zh-CN"/>
        </w:rPr>
        <w:t>铁溪</w:t>
      </w:r>
      <w:r>
        <w:rPr>
          <w:rFonts w:hint="default" w:ascii="Times New Roman" w:hAnsi="Times New Roman" w:eastAsia="仿宋_GB2312" w:cs="Times New Roman"/>
          <w:spacing w:val="0"/>
          <w:sz w:val="32"/>
          <w:szCs w:val="32"/>
          <w:shd w:val="clear" w:color="auto" w:fill="auto"/>
          <w:lang w:eastAsia="zh-CN"/>
        </w:rPr>
        <w:t>镇下辖11个行政村、2个社区成功挂牌</w:t>
      </w:r>
      <w:r>
        <w:rPr>
          <w:rFonts w:hint="eastAsia"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lang w:eastAsia="zh-CN"/>
        </w:rPr>
        <w:t>由</w:t>
      </w:r>
      <w:r>
        <w:rPr>
          <w:rFonts w:hint="eastAsia" w:ascii="Times New Roman" w:hAnsi="Times New Roman" w:eastAsia="仿宋_GB2312" w:cs="Times New Roman"/>
          <w:spacing w:val="0"/>
          <w:sz w:val="32"/>
          <w:szCs w:val="32"/>
          <w:shd w:val="clear" w:color="auto" w:fill="auto"/>
          <w:lang w:val="en-US" w:eastAsia="zh-CN"/>
        </w:rPr>
        <w:t>原先的</w:t>
      </w:r>
      <w:r>
        <w:rPr>
          <w:rFonts w:hint="default" w:ascii="Times New Roman" w:hAnsi="Times New Roman" w:eastAsia="仿宋_GB2312" w:cs="Times New Roman"/>
          <w:spacing w:val="0"/>
          <w:sz w:val="32"/>
          <w:szCs w:val="32"/>
          <w:shd w:val="clear" w:color="auto" w:fill="auto"/>
          <w:lang w:eastAsia="zh-CN"/>
        </w:rPr>
        <w:t>96个村民小组合并为52个村民小</w:t>
      </w:r>
      <w:r>
        <w:rPr>
          <w:rFonts w:hint="eastAsia" w:ascii="Times New Roman" w:hAnsi="Times New Roman" w:eastAsia="仿宋_GB2312" w:cs="Times New Roman"/>
          <w:spacing w:val="0"/>
          <w:sz w:val="32"/>
          <w:szCs w:val="32"/>
          <w:shd w:val="clear" w:color="auto" w:fill="auto"/>
          <w:lang w:val="en-US" w:eastAsia="zh-CN"/>
        </w:rPr>
        <w:t>组。</w:t>
      </w:r>
      <w:r>
        <w:rPr>
          <w:rFonts w:hint="default" w:ascii="Times New Roman" w:hAnsi="Times New Roman" w:eastAsia="仿宋_GB2312" w:cs="Times New Roman"/>
          <w:spacing w:val="0"/>
          <w:sz w:val="32"/>
          <w:szCs w:val="32"/>
          <w:shd w:val="clear" w:color="auto" w:fill="auto"/>
          <w:lang w:eastAsia="zh-CN"/>
        </w:rPr>
        <w:t>扎实开展村社区“两委”</w:t>
      </w:r>
      <w:r>
        <w:rPr>
          <w:rFonts w:hint="default" w:ascii="Times New Roman" w:hAnsi="Times New Roman" w:eastAsia="仿宋_GB2312" w:cs="Times New Roman"/>
          <w:b w:val="0"/>
          <w:bCs w:val="0"/>
          <w:spacing w:val="0"/>
          <w:sz w:val="32"/>
          <w:szCs w:val="32"/>
          <w:shd w:val="clear" w:color="auto" w:fill="auto"/>
          <w:lang w:eastAsia="zh-CN"/>
        </w:rPr>
        <w:t>换届工作。严格按照换届选举法律法规，动员部署，确保程序规范，过程公开，结果公正。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592" w:firstLineChars="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color w:val="000000"/>
          <w:kern w:val="0"/>
          <w:sz w:val="32"/>
          <w:szCs w:val="32"/>
          <w:lang w:val="en-US" w:eastAsia="zh-CN" w:bidi="ar-SA"/>
        </w:rPr>
        <w:t>着力改进作风建设。</w:t>
      </w:r>
      <w:r>
        <w:rPr>
          <w:rFonts w:hint="default" w:ascii="Times New Roman" w:hAnsi="Times New Roman" w:eastAsia="仿宋_GB2312" w:cs="Times New Roman"/>
          <w:b/>
          <w:bCs/>
          <w:spacing w:val="0"/>
          <w:sz w:val="32"/>
          <w:szCs w:val="32"/>
          <w:shd w:val="clear" w:color="auto" w:fill="auto"/>
          <w:lang w:val="en-US" w:eastAsia="zh-CN"/>
        </w:rPr>
        <w:t>一是</w:t>
      </w:r>
      <w:r>
        <w:rPr>
          <w:rFonts w:hint="default" w:ascii="Times New Roman" w:hAnsi="Times New Roman" w:eastAsia="仿宋_GB2312" w:cs="Times New Roman"/>
          <w:spacing w:val="0"/>
          <w:sz w:val="32"/>
          <w:szCs w:val="32"/>
          <w:shd w:val="clear" w:color="auto" w:fill="auto"/>
          <w:lang w:val="en-US" w:eastAsia="zh-CN"/>
        </w:rPr>
        <w:t>加强领导班子思想政治建设。切实加强学习教育，开展领导班子思想政治建设中心组专题学习，认真落实省委加强班子思想政治建设十项规定。</w:t>
      </w:r>
      <w:r>
        <w:rPr>
          <w:rFonts w:hint="default" w:ascii="Times New Roman" w:hAnsi="Times New Roman" w:eastAsia="仿宋_GB2312" w:cs="Times New Roman"/>
          <w:b/>
          <w:bCs/>
          <w:spacing w:val="0"/>
          <w:sz w:val="32"/>
          <w:szCs w:val="32"/>
          <w:shd w:val="clear" w:color="auto" w:fill="auto"/>
          <w:lang w:val="en-US" w:eastAsia="zh-CN"/>
        </w:rPr>
        <w:t>二是</w:t>
      </w:r>
      <w:r>
        <w:rPr>
          <w:rFonts w:hint="default" w:ascii="Times New Roman" w:hAnsi="Times New Roman" w:eastAsia="仿宋_GB2312" w:cs="Times New Roman"/>
          <w:spacing w:val="0"/>
          <w:sz w:val="32"/>
          <w:szCs w:val="32"/>
          <w:shd w:val="clear" w:color="auto" w:fill="auto"/>
          <w:lang w:val="en-US" w:eastAsia="zh-CN"/>
        </w:rPr>
        <w:t>认真贯彻中央八项规定及省、市、县相关规定，时刻规范自己的言行，强力推进四风突出问题专项整治，解决发生在群众身边“四风”问题2起。</w:t>
      </w:r>
      <w:r>
        <w:rPr>
          <w:rFonts w:hint="default" w:ascii="Times New Roman" w:hAnsi="Times New Roman" w:eastAsia="仿宋_GB2312" w:cs="Times New Roman"/>
          <w:b/>
          <w:bCs/>
          <w:spacing w:val="0"/>
          <w:sz w:val="32"/>
          <w:szCs w:val="32"/>
          <w:shd w:val="clear" w:color="auto" w:fill="auto"/>
          <w:lang w:val="en-US" w:eastAsia="zh-CN"/>
        </w:rPr>
        <w:t>三是</w:t>
      </w:r>
      <w:r>
        <w:rPr>
          <w:rFonts w:hint="default" w:ascii="Times New Roman" w:hAnsi="Times New Roman" w:eastAsia="仿宋_GB2312" w:cs="Times New Roman"/>
          <w:spacing w:val="0"/>
          <w:sz w:val="32"/>
          <w:szCs w:val="32"/>
          <w:shd w:val="clear" w:color="auto" w:fill="auto"/>
          <w:lang w:val="en-US" w:eastAsia="zh-CN"/>
        </w:rPr>
        <w:t>严格党员教育管理。全年共发展党员4名，培养入党积极分子19名。加强党员思想政治教育，建立完善党员学习制度，严格坚持</w:t>
      </w:r>
      <w:r>
        <w:rPr>
          <w:rFonts w:hint="eastAsia" w:eastAsia="仿宋_GB2312" w:cs="Times New Roman"/>
          <w:spacing w:val="0"/>
          <w:sz w:val="32"/>
          <w:szCs w:val="32"/>
          <w:shd w:val="clear" w:color="auto" w:fill="auto"/>
          <w:lang w:val="en-US" w:eastAsia="zh-CN"/>
        </w:rPr>
        <w:t>“</w:t>
      </w:r>
      <w:r>
        <w:rPr>
          <w:rFonts w:hint="default" w:ascii="Times New Roman" w:hAnsi="Times New Roman" w:eastAsia="仿宋_GB2312" w:cs="Times New Roman"/>
          <w:spacing w:val="0"/>
          <w:sz w:val="32"/>
          <w:szCs w:val="32"/>
          <w:shd w:val="clear" w:color="auto" w:fill="auto"/>
          <w:lang w:val="en-US" w:eastAsia="zh-CN"/>
        </w:rPr>
        <w:t>三会一课</w:t>
      </w:r>
      <w:r>
        <w:rPr>
          <w:rFonts w:hint="eastAsia" w:eastAsia="仿宋_GB2312" w:cs="Times New Roman"/>
          <w:spacing w:val="0"/>
          <w:sz w:val="32"/>
          <w:szCs w:val="32"/>
          <w:shd w:val="clear" w:color="auto" w:fill="auto"/>
          <w:lang w:val="en-US" w:eastAsia="zh-CN"/>
        </w:rPr>
        <w:t>”</w:t>
      </w:r>
      <w:r>
        <w:rPr>
          <w:rFonts w:hint="default" w:ascii="Times New Roman" w:hAnsi="Times New Roman" w:eastAsia="仿宋_GB2312" w:cs="Times New Roman"/>
          <w:spacing w:val="0"/>
          <w:sz w:val="32"/>
          <w:szCs w:val="32"/>
          <w:shd w:val="clear" w:color="auto" w:fill="auto"/>
          <w:lang w:val="en-US" w:eastAsia="zh-CN"/>
        </w:rPr>
        <w:t>制度，不定期检查督促各支部党组织生活开展情况。建立流动党员和困难党员台账并适时更新，加强同流动党员的联系，关心帮扶困难党员。按时足额上缴党员党费。</w:t>
      </w:r>
      <w:r>
        <w:rPr>
          <w:rFonts w:hint="default" w:ascii="Times New Roman" w:hAnsi="Times New Roman" w:eastAsia="仿宋_GB2312" w:cs="Times New Roman"/>
          <w:b/>
          <w:bCs/>
          <w:spacing w:val="0"/>
          <w:sz w:val="32"/>
          <w:szCs w:val="32"/>
          <w:shd w:val="clear" w:color="auto" w:fill="auto"/>
          <w:lang w:val="en-US" w:eastAsia="zh-CN"/>
        </w:rPr>
        <w:t>四是</w:t>
      </w:r>
      <w:r>
        <w:rPr>
          <w:rFonts w:hint="default" w:ascii="Times New Roman" w:hAnsi="Times New Roman" w:eastAsia="仿宋_GB2312" w:cs="Times New Roman"/>
          <w:spacing w:val="0"/>
          <w:sz w:val="32"/>
          <w:szCs w:val="32"/>
          <w:shd w:val="clear" w:color="auto" w:fill="auto"/>
          <w:lang w:val="en-US" w:eastAsia="zh-CN"/>
        </w:rPr>
        <w:t>切实加强党风廉政建设，始终把党风廉政建设与我镇的各项工作结合起来，</w:t>
      </w:r>
      <w:r>
        <w:rPr>
          <w:rFonts w:hint="default" w:ascii="Times New Roman" w:hAnsi="Times New Roman" w:eastAsia="仿宋_GB2312" w:cs="Times New Roman"/>
          <w:b w:val="0"/>
          <w:bCs w:val="0"/>
          <w:spacing w:val="0"/>
          <w:sz w:val="32"/>
          <w:szCs w:val="32"/>
          <w:shd w:val="clear" w:color="auto" w:fill="auto"/>
          <w:lang w:val="en-US" w:eastAsia="zh-CN"/>
        </w:rPr>
        <w:t>组织分解党风廉政建设的主要任务，明确班子成员的具体责任及任务要求，主持召开领导班子专题会议10余次，坚持领导信访“赶场接待日”制度，亲自接待群众来访。</w:t>
      </w:r>
      <w:r>
        <w:rPr>
          <w:rFonts w:hint="default" w:ascii="Times New Roman" w:hAnsi="Times New Roman" w:eastAsia="仿宋_GB2312" w:cs="Times New Roman"/>
          <w:spacing w:val="0"/>
          <w:sz w:val="32"/>
          <w:szCs w:val="32"/>
          <w:shd w:val="clear" w:color="auto" w:fill="auto"/>
          <w:lang w:val="en-US" w:eastAsia="zh-CN"/>
        </w:rPr>
        <w:t>坚持重大事项集体讨论研究，广泛听取群众意见，抓好领导干部廉洁自律和依法行政，突出公务接待、车辆使用等环节的监督管理，防止和遏制腐败现象的发生。</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592" w:firstLineChars="0"/>
        <w:jc w:val="both"/>
        <w:textAlignment w:val="auto"/>
        <w:outlineLvl w:val="9"/>
        <w:rPr>
          <w:rFonts w:hint="default" w:ascii="Times New Roman" w:hAnsi="Times New Roman" w:eastAsia="仿宋_GB2312" w:cs="Times New Roman"/>
          <w:b w:val="0"/>
          <w:color w:val="000000"/>
          <w:spacing w:val="0"/>
          <w:sz w:val="32"/>
          <w:szCs w:val="32"/>
          <w:lang w:val="en-US" w:eastAsia="zh-CN"/>
        </w:rPr>
      </w:pPr>
      <w:r>
        <w:rPr>
          <w:rFonts w:hint="default" w:ascii="Times New Roman" w:hAnsi="Times New Roman" w:eastAsia="仿宋_GB2312" w:cs="Times New Roman"/>
          <w:b/>
          <w:bCs/>
          <w:color w:val="000000"/>
          <w:kern w:val="0"/>
          <w:sz w:val="32"/>
          <w:szCs w:val="32"/>
          <w:lang w:val="en-US" w:eastAsia="zh-CN" w:bidi="ar-SA"/>
        </w:rPr>
        <w:t>着力抓好意识形态工作。</w:t>
      </w:r>
      <w:r>
        <w:rPr>
          <w:rFonts w:hint="default" w:ascii="Times New Roman" w:hAnsi="Times New Roman" w:eastAsia="仿宋_GB2312" w:cs="Times New Roman"/>
          <w:b w:val="0"/>
          <w:color w:val="000000"/>
          <w:spacing w:val="0"/>
          <w:sz w:val="32"/>
          <w:szCs w:val="32"/>
          <w:shd w:val="clear" w:color="auto" w:fill="auto"/>
          <w:lang w:val="en-US" w:eastAsia="zh-CN"/>
        </w:rPr>
        <w:t>成立意识形态工作领导小组，制定《2020年度意识形态工作要点》，把意识形态工作纳入领导班子年度民主生活会和工作述职的重要内容。</w:t>
      </w:r>
      <w:r>
        <w:rPr>
          <w:rFonts w:hint="default" w:ascii="Times New Roman" w:hAnsi="Times New Roman" w:eastAsia="仿宋_GB2312" w:cs="Times New Roman"/>
          <w:color w:val="333333"/>
          <w:spacing w:val="0"/>
          <w:kern w:val="0"/>
          <w:sz w:val="32"/>
          <w:szCs w:val="32"/>
          <w:shd w:val="clear" w:color="auto" w:fill="auto"/>
        </w:rPr>
        <w:t>一是深入学习贯彻习近平新时代中国特色社会主义思想、党的十九大精神、十九届四中</w:t>
      </w:r>
      <w:r>
        <w:rPr>
          <w:rFonts w:hint="default" w:ascii="Times New Roman" w:hAnsi="Times New Roman" w:eastAsia="仿宋_GB2312" w:cs="Times New Roman"/>
          <w:color w:val="333333"/>
          <w:spacing w:val="0"/>
          <w:kern w:val="0"/>
          <w:sz w:val="32"/>
          <w:szCs w:val="32"/>
          <w:shd w:val="clear" w:color="auto" w:fill="auto"/>
          <w:lang w:eastAsia="zh-CN"/>
        </w:rPr>
        <w:t>、</w:t>
      </w:r>
      <w:r>
        <w:rPr>
          <w:rFonts w:hint="default" w:ascii="Times New Roman" w:hAnsi="Times New Roman" w:eastAsia="仿宋_GB2312" w:cs="Times New Roman"/>
          <w:color w:val="333333"/>
          <w:spacing w:val="0"/>
          <w:kern w:val="0"/>
          <w:sz w:val="32"/>
          <w:szCs w:val="32"/>
          <w:shd w:val="clear" w:color="auto" w:fill="auto"/>
        </w:rPr>
        <w:t>五中全会精神，全面贯彻落实党中央、省委、市委和</w:t>
      </w:r>
      <w:r>
        <w:rPr>
          <w:rFonts w:hint="default" w:ascii="Times New Roman" w:hAnsi="Times New Roman" w:eastAsia="仿宋_GB2312" w:cs="Times New Roman"/>
          <w:color w:val="333333"/>
          <w:spacing w:val="0"/>
          <w:kern w:val="0"/>
          <w:sz w:val="32"/>
          <w:szCs w:val="32"/>
          <w:shd w:val="clear" w:color="auto" w:fill="auto"/>
          <w:lang w:val="en-US" w:eastAsia="zh-CN"/>
        </w:rPr>
        <w:t>县</w:t>
      </w:r>
      <w:r>
        <w:rPr>
          <w:rFonts w:hint="default" w:ascii="Times New Roman" w:hAnsi="Times New Roman" w:eastAsia="仿宋_GB2312" w:cs="Times New Roman"/>
          <w:color w:val="333333"/>
          <w:spacing w:val="0"/>
          <w:kern w:val="0"/>
          <w:sz w:val="32"/>
          <w:szCs w:val="32"/>
          <w:shd w:val="clear" w:color="auto" w:fill="auto"/>
        </w:rPr>
        <w:t>委关于基层党建工作的各项部署要求，落实基层党建重点任务，着力提高基层党建质量；二是镇党委专题研究党建工作7次，专题研究意识形态工作</w:t>
      </w:r>
      <w:r>
        <w:rPr>
          <w:rFonts w:hint="default" w:ascii="Times New Roman" w:hAnsi="Times New Roman" w:eastAsia="仿宋_GB2312" w:cs="Times New Roman"/>
          <w:color w:val="333333"/>
          <w:spacing w:val="0"/>
          <w:kern w:val="0"/>
          <w:sz w:val="32"/>
          <w:szCs w:val="32"/>
          <w:shd w:val="clear" w:color="auto" w:fill="auto"/>
          <w:lang w:val="en-US" w:eastAsia="zh-CN"/>
        </w:rPr>
        <w:t>4</w:t>
      </w:r>
      <w:r>
        <w:rPr>
          <w:rFonts w:hint="default" w:ascii="Times New Roman" w:hAnsi="Times New Roman" w:eastAsia="仿宋_GB2312" w:cs="Times New Roman"/>
          <w:color w:val="333333"/>
          <w:spacing w:val="0"/>
          <w:kern w:val="0"/>
          <w:sz w:val="32"/>
          <w:szCs w:val="32"/>
          <w:shd w:val="clear" w:color="auto" w:fill="auto"/>
        </w:rPr>
        <w:t>次，开展党建工作专题调研9次，对各村（社区）基层党组织抓党建工作落实情况例行督导6次，听取汇报18次；开展党委中心组学习1</w:t>
      </w:r>
      <w:r>
        <w:rPr>
          <w:rFonts w:hint="default" w:ascii="Times New Roman" w:hAnsi="Times New Roman" w:eastAsia="仿宋_GB2312" w:cs="Times New Roman"/>
          <w:color w:val="333333"/>
          <w:spacing w:val="0"/>
          <w:kern w:val="0"/>
          <w:sz w:val="32"/>
          <w:szCs w:val="32"/>
          <w:shd w:val="clear" w:color="auto" w:fill="auto"/>
          <w:lang w:val="en-US" w:eastAsia="zh-CN"/>
        </w:rPr>
        <w:t>0</w:t>
      </w:r>
      <w:r>
        <w:rPr>
          <w:rFonts w:hint="default" w:ascii="Times New Roman" w:hAnsi="Times New Roman" w:eastAsia="仿宋_GB2312" w:cs="Times New Roman"/>
          <w:color w:val="333333"/>
          <w:spacing w:val="0"/>
          <w:kern w:val="0"/>
          <w:sz w:val="32"/>
          <w:szCs w:val="32"/>
          <w:shd w:val="clear" w:color="auto" w:fill="auto"/>
        </w:rPr>
        <w:t>次，组织镇村两级干部开展意识形态教育培训累计</w:t>
      </w:r>
      <w:r>
        <w:rPr>
          <w:rFonts w:hint="default" w:ascii="Times New Roman" w:hAnsi="Times New Roman" w:eastAsia="仿宋_GB2312" w:cs="Times New Roman"/>
          <w:color w:val="333333"/>
          <w:spacing w:val="0"/>
          <w:kern w:val="0"/>
          <w:sz w:val="32"/>
          <w:szCs w:val="32"/>
          <w:shd w:val="clear" w:color="auto" w:fill="auto"/>
          <w:lang w:val="en-US" w:eastAsia="zh-CN"/>
        </w:rPr>
        <w:t>4</w:t>
      </w:r>
      <w:r>
        <w:rPr>
          <w:rFonts w:hint="default" w:ascii="Times New Roman" w:hAnsi="Times New Roman" w:eastAsia="仿宋_GB2312" w:cs="Times New Roman"/>
          <w:color w:val="333333"/>
          <w:spacing w:val="0"/>
          <w:kern w:val="0"/>
          <w:sz w:val="32"/>
          <w:szCs w:val="32"/>
          <w:shd w:val="clear" w:color="auto" w:fill="auto"/>
        </w:rPr>
        <w:t>次，领导干部带头讲党</w:t>
      </w:r>
      <w:r>
        <w:rPr>
          <w:rFonts w:hint="default" w:ascii="Times New Roman" w:hAnsi="Times New Roman" w:eastAsia="仿宋_GB2312" w:cs="Times New Roman"/>
          <w:color w:val="000000"/>
          <w:spacing w:val="0"/>
          <w:kern w:val="0"/>
          <w:sz w:val="32"/>
          <w:szCs w:val="32"/>
          <w:shd w:val="clear" w:color="auto" w:fill="auto"/>
        </w:rPr>
        <w:t>课</w:t>
      </w:r>
      <w:r>
        <w:rPr>
          <w:rFonts w:hint="default" w:ascii="Times New Roman" w:hAnsi="Times New Roman" w:eastAsia="仿宋_GB2312" w:cs="Times New Roman"/>
          <w:color w:val="000000"/>
          <w:spacing w:val="0"/>
          <w:kern w:val="0"/>
          <w:sz w:val="32"/>
          <w:szCs w:val="32"/>
          <w:shd w:val="clear" w:color="auto" w:fill="auto"/>
          <w:lang w:val="en-US" w:eastAsia="zh-CN"/>
        </w:rPr>
        <w:t>3</w:t>
      </w:r>
      <w:r>
        <w:rPr>
          <w:rFonts w:hint="default" w:ascii="Times New Roman" w:hAnsi="Times New Roman" w:eastAsia="仿宋_GB2312" w:cs="Times New Roman"/>
          <w:color w:val="000000"/>
          <w:spacing w:val="0"/>
          <w:kern w:val="0"/>
          <w:sz w:val="32"/>
          <w:szCs w:val="32"/>
          <w:shd w:val="clear" w:color="auto" w:fill="auto"/>
        </w:rPr>
        <w:t>次，培育壮大青年人才及年轻后备干部12人；三是</w:t>
      </w:r>
      <w:r>
        <w:rPr>
          <w:rFonts w:hint="default" w:ascii="Times New Roman" w:hAnsi="Times New Roman" w:eastAsia="仿宋_GB2312" w:cs="Times New Roman"/>
          <w:b w:val="0"/>
          <w:color w:val="000000"/>
          <w:spacing w:val="0"/>
          <w:sz w:val="32"/>
          <w:szCs w:val="32"/>
          <w:shd w:val="clear" w:color="auto" w:fill="auto"/>
          <w:lang w:val="en-US" w:eastAsia="zh-CN"/>
        </w:rPr>
        <w:t>强化意识形态领域引导和管理，坚守公示栏、黑板报等传统阵地，拓展公众号、微信群、朋友圈等新兴阵地，不断壮大主流思想，镇村干部集中学习意识形态理论知识4次，加强通过“学习强国”APP对意识形态相关内容的学习。四是重点开展社会舆情管控。成立舆情信息员队伍，对群众关心的热点难点问题及时进行解释和引导。</w:t>
      </w:r>
    </w:p>
    <w:p>
      <w:pPr>
        <w:pStyle w:val="2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eastAsia" w:ascii="Times New Roman" w:hAnsi="Times New Roman" w:eastAsia="楷体" w:cs="Times New Roman"/>
          <w:b/>
          <w:bCs/>
          <w:color w:val="000000"/>
          <w:spacing w:val="0"/>
          <w:sz w:val="32"/>
          <w:szCs w:val="32"/>
          <w:shd w:val="clear" w:color="auto" w:fill="auto"/>
          <w:lang w:val="en-US" w:eastAsia="zh-CN"/>
        </w:rPr>
      </w:pPr>
      <w:r>
        <w:rPr>
          <w:rFonts w:hint="eastAsia" w:ascii="Times New Roman" w:hAnsi="Times New Roman" w:eastAsia="楷体" w:cs="Times New Roman"/>
          <w:b/>
          <w:bCs/>
          <w:color w:val="000000"/>
          <w:spacing w:val="0"/>
          <w:sz w:val="32"/>
          <w:szCs w:val="32"/>
          <w:shd w:val="clear" w:color="auto" w:fill="auto"/>
          <w:lang w:val="en-US" w:eastAsia="zh-CN"/>
        </w:rPr>
        <w:t>抓建设促生产</w:t>
      </w:r>
    </w:p>
    <w:p>
      <w:pPr>
        <w:pStyle w:val="2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bCs/>
          <w:color w:val="000000"/>
          <w:kern w:val="0"/>
          <w:sz w:val="32"/>
          <w:szCs w:val="32"/>
          <w:lang w:val="en-US" w:eastAsia="zh-CN"/>
        </w:rPr>
        <w:t>着力抓好集镇建设。</w:t>
      </w:r>
      <w:r>
        <w:rPr>
          <w:rFonts w:hint="default" w:ascii="Times New Roman" w:hAnsi="Times New Roman" w:eastAsia="仿宋_GB2312" w:cs="Times New Roman"/>
          <w:color w:val="000000"/>
          <w:spacing w:val="0"/>
          <w:sz w:val="32"/>
          <w:szCs w:val="32"/>
          <w:shd w:val="clear" w:color="auto" w:fill="auto"/>
        </w:rPr>
        <w:t>通过完善集镇功能，</w:t>
      </w:r>
      <w:r>
        <w:rPr>
          <w:rFonts w:hint="eastAsia" w:ascii="Times New Roman" w:hAnsi="Times New Roman" w:eastAsia="仿宋_GB2312" w:cs="Times New Roman"/>
          <w:color w:val="000000"/>
          <w:spacing w:val="0"/>
          <w:sz w:val="32"/>
          <w:szCs w:val="32"/>
          <w:shd w:val="clear" w:color="auto" w:fill="auto"/>
          <w:lang w:val="en-US" w:eastAsia="zh-CN"/>
        </w:rPr>
        <w:t>提升群众幸福感</w:t>
      </w:r>
      <w:r>
        <w:rPr>
          <w:rFonts w:hint="default" w:ascii="Times New Roman" w:hAnsi="Times New Roman" w:eastAsia="仿宋_GB2312" w:cs="Times New Roman"/>
          <w:color w:val="000000"/>
          <w:spacing w:val="0"/>
          <w:sz w:val="32"/>
          <w:szCs w:val="32"/>
          <w:shd w:val="clear" w:color="auto" w:fill="auto"/>
        </w:rPr>
        <w:t>，</w:t>
      </w:r>
      <w:r>
        <w:rPr>
          <w:rFonts w:hint="default" w:ascii="Times New Roman" w:hAnsi="Times New Roman" w:eastAsia="仿宋_GB2312" w:cs="Times New Roman"/>
          <w:color w:val="000000"/>
          <w:spacing w:val="0"/>
          <w:sz w:val="32"/>
          <w:szCs w:val="32"/>
          <w:shd w:val="clear" w:color="auto" w:fill="auto"/>
          <w:lang w:val="en-US" w:eastAsia="zh-CN"/>
        </w:rPr>
        <w:t>增加了居民的休闲场所，</w:t>
      </w:r>
      <w:r>
        <w:rPr>
          <w:rFonts w:hint="default" w:ascii="Times New Roman" w:hAnsi="Times New Roman" w:eastAsia="仿宋_GB2312" w:cs="Times New Roman"/>
          <w:color w:val="000000"/>
          <w:spacing w:val="0"/>
          <w:sz w:val="32"/>
          <w:szCs w:val="32"/>
          <w:shd w:val="clear" w:color="auto" w:fill="auto"/>
        </w:rPr>
        <w:t>投入</w:t>
      </w:r>
      <w:r>
        <w:rPr>
          <w:rFonts w:hint="default" w:ascii="Times New Roman" w:hAnsi="Times New Roman" w:eastAsia="仿宋_GB2312" w:cs="Times New Roman"/>
          <w:color w:val="000000"/>
          <w:spacing w:val="0"/>
          <w:sz w:val="32"/>
          <w:szCs w:val="32"/>
          <w:shd w:val="clear" w:color="auto" w:fill="auto"/>
          <w:lang w:val="en-US" w:eastAsia="zh-CN"/>
        </w:rPr>
        <w:t>240</w:t>
      </w:r>
      <w:r>
        <w:rPr>
          <w:rFonts w:hint="default" w:ascii="Times New Roman" w:hAnsi="Times New Roman" w:eastAsia="仿宋_GB2312" w:cs="Times New Roman"/>
          <w:color w:val="000000"/>
          <w:spacing w:val="0"/>
          <w:sz w:val="32"/>
          <w:szCs w:val="32"/>
          <w:shd w:val="clear" w:color="auto" w:fill="auto"/>
        </w:rPr>
        <w:t>万元</w:t>
      </w:r>
      <w:r>
        <w:rPr>
          <w:rFonts w:hint="default" w:ascii="Times New Roman" w:hAnsi="Times New Roman" w:eastAsia="仿宋_GB2312" w:cs="Times New Roman"/>
          <w:color w:val="000000"/>
          <w:spacing w:val="0"/>
          <w:sz w:val="32"/>
          <w:szCs w:val="32"/>
          <w:shd w:val="clear" w:color="auto" w:fill="auto"/>
          <w:lang w:val="en-US" w:eastAsia="zh-CN"/>
        </w:rPr>
        <w:t>修建群众足球场（包括绿化、美化、亮化）；</w:t>
      </w:r>
      <w:r>
        <w:rPr>
          <w:rFonts w:hint="default" w:ascii="Times New Roman" w:hAnsi="Times New Roman" w:eastAsia="仿宋_GB2312" w:cs="Times New Roman"/>
          <w:color w:val="000000"/>
          <w:spacing w:val="0"/>
          <w:sz w:val="32"/>
          <w:szCs w:val="32"/>
          <w:shd w:val="clear" w:color="auto" w:fill="auto"/>
        </w:rPr>
        <w:t>投入</w:t>
      </w:r>
      <w:r>
        <w:rPr>
          <w:rFonts w:hint="default" w:ascii="Times New Roman" w:hAnsi="Times New Roman" w:eastAsia="仿宋_GB2312" w:cs="Times New Roman"/>
          <w:color w:val="000000"/>
          <w:spacing w:val="0"/>
          <w:sz w:val="32"/>
          <w:szCs w:val="32"/>
          <w:shd w:val="clear" w:color="auto" w:fill="auto"/>
          <w:lang w:val="en-US" w:eastAsia="zh-CN"/>
        </w:rPr>
        <w:t>近5万元疏通了下街里的下水道和中国电信处的主管网；对集镇弱电进行改造</w:t>
      </w:r>
      <w:r>
        <w:rPr>
          <w:rFonts w:hint="eastAsia" w:ascii="Times New Roman" w:hAnsi="Times New Roman" w:eastAsia="仿宋_GB2312" w:cs="Times New Roman"/>
          <w:color w:val="000000"/>
          <w:spacing w:val="0"/>
          <w:sz w:val="32"/>
          <w:szCs w:val="32"/>
          <w:shd w:val="clear" w:color="auto" w:fill="auto"/>
          <w:lang w:val="en-US" w:eastAsia="zh-CN"/>
        </w:rPr>
        <w:t>。</w:t>
      </w:r>
      <w:r>
        <w:rPr>
          <w:rFonts w:hint="default" w:ascii="Times New Roman" w:hAnsi="Times New Roman" w:eastAsia="仿宋_GB2312" w:cs="Times New Roman"/>
          <w:color w:val="000000"/>
          <w:spacing w:val="0"/>
          <w:sz w:val="32"/>
          <w:szCs w:val="32"/>
          <w:shd w:val="clear" w:color="auto" w:fill="auto"/>
          <w:lang w:val="en-US" w:eastAsia="zh-CN"/>
        </w:rPr>
        <w:t>创昔日铁镇为中心的、繁荣的、辉煌的</w:t>
      </w:r>
      <w:r>
        <w:rPr>
          <w:rFonts w:hint="default" w:ascii="Times New Roman" w:hAnsi="Times New Roman" w:eastAsia="仿宋_GB2312" w:cs="Times New Roman"/>
          <w:color w:val="000000"/>
          <w:spacing w:val="0"/>
          <w:sz w:val="32"/>
          <w:szCs w:val="32"/>
          <w:shd w:val="clear" w:color="auto" w:fill="auto"/>
        </w:rPr>
        <w:t>集镇</w:t>
      </w:r>
      <w:r>
        <w:rPr>
          <w:rFonts w:hint="default" w:ascii="Times New Roman" w:hAnsi="Times New Roman" w:eastAsia="仿宋_GB2312" w:cs="Times New Roman"/>
          <w:color w:val="000000"/>
          <w:spacing w:val="0"/>
          <w:sz w:val="32"/>
          <w:szCs w:val="32"/>
          <w:shd w:val="clear" w:color="auto" w:fill="auto"/>
          <w:lang w:val="en-US" w:eastAsia="zh-CN"/>
        </w:rPr>
        <w:t>更进一步</w:t>
      </w:r>
      <w:r>
        <w:rPr>
          <w:rFonts w:hint="default" w:ascii="Times New Roman" w:hAnsi="Times New Roman" w:eastAsia="仿宋_GB2312" w:cs="Times New Roman"/>
          <w:color w:val="000000"/>
          <w:spacing w:val="0"/>
          <w:sz w:val="32"/>
          <w:szCs w:val="32"/>
          <w:shd w:val="clear" w:color="auto" w:fill="auto"/>
        </w:rPr>
        <w:t>。</w:t>
      </w:r>
    </w:p>
    <w:p>
      <w:pPr>
        <w:pStyle w:val="2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着力抓好“6.20”</w:t>
      </w:r>
      <w:r>
        <w:rPr>
          <w:rFonts w:hint="eastAsia" w:ascii="Times New Roman" w:hAnsi="Times New Roman" w:eastAsia="仿宋_GB2312" w:cs="Times New Roman"/>
          <w:b/>
          <w:bCs/>
          <w:color w:val="000000"/>
          <w:kern w:val="0"/>
          <w:sz w:val="32"/>
          <w:szCs w:val="32"/>
          <w:lang w:val="en-US" w:eastAsia="zh-CN"/>
        </w:rPr>
        <w:t>和</w:t>
      </w:r>
      <w:r>
        <w:rPr>
          <w:rFonts w:hint="default" w:ascii="Times New Roman" w:hAnsi="Times New Roman" w:eastAsia="仿宋_GB2312" w:cs="Times New Roman"/>
          <w:b/>
          <w:bCs/>
          <w:color w:val="000000"/>
          <w:kern w:val="0"/>
          <w:sz w:val="32"/>
          <w:szCs w:val="32"/>
          <w:lang w:val="en-US" w:eastAsia="zh-CN"/>
        </w:rPr>
        <w:t>“6.17”灾后重建。</w:t>
      </w:r>
      <w:r>
        <w:rPr>
          <w:rFonts w:hint="eastAsia" w:ascii="Times New Roman" w:hAnsi="Times New Roman" w:eastAsia="仿宋_GB2312" w:cs="Times New Roman"/>
          <w:b w:val="0"/>
          <w:bCs w:val="0"/>
          <w:color w:val="000000"/>
          <w:spacing w:val="0"/>
          <w:sz w:val="32"/>
          <w:szCs w:val="32"/>
          <w:shd w:val="clear" w:color="auto" w:fill="auto"/>
          <w:lang w:val="en-US" w:eastAsia="zh-CN"/>
        </w:rPr>
        <w:t>洪灾过后我镇狠抓</w:t>
      </w:r>
      <w:r>
        <w:rPr>
          <w:rFonts w:hint="default" w:ascii="Times New Roman" w:hAnsi="Times New Roman" w:eastAsia="仿宋_GB2312" w:cs="Times New Roman"/>
          <w:b w:val="0"/>
          <w:bCs w:val="0"/>
          <w:color w:val="000000"/>
          <w:spacing w:val="0"/>
          <w:sz w:val="32"/>
          <w:szCs w:val="32"/>
          <w:shd w:val="clear" w:color="auto" w:fill="auto"/>
          <w:lang w:val="en-US" w:eastAsia="zh-CN"/>
        </w:rPr>
        <w:t>灾后重建，顺利的</w:t>
      </w:r>
      <w:r>
        <w:rPr>
          <w:rFonts w:hint="eastAsia" w:ascii="Times New Roman" w:hAnsi="Times New Roman" w:eastAsia="仿宋_GB2312" w:cs="Times New Roman"/>
          <w:b w:val="0"/>
          <w:bCs w:val="0"/>
          <w:color w:val="000000"/>
          <w:spacing w:val="0"/>
          <w:sz w:val="32"/>
          <w:szCs w:val="32"/>
          <w:shd w:val="clear" w:color="auto" w:fill="auto"/>
          <w:lang w:val="en-US" w:eastAsia="zh-CN"/>
        </w:rPr>
        <w:t>完成</w:t>
      </w:r>
      <w:r>
        <w:rPr>
          <w:rFonts w:hint="default" w:ascii="Times New Roman" w:hAnsi="Times New Roman" w:eastAsia="仿宋_GB2312" w:cs="Times New Roman"/>
          <w:b w:val="0"/>
          <w:bCs w:val="0"/>
          <w:color w:val="000000"/>
          <w:spacing w:val="0"/>
          <w:sz w:val="32"/>
          <w:szCs w:val="32"/>
          <w:shd w:val="clear" w:color="auto" w:fill="auto"/>
          <w:lang w:val="en-US" w:eastAsia="zh-CN"/>
        </w:rPr>
        <w:t>各项工作</w:t>
      </w:r>
      <w:r>
        <w:rPr>
          <w:rFonts w:hint="eastAsia" w:ascii="Times New Roman" w:hAnsi="Times New Roman" w:eastAsia="仿宋_GB2312" w:cs="Times New Roman"/>
          <w:b w:val="0"/>
          <w:bCs w:val="0"/>
          <w:color w:val="000000"/>
          <w:spacing w:val="0"/>
          <w:sz w:val="32"/>
          <w:szCs w:val="32"/>
          <w:shd w:val="clear" w:color="auto" w:fill="auto"/>
          <w:lang w:val="en-US" w:eastAsia="zh-CN"/>
        </w:rPr>
        <w:t>。一</w:t>
      </w:r>
      <w:r>
        <w:rPr>
          <w:rFonts w:hint="default" w:ascii="Times New Roman" w:hAnsi="Times New Roman" w:eastAsia="仿宋_GB2312" w:cs="Times New Roman"/>
          <w:b w:val="0"/>
          <w:bCs w:val="0"/>
          <w:color w:val="000000"/>
          <w:spacing w:val="0"/>
          <w:sz w:val="32"/>
          <w:szCs w:val="32"/>
          <w:shd w:val="clear" w:color="auto" w:fill="auto"/>
          <w:lang w:val="en-US" w:eastAsia="zh-CN"/>
        </w:rPr>
        <w:t>是“6.20”洪灾后积极争取上级部门的支持。争取了40余万元 资金解决了朱元场镇饮水安全问题。二是“6.17”洪灾后。在道修复路上。修复了桐梓塬村、五童坝村、甑子坝村等为重点村的道路建设，共计预估达3000余万元，特别是以此为契机，拓宽了天里村到村委会的道路、改造了五童坝危桥、修建了槡树坝的高水位车行桥。在安全饮水恢复上。争取上级解决了50余万元资金80千米</w:t>
      </w:r>
      <w:r>
        <w:rPr>
          <w:rFonts w:hint="eastAsia" w:ascii="Times New Roman" w:hAnsi="Times New Roman" w:eastAsia="仿宋_GB2312" w:cs="Times New Roman"/>
          <w:b w:val="0"/>
          <w:bCs w:val="0"/>
          <w:color w:val="000000"/>
          <w:spacing w:val="0"/>
          <w:sz w:val="32"/>
          <w:szCs w:val="32"/>
          <w:shd w:val="clear" w:color="auto" w:fill="auto"/>
          <w:lang w:val="en-US" w:eastAsia="zh-CN"/>
        </w:rPr>
        <w:t>引水管</w:t>
      </w:r>
      <w:r>
        <w:rPr>
          <w:rFonts w:hint="default" w:ascii="Times New Roman" w:hAnsi="Times New Roman" w:eastAsia="仿宋_GB2312" w:cs="Times New Roman"/>
          <w:b w:val="0"/>
          <w:bCs w:val="0"/>
          <w:color w:val="000000"/>
          <w:spacing w:val="0"/>
          <w:sz w:val="32"/>
          <w:szCs w:val="32"/>
          <w:shd w:val="clear" w:color="auto" w:fill="auto"/>
          <w:lang w:val="en-US" w:eastAsia="zh-CN"/>
        </w:rPr>
        <w:t>道，迅速恢复了村（居）民安全饮用水。在河道疏浚上。采取多种方式对甑子坝村、五童坝村2条、桐梓塬村、朱元村、园坝村等重点小流域进行了及时治理，为日后的洪灾预防起到了重要作用。</w:t>
      </w:r>
    </w:p>
    <w:p>
      <w:pPr>
        <w:pStyle w:val="2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着力污水处理厂的建设。</w:t>
      </w:r>
      <w:r>
        <w:rPr>
          <w:rFonts w:hint="default" w:ascii="Times New Roman" w:hAnsi="Times New Roman" w:eastAsia="仿宋_GB2312" w:cs="Times New Roman"/>
          <w:b w:val="0"/>
          <w:bCs w:val="0"/>
          <w:color w:val="000000"/>
          <w:spacing w:val="0"/>
          <w:sz w:val="32"/>
          <w:szCs w:val="32"/>
          <w:shd w:val="clear" w:color="auto" w:fill="auto"/>
          <w:lang w:val="en-US" w:eastAsia="zh-CN"/>
        </w:rPr>
        <w:t>过去场镇污水横流，现还了场镇一片干净。一是迅速恢复污水处理厂建设，并在短短的两个月内完工。以铁溪镇为业主，我们分管领导和环保</w:t>
      </w:r>
      <w:r>
        <w:rPr>
          <w:rFonts w:hint="eastAsia" w:ascii="Times New Roman" w:hAnsi="Times New Roman" w:eastAsia="仿宋_GB2312" w:cs="Times New Roman"/>
          <w:b w:val="0"/>
          <w:bCs w:val="0"/>
          <w:color w:val="000000"/>
          <w:spacing w:val="0"/>
          <w:sz w:val="32"/>
          <w:szCs w:val="32"/>
          <w:shd w:val="clear" w:color="auto" w:fill="auto"/>
          <w:lang w:val="en-US" w:eastAsia="zh-CN"/>
        </w:rPr>
        <w:t>部门</w:t>
      </w:r>
      <w:r>
        <w:rPr>
          <w:rFonts w:hint="default" w:ascii="Times New Roman" w:hAnsi="Times New Roman" w:eastAsia="仿宋_GB2312" w:cs="Times New Roman"/>
          <w:b w:val="0"/>
          <w:bCs w:val="0"/>
          <w:color w:val="000000"/>
          <w:spacing w:val="0"/>
          <w:sz w:val="32"/>
          <w:szCs w:val="32"/>
          <w:shd w:val="clear" w:color="auto" w:fill="auto"/>
          <w:lang w:val="en-US" w:eastAsia="zh-CN"/>
        </w:rPr>
        <w:t>的同志驻点督战，督促建设，赶工期，提质量，解问题。赢得了领导的一致认可和赞许。二是完善污水分管。在无资金的情况下，以社区为主，推动污水</w:t>
      </w:r>
      <w:r>
        <w:rPr>
          <w:rFonts w:hint="eastAsia" w:ascii="Times New Roman" w:hAnsi="Times New Roman" w:eastAsia="仿宋_GB2312" w:cs="Times New Roman"/>
          <w:b w:val="0"/>
          <w:bCs w:val="0"/>
          <w:color w:val="000000"/>
          <w:spacing w:val="0"/>
          <w:sz w:val="32"/>
          <w:szCs w:val="32"/>
          <w:shd w:val="clear" w:color="auto" w:fill="auto"/>
          <w:lang w:val="en-US" w:eastAsia="zh-CN"/>
        </w:rPr>
        <w:t>管网</w:t>
      </w:r>
      <w:r>
        <w:rPr>
          <w:rFonts w:hint="default" w:ascii="Times New Roman" w:hAnsi="Times New Roman" w:eastAsia="仿宋_GB2312" w:cs="Times New Roman"/>
          <w:b w:val="0"/>
          <w:bCs w:val="0"/>
          <w:color w:val="000000"/>
          <w:spacing w:val="0"/>
          <w:sz w:val="32"/>
          <w:szCs w:val="32"/>
          <w:shd w:val="clear" w:color="auto" w:fill="auto"/>
          <w:lang w:val="en-US" w:eastAsia="zh-CN"/>
        </w:rPr>
        <w:t>建设，投资10万余元，基本完成了全镇30%的工程量。</w:t>
      </w:r>
    </w:p>
    <w:p>
      <w:pPr>
        <w:pStyle w:val="27"/>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20" w:lineRule="exact"/>
        <w:ind w:left="0" w:leftChars="0" w:firstLine="643" w:firstLineChars="200"/>
        <w:jc w:val="both"/>
        <w:textAlignment w:val="auto"/>
        <w:rPr>
          <w:rFonts w:hint="eastAsia" w:ascii="Times New Roman" w:hAnsi="Times New Roman" w:eastAsia="楷体" w:cs="Times New Roman"/>
          <w:b/>
          <w:bCs/>
          <w:color w:val="000000"/>
          <w:spacing w:val="0"/>
          <w:sz w:val="32"/>
          <w:szCs w:val="32"/>
          <w:shd w:val="clear" w:color="auto" w:fill="auto"/>
          <w:lang w:val="en-US" w:eastAsia="zh-CN"/>
        </w:rPr>
      </w:pPr>
      <w:r>
        <w:rPr>
          <w:rFonts w:hint="eastAsia" w:ascii="Times New Roman" w:hAnsi="Times New Roman" w:eastAsia="楷体" w:cs="Times New Roman"/>
          <w:b/>
          <w:bCs/>
          <w:color w:val="000000"/>
          <w:spacing w:val="0"/>
          <w:sz w:val="32"/>
          <w:szCs w:val="32"/>
          <w:shd w:val="clear" w:color="auto" w:fill="auto"/>
          <w:lang w:val="en-US" w:eastAsia="zh-CN"/>
        </w:rPr>
        <w:t>民生工程</w:t>
      </w:r>
    </w:p>
    <w:p>
      <w:pPr>
        <w:pStyle w:val="2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Style w:val="28"/>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bCs/>
          <w:color w:val="000000"/>
          <w:spacing w:val="0"/>
          <w:sz w:val="32"/>
          <w:szCs w:val="32"/>
          <w:shd w:val="clear" w:color="auto" w:fill="auto"/>
          <w:lang w:val="en-US" w:eastAsia="zh-CN"/>
        </w:rPr>
        <w:t>着力决战决胜脱贫攻坚。</w:t>
      </w:r>
      <w:r>
        <w:rPr>
          <w:rFonts w:hint="default" w:ascii="Times New Roman" w:hAnsi="Times New Roman" w:eastAsia="仿宋_GB2312" w:cs="Times New Roman"/>
          <w:color w:val="000000"/>
          <w:spacing w:val="0"/>
          <w:sz w:val="32"/>
          <w:szCs w:val="32"/>
          <w:shd w:val="clear" w:color="auto" w:fill="auto"/>
          <w:lang w:val="en-US" w:eastAsia="zh-CN"/>
        </w:rPr>
        <w:t>我镇建档立卡贫困户共有1078户3454人。2020年</w:t>
      </w:r>
      <w:r>
        <w:rPr>
          <w:rFonts w:hint="eastAsia" w:ascii="Times New Roman" w:hAnsi="Times New Roman" w:eastAsia="仿宋_GB2312" w:cs="Times New Roman"/>
          <w:color w:val="000000"/>
          <w:spacing w:val="0"/>
          <w:sz w:val="32"/>
          <w:szCs w:val="32"/>
          <w:shd w:val="clear" w:color="auto" w:fill="auto"/>
          <w:lang w:val="en-US" w:eastAsia="zh-CN"/>
        </w:rPr>
        <w:t>我镇</w:t>
      </w:r>
      <w:r>
        <w:rPr>
          <w:rFonts w:hint="default" w:ascii="Times New Roman" w:hAnsi="Times New Roman" w:eastAsia="仿宋_GB2312" w:cs="Times New Roman"/>
          <w:color w:val="000000"/>
          <w:spacing w:val="0"/>
          <w:sz w:val="32"/>
          <w:szCs w:val="32"/>
          <w:shd w:val="clear" w:color="auto" w:fill="auto"/>
          <w:lang w:val="en-US" w:eastAsia="zh-CN"/>
        </w:rPr>
        <w:t>实现全面脱贫，边缘户</w:t>
      </w:r>
      <w:r>
        <w:rPr>
          <w:rFonts w:hint="eastAsia" w:ascii="Times New Roman" w:hAnsi="Times New Roman" w:eastAsia="仿宋_GB2312" w:cs="Times New Roman"/>
          <w:color w:val="000000"/>
          <w:spacing w:val="0"/>
          <w:sz w:val="32"/>
          <w:szCs w:val="32"/>
          <w:shd w:val="clear" w:color="auto" w:fill="auto"/>
          <w:lang w:val="en-US" w:eastAsia="zh-CN"/>
        </w:rPr>
        <w:t>和</w:t>
      </w:r>
      <w:r>
        <w:rPr>
          <w:rFonts w:hint="default" w:ascii="Times New Roman" w:hAnsi="Times New Roman" w:eastAsia="仿宋_GB2312" w:cs="Times New Roman"/>
          <w:color w:val="000000"/>
          <w:spacing w:val="0"/>
          <w:sz w:val="32"/>
          <w:szCs w:val="32"/>
          <w:shd w:val="clear" w:color="auto" w:fill="auto"/>
          <w:lang w:val="en-US" w:eastAsia="zh-CN"/>
        </w:rPr>
        <w:t>脱贫不稳定户的人均收</w:t>
      </w:r>
      <w:r>
        <w:rPr>
          <w:rFonts w:hint="eastAsia" w:ascii="Times New Roman" w:hAnsi="Times New Roman" w:eastAsia="仿宋_GB2312" w:cs="Times New Roman"/>
          <w:color w:val="000000"/>
          <w:spacing w:val="0"/>
          <w:sz w:val="32"/>
          <w:szCs w:val="32"/>
          <w:shd w:val="clear" w:color="auto" w:fill="auto"/>
          <w:lang w:val="en-US" w:eastAsia="zh-CN"/>
        </w:rPr>
        <w:t>入</w:t>
      </w:r>
      <w:r>
        <w:rPr>
          <w:rFonts w:hint="default" w:ascii="Times New Roman" w:hAnsi="Times New Roman" w:eastAsia="仿宋_GB2312" w:cs="Times New Roman"/>
          <w:color w:val="000000"/>
          <w:spacing w:val="0"/>
          <w:sz w:val="32"/>
          <w:szCs w:val="32"/>
          <w:shd w:val="clear" w:color="auto" w:fill="auto"/>
          <w:lang w:val="en-US" w:eastAsia="zh-CN"/>
        </w:rPr>
        <w:t>达到5000元</w:t>
      </w:r>
      <w:r>
        <w:rPr>
          <w:rFonts w:hint="eastAsia" w:ascii="Times New Roman" w:hAnsi="Times New Roman" w:eastAsia="仿宋_GB2312" w:cs="Times New Roman"/>
          <w:color w:val="000000"/>
          <w:spacing w:val="0"/>
          <w:sz w:val="32"/>
          <w:szCs w:val="32"/>
          <w:shd w:val="clear" w:color="auto" w:fill="auto"/>
          <w:lang w:val="en-US" w:eastAsia="zh-CN"/>
        </w:rPr>
        <w:t>。</w:t>
      </w:r>
      <w:r>
        <w:rPr>
          <w:rFonts w:hint="default" w:ascii="Times New Roman" w:hAnsi="Times New Roman" w:eastAsia="仿宋_GB2312" w:cs="Times New Roman"/>
          <w:color w:val="000000"/>
          <w:spacing w:val="0"/>
          <w:sz w:val="32"/>
          <w:szCs w:val="32"/>
          <w:shd w:val="clear" w:color="auto" w:fill="auto"/>
          <w:lang w:val="en-US" w:eastAsia="zh-CN"/>
        </w:rPr>
        <w:t>中央省市县反馈的问题已全部完成整改销号。部分村</w:t>
      </w:r>
      <w:r>
        <w:rPr>
          <w:rFonts w:hint="eastAsia" w:ascii="Times New Roman" w:hAnsi="Times New Roman" w:eastAsia="仿宋_GB2312" w:cs="Times New Roman"/>
          <w:color w:val="000000"/>
          <w:spacing w:val="0"/>
          <w:sz w:val="32"/>
          <w:szCs w:val="32"/>
          <w:shd w:val="clear" w:color="auto" w:fill="auto"/>
          <w:lang w:val="en-US" w:eastAsia="zh-CN"/>
        </w:rPr>
        <w:t>（居）</w:t>
      </w:r>
      <w:r>
        <w:rPr>
          <w:rFonts w:hint="default" w:ascii="Times New Roman" w:hAnsi="Times New Roman" w:eastAsia="仿宋_GB2312" w:cs="Times New Roman"/>
          <w:color w:val="000000"/>
          <w:spacing w:val="0"/>
          <w:sz w:val="32"/>
          <w:szCs w:val="32"/>
          <w:shd w:val="clear" w:color="auto" w:fill="auto"/>
          <w:lang w:val="en-US" w:eastAsia="zh-CN"/>
        </w:rPr>
        <w:t>创新方式，</w:t>
      </w:r>
      <w:r>
        <w:rPr>
          <w:rFonts w:hint="eastAsia" w:ascii="Times New Roman" w:hAnsi="Times New Roman" w:eastAsia="仿宋_GB2312" w:cs="Times New Roman"/>
          <w:color w:val="000000"/>
          <w:spacing w:val="0"/>
          <w:sz w:val="32"/>
          <w:szCs w:val="32"/>
          <w:shd w:val="clear" w:color="auto" w:fill="auto"/>
          <w:lang w:val="en-US" w:eastAsia="zh-CN"/>
        </w:rPr>
        <w:t>对</w:t>
      </w:r>
      <w:r>
        <w:rPr>
          <w:rFonts w:hint="default" w:ascii="Times New Roman" w:hAnsi="Times New Roman" w:eastAsia="仿宋_GB2312" w:cs="Times New Roman"/>
          <w:color w:val="000000"/>
          <w:spacing w:val="0"/>
          <w:sz w:val="32"/>
          <w:szCs w:val="32"/>
          <w:shd w:val="clear" w:color="auto" w:fill="auto"/>
          <w:lang w:val="en-US" w:eastAsia="zh-CN"/>
        </w:rPr>
        <w:t>贫</w:t>
      </w:r>
      <w:r>
        <w:rPr>
          <w:rFonts w:hint="default" w:ascii="Times New Roman" w:hAnsi="Times New Roman" w:eastAsia="仿宋_GB2312" w:cs="Times New Roman"/>
          <w:color w:val="000000"/>
          <w:spacing w:val="0"/>
          <w:sz w:val="32"/>
          <w:szCs w:val="32"/>
          <w:shd w:val="clear" w:color="auto" w:fill="auto"/>
        </w:rPr>
        <w:t>困户“爱心超市”积分每月进行评定及兑换。</w:t>
      </w:r>
      <w:r>
        <w:rPr>
          <w:rFonts w:hint="default" w:ascii="Times New Roman" w:hAnsi="Times New Roman" w:eastAsia="仿宋_GB2312" w:cs="Times New Roman"/>
          <w:color w:val="000000"/>
          <w:spacing w:val="0"/>
          <w:sz w:val="32"/>
          <w:szCs w:val="32"/>
          <w:shd w:val="clear" w:color="auto" w:fill="auto"/>
          <w:lang w:val="en-US" w:eastAsia="zh-CN"/>
        </w:rPr>
        <w:t>顺利迎接了国家省市县的各类检查。特别是去年7至8月的省内交叉检查，在干部和群众的努力下，顺利完成，并赢得检查组的一致认可。脱贫攻坚得到圆满收官。</w:t>
      </w:r>
    </w:p>
    <w:p>
      <w:pPr>
        <w:pStyle w:val="2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bCs/>
          <w:color w:val="000000"/>
          <w:spacing w:val="0"/>
          <w:sz w:val="32"/>
          <w:szCs w:val="32"/>
          <w:shd w:val="clear" w:color="auto" w:fill="auto"/>
          <w:lang w:val="en-US" w:eastAsia="zh-CN"/>
        </w:rPr>
        <w:t>着力人口普查工作推进。</w:t>
      </w:r>
      <w:r>
        <w:rPr>
          <w:rStyle w:val="28"/>
          <w:rFonts w:hint="default" w:ascii="Times New Roman" w:hAnsi="Times New Roman" w:eastAsia="仿宋_GB2312" w:cs="Times New Roman"/>
          <w:b w:val="0"/>
          <w:bCs w:val="0"/>
          <w:color w:val="000000"/>
          <w:spacing w:val="0"/>
          <w:sz w:val="32"/>
          <w:szCs w:val="32"/>
          <w:shd w:val="clear" w:color="auto" w:fill="auto"/>
          <w:lang w:val="en-US" w:eastAsia="zh-CN"/>
        </w:rPr>
        <w:t>自2020年9</w:t>
      </w:r>
      <w:r>
        <w:rPr>
          <w:rFonts w:hint="default" w:ascii="Times New Roman" w:hAnsi="Times New Roman" w:eastAsia="仿宋_GB2312" w:cs="Times New Roman"/>
          <w:color w:val="000000"/>
          <w:spacing w:val="0"/>
          <w:sz w:val="32"/>
          <w:szCs w:val="32"/>
          <w:shd w:val="clear" w:color="auto" w:fill="auto"/>
        </w:rPr>
        <w:t>月第七次全国人口普查启动以来，我镇高度重视，选聘指导员、普查员</w:t>
      </w:r>
      <w:r>
        <w:rPr>
          <w:rFonts w:hint="default" w:ascii="Times New Roman" w:hAnsi="Times New Roman" w:eastAsia="仿宋_GB2312" w:cs="Times New Roman"/>
          <w:color w:val="000000"/>
          <w:spacing w:val="0"/>
          <w:sz w:val="32"/>
          <w:szCs w:val="32"/>
          <w:shd w:val="clear" w:color="auto" w:fill="auto"/>
          <w:lang w:val="en-US" w:eastAsia="zh-CN"/>
        </w:rPr>
        <w:t>67</w:t>
      </w:r>
      <w:r>
        <w:rPr>
          <w:rFonts w:hint="default" w:ascii="Times New Roman" w:hAnsi="Times New Roman" w:eastAsia="仿宋_GB2312" w:cs="Times New Roman"/>
          <w:color w:val="000000"/>
          <w:spacing w:val="0"/>
          <w:sz w:val="32"/>
          <w:szCs w:val="32"/>
          <w:shd w:val="clear" w:color="auto" w:fill="auto"/>
        </w:rPr>
        <w:t>名，召开了2期所有指导员、普查员参加业务培训班。</w:t>
      </w:r>
      <w:r>
        <w:rPr>
          <w:rFonts w:hint="default" w:ascii="Times New Roman" w:hAnsi="Times New Roman" w:eastAsia="仿宋_GB2312" w:cs="Times New Roman"/>
          <w:color w:val="000000"/>
          <w:spacing w:val="0"/>
          <w:sz w:val="32"/>
          <w:szCs w:val="32"/>
          <w:shd w:val="clear" w:color="auto" w:fill="auto"/>
          <w:lang w:val="en-US" w:eastAsia="zh-CN"/>
        </w:rPr>
        <w:t>大约</w:t>
      </w:r>
      <w:r>
        <w:rPr>
          <w:rFonts w:hint="default" w:ascii="Times New Roman" w:hAnsi="Times New Roman" w:eastAsia="仿宋_GB2312" w:cs="Times New Roman"/>
          <w:color w:val="000000"/>
          <w:spacing w:val="0"/>
          <w:sz w:val="32"/>
          <w:szCs w:val="32"/>
          <w:shd w:val="clear" w:color="auto" w:fill="auto"/>
        </w:rPr>
        <w:t>完成了</w:t>
      </w:r>
      <w:r>
        <w:rPr>
          <w:rFonts w:hint="default" w:ascii="Times New Roman" w:hAnsi="Times New Roman" w:eastAsia="仿宋_GB2312" w:cs="Times New Roman"/>
          <w:color w:val="000000"/>
          <w:spacing w:val="0"/>
          <w:sz w:val="32"/>
          <w:szCs w:val="32"/>
          <w:shd w:val="clear" w:color="auto" w:fill="auto"/>
          <w:lang w:val="en-US" w:eastAsia="zh-CN"/>
        </w:rPr>
        <w:t>4500</w:t>
      </w:r>
      <w:r>
        <w:rPr>
          <w:rFonts w:hint="default" w:ascii="Times New Roman" w:hAnsi="Times New Roman" w:eastAsia="仿宋_GB2312" w:cs="Times New Roman"/>
          <w:color w:val="000000"/>
          <w:spacing w:val="0"/>
          <w:sz w:val="32"/>
          <w:szCs w:val="32"/>
          <w:shd w:val="clear" w:color="auto" w:fill="auto"/>
        </w:rPr>
        <w:t>个建筑物标绘、</w:t>
      </w:r>
      <w:r>
        <w:rPr>
          <w:rFonts w:hint="default" w:ascii="Times New Roman" w:hAnsi="Times New Roman" w:eastAsia="仿宋_GB2312" w:cs="Times New Roman"/>
          <w:color w:val="000000"/>
          <w:spacing w:val="0"/>
          <w:sz w:val="32"/>
          <w:szCs w:val="32"/>
          <w:shd w:val="clear" w:color="auto" w:fill="auto"/>
          <w:lang w:val="en-US" w:eastAsia="zh-CN"/>
        </w:rPr>
        <w:t>69</w:t>
      </w:r>
      <w:r>
        <w:rPr>
          <w:rFonts w:hint="default" w:ascii="Times New Roman" w:hAnsi="Times New Roman" w:eastAsia="仿宋_GB2312" w:cs="Times New Roman"/>
          <w:color w:val="000000"/>
          <w:spacing w:val="0"/>
          <w:sz w:val="32"/>
          <w:szCs w:val="32"/>
          <w:shd w:val="clear" w:color="auto" w:fill="auto"/>
        </w:rPr>
        <w:t>个普查小区划定工作，</w:t>
      </w:r>
      <w:r>
        <w:rPr>
          <w:rFonts w:hint="default" w:ascii="Times New Roman" w:hAnsi="Times New Roman" w:eastAsia="仿宋_GB2312" w:cs="Times New Roman"/>
          <w:color w:val="000000"/>
          <w:spacing w:val="0"/>
          <w:sz w:val="32"/>
          <w:szCs w:val="32"/>
          <w:shd w:val="clear" w:color="auto" w:fill="auto"/>
          <w:lang w:val="en-US" w:eastAsia="zh-CN"/>
        </w:rPr>
        <w:t>9</w:t>
      </w:r>
      <w:r>
        <w:rPr>
          <w:rFonts w:hint="default" w:ascii="Times New Roman" w:hAnsi="Times New Roman" w:eastAsia="仿宋_GB2312" w:cs="Times New Roman"/>
          <w:color w:val="000000"/>
          <w:spacing w:val="0"/>
          <w:sz w:val="32"/>
          <w:szCs w:val="32"/>
          <w:shd w:val="clear" w:color="auto" w:fill="auto"/>
        </w:rPr>
        <w:t>月</w:t>
      </w:r>
      <w:r>
        <w:rPr>
          <w:rFonts w:hint="default" w:ascii="Times New Roman" w:hAnsi="Times New Roman" w:eastAsia="仿宋_GB2312" w:cs="Times New Roman"/>
          <w:color w:val="000000"/>
          <w:spacing w:val="0"/>
          <w:sz w:val="32"/>
          <w:szCs w:val="32"/>
          <w:shd w:val="clear" w:color="auto" w:fill="auto"/>
          <w:lang w:val="en-US" w:eastAsia="zh-CN"/>
        </w:rPr>
        <w:t>中旬</w:t>
      </w:r>
      <w:r>
        <w:rPr>
          <w:rFonts w:hint="default" w:ascii="Times New Roman" w:hAnsi="Times New Roman" w:eastAsia="仿宋_GB2312" w:cs="Times New Roman"/>
          <w:color w:val="000000"/>
          <w:spacing w:val="0"/>
          <w:sz w:val="32"/>
          <w:szCs w:val="32"/>
          <w:shd w:val="clear" w:color="auto" w:fill="auto"/>
        </w:rPr>
        <w:t>开始入户调查摸底，共摸底</w:t>
      </w:r>
      <w:r>
        <w:rPr>
          <w:rFonts w:hint="default" w:ascii="Times New Roman" w:hAnsi="Times New Roman" w:eastAsia="仿宋_GB2312" w:cs="Times New Roman"/>
          <w:color w:val="000000"/>
          <w:spacing w:val="0"/>
          <w:sz w:val="32"/>
          <w:szCs w:val="32"/>
          <w:shd w:val="clear" w:color="auto" w:fill="auto"/>
          <w:lang w:val="en-US" w:eastAsia="zh-CN"/>
        </w:rPr>
        <w:t>12726</w:t>
      </w:r>
      <w:r>
        <w:rPr>
          <w:rFonts w:hint="default" w:ascii="Times New Roman" w:hAnsi="Times New Roman" w:eastAsia="仿宋_GB2312" w:cs="Times New Roman"/>
          <w:color w:val="000000"/>
          <w:spacing w:val="0"/>
          <w:sz w:val="32"/>
          <w:szCs w:val="32"/>
          <w:shd w:val="clear" w:color="auto" w:fill="auto"/>
        </w:rPr>
        <w:t>户、</w:t>
      </w:r>
      <w:r>
        <w:rPr>
          <w:rFonts w:hint="default" w:ascii="Times New Roman" w:hAnsi="Times New Roman" w:eastAsia="仿宋_GB2312" w:cs="Times New Roman"/>
          <w:color w:val="000000"/>
          <w:spacing w:val="0"/>
          <w:sz w:val="32"/>
          <w:szCs w:val="32"/>
          <w:shd w:val="clear" w:color="auto" w:fill="auto"/>
          <w:lang w:val="en-US" w:eastAsia="zh-CN"/>
        </w:rPr>
        <w:t>登记人数21106</w:t>
      </w:r>
      <w:r>
        <w:rPr>
          <w:rFonts w:hint="default" w:ascii="Times New Roman" w:hAnsi="Times New Roman" w:eastAsia="仿宋_GB2312" w:cs="Times New Roman"/>
          <w:color w:val="000000"/>
          <w:spacing w:val="0"/>
          <w:sz w:val="32"/>
          <w:szCs w:val="32"/>
          <w:shd w:val="clear" w:color="auto" w:fill="auto"/>
        </w:rPr>
        <w:t>人，</w:t>
      </w:r>
      <w:r>
        <w:rPr>
          <w:rFonts w:hint="default" w:ascii="Times New Roman" w:hAnsi="Times New Roman" w:eastAsia="仿宋_GB2312" w:cs="Times New Roman"/>
          <w:color w:val="000000"/>
          <w:spacing w:val="0"/>
          <w:sz w:val="32"/>
          <w:szCs w:val="32"/>
          <w:shd w:val="clear" w:color="auto" w:fill="auto"/>
          <w:lang w:val="en-US" w:eastAsia="zh-CN"/>
        </w:rPr>
        <w:t>户籍人数为16899人，10月12日</w:t>
      </w:r>
      <w:r>
        <w:rPr>
          <w:rFonts w:hint="default" w:ascii="Times New Roman" w:hAnsi="Times New Roman" w:eastAsia="仿宋_GB2312" w:cs="Times New Roman"/>
          <w:color w:val="000000"/>
          <w:spacing w:val="0"/>
          <w:sz w:val="32"/>
          <w:szCs w:val="32"/>
          <w:shd w:val="clear" w:color="auto" w:fill="auto"/>
        </w:rPr>
        <w:t>底完成了户主姓名底册登记工作，11月</w:t>
      </w:r>
      <w:r>
        <w:rPr>
          <w:rFonts w:hint="default" w:ascii="Times New Roman" w:hAnsi="Times New Roman" w:eastAsia="仿宋_GB2312" w:cs="Times New Roman"/>
          <w:color w:val="000000"/>
          <w:spacing w:val="0"/>
          <w:sz w:val="32"/>
          <w:szCs w:val="32"/>
          <w:shd w:val="clear" w:color="auto" w:fill="auto"/>
          <w:lang w:val="en-US" w:eastAsia="zh-CN"/>
        </w:rPr>
        <w:t>底</w:t>
      </w:r>
      <w:r>
        <w:rPr>
          <w:rFonts w:hint="default" w:ascii="Times New Roman" w:hAnsi="Times New Roman" w:eastAsia="仿宋_GB2312" w:cs="Times New Roman"/>
          <w:color w:val="000000"/>
          <w:spacing w:val="0"/>
          <w:sz w:val="32"/>
          <w:szCs w:val="32"/>
          <w:shd w:val="clear" w:color="auto" w:fill="auto"/>
        </w:rPr>
        <w:t>全部完成登记工作。</w:t>
      </w:r>
    </w:p>
    <w:p>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Times New Roman" w:hAnsi="Times New Roman" w:eastAsia="仿宋_GB2312" w:cs="Times New Roman"/>
          <w:b w:val="0"/>
          <w:bCs w:val="0"/>
          <w:color w:val="000000"/>
          <w:spacing w:val="0"/>
          <w:sz w:val="32"/>
          <w:szCs w:val="32"/>
          <w:lang w:val="en-US" w:eastAsia="zh-CN"/>
        </w:rPr>
      </w:pPr>
    </w:p>
    <w:p>
      <w:pPr>
        <w:pStyle w:val="2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楷体" w:cs="Times New Roman"/>
          <w:b/>
          <w:bCs/>
          <w:color w:val="000000"/>
          <w:spacing w:val="0"/>
          <w:sz w:val="32"/>
          <w:szCs w:val="32"/>
          <w:lang w:eastAsia="zh-CN"/>
        </w:rPr>
      </w:pPr>
      <w:r>
        <w:rPr>
          <w:rFonts w:hint="eastAsia" w:ascii="Times New Roman" w:hAnsi="Times New Roman" w:eastAsia="楷体" w:cs="Times New Roman"/>
          <w:b/>
          <w:bCs/>
          <w:color w:val="000000"/>
          <w:spacing w:val="0"/>
          <w:sz w:val="32"/>
          <w:szCs w:val="32"/>
          <w:shd w:val="clear" w:color="auto" w:fill="auto"/>
          <w:lang w:val="en-US" w:eastAsia="zh-CN"/>
        </w:rPr>
        <w:t>4.</w:t>
      </w:r>
      <w:r>
        <w:rPr>
          <w:rFonts w:hint="default" w:ascii="Times New Roman" w:hAnsi="Times New Roman" w:eastAsia="楷体" w:cs="Times New Roman"/>
          <w:b/>
          <w:bCs/>
          <w:color w:val="000000"/>
          <w:spacing w:val="0"/>
          <w:sz w:val="32"/>
          <w:szCs w:val="32"/>
          <w:shd w:val="clear" w:color="auto" w:fill="auto"/>
        </w:rPr>
        <w:t>以环境卫生为抓手，打造秀美</w:t>
      </w:r>
      <w:r>
        <w:rPr>
          <w:rFonts w:hint="default" w:ascii="Times New Roman" w:hAnsi="Times New Roman" w:eastAsia="楷体" w:cs="Times New Roman"/>
          <w:b/>
          <w:bCs/>
          <w:color w:val="000000"/>
          <w:spacing w:val="0"/>
          <w:sz w:val="32"/>
          <w:szCs w:val="32"/>
          <w:shd w:val="clear" w:color="auto" w:fill="auto"/>
          <w:lang w:eastAsia="zh-CN"/>
        </w:rPr>
        <w:t>铁溪。</w:t>
      </w:r>
    </w:p>
    <w:p>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全力打好“三大”攻坚战（防范化解重大风险、精准脱贫、污染防治）。</w:t>
      </w:r>
    </w:p>
    <w:p>
      <w:pPr>
        <w:pStyle w:val="2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color w:val="000000"/>
          <w:spacing w:val="0"/>
          <w:sz w:val="32"/>
          <w:szCs w:val="32"/>
        </w:rPr>
      </w:pPr>
      <w:r>
        <w:rPr>
          <w:rStyle w:val="28"/>
          <w:rFonts w:hint="default" w:ascii="Times New Roman" w:hAnsi="Times New Roman" w:eastAsia="仿宋_GB2312" w:cs="Times New Roman"/>
          <w:color w:val="000000"/>
          <w:spacing w:val="0"/>
          <w:sz w:val="32"/>
          <w:szCs w:val="32"/>
          <w:shd w:val="clear" w:color="auto" w:fill="auto"/>
          <w:lang w:val="en-US" w:eastAsia="zh-CN"/>
        </w:rPr>
        <w:t>2</w:t>
      </w:r>
      <w:r>
        <w:rPr>
          <w:rFonts w:hint="default" w:ascii="Times New Roman" w:hAnsi="Times New Roman" w:eastAsia="仿宋_GB2312" w:cs="Times New Roman"/>
          <w:b w:val="0"/>
          <w:bCs w:val="0"/>
          <w:sz w:val="32"/>
          <w:szCs w:val="32"/>
          <w:lang w:val="en-US" w:eastAsia="zh-CN"/>
        </w:rPr>
        <w:t>020年全镇疫情排查累计4882户，13268人；</w:t>
      </w:r>
      <w:r>
        <w:rPr>
          <w:rFonts w:hint="default" w:ascii="Times New Roman" w:hAnsi="Times New Roman" w:eastAsia="仿宋_GB2312" w:cs="Times New Roman"/>
          <w:color w:val="000000"/>
          <w:kern w:val="0"/>
          <w:sz w:val="32"/>
          <w:szCs w:val="32"/>
          <w:lang w:val="en-US" w:eastAsia="zh-CN"/>
        </w:rPr>
        <w:t>全镇共排查出涉湖北、深圳、温州、广州、重庆、北京、新疆等地“四类人员”共计572人次，其中国外返乡人员4人，老挝返回3人，多米尼加返回1人。石家庄、邢台、廊坊等重点地区返乡12人；春运（2021年1月28日）以来返乡人员共计228人；</w:t>
      </w:r>
      <w:r>
        <w:rPr>
          <w:rFonts w:hint="default" w:ascii="Times New Roman" w:hAnsi="Times New Roman" w:eastAsia="仿宋_GB2312" w:cs="Times New Roman"/>
          <w:b w:val="0"/>
          <w:bCs w:val="0"/>
          <w:sz w:val="32"/>
          <w:szCs w:val="32"/>
          <w:lang w:val="en-US" w:eastAsia="zh-CN"/>
        </w:rPr>
        <w:t>设卡口（封堵）20个，医学留验站1个；共出动排查人员368人（包含党员干部，志愿者）；宣传车19个，标语60余幅，村村响18个，发各类宣传资料12000余份，各类板报，微信等；每天定时开展消毒消杀工作，成立应急分队1个（共18人）。</w:t>
      </w:r>
      <w:r>
        <w:rPr>
          <w:rFonts w:hint="default" w:ascii="Times New Roman" w:hAnsi="Times New Roman" w:eastAsia="仿宋_GB2312" w:cs="Times New Roman"/>
          <w:color w:val="000000"/>
          <w:spacing w:val="0"/>
          <w:sz w:val="32"/>
          <w:szCs w:val="32"/>
          <w:shd w:val="clear" w:color="auto" w:fill="auto"/>
        </w:rPr>
        <w:t>严格按照上级要求做好集中隔离、核酸检测和隔离结束后健康监测等工作。坚持“疫情防控、复工复产”两手抓</w:t>
      </w:r>
      <w:r>
        <w:rPr>
          <w:rFonts w:hint="eastAsia"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rPr>
        <w:t>制定《</w:t>
      </w:r>
      <w:r>
        <w:rPr>
          <w:rFonts w:hint="default" w:ascii="Times New Roman" w:hAnsi="Times New Roman" w:eastAsia="仿宋_GB2312" w:cs="Times New Roman"/>
          <w:color w:val="000000"/>
          <w:spacing w:val="0"/>
          <w:sz w:val="32"/>
          <w:szCs w:val="32"/>
          <w:shd w:val="clear" w:color="auto" w:fill="auto"/>
          <w:lang w:eastAsia="zh-CN"/>
        </w:rPr>
        <w:t>铁溪</w:t>
      </w:r>
      <w:r>
        <w:rPr>
          <w:rFonts w:hint="default" w:ascii="Times New Roman" w:hAnsi="Times New Roman" w:eastAsia="仿宋_GB2312" w:cs="Times New Roman"/>
          <w:color w:val="000000"/>
          <w:spacing w:val="0"/>
          <w:sz w:val="32"/>
          <w:szCs w:val="32"/>
          <w:shd w:val="clear" w:color="auto" w:fill="auto"/>
        </w:rPr>
        <w:t>镇班子成员驻企挂点制度》，督促班子成员常态化联系挂点企业，班子成员“一对一”驻企，实实在在</w:t>
      </w:r>
      <w:r>
        <w:rPr>
          <w:rFonts w:hint="eastAsia" w:ascii="Times New Roman" w:hAnsi="Times New Roman" w:eastAsia="仿宋_GB2312" w:cs="Times New Roman"/>
          <w:color w:val="000000"/>
          <w:spacing w:val="0"/>
          <w:sz w:val="32"/>
          <w:szCs w:val="32"/>
          <w:shd w:val="clear" w:color="auto" w:fill="auto"/>
          <w:lang w:val="en-US" w:eastAsia="zh-CN"/>
        </w:rPr>
        <w:t>地</w:t>
      </w:r>
      <w:r>
        <w:rPr>
          <w:rFonts w:hint="default" w:ascii="Times New Roman" w:hAnsi="Times New Roman" w:eastAsia="仿宋_GB2312" w:cs="Times New Roman"/>
          <w:color w:val="000000"/>
          <w:spacing w:val="0"/>
          <w:sz w:val="32"/>
          <w:szCs w:val="32"/>
          <w:shd w:val="clear" w:color="auto" w:fill="auto"/>
        </w:rPr>
        <w:t>为企业解决实际困难，助力精准复工。顺应疫情防控常态化特点，仍继续坚持“外防输入、内防反弹”总体防控策略，科学准确分析研判疫情形势走向，坚持严防死守、精准防治。</w:t>
      </w:r>
    </w:p>
    <w:p>
      <w:pPr>
        <w:pStyle w:val="2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color w:val="000000"/>
          <w:spacing w:val="0"/>
          <w:sz w:val="32"/>
          <w:szCs w:val="32"/>
          <w:lang w:val="en-US"/>
        </w:rPr>
      </w:pPr>
      <w:r>
        <w:rPr>
          <w:rFonts w:hint="default" w:ascii="Times New Roman" w:hAnsi="Times New Roman" w:eastAsia="仿宋_GB2312" w:cs="Times New Roman"/>
          <w:b/>
          <w:bCs/>
          <w:color w:val="000000"/>
          <w:kern w:val="0"/>
          <w:sz w:val="32"/>
          <w:szCs w:val="32"/>
          <w:lang w:val="en-US" w:eastAsia="zh-CN"/>
        </w:rPr>
        <w:t>着力抓好环境综合整治。</w:t>
      </w:r>
      <w:r>
        <w:rPr>
          <w:rFonts w:hint="default" w:ascii="Times New Roman" w:hAnsi="Times New Roman" w:eastAsia="仿宋_GB2312" w:cs="Times New Roman"/>
          <w:color w:val="000000"/>
          <w:spacing w:val="0"/>
          <w:sz w:val="32"/>
          <w:szCs w:val="32"/>
          <w:shd w:val="clear" w:color="auto" w:fill="auto"/>
        </w:rPr>
        <w:t>开展路域环境整治，重点整治了集镇路段乱搭乱建、乱停乱放、乱立标牌、占道经营、随意摆放摊位、占用公共区域等情况</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特别</w:t>
      </w:r>
      <w:r>
        <w:rPr>
          <w:rFonts w:hint="eastAsia" w:ascii="Times New Roman" w:hAnsi="Times New Roman" w:eastAsia="仿宋_GB2312" w:cs="Times New Roman"/>
          <w:color w:val="000000"/>
          <w:spacing w:val="0"/>
          <w:sz w:val="32"/>
          <w:szCs w:val="32"/>
          <w:shd w:val="clear" w:color="auto" w:fill="auto"/>
          <w:lang w:val="en-US" w:eastAsia="zh-CN"/>
        </w:rPr>
        <w:t>是</w:t>
      </w:r>
      <w:r>
        <w:rPr>
          <w:rFonts w:hint="default" w:ascii="Times New Roman" w:hAnsi="Times New Roman" w:eastAsia="仿宋_GB2312" w:cs="Times New Roman"/>
          <w:color w:val="000000"/>
          <w:spacing w:val="0"/>
          <w:sz w:val="32"/>
          <w:szCs w:val="32"/>
          <w:shd w:val="clear" w:color="auto" w:fill="auto"/>
          <w:lang w:val="en-US" w:eastAsia="zh-CN"/>
        </w:rPr>
        <w:t>冉家坝社区从年初采取强有力的措施重拳出击，收到了良好的效果；</w:t>
      </w:r>
      <w:r>
        <w:rPr>
          <w:rFonts w:hint="default" w:ascii="Times New Roman" w:hAnsi="Times New Roman" w:eastAsia="仿宋_GB2312" w:cs="Times New Roman"/>
          <w:color w:val="000000"/>
          <w:spacing w:val="0"/>
          <w:sz w:val="32"/>
          <w:szCs w:val="32"/>
          <w:shd w:val="clear" w:color="auto" w:fill="auto"/>
        </w:rPr>
        <w:t>2020年度，</w:t>
      </w:r>
      <w:r>
        <w:rPr>
          <w:rFonts w:hint="default" w:ascii="Times New Roman" w:hAnsi="Times New Roman" w:eastAsia="仿宋_GB2312" w:cs="Times New Roman"/>
          <w:color w:val="000000"/>
          <w:spacing w:val="0"/>
          <w:sz w:val="32"/>
          <w:szCs w:val="32"/>
          <w:shd w:val="clear" w:color="auto" w:fill="auto"/>
          <w:lang w:val="en-US" w:eastAsia="zh-CN"/>
        </w:rPr>
        <w:t>农村卫生厕所得到全覆盖；通过脱贫攻坚，全镇农村的人居环境得到了有力的改善。</w:t>
      </w:r>
    </w:p>
    <w:p>
      <w:pPr>
        <w:pStyle w:val="2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楷体" w:cs="Times New Roman"/>
          <w:b/>
          <w:bCs/>
          <w:color w:val="000000"/>
          <w:spacing w:val="0"/>
          <w:sz w:val="32"/>
          <w:szCs w:val="32"/>
          <w:lang w:eastAsia="zh-CN"/>
        </w:rPr>
      </w:pPr>
      <w:r>
        <w:rPr>
          <w:rFonts w:hint="eastAsia" w:ascii="Times New Roman" w:hAnsi="Times New Roman" w:eastAsia="楷体" w:cs="Times New Roman"/>
          <w:b/>
          <w:bCs/>
          <w:color w:val="000000"/>
          <w:spacing w:val="0"/>
          <w:sz w:val="32"/>
          <w:szCs w:val="32"/>
          <w:shd w:val="clear" w:color="auto" w:fill="auto"/>
          <w:lang w:val="en-US" w:eastAsia="zh-CN"/>
        </w:rPr>
        <w:t>5.社会治理</w:t>
      </w:r>
    </w:p>
    <w:p>
      <w:pPr>
        <w:pStyle w:val="2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bCs/>
          <w:color w:val="000000"/>
          <w:kern w:val="0"/>
          <w:sz w:val="32"/>
          <w:szCs w:val="32"/>
          <w:lang w:val="en-US" w:eastAsia="zh-CN"/>
        </w:rPr>
        <w:t>着力社会综合治理。</w:t>
      </w:r>
      <w:r>
        <w:rPr>
          <w:rFonts w:hint="default" w:ascii="Times New Roman" w:hAnsi="Times New Roman" w:eastAsia="仿宋_GB2312" w:cs="Times New Roman"/>
          <w:color w:val="000000"/>
          <w:spacing w:val="0"/>
          <w:sz w:val="32"/>
          <w:szCs w:val="32"/>
          <w:shd w:val="clear" w:color="auto" w:fill="auto"/>
        </w:rPr>
        <w:t>一是务实高效，保持综治维稳好局面。全年处理矛盾纠纷 300余件，其中网上信访受理信访件共147件，已办理147件，接待群众来访20余次，矛盾纠纷排查49件，目前46件已协调处理到位，还有2件未处理到位，已交办驻村领导跟踪处理。积极开展“抓源头、清存量、控增量、防风险”信访突出问题专项治理活动，完成上级信访部门交办件11件，至今还有1</w:t>
      </w:r>
      <w:r>
        <w:rPr>
          <w:rFonts w:hint="eastAsia" w:ascii="Times New Roman" w:hAnsi="Times New Roman" w:eastAsia="仿宋_GB2312" w:cs="Times New Roman"/>
          <w:color w:val="000000"/>
          <w:spacing w:val="0"/>
          <w:sz w:val="32"/>
          <w:szCs w:val="32"/>
          <w:shd w:val="clear" w:color="auto" w:fill="auto"/>
          <w:lang w:eastAsia="zh-CN"/>
        </w:rPr>
        <w:t>件</w:t>
      </w:r>
      <w:r>
        <w:rPr>
          <w:rFonts w:hint="default" w:ascii="Times New Roman" w:hAnsi="Times New Roman" w:eastAsia="仿宋_GB2312" w:cs="Times New Roman"/>
          <w:color w:val="000000"/>
          <w:spacing w:val="0"/>
          <w:sz w:val="32"/>
          <w:szCs w:val="32"/>
          <w:shd w:val="clear" w:color="auto" w:fill="auto"/>
        </w:rPr>
        <w:t>未处理到位，完成率90%以上 。镇村开展综治信访集中宣传活动7次，发放宣传资料1万多份，党政主要领导和分管领导开展了赶场日接访活动，社会满意度评价得到大大的提升，干群的认可度得到了大大的</w:t>
      </w:r>
      <w:r>
        <w:rPr>
          <w:rFonts w:hint="eastAsia" w:ascii="Times New Roman" w:hAnsi="Times New Roman" w:eastAsia="仿宋_GB2312" w:cs="Times New Roman"/>
          <w:color w:val="000000"/>
          <w:spacing w:val="0"/>
          <w:sz w:val="32"/>
          <w:szCs w:val="32"/>
          <w:shd w:val="clear" w:color="auto" w:fill="auto"/>
          <w:lang w:eastAsia="zh-CN"/>
        </w:rPr>
        <w:t>改</w:t>
      </w:r>
      <w:r>
        <w:rPr>
          <w:rFonts w:hint="default" w:ascii="Times New Roman" w:hAnsi="Times New Roman" w:eastAsia="仿宋_GB2312" w:cs="Times New Roman"/>
          <w:color w:val="000000"/>
          <w:spacing w:val="0"/>
          <w:sz w:val="32"/>
          <w:szCs w:val="32"/>
          <w:shd w:val="clear" w:color="auto" w:fill="auto"/>
        </w:rPr>
        <w:t>观，有效</w:t>
      </w:r>
      <w:r>
        <w:rPr>
          <w:rFonts w:hint="eastAsia" w:ascii="Times New Roman" w:hAnsi="Times New Roman" w:eastAsia="仿宋_GB2312" w:cs="Times New Roman"/>
          <w:color w:val="000000"/>
          <w:spacing w:val="0"/>
          <w:sz w:val="32"/>
          <w:szCs w:val="32"/>
          <w:shd w:val="clear" w:color="auto" w:fill="auto"/>
          <w:lang w:val="en-US" w:eastAsia="zh-CN"/>
        </w:rPr>
        <w:t>地</w:t>
      </w:r>
      <w:r>
        <w:rPr>
          <w:rFonts w:hint="default" w:ascii="Times New Roman" w:hAnsi="Times New Roman" w:eastAsia="仿宋_GB2312" w:cs="Times New Roman"/>
          <w:color w:val="000000"/>
          <w:spacing w:val="0"/>
          <w:sz w:val="32"/>
          <w:szCs w:val="32"/>
          <w:shd w:val="clear" w:color="auto" w:fill="auto"/>
        </w:rPr>
        <w:t>促进了社会和谐稳定。</w:t>
      </w:r>
    </w:p>
    <w:p>
      <w:pPr>
        <w:pStyle w:val="2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default" w:ascii="Times New Roman" w:hAnsi="Times New Roman" w:eastAsia="仿宋" w:cs="Times New Roman"/>
          <w:color w:val="000000"/>
          <w:spacing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着力安全生产管控。</w:t>
      </w:r>
      <w:r>
        <w:rPr>
          <w:rFonts w:hint="default" w:ascii="Times New Roman" w:hAnsi="Times New Roman" w:eastAsia="仿宋_GB2312" w:cs="Times New Roman"/>
          <w:color w:val="000000"/>
          <w:spacing w:val="0"/>
          <w:sz w:val="32"/>
          <w:szCs w:val="32"/>
          <w:shd w:val="clear" w:color="auto" w:fill="auto"/>
        </w:rPr>
        <w:t>积极扎实开展“安全生产月”和“安全生产万里行”活动。签</w:t>
      </w:r>
      <w:r>
        <w:rPr>
          <w:rFonts w:hint="eastAsia" w:ascii="Times New Roman" w:hAnsi="Times New Roman" w:eastAsia="仿宋_GB2312" w:cs="Times New Roman"/>
          <w:color w:val="000000"/>
          <w:spacing w:val="0"/>
          <w:sz w:val="32"/>
          <w:szCs w:val="32"/>
          <w:shd w:val="clear" w:color="auto" w:fill="auto"/>
          <w:lang w:val="en-US" w:eastAsia="zh-CN"/>
        </w:rPr>
        <w:t>订</w:t>
      </w:r>
      <w:r>
        <w:rPr>
          <w:rFonts w:hint="default" w:ascii="Times New Roman" w:hAnsi="Times New Roman" w:eastAsia="仿宋_GB2312" w:cs="Times New Roman"/>
          <w:color w:val="000000"/>
          <w:spacing w:val="0"/>
          <w:sz w:val="32"/>
          <w:szCs w:val="32"/>
          <w:shd w:val="clear" w:color="auto" w:fill="auto"/>
        </w:rPr>
        <w:t>安全生产责任书40余份，巡查200余人次</w:t>
      </w:r>
      <w:r>
        <w:rPr>
          <w:rFonts w:hint="eastAsia" w:ascii="Times New Roman" w:hAnsi="Times New Roman" w:eastAsia="仿宋_GB2312" w:cs="Times New Roman"/>
          <w:color w:val="000000"/>
          <w:spacing w:val="0"/>
          <w:sz w:val="32"/>
          <w:szCs w:val="32"/>
          <w:shd w:val="clear" w:color="auto" w:fill="auto"/>
          <w:lang w:val="en-US" w:eastAsia="zh-CN"/>
        </w:rPr>
        <w:t>。</w:t>
      </w:r>
      <w:r>
        <w:rPr>
          <w:rFonts w:hint="default" w:ascii="Times New Roman" w:hAnsi="Times New Roman" w:eastAsia="仿宋_GB2312" w:cs="Times New Roman"/>
          <w:color w:val="000000"/>
          <w:spacing w:val="0"/>
          <w:sz w:val="32"/>
          <w:szCs w:val="32"/>
          <w:shd w:val="clear" w:color="auto" w:fill="auto"/>
          <w:lang w:val="en-US" w:eastAsia="zh-CN"/>
        </w:rPr>
        <w:t>去年关闭了30余个井硐，有</w:t>
      </w:r>
      <w:r>
        <w:rPr>
          <w:rFonts w:hint="eastAsia" w:ascii="Times New Roman" w:hAnsi="Times New Roman" w:eastAsia="仿宋_GB2312" w:cs="Times New Roman"/>
          <w:color w:val="000000"/>
          <w:spacing w:val="0"/>
          <w:sz w:val="32"/>
          <w:szCs w:val="32"/>
          <w:shd w:val="clear" w:color="auto" w:fill="auto"/>
          <w:lang w:val="en-US" w:eastAsia="zh-CN"/>
        </w:rPr>
        <w:t>力地</w:t>
      </w:r>
      <w:r>
        <w:rPr>
          <w:rFonts w:hint="default" w:ascii="Times New Roman" w:hAnsi="Times New Roman" w:eastAsia="仿宋_GB2312" w:cs="Times New Roman"/>
          <w:color w:val="000000"/>
          <w:spacing w:val="0"/>
          <w:sz w:val="32"/>
          <w:szCs w:val="32"/>
          <w:shd w:val="clear" w:color="auto" w:fill="auto"/>
          <w:lang w:val="en-US" w:eastAsia="zh-CN"/>
        </w:rPr>
        <w:t>整治了矿山和非煤矿山，切实减轻了安全生产压力；</w:t>
      </w:r>
      <w:r>
        <w:rPr>
          <w:rFonts w:hint="default" w:ascii="Times New Roman" w:hAnsi="Times New Roman" w:eastAsia="仿宋_GB2312" w:cs="Times New Roman"/>
          <w:color w:val="000000"/>
          <w:spacing w:val="0"/>
          <w:sz w:val="32"/>
          <w:szCs w:val="32"/>
          <w:shd w:val="clear" w:color="auto" w:fill="auto"/>
        </w:rPr>
        <w:t>认真做好森林防</w:t>
      </w:r>
      <w:r>
        <w:rPr>
          <w:rFonts w:hint="default" w:ascii="Times New Roman" w:hAnsi="Times New Roman" w:eastAsia="仿宋_GB2312" w:cs="Times New Roman"/>
          <w:color w:val="000000"/>
          <w:spacing w:val="0"/>
          <w:sz w:val="32"/>
          <w:szCs w:val="32"/>
          <w:shd w:val="clear" w:color="auto" w:fill="auto"/>
          <w:lang w:val="en-US" w:eastAsia="zh-CN"/>
        </w:rPr>
        <w:t>灭</w:t>
      </w:r>
      <w:r>
        <w:rPr>
          <w:rFonts w:hint="default" w:ascii="Times New Roman" w:hAnsi="Times New Roman" w:eastAsia="仿宋_GB2312" w:cs="Times New Roman"/>
          <w:color w:val="000000"/>
          <w:spacing w:val="0"/>
          <w:sz w:val="32"/>
          <w:szCs w:val="32"/>
          <w:shd w:val="clear" w:color="auto" w:fill="auto"/>
        </w:rPr>
        <w:t>火</w:t>
      </w:r>
      <w:r>
        <w:rPr>
          <w:rFonts w:hint="default" w:ascii="Times New Roman" w:hAnsi="Times New Roman" w:eastAsia="仿宋_GB2312" w:cs="Times New Roman"/>
          <w:color w:val="000000"/>
          <w:spacing w:val="0"/>
          <w:sz w:val="32"/>
          <w:szCs w:val="32"/>
          <w:shd w:val="clear" w:color="auto" w:fill="auto"/>
          <w:lang w:val="en-US" w:eastAsia="zh-CN"/>
        </w:rPr>
        <w:t>和一氧化碳中毒</w:t>
      </w:r>
      <w:r>
        <w:rPr>
          <w:rFonts w:hint="default" w:ascii="Times New Roman" w:hAnsi="Times New Roman" w:eastAsia="仿宋_GB2312" w:cs="Times New Roman"/>
          <w:color w:val="000000"/>
          <w:spacing w:val="0"/>
          <w:sz w:val="32"/>
          <w:szCs w:val="32"/>
          <w:shd w:val="clear" w:color="auto" w:fill="auto"/>
        </w:rPr>
        <w:t>工作</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rPr>
        <w:t>认真做好食品安全工作，完善食品安全监管网络</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加大了交通运输领域的安全整治；进一步完善了安全生产管理机制和制度</w:t>
      </w:r>
      <w:r>
        <w:rPr>
          <w:rFonts w:hint="eastAsia" w:ascii="Times New Roman" w:hAnsi="Times New Roman" w:eastAsia="仿宋_GB2312" w:cs="Times New Roman"/>
          <w:color w:val="000000"/>
          <w:spacing w:val="0"/>
          <w:sz w:val="32"/>
          <w:szCs w:val="32"/>
          <w:shd w:val="clear" w:color="auto" w:fill="auto"/>
          <w:lang w:val="en-US" w:eastAsia="zh-CN"/>
        </w:rPr>
        <w:t>。</w:t>
      </w:r>
    </w:p>
    <w:p>
      <w:pPr>
        <w:pStyle w:val="27"/>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20" w:lineRule="exact"/>
        <w:ind w:left="0" w:firstLine="643" w:firstLineChars="200"/>
        <w:jc w:val="both"/>
        <w:textAlignment w:val="auto"/>
        <w:rPr>
          <w:rFonts w:hint="eastAsia" w:ascii="Times New Roman" w:hAnsi="Times New Roman" w:eastAsia="楷体" w:cs="Times New Roman"/>
          <w:b/>
          <w:bCs/>
          <w:color w:val="000000"/>
          <w:spacing w:val="0"/>
          <w:sz w:val="32"/>
          <w:szCs w:val="32"/>
          <w:shd w:val="clear" w:color="auto" w:fill="auto"/>
          <w:lang w:val="en-US" w:eastAsia="zh-CN"/>
        </w:rPr>
      </w:pPr>
      <w:r>
        <w:rPr>
          <w:rFonts w:hint="eastAsia" w:ascii="Times New Roman" w:hAnsi="Times New Roman" w:eastAsia="楷体" w:cs="Times New Roman"/>
          <w:b/>
          <w:bCs/>
          <w:color w:val="000000"/>
          <w:spacing w:val="0"/>
          <w:sz w:val="32"/>
          <w:szCs w:val="32"/>
          <w:shd w:val="clear" w:color="auto" w:fill="auto"/>
          <w:lang w:val="en-US" w:eastAsia="zh-CN"/>
        </w:rPr>
        <w:t>深化改革</w:t>
      </w:r>
    </w:p>
    <w:p>
      <w:pPr>
        <w:pStyle w:val="27"/>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 w:hAnsi="仿宋" w:eastAsia="仿宋" w:cs="Times New Roman"/>
          <w:bCs/>
          <w:color w:val="000000"/>
          <w:sz w:val="32"/>
          <w:szCs w:val="32"/>
          <w:lang w:eastAsia="zh-CN"/>
        </w:rPr>
      </w:pPr>
      <w:r>
        <w:rPr>
          <w:rFonts w:hint="default" w:ascii="Times New Roman" w:hAnsi="Times New Roman" w:eastAsia="仿宋_GB2312" w:cs="Times New Roman"/>
          <w:b w:val="0"/>
          <w:bCs w:val="0"/>
          <w:color w:val="000000"/>
          <w:spacing w:val="0"/>
          <w:sz w:val="32"/>
          <w:szCs w:val="32"/>
          <w:shd w:val="clear" w:color="auto" w:fill="auto"/>
          <w:lang w:val="en-US" w:eastAsia="zh-CN"/>
        </w:rPr>
        <w:t>向改革要动力是经济社会发展的必然要素。2020年，在行政区划调整、村级整建制合并和社会合并上。在村（社区）换届和“书记主任一肩挑”上。在各级干部群众的努力下，全镇无一例信访，干部迅速得到融合，群众迅速得到适应，支部顺利完成换届。在肯定成绩的同时，我们也清醒地认识到，当前我镇经济社会发展还</w:t>
      </w:r>
      <w:r>
        <w:rPr>
          <w:rFonts w:hint="eastAsia" w:eastAsia="仿宋_GB2312" w:cs="Times New Roman"/>
          <w:b w:val="0"/>
          <w:bCs w:val="0"/>
          <w:color w:val="000000"/>
          <w:spacing w:val="0"/>
          <w:sz w:val="32"/>
          <w:szCs w:val="32"/>
          <w:shd w:val="clear" w:color="auto" w:fill="auto"/>
          <w:lang w:val="en-US" w:eastAsia="zh-CN"/>
        </w:rPr>
        <w:t>存</w:t>
      </w:r>
      <w:r>
        <w:rPr>
          <w:rFonts w:hint="default" w:ascii="Times New Roman" w:hAnsi="Times New Roman" w:eastAsia="仿宋_GB2312" w:cs="Times New Roman"/>
          <w:b w:val="0"/>
          <w:bCs w:val="0"/>
          <w:color w:val="000000"/>
          <w:spacing w:val="0"/>
          <w:sz w:val="32"/>
          <w:szCs w:val="32"/>
          <w:shd w:val="clear" w:color="auto" w:fill="auto"/>
          <w:lang w:val="en-US" w:eastAsia="zh-CN"/>
        </w:rPr>
        <w:t>在一些不容忽视的突出问题，</w:t>
      </w:r>
      <w:r>
        <w:rPr>
          <w:rFonts w:hint="default" w:ascii="Times New Roman" w:hAnsi="Times New Roman" w:eastAsia="仿宋_GB2312" w:cs="Times New Roman"/>
          <w:b/>
          <w:bCs/>
          <w:color w:val="000000"/>
          <w:spacing w:val="0"/>
          <w:sz w:val="32"/>
          <w:szCs w:val="32"/>
          <w:shd w:val="clear" w:color="auto" w:fill="auto"/>
          <w:lang w:val="en-US" w:eastAsia="zh-CN"/>
        </w:rPr>
        <w:t>一是经济发展质量不高，方向迷茫。</w:t>
      </w:r>
      <w:r>
        <w:rPr>
          <w:rFonts w:hint="default" w:ascii="Times New Roman" w:hAnsi="Times New Roman" w:eastAsia="仿宋_GB2312" w:cs="Times New Roman"/>
          <w:color w:val="000000"/>
          <w:spacing w:val="0"/>
          <w:sz w:val="32"/>
          <w:szCs w:val="32"/>
          <w:shd w:val="clear" w:color="auto" w:fill="auto"/>
        </w:rPr>
        <w:t>经济结构不尽合理，支柱产业少，招</w:t>
      </w:r>
      <w:r>
        <w:rPr>
          <w:rFonts w:hint="default" w:ascii="Times New Roman" w:hAnsi="Times New Roman" w:eastAsia="仿宋_GB2312" w:cs="Times New Roman"/>
          <w:color w:val="000000"/>
          <w:spacing w:val="0"/>
          <w:sz w:val="32"/>
          <w:szCs w:val="32"/>
          <w:shd w:val="clear" w:color="auto" w:fill="auto"/>
          <w:lang w:val="en-US" w:eastAsia="zh-CN"/>
        </w:rPr>
        <w:t>商引资力度</w:t>
      </w:r>
      <w:r>
        <w:rPr>
          <w:rFonts w:hint="default" w:ascii="Times New Roman" w:hAnsi="Times New Roman" w:eastAsia="仿宋_GB2312" w:cs="Times New Roman"/>
          <w:color w:val="000000"/>
          <w:spacing w:val="0"/>
          <w:sz w:val="32"/>
          <w:szCs w:val="32"/>
          <w:shd w:val="clear" w:color="auto" w:fill="auto"/>
        </w:rPr>
        <w:t>不够</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项目推动乏力，非税收入税源少或者说几乎没有</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 w:cs="Times New Roman"/>
          <w:b/>
          <w:bCs/>
          <w:color w:val="000000"/>
          <w:spacing w:val="0"/>
          <w:sz w:val="32"/>
          <w:szCs w:val="32"/>
          <w:shd w:val="clear" w:color="auto" w:fill="auto"/>
          <w:lang w:eastAsia="zh-CN"/>
        </w:rPr>
        <w:t>二是</w:t>
      </w:r>
      <w:r>
        <w:rPr>
          <w:rStyle w:val="28"/>
          <w:rFonts w:hint="default" w:ascii="Times New Roman" w:hAnsi="Times New Roman" w:eastAsia="仿宋" w:cs="Times New Roman"/>
          <w:b/>
          <w:bCs/>
          <w:color w:val="000000"/>
          <w:spacing w:val="0"/>
          <w:sz w:val="32"/>
          <w:szCs w:val="32"/>
          <w:shd w:val="clear" w:color="auto" w:fill="auto"/>
        </w:rPr>
        <w:t>村级集体经济基础薄弱。</w:t>
      </w:r>
      <w:r>
        <w:rPr>
          <w:rFonts w:hint="default" w:ascii="Times New Roman" w:hAnsi="Times New Roman" w:eastAsia="仿宋_GB2312" w:cs="Times New Roman"/>
          <w:color w:val="000000"/>
          <w:spacing w:val="0"/>
          <w:sz w:val="32"/>
          <w:szCs w:val="32"/>
          <w:shd w:val="clear" w:color="auto" w:fill="auto"/>
        </w:rPr>
        <w:t>村级集体经济组织不够强，产业发展较慢，专业技术人员少，资金不够到位，经营管理有待提升。</w:t>
      </w:r>
      <w:r>
        <w:rPr>
          <w:rStyle w:val="28"/>
          <w:rFonts w:hint="default" w:ascii="Times New Roman" w:hAnsi="Times New Roman" w:eastAsia="仿宋" w:cs="Times New Roman"/>
          <w:b/>
          <w:bCs/>
          <w:color w:val="000000"/>
          <w:spacing w:val="0"/>
          <w:sz w:val="32"/>
          <w:szCs w:val="32"/>
          <w:shd w:val="clear" w:color="auto" w:fill="auto"/>
          <w:lang w:eastAsia="zh-CN"/>
        </w:rPr>
        <w:t>三是集镇</w:t>
      </w:r>
      <w:r>
        <w:rPr>
          <w:rFonts w:hint="default" w:ascii="Times New Roman" w:hAnsi="Times New Roman" w:eastAsia="仿宋" w:cs="Times New Roman"/>
          <w:b/>
          <w:bCs/>
          <w:color w:val="000000"/>
          <w:spacing w:val="0"/>
          <w:sz w:val="32"/>
          <w:szCs w:val="32"/>
          <w:shd w:val="clear" w:color="auto" w:fill="auto"/>
          <w:lang w:eastAsia="zh-CN"/>
        </w:rPr>
        <w:t>建设</w:t>
      </w:r>
      <w:r>
        <w:rPr>
          <w:rFonts w:hint="eastAsia" w:eastAsia="仿宋" w:cs="Times New Roman"/>
          <w:b/>
          <w:bCs/>
          <w:color w:val="000000"/>
          <w:spacing w:val="0"/>
          <w:sz w:val="32"/>
          <w:szCs w:val="32"/>
          <w:shd w:val="clear" w:color="auto" w:fill="auto"/>
          <w:lang w:val="en-US" w:eastAsia="zh-CN"/>
        </w:rPr>
        <w:t>有</w:t>
      </w:r>
      <w:r>
        <w:rPr>
          <w:rFonts w:hint="default" w:ascii="Times New Roman" w:hAnsi="Times New Roman" w:eastAsia="仿宋" w:cs="Times New Roman"/>
          <w:b/>
          <w:bCs/>
          <w:color w:val="000000"/>
          <w:spacing w:val="0"/>
          <w:sz w:val="32"/>
          <w:szCs w:val="32"/>
          <w:shd w:val="clear" w:color="auto" w:fill="auto"/>
          <w:lang w:eastAsia="zh-CN"/>
        </w:rPr>
        <w:t>待提升</w:t>
      </w:r>
      <w:r>
        <w:rPr>
          <w:rFonts w:hint="eastAsia" w:eastAsia="仿宋" w:cs="Times New Roman"/>
          <w:b/>
          <w:bCs/>
          <w:color w:val="000000"/>
          <w:spacing w:val="0"/>
          <w:sz w:val="32"/>
          <w:szCs w:val="32"/>
          <w:shd w:val="clear" w:color="auto" w:fill="auto"/>
          <w:lang w:eastAsia="zh-CN"/>
        </w:rPr>
        <w:t>。</w:t>
      </w:r>
      <w:r>
        <w:rPr>
          <w:rFonts w:hint="eastAsia" w:ascii="Times New Roman" w:hAnsi="Times New Roman" w:eastAsia="仿宋_GB2312" w:cs="Times New Roman"/>
          <w:color w:val="000000"/>
          <w:spacing w:val="0"/>
          <w:sz w:val="32"/>
          <w:szCs w:val="32"/>
          <w:shd w:val="clear" w:color="auto" w:fill="auto"/>
          <w:lang w:val="en-US" w:eastAsia="zh-CN"/>
        </w:rPr>
        <w:t>场</w:t>
      </w:r>
      <w:r>
        <w:rPr>
          <w:rFonts w:hint="default" w:ascii="Times New Roman" w:hAnsi="Times New Roman" w:eastAsia="仿宋_GB2312" w:cs="Times New Roman"/>
          <w:color w:val="000000"/>
          <w:spacing w:val="0"/>
          <w:sz w:val="32"/>
          <w:szCs w:val="32"/>
          <w:shd w:val="clear" w:color="auto" w:fill="auto"/>
        </w:rPr>
        <w:t>镇设施不够完善，功能化、</w:t>
      </w:r>
      <w:r>
        <w:rPr>
          <w:rFonts w:hint="default" w:ascii="Times New Roman" w:hAnsi="Times New Roman" w:eastAsia="仿宋_GB2312" w:cs="Times New Roman"/>
          <w:color w:val="000000"/>
          <w:spacing w:val="0"/>
          <w:sz w:val="32"/>
          <w:szCs w:val="32"/>
          <w:shd w:val="clear" w:color="auto" w:fill="auto"/>
          <w:lang w:val="en-US" w:eastAsia="zh-CN"/>
        </w:rPr>
        <w:t>场镇配套不完善</w:t>
      </w:r>
      <w:r>
        <w:rPr>
          <w:rFonts w:hint="default" w:ascii="Times New Roman" w:hAnsi="Times New Roman" w:eastAsia="仿宋_GB2312" w:cs="Times New Roman"/>
          <w:color w:val="000000"/>
          <w:spacing w:val="0"/>
          <w:sz w:val="32"/>
          <w:szCs w:val="32"/>
          <w:shd w:val="clear" w:color="auto" w:fill="auto"/>
        </w:rPr>
        <w:t>，</w:t>
      </w:r>
      <w:r>
        <w:rPr>
          <w:rFonts w:hint="default" w:ascii="Times New Roman" w:hAnsi="Times New Roman" w:eastAsia="仿宋_GB2312" w:cs="Times New Roman"/>
          <w:color w:val="000000"/>
          <w:spacing w:val="0"/>
          <w:sz w:val="32"/>
          <w:szCs w:val="32"/>
          <w:shd w:val="clear" w:color="auto" w:fill="auto"/>
          <w:lang w:val="en-US" w:eastAsia="zh-CN"/>
        </w:rPr>
        <w:t>功能不齐全，场镇管理碎片化，</w:t>
      </w:r>
      <w:r>
        <w:rPr>
          <w:rFonts w:hint="default" w:ascii="Times New Roman" w:hAnsi="Times New Roman" w:eastAsia="仿宋_GB2312" w:cs="Times New Roman"/>
          <w:color w:val="000000"/>
          <w:spacing w:val="0"/>
          <w:sz w:val="32"/>
          <w:szCs w:val="32"/>
          <w:shd w:val="clear" w:color="auto" w:fill="auto"/>
        </w:rPr>
        <w:t>吸引汇聚人气、商气、财气的能力较弱。</w:t>
      </w:r>
      <w:r>
        <w:rPr>
          <w:rStyle w:val="28"/>
          <w:rFonts w:hint="default" w:ascii="Times New Roman" w:hAnsi="Times New Roman" w:eastAsia="仿宋" w:cs="Times New Roman"/>
          <w:b/>
          <w:bCs/>
          <w:color w:val="000000"/>
          <w:spacing w:val="0"/>
          <w:sz w:val="32"/>
          <w:szCs w:val="32"/>
          <w:shd w:val="clear" w:color="auto" w:fill="auto"/>
          <w:lang w:eastAsia="zh-CN"/>
        </w:rPr>
        <w:t>四是</w:t>
      </w:r>
      <w:r>
        <w:rPr>
          <w:rStyle w:val="28"/>
          <w:rFonts w:hint="default" w:ascii="Times New Roman" w:hAnsi="Times New Roman" w:eastAsia="仿宋" w:cs="Times New Roman"/>
          <w:b/>
          <w:bCs/>
          <w:color w:val="000000"/>
          <w:spacing w:val="0"/>
          <w:sz w:val="32"/>
          <w:szCs w:val="32"/>
          <w:shd w:val="clear" w:color="auto" w:fill="auto"/>
        </w:rPr>
        <w:t>环境治</w:t>
      </w:r>
      <w:r>
        <w:rPr>
          <w:rStyle w:val="28"/>
          <w:rFonts w:hint="default" w:ascii="Times New Roman" w:hAnsi="Times New Roman" w:eastAsia="仿宋" w:cs="Times New Roman"/>
          <w:b/>
          <w:bCs/>
          <w:color w:val="000000"/>
          <w:spacing w:val="0"/>
          <w:sz w:val="32"/>
          <w:szCs w:val="32"/>
          <w:shd w:val="clear" w:color="auto" w:fill="auto"/>
          <w:lang w:val="en-US" w:eastAsia="zh-CN"/>
        </w:rPr>
        <w:t>理</w:t>
      </w:r>
      <w:r>
        <w:rPr>
          <w:rStyle w:val="28"/>
          <w:rFonts w:hint="default" w:ascii="Times New Roman" w:hAnsi="Times New Roman" w:eastAsia="仿宋" w:cs="Times New Roman"/>
          <w:b/>
          <w:bCs/>
          <w:color w:val="000000"/>
          <w:spacing w:val="0"/>
          <w:sz w:val="32"/>
          <w:szCs w:val="32"/>
          <w:shd w:val="clear" w:color="auto" w:fill="auto"/>
        </w:rPr>
        <w:t>长效机制不健全。</w:t>
      </w:r>
      <w:r>
        <w:rPr>
          <w:rFonts w:hint="default" w:ascii="Times New Roman" w:hAnsi="Times New Roman" w:eastAsia="仿宋_GB2312" w:cs="Times New Roman"/>
          <w:color w:val="000000"/>
          <w:spacing w:val="0"/>
          <w:sz w:val="32"/>
          <w:szCs w:val="32"/>
          <w:shd w:val="clear" w:color="auto" w:fill="auto"/>
        </w:rPr>
        <w:t>网格化管理、“门前三包”</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车辆管控、路灯管理</w:t>
      </w:r>
      <w:r>
        <w:rPr>
          <w:rFonts w:hint="default" w:ascii="Times New Roman" w:hAnsi="Times New Roman" w:eastAsia="仿宋_GB2312" w:cs="Times New Roman"/>
          <w:color w:val="000000"/>
          <w:spacing w:val="0"/>
          <w:sz w:val="32"/>
          <w:szCs w:val="32"/>
          <w:shd w:val="clear" w:color="auto" w:fill="auto"/>
        </w:rPr>
        <w:t>等运行机制还需进一步加强，边整治边反弹的现象仍然存在</w:t>
      </w:r>
      <w:r>
        <w:rPr>
          <w:rFonts w:hint="default" w:ascii="Times New Roman" w:hAnsi="Times New Roman" w:eastAsia="仿宋_GB2312" w:cs="Times New Roman"/>
          <w:color w:val="000000"/>
          <w:spacing w:val="0"/>
          <w:sz w:val="32"/>
          <w:szCs w:val="32"/>
          <w:shd w:val="clear" w:color="auto" w:fill="auto"/>
          <w:lang w:eastAsia="zh-CN"/>
        </w:rPr>
        <w:t>，</w:t>
      </w:r>
      <w:r>
        <w:rPr>
          <w:rFonts w:hint="default" w:ascii="Times New Roman" w:hAnsi="Times New Roman" w:eastAsia="仿宋_GB2312" w:cs="Times New Roman"/>
          <w:color w:val="000000"/>
          <w:spacing w:val="0"/>
          <w:sz w:val="32"/>
          <w:szCs w:val="32"/>
          <w:shd w:val="clear" w:color="auto" w:fill="auto"/>
          <w:lang w:val="en-US" w:eastAsia="zh-CN"/>
        </w:rPr>
        <w:t>同时也和冉家坝村存在边界不清、管理不明的现象</w:t>
      </w:r>
      <w:r>
        <w:rPr>
          <w:rFonts w:hint="eastAsia" w:ascii="Times New Roman" w:hAnsi="Times New Roman" w:eastAsia="仿宋_GB2312" w:cs="Times New Roman"/>
          <w:color w:val="000000"/>
          <w:spacing w:val="0"/>
          <w:sz w:val="32"/>
          <w:szCs w:val="32"/>
          <w:shd w:val="clear" w:color="auto" w:fill="auto"/>
          <w:lang w:val="en-US" w:eastAsia="zh-CN"/>
        </w:rPr>
        <w:t>。</w:t>
      </w:r>
      <w:r>
        <w:rPr>
          <w:rStyle w:val="28"/>
          <w:rFonts w:hint="default" w:ascii="Times New Roman" w:hAnsi="Times New Roman" w:eastAsia="仿宋" w:cs="Times New Roman"/>
          <w:b/>
          <w:bCs/>
          <w:color w:val="000000"/>
          <w:spacing w:val="0"/>
          <w:sz w:val="32"/>
          <w:szCs w:val="32"/>
          <w:shd w:val="clear" w:color="auto" w:fill="auto"/>
          <w:lang w:eastAsia="zh-CN"/>
        </w:rPr>
        <w:t>五是</w:t>
      </w:r>
      <w:r>
        <w:rPr>
          <w:rStyle w:val="28"/>
          <w:rFonts w:hint="default" w:ascii="Times New Roman" w:hAnsi="Times New Roman" w:eastAsia="仿宋" w:cs="Times New Roman"/>
          <w:b/>
          <w:bCs/>
          <w:color w:val="000000"/>
          <w:spacing w:val="0"/>
          <w:sz w:val="32"/>
          <w:szCs w:val="32"/>
          <w:shd w:val="clear" w:color="auto" w:fill="auto"/>
          <w:lang w:val="en-US" w:eastAsia="zh-CN"/>
        </w:rPr>
        <w:t>干群思想解放力度</w:t>
      </w:r>
      <w:r>
        <w:rPr>
          <w:rFonts w:hint="default" w:ascii="Times New Roman" w:hAnsi="Times New Roman" w:eastAsia="仿宋" w:cs="Times New Roman"/>
          <w:b/>
          <w:bCs/>
          <w:color w:val="000000"/>
          <w:spacing w:val="0"/>
          <w:sz w:val="32"/>
          <w:szCs w:val="32"/>
          <w:shd w:val="clear" w:color="auto" w:fill="auto"/>
          <w:lang w:val="en-US" w:eastAsia="zh-CN"/>
        </w:rPr>
        <w:t>不够。</w:t>
      </w:r>
      <w:r>
        <w:rPr>
          <w:rStyle w:val="28"/>
          <w:rFonts w:hint="default" w:ascii="Times New Roman" w:hAnsi="Times New Roman" w:eastAsia="仿宋_GB2312" w:cs="Times New Roman"/>
          <w:b w:val="0"/>
          <w:bCs w:val="0"/>
          <w:color w:val="000000"/>
          <w:spacing w:val="0"/>
          <w:sz w:val="32"/>
          <w:szCs w:val="32"/>
          <w:shd w:val="clear" w:color="auto" w:fill="auto"/>
          <w:lang w:val="en-US" w:eastAsia="zh-CN"/>
        </w:rPr>
        <w:t>在产业发展上；在招商引资上；在机制创新上。在今后的</w:t>
      </w:r>
      <w:r>
        <w:rPr>
          <w:rFonts w:hint="default" w:ascii="Times New Roman" w:hAnsi="Times New Roman" w:eastAsia="仿宋_GB2312" w:cs="Times New Roman"/>
          <w:b w:val="0"/>
          <w:bCs w:val="0"/>
          <w:color w:val="000000"/>
          <w:spacing w:val="0"/>
          <w:sz w:val="32"/>
          <w:szCs w:val="32"/>
          <w:shd w:val="clear" w:color="auto" w:fill="auto"/>
          <w:lang w:val="en-US" w:eastAsia="zh-CN"/>
        </w:rPr>
        <w:t>工作中，我们一定会充分把</w:t>
      </w:r>
      <w:r>
        <w:rPr>
          <w:rStyle w:val="28"/>
          <w:rFonts w:hint="default" w:ascii="Times New Roman" w:hAnsi="Times New Roman" w:eastAsia="仿宋_GB2312" w:cs="Times New Roman"/>
          <w:b w:val="0"/>
          <w:bCs w:val="0"/>
          <w:color w:val="000000"/>
          <w:spacing w:val="0"/>
          <w:sz w:val="32"/>
          <w:szCs w:val="32"/>
          <w:shd w:val="clear" w:color="auto" w:fill="auto"/>
          <w:lang w:val="en-US" w:eastAsia="zh-CN"/>
        </w:rPr>
        <w:t>握“十四五”系列政策机遇，坚持好思路、</w:t>
      </w:r>
      <w:r>
        <w:rPr>
          <w:rFonts w:hint="default" w:ascii="Times New Roman" w:hAnsi="Times New Roman" w:eastAsia="仿宋_GB2312" w:cs="Times New Roman"/>
          <w:b w:val="0"/>
          <w:bCs w:val="0"/>
          <w:color w:val="000000"/>
          <w:spacing w:val="0"/>
          <w:sz w:val="32"/>
          <w:szCs w:val="32"/>
          <w:shd w:val="clear" w:color="auto" w:fill="auto"/>
          <w:lang w:val="en-US" w:eastAsia="zh-CN"/>
        </w:rPr>
        <w:t>好战略、好做法，一以贯之，同心同德，全力谱写铁溪科学发展、创新发展、转型发展新篇章。</w:t>
      </w:r>
    </w:p>
    <w:p>
      <w:pPr>
        <w:pStyle w:val="16"/>
        <w:adjustRightInd w:val="0"/>
        <w:snapToGrid w:val="0"/>
        <w:spacing w:before="93" w:line="600" w:lineRule="exact"/>
        <w:ind w:firstLine="672" w:firstLineChars="210"/>
        <w:outlineLvl w:val="2"/>
        <w:rPr>
          <w:rFonts w:hint="eastAsia" w:ascii="仿宋" w:hAnsi="仿宋" w:eastAsia="仿宋"/>
          <w:bCs/>
          <w:color w:val="000000"/>
          <w:sz w:val="32"/>
          <w:szCs w:val="32"/>
        </w:rPr>
      </w:pPr>
    </w:p>
    <w:p>
      <w:pPr>
        <w:pStyle w:val="10"/>
      </w:pPr>
      <w:bookmarkStart w:id="25" w:name="_Toc15396601"/>
      <w:bookmarkStart w:id="26" w:name="_Toc22964"/>
      <w:bookmarkStart w:id="27" w:name="_Toc15377200"/>
      <w:r>
        <w:rPr>
          <w:rFonts w:hint="eastAsia" w:ascii="黑体" w:eastAsia="黑体"/>
          <w:b w:val="0"/>
          <w:color w:val="000000"/>
        </w:rPr>
        <w:t>二、</w:t>
      </w:r>
      <w:r>
        <w:rPr>
          <w:rFonts w:hint="eastAsia" w:ascii="黑体" w:hAnsi="黑体" w:eastAsia="黑体"/>
          <w:b w:val="0"/>
          <w:color w:val="000000"/>
        </w:rPr>
        <w:t>机</w:t>
      </w:r>
      <w:r>
        <w:rPr>
          <w:rStyle w:val="33"/>
          <w:rFonts w:hint="eastAsia" w:ascii="黑体" w:hAnsi="黑体" w:eastAsia="黑体"/>
          <w:b w:val="0"/>
          <w:bCs w:val="0"/>
        </w:rPr>
        <w:t>构设置</w:t>
      </w:r>
      <w:bookmarkEnd w:id="25"/>
      <w:bookmarkEnd w:id="26"/>
      <w:bookmarkEnd w:id="27"/>
    </w:p>
    <w:p>
      <w:pPr>
        <w:widowControl/>
        <w:ind w:firstLine="640" w:firstLineChars="200"/>
        <w:jc w:val="left"/>
        <w:rPr>
          <w:rFonts w:hint="eastAsia" w:ascii="仿宋_GB2312" w:eastAsia="仿宋_GB2312"/>
          <w:sz w:val="32"/>
          <w:szCs w:val="32"/>
        </w:rPr>
      </w:pPr>
      <w:r>
        <w:rPr>
          <w:rFonts w:hint="eastAsia"/>
          <w:sz w:val="32"/>
          <w:szCs w:val="32"/>
          <w:lang w:eastAsia="zh-CN"/>
        </w:rPr>
        <w:t>铁溪镇</w:t>
      </w:r>
      <w:r>
        <w:rPr>
          <w:rFonts w:hint="eastAsia" w:ascii="仿宋_GB2312" w:eastAsia="仿宋_GB2312"/>
          <w:sz w:val="32"/>
          <w:szCs w:val="32"/>
        </w:rPr>
        <w:t>人民政府是乡级一级预算单位，下属二级事业单位</w:t>
      </w:r>
      <w:r>
        <w:rPr>
          <w:rFonts w:hint="eastAsia"/>
          <w:sz w:val="32"/>
          <w:szCs w:val="32"/>
          <w:lang w:val="en-US" w:eastAsia="zh-CN"/>
        </w:rPr>
        <w:t>4</w:t>
      </w:r>
      <w:r>
        <w:rPr>
          <w:rFonts w:hint="eastAsia" w:ascii="仿宋_GB2312" w:eastAsia="仿宋_GB2312"/>
          <w:sz w:val="32"/>
          <w:szCs w:val="32"/>
        </w:rPr>
        <w:t>个</w:t>
      </w:r>
      <w:r>
        <w:rPr>
          <w:rFonts w:hint="eastAsia" w:ascii="仿宋_GB2312" w:eastAsia="仿宋_GB2312"/>
          <w:sz w:val="32"/>
          <w:szCs w:val="32"/>
          <w:lang w:eastAsia="zh-CN"/>
        </w:rPr>
        <w:t>。</w:t>
      </w:r>
      <w:r>
        <w:rPr>
          <w:rFonts w:hint="eastAsia" w:ascii="仿宋_GB2312" w:hAnsi="Times New Roman" w:eastAsia="仿宋_GB2312" w:cs="Times New Roman"/>
          <w:sz w:val="32"/>
          <w:szCs w:val="32"/>
        </w:rPr>
        <w:t>实行独立核算的单位3个</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铁</w:t>
      </w:r>
      <w:r>
        <w:rPr>
          <w:rFonts w:hint="eastAsia" w:ascii="仿宋_GB2312" w:eastAsia="仿宋_GB2312"/>
          <w:sz w:val="32"/>
          <w:szCs w:val="32"/>
          <w:lang w:val="en-US" w:eastAsia="zh-CN"/>
        </w:rPr>
        <w:t>溪镇人民政府（本级）内设便民服务中心、农业综合服务中心、社会事业服务中心、村镇建设服务中心、会计核算中心，</w:t>
      </w:r>
      <w:r>
        <w:rPr>
          <w:rFonts w:hint="eastAsia" w:ascii="仿宋_GB2312" w:eastAsia="仿宋_GB2312"/>
          <w:sz w:val="32"/>
          <w:szCs w:val="32"/>
        </w:rPr>
        <w:t>全乡辖</w:t>
      </w:r>
      <w:r>
        <w:rPr>
          <w:rFonts w:hint="eastAsia" w:ascii="仿宋_GB2312" w:eastAsia="仿宋_GB2312"/>
          <w:sz w:val="32"/>
          <w:szCs w:val="32"/>
          <w:lang w:val="en-US" w:eastAsia="zh-CN"/>
        </w:rPr>
        <w:t>11</w:t>
      </w:r>
      <w:r>
        <w:rPr>
          <w:rFonts w:hint="eastAsia" w:ascii="仿宋_GB2312" w:eastAsia="仿宋_GB2312"/>
          <w:sz w:val="32"/>
          <w:szCs w:val="32"/>
        </w:rPr>
        <w:t>个村、</w:t>
      </w:r>
      <w:r>
        <w:rPr>
          <w:rFonts w:hint="eastAsia" w:ascii="仿宋_GB2312" w:eastAsia="仿宋_GB2312"/>
          <w:sz w:val="32"/>
          <w:szCs w:val="32"/>
          <w:lang w:val="en-US" w:eastAsia="zh-CN"/>
        </w:rPr>
        <w:t>2</w:t>
      </w:r>
      <w:r>
        <w:rPr>
          <w:rFonts w:hint="eastAsia" w:ascii="仿宋_GB2312" w:eastAsia="仿宋_GB2312"/>
          <w:sz w:val="32"/>
          <w:szCs w:val="32"/>
        </w:rPr>
        <w:t>个居民委员会。</w:t>
      </w:r>
    </w:p>
    <w:p>
      <w:pPr>
        <w:widowControl/>
        <w:ind w:firstLine="640" w:firstLineChars="200"/>
        <w:jc w:val="left"/>
        <w:rPr>
          <w:rFonts w:hint="eastAsia" w:ascii="仿宋_GB2312" w:hAnsi="Times New Roman" w:eastAsia="仿宋_GB2312" w:cs="Times New Roman"/>
          <w:sz w:val="32"/>
          <w:szCs w:val="32"/>
        </w:rPr>
      </w:pPr>
      <w:r>
        <w:rPr>
          <w:rFonts w:hint="eastAsia" w:ascii="仿宋_GB2312" w:eastAsia="仿宋_GB2312"/>
          <w:sz w:val="32"/>
          <w:szCs w:val="32"/>
        </w:rPr>
        <w:t>纳入</w:t>
      </w:r>
      <w:r>
        <w:rPr>
          <w:rFonts w:hint="eastAsia" w:ascii="仿宋_GB2312" w:eastAsia="仿宋_GB2312"/>
          <w:sz w:val="32"/>
          <w:szCs w:val="32"/>
          <w:lang w:val="en-US" w:eastAsia="zh-CN"/>
        </w:rPr>
        <w:t>铁溪镇</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年度部门决算编制范围的二级预算</w:t>
      </w:r>
      <w:r>
        <w:rPr>
          <w:rFonts w:hint="eastAsia" w:ascii="仿宋" w:hAnsi="仿宋" w:eastAsia="仿宋"/>
          <w:color w:val="auto"/>
          <w:sz w:val="32"/>
          <w:szCs w:val="32"/>
        </w:rPr>
        <w:t>单位包括</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铁溪</w:t>
      </w:r>
      <w:r>
        <w:rPr>
          <w:rFonts w:hint="eastAsia" w:ascii="仿宋_GB2312" w:hAnsi="Times New Roman" w:eastAsia="仿宋_GB2312" w:cs="Times New Roman"/>
          <w:sz w:val="32"/>
          <w:szCs w:val="32"/>
        </w:rPr>
        <w:t>中心小学</w:t>
      </w:r>
      <w:r>
        <w:rPr>
          <w:rFonts w:hint="eastAsia" w:ascii="仿宋_GB2312" w:hAnsi="Times New Roman" w:eastAsia="仿宋_GB2312" w:cs="Times New Roman"/>
          <w:sz w:val="32"/>
          <w:szCs w:val="32"/>
          <w:lang w:eastAsia="zh-CN"/>
        </w:rPr>
        <w:t>、什字中心小学、铁溪镇中学和铁溪镇卫生院、朱元卫生院、朱元小学。</w:t>
      </w:r>
    </w:p>
    <w:p>
      <w:pPr>
        <w:widowControl/>
        <w:jc w:val="left"/>
        <w:rPr>
          <w:rFonts w:ascii="仿宋" w:hAnsi="仿宋" w:eastAsia="仿宋"/>
          <w:color w:val="000000"/>
          <w:kern w:val="0"/>
          <w:sz w:val="32"/>
          <w:szCs w:val="32"/>
        </w:rPr>
      </w:pPr>
    </w:p>
    <w:p>
      <w:pPr>
        <w:pStyle w:val="9"/>
        <w:ind w:right="440"/>
        <w:jc w:val="right"/>
        <w:rPr>
          <w:rStyle w:val="32"/>
          <w:rFonts w:ascii="黑体" w:hAnsi="黑体" w:eastAsia="黑体"/>
          <w:b w:val="0"/>
          <w:bCs w:val="0"/>
        </w:rPr>
      </w:pPr>
      <w:bookmarkStart w:id="28" w:name="_Toc18197"/>
      <w:bookmarkStart w:id="29" w:name="_Toc15396602"/>
      <w:bookmarkStart w:id="30" w:name="_Toc15377204"/>
      <w:r>
        <w:rPr>
          <w:rFonts w:hint="eastAsia" w:ascii="黑体" w:hAnsi="黑体" w:eastAsia="黑体"/>
          <w:b w:val="0"/>
          <w:color w:val="000000"/>
        </w:rPr>
        <w:t>第二部分</w:t>
      </w:r>
      <w:r>
        <w:rPr>
          <w:rFonts w:ascii="黑体" w:hAnsi="黑体" w:eastAsia="黑体"/>
          <w:color w:val="000000"/>
        </w:rPr>
        <w:t xml:space="preserve"> </w:t>
      </w:r>
      <w:r>
        <w:rPr>
          <w:rStyle w:val="32"/>
          <w:rFonts w:ascii="黑体" w:hAnsi="黑体" w:eastAsia="黑体"/>
          <w:b w:val="0"/>
          <w:bCs w:val="0"/>
        </w:rPr>
        <w:t>2020</w:t>
      </w:r>
      <w:r>
        <w:rPr>
          <w:rStyle w:val="32"/>
          <w:rFonts w:hint="eastAsia" w:ascii="黑体" w:hAnsi="黑体" w:eastAsia="黑体"/>
          <w:b w:val="0"/>
          <w:bCs w:val="0"/>
        </w:rPr>
        <w:t>年度</w:t>
      </w:r>
      <w:r>
        <w:rPr>
          <w:rFonts w:hint="eastAsia" w:ascii="黑体" w:hAnsi="黑体" w:eastAsia="黑体"/>
        </w:rPr>
        <w:t>部门决算情况说明</w:t>
      </w:r>
      <w:bookmarkEnd w:id="28"/>
      <w:bookmarkEnd w:id="29"/>
      <w:bookmarkEnd w:id="30"/>
    </w:p>
    <w:p/>
    <w:p>
      <w:pPr>
        <w:pStyle w:val="38"/>
        <w:numPr>
          <w:ilvl w:val="0"/>
          <w:numId w:val="3"/>
        </w:numPr>
        <w:spacing w:line="600" w:lineRule="exact"/>
        <w:ind w:left="1980" w:leftChars="0" w:firstLineChars="0"/>
        <w:outlineLvl w:val="1"/>
        <w:rPr>
          <w:rStyle w:val="33"/>
          <w:rFonts w:ascii="黑体" w:hAnsi="黑体" w:eastAsia="黑体"/>
          <w:b w:val="0"/>
        </w:rPr>
      </w:pPr>
      <w:bookmarkStart w:id="31" w:name="_Toc25352"/>
      <w:bookmarkStart w:id="32" w:name="_Toc15377205"/>
      <w:bookmarkStart w:id="33" w:name="_Toc15396603"/>
      <w:r>
        <w:rPr>
          <w:rFonts w:hint="eastAsia" w:ascii="黑体" w:hAnsi="黑体" w:eastAsia="黑体"/>
          <w:color w:val="000000"/>
          <w:sz w:val="32"/>
          <w:szCs w:val="32"/>
        </w:rPr>
        <w:t>收</w:t>
      </w:r>
      <w:r>
        <w:rPr>
          <w:rStyle w:val="33"/>
          <w:rFonts w:hint="eastAsia" w:ascii="黑体" w:hAnsi="黑体" w:eastAsia="黑体"/>
          <w:b w:val="0"/>
        </w:rPr>
        <w:t>入支出决算总体情况说明</w:t>
      </w:r>
      <w:bookmarkEnd w:id="31"/>
      <w:bookmarkEnd w:id="32"/>
      <w:bookmarkEnd w:id="33"/>
    </w:p>
    <w:p>
      <w:pPr>
        <w:widowControl/>
        <w:ind w:firstLine="640" w:firstLineChars="200"/>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020</w:t>
      </w:r>
      <w:r>
        <w:rPr>
          <w:rFonts w:hint="eastAsia" w:ascii="仿宋_GB2312" w:hAnsi="Times New Roman" w:eastAsia="仿宋_GB2312" w:cs="Times New Roman"/>
          <w:sz w:val="32"/>
          <w:szCs w:val="32"/>
        </w:rPr>
        <w:t>年度收</w:t>
      </w:r>
      <w:r>
        <w:rPr>
          <w:rFonts w:hint="eastAsia" w:ascii="仿宋_GB2312" w:hAnsi="Times New Roman" w:eastAsia="仿宋_GB2312" w:cs="Times New Roman"/>
          <w:sz w:val="32"/>
          <w:szCs w:val="32"/>
          <w:lang w:eastAsia="zh-CN"/>
        </w:rPr>
        <w:t>入</w:t>
      </w:r>
      <w:r>
        <w:rPr>
          <w:rFonts w:hint="eastAsia" w:ascii="仿宋_GB2312" w:hAnsi="Times New Roman" w:eastAsia="仿宋_GB2312" w:cs="Times New Roman"/>
          <w:sz w:val="32"/>
          <w:szCs w:val="32"/>
          <w:lang w:val="en-US" w:eastAsia="zh-CN"/>
        </w:rPr>
        <w:t>5095.82万元</w:t>
      </w:r>
      <w:r>
        <w:rPr>
          <w:rFonts w:hint="eastAsia" w:ascii="仿宋_GB2312" w:hAnsi="Times New Roman" w:eastAsia="仿宋_GB2312" w:cs="Times New Roman"/>
          <w:sz w:val="32"/>
          <w:szCs w:val="32"/>
        </w:rPr>
        <w:t>、支</w:t>
      </w:r>
      <w:r>
        <w:rPr>
          <w:rFonts w:hint="eastAsia" w:ascii="仿宋_GB2312" w:hAnsi="Times New Roman" w:eastAsia="仿宋_GB2312" w:cs="Times New Roman"/>
          <w:sz w:val="32"/>
          <w:szCs w:val="32"/>
          <w:lang w:eastAsia="zh-CN"/>
        </w:rPr>
        <w:t>出</w:t>
      </w:r>
      <w:r>
        <w:rPr>
          <w:rFonts w:hint="eastAsia" w:ascii="仿宋_GB2312" w:hAnsi="Times New Roman" w:eastAsia="仿宋_GB2312" w:cs="Times New Roman"/>
          <w:sz w:val="32"/>
          <w:szCs w:val="32"/>
          <w:lang w:val="en-US" w:eastAsia="zh-CN"/>
        </w:rPr>
        <w:t>5095.82万元</w:t>
      </w:r>
      <w:r>
        <w:rPr>
          <w:rFonts w:hint="eastAsia" w:ascii="仿宋_GB2312" w:hAnsi="Times New Roman" w:eastAsia="仿宋_GB2312" w:cs="Times New Roman"/>
          <w:sz w:val="32"/>
          <w:szCs w:val="32"/>
        </w:rPr>
        <w:t>。与201</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年相比，收</w:t>
      </w:r>
      <w:r>
        <w:rPr>
          <w:rFonts w:hint="eastAsia" w:ascii="仿宋_GB2312" w:hAnsi="Times New Roman" w:eastAsia="仿宋_GB2312" w:cs="Times New Roman"/>
          <w:sz w:val="32"/>
          <w:szCs w:val="32"/>
          <w:lang w:eastAsia="zh-CN"/>
        </w:rPr>
        <w:t>入</w:t>
      </w:r>
      <w:r>
        <w:rPr>
          <w:rFonts w:hint="eastAsia" w:ascii="仿宋_GB2312" w:hAnsi="Times New Roman" w:eastAsia="仿宋_GB2312" w:cs="Times New Roman"/>
          <w:sz w:val="32"/>
          <w:szCs w:val="32"/>
        </w:rPr>
        <w:t>减少</w:t>
      </w:r>
      <w:r>
        <w:rPr>
          <w:rFonts w:hint="eastAsia" w:ascii="仿宋_GB2312" w:hAnsi="Times New Roman" w:eastAsia="仿宋_GB2312" w:cs="Times New Roman"/>
          <w:sz w:val="32"/>
          <w:szCs w:val="32"/>
          <w:lang w:val="en-US" w:eastAsia="zh-CN"/>
        </w:rPr>
        <w:t>8.28</w:t>
      </w:r>
      <w:r>
        <w:rPr>
          <w:rFonts w:hint="eastAsia" w:ascii="仿宋_GB2312" w:hAnsi="Times New Roman" w:eastAsia="仿宋_GB2312" w:cs="Times New Roman"/>
          <w:sz w:val="32"/>
          <w:szCs w:val="32"/>
        </w:rPr>
        <w:t>万元，下降</w:t>
      </w:r>
      <w:r>
        <w:rPr>
          <w:rFonts w:hint="eastAsia" w:ascii="仿宋_GB2312" w:hAnsi="Times New Roman" w:eastAsia="仿宋_GB2312" w:cs="Times New Roman"/>
          <w:sz w:val="32"/>
          <w:szCs w:val="32"/>
          <w:lang w:val="en-US" w:eastAsia="zh-CN"/>
        </w:rPr>
        <w:t>0.16%</w:t>
      </w:r>
      <w:r>
        <w:rPr>
          <w:rFonts w:hint="eastAsia" w:ascii="仿宋_GB2312" w:hAnsi="Times New Roman" w:eastAsia="仿宋_GB2312" w:cs="Times New Roman"/>
          <w:sz w:val="32"/>
          <w:szCs w:val="32"/>
          <w:lang w:eastAsia="zh-CN"/>
        </w:rPr>
        <w:t>；支出减少</w:t>
      </w:r>
      <w:r>
        <w:rPr>
          <w:rFonts w:hint="eastAsia" w:ascii="仿宋_GB2312" w:hAnsi="Times New Roman" w:eastAsia="仿宋_GB2312" w:cs="Times New Roman"/>
          <w:sz w:val="32"/>
          <w:szCs w:val="32"/>
          <w:lang w:val="en-US" w:eastAsia="zh-CN"/>
        </w:rPr>
        <w:t>8.28万元，</w:t>
      </w:r>
      <w:r>
        <w:rPr>
          <w:rFonts w:hint="eastAsia" w:ascii="仿宋_GB2312" w:hAnsi="Times New Roman" w:eastAsia="仿宋_GB2312" w:cs="Times New Roman"/>
          <w:sz w:val="32"/>
          <w:szCs w:val="32"/>
        </w:rPr>
        <w:t>下降</w:t>
      </w:r>
      <w:r>
        <w:rPr>
          <w:rFonts w:hint="eastAsia" w:ascii="仿宋_GB2312" w:hAnsi="Times New Roman" w:eastAsia="仿宋_GB2312" w:cs="Times New Roman"/>
          <w:sz w:val="32"/>
          <w:szCs w:val="32"/>
          <w:lang w:val="en-US" w:eastAsia="zh-CN"/>
        </w:rPr>
        <w:t>0.16%</w:t>
      </w:r>
      <w:r>
        <w:rPr>
          <w:rFonts w:hint="eastAsia" w:ascii="仿宋_GB2312" w:hAnsi="Times New Roman" w:eastAsia="仿宋_GB2312" w:cs="Times New Roman"/>
          <w:sz w:val="32"/>
          <w:szCs w:val="32"/>
        </w:rPr>
        <w:t>。主要变动原因是</w:t>
      </w:r>
      <w:r>
        <w:rPr>
          <w:rFonts w:hint="eastAsia" w:ascii="仿宋_GB2312" w:hAnsi="Times New Roman" w:eastAsia="仿宋_GB2312" w:cs="Times New Roman"/>
          <w:sz w:val="32"/>
          <w:szCs w:val="32"/>
          <w:lang w:eastAsia="zh-CN"/>
        </w:rPr>
        <w:t>项目减少，政府缩减开支。</w:t>
      </w:r>
    </w:p>
    <w:p>
      <w:pPr>
        <w:spacing w:line="600" w:lineRule="exact"/>
        <w:jc w:val="left"/>
        <w:rPr>
          <w:rFonts w:hint="eastAsia" w:ascii="宋体" w:hAnsi="宋体" w:eastAsia="宋体" w:cs="宋体"/>
          <w:color w:val="000000"/>
          <w:sz w:val="28"/>
          <w:szCs w:val="28"/>
        </w:rPr>
      </w:pPr>
    </w:p>
    <w:p>
      <w:pPr>
        <w:spacing w:line="240" w:lineRule="auto"/>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pict>
          <v:shape id="_x0000_i1025" o:spt="75" alt="12" type="#_x0000_t75" style="height:242.1pt;width:414.95pt;" filled="f" o:preferrelative="t" stroked="f" coordsize="21600,21600">
            <v:path/>
            <v:fill on="f" focussize="0,0"/>
            <v:stroke on="f"/>
            <v:imagedata r:id="rId6" o:title="@%I[F8R{TTL1$48FKD6R%O8"/>
            <o:lock v:ext="edit" aspectratio="t"/>
            <w10:wrap type="none"/>
            <w10:anchorlock/>
          </v:shape>
        </w:pict>
      </w:r>
    </w:p>
    <w:p>
      <w:pPr>
        <w:spacing w:line="600" w:lineRule="exact"/>
        <w:jc w:val="left"/>
        <w:rPr>
          <w:rFonts w:hint="eastAsia" w:ascii="宋体" w:hAnsi="宋体" w:eastAsia="宋体" w:cs="宋体"/>
          <w:color w:val="000000"/>
          <w:sz w:val="28"/>
          <w:szCs w:val="28"/>
        </w:rPr>
      </w:pPr>
    </w:p>
    <w:p>
      <w:pPr>
        <w:spacing w:line="600" w:lineRule="exact"/>
        <w:jc w:val="left"/>
        <w:rPr>
          <w:rFonts w:hint="eastAsia" w:ascii="宋体" w:hAnsi="宋体" w:eastAsia="宋体" w:cs="宋体"/>
          <w:color w:val="000000"/>
          <w:sz w:val="28"/>
          <w:szCs w:val="28"/>
        </w:rPr>
      </w:pPr>
    </w:p>
    <w:p>
      <w:pPr>
        <w:spacing w:line="600" w:lineRule="exact"/>
        <w:jc w:val="left"/>
        <w:rPr>
          <w:rFonts w:hint="eastAsia" w:ascii="宋体" w:hAnsi="宋体" w:eastAsia="宋体" w:cs="宋体"/>
          <w:color w:val="000000"/>
          <w:sz w:val="28"/>
          <w:szCs w:val="28"/>
        </w:rPr>
      </w:pPr>
    </w:p>
    <w:p>
      <w:pPr>
        <w:spacing w:line="600" w:lineRule="exact"/>
        <w:jc w:val="left"/>
        <w:rPr>
          <w:rFonts w:hint="eastAsia" w:ascii="宋体" w:hAnsi="宋体" w:eastAsia="宋体" w:cs="宋体"/>
          <w:color w:val="000000"/>
          <w:sz w:val="28"/>
          <w:szCs w:val="28"/>
        </w:rPr>
      </w:pPr>
    </w:p>
    <w:p>
      <w:pPr>
        <w:widowControl/>
        <w:jc w:val="left"/>
        <w:outlineLvl w:val="1"/>
        <w:rPr>
          <w:rStyle w:val="33"/>
          <w:rFonts w:hint="eastAsia" w:ascii="黑体" w:hAnsi="黑体" w:eastAsia="黑体" w:cs="Times New Roman"/>
          <w:b/>
          <w:bCs/>
          <w:lang w:val="en-US" w:eastAsia="zh-CN" w:bidi="ar-SA"/>
        </w:rPr>
      </w:pPr>
      <w:bookmarkStart w:id="34" w:name="_Toc15396604"/>
      <w:bookmarkStart w:id="35" w:name="_Toc13784"/>
      <w:bookmarkStart w:id="36" w:name="_Toc15377206"/>
      <w:r>
        <w:rPr>
          <w:rStyle w:val="33"/>
          <w:rFonts w:hint="eastAsia" w:ascii="黑体" w:hAnsi="黑体" w:eastAsia="黑体" w:cs="Times New Roman"/>
          <w:b/>
          <w:bCs/>
          <w:lang w:val="en-US" w:eastAsia="zh-CN" w:bidi="ar-SA"/>
        </w:rPr>
        <w:t>二、</w:t>
      </w:r>
      <w:r>
        <w:rPr>
          <w:rFonts w:hint="eastAsia" w:ascii="黑体" w:hAnsi="黑体" w:eastAsia="黑体" w:cs="Times New Roman"/>
          <w:b/>
          <w:bCs/>
          <w:lang w:val="en-US" w:eastAsia="zh-CN" w:bidi="ar-SA"/>
        </w:rPr>
        <w:t>收入决算情况说明</w:t>
      </w:r>
      <w:bookmarkEnd w:id="34"/>
      <w:bookmarkEnd w:id="35"/>
      <w:bookmarkEnd w:id="36"/>
    </w:p>
    <w:p>
      <w:pPr>
        <w:widowControl/>
        <w:ind w:firstLine="640" w:firstLineChars="200"/>
        <w:jc w:val="left"/>
        <w:outlineLvl w:val="9"/>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2020年本年收入合计</w:t>
      </w:r>
      <w:r>
        <w:rPr>
          <w:rFonts w:hint="eastAsia" w:ascii="仿宋_GB2312" w:hAnsi="Times New Roman" w:eastAsia="仿宋_GB2312" w:cs="Times New Roman"/>
          <w:sz w:val="32"/>
          <w:szCs w:val="32"/>
          <w:lang w:val="en-US" w:eastAsia="zh-CN"/>
        </w:rPr>
        <w:t>5095.82</w:t>
      </w:r>
      <w:r>
        <w:rPr>
          <w:rFonts w:hint="eastAsia" w:ascii="仿宋_GB2312" w:hAnsi="Times New Roman" w:eastAsia="仿宋_GB2312" w:cs="Times New Roman"/>
          <w:sz w:val="32"/>
          <w:szCs w:val="32"/>
        </w:rPr>
        <w:t>万元，其中：一般公共预算财政拨款收入4334.28万元，占</w:t>
      </w:r>
      <w:r>
        <w:rPr>
          <w:rFonts w:hint="eastAsia" w:ascii="仿宋_GB2312" w:hAnsi="Times New Roman" w:eastAsia="仿宋_GB2312" w:cs="Times New Roman"/>
          <w:sz w:val="32"/>
          <w:szCs w:val="32"/>
          <w:lang w:val="en-US" w:eastAsia="zh-CN"/>
        </w:rPr>
        <w:t>85</w:t>
      </w:r>
      <w:r>
        <w:rPr>
          <w:rFonts w:hint="eastAsia" w:ascii="仿宋_GB2312" w:hAnsi="Times New Roman" w:eastAsia="仿宋_GB2312" w:cs="Times New Roman"/>
          <w:sz w:val="32"/>
          <w:szCs w:val="32"/>
        </w:rPr>
        <w:t>%；事业收入702.69万元，占</w:t>
      </w:r>
      <w:r>
        <w:rPr>
          <w:rFonts w:hint="eastAsia" w:ascii="仿宋_GB2312" w:hAnsi="Times New Roman" w:eastAsia="仿宋_GB2312" w:cs="Times New Roman"/>
          <w:sz w:val="32"/>
          <w:szCs w:val="32"/>
          <w:lang w:val="en-US" w:eastAsia="zh-CN"/>
        </w:rPr>
        <w:t>14</w:t>
      </w:r>
      <w:r>
        <w:rPr>
          <w:rFonts w:hint="eastAsia" w:ascii="仿宋_GB2312" w:hAnsi="Times New Roman" w:eastAsia="仿宋_GB2312" w:cs="Times New Roman"/>
          <w:sz w:val="32"/>
          <w:szCs w:val="32"/>
        </w:rPr>
        <w:t>%；年初结转和结余</w:t>
      </w:r>
      <w:r>
        <w:rPr>
          <w:rFonts w:hint="eastAsia" w:ascii="仿宋_GB2312" w:hAnsi="Times New Roman" w:eastAsia="仿宋_GB2312" w:cs="Times New Roman"/>
          <w:sz w:val="32"/>
          <w:szCs w:val="32"/>
          <w:lang w:val="en-US" w:eastAsia="zh-CN"/>
        </w:rPr>
        <w:t>58.85万元，</w:t>
      </w:r>
      <w:r>
        <w:rPr>
          <w:rFonts w:hint="eastAsia" w:ascii="仿宋_GB2312" w:hAnsi="Times New Roman" w:eastAsia="仿宋_GB2312" w:cs="Times New Roman"/>
          <w:sz w:val="32"/>
          <w:szCs w:val="32"/>
        </w:rPr>
        <w:t>占</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p>
    <w:p>
      <w:pPr>
        <w:spacing w:line="240" w:lineRule="auto"/>
        <w:ind w:firstLine="560" w:firstLineChars="200"/>
        <w:outlineLvl w:val="9"/>
        <w:rPr>
          <w:rFonts w:ascii="仿宋_GB2312" w:eastAsia="仿宋_GB2312"/>
          <w:color w:val="FF0000"/>
          <w:sz w:val="32"/>
          <w:szCs w:val="32"/>
        </w:rPr>
      </w:pPr>
      <w:r>
        <w:rPr>
          <w:rFonts w:hint="eastAsia" w:ascii="宋体" w:hAnsi="宋体" w:eastAsia="宋体" w:cs="宋体"/>
          <w:color w:val="000000"/>
          <w:sz w:val="28"/>
          <w:szCs w:val="28"/>
          <w:lang w:eastAsia="zh-CN"/>
        </w:rPr>
        <w:pict>
          <v:shape id="_x0000_i1026" o:spt="75" alt="MOFOPD`)0H~P3BV`RJ7A0Z7" type="#_x0000_t75" style="height:248.7pt;width:415pt;" filled="f" o:preferrelative="t" stroked="f" coordsize="21600,21600">
            <v:path/>
            <v:fill on="f" focussize="0,0"/>
            <v:stroke on="f"/>
            <v:imagedata r:id="rId7" o:title="MOFOPD`)0H~P3BV`RJ7A0Z7"/>
            <o:lock v:ext="edit" aspectratio="t"/>
            <w10:wrap type="none"/>
            <w10:anchorlock/>
          </v:shape>
        </w:pict>
      </w:r>
    </w:p>
    <w:p>
      <w:pPr>
        <w:pStyle w:val="38"/>
        <w:numPr>
          <w:ilvl w:val="0"/>
          <w:numId w:val="0"/>
        </w:numPr>
        <w:spacing w:line="600" w:lineRule="exact"/>
        <w:outlineLvl w:val="1"/>
        <w:rPr>
          <w:rStyle w:val="33"/>
          <w:rFonts w:ascii="黑体" w:hAnsi="黑体" w:eastAsia="黑体"/>
          <w:b w:val="0"/>
        </w:rPr>
      </w:pPr>
      <w:bookmarkStart w:id="37" w:name="_Toc15396605"/>
      <w:bookmarkStart w:id="38" w:name="_Toc4255"/>
      <w:bookmarkStart w:id="39" w:name="_Toc15377207"/>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支</w:t>
      </w:r>
      <w:r>
        <w:rPr>
          <w:rStyle w:val="33"/>
          <w:rFonts w:hint="eastAsia" w:ascii="黑体" w:hAnsi="黑体" w:eastAsia="黑体"/>
          <w:b w:val="0"/>
        </w:rPr>
        <w:t>出决算情况说明</w:t>
      </w:r>
      <w:bookmarkEnd w:id="37"/>
      <w:bookmarkEnd w:id="38"/>
      <w:bookmarkEnd w:id="39"/>
    </w:p>
    <w:p>
      <w:pPr>
        <w:widowControl/>
        <w:ind w:firstLine="640" w:firstLineChars="200"/>
        <w:jc w:val="left"/>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2020年本年支出合计</w:t>
      </w:r>
      <w:r>
        <w:rPr>
          <w:rFonts w:hint="eastAsia" w:ascii="仿宋_GB2312" w:hAnsi="Times New Roman" w:eastAsia="仿宋_GB2312" w:cs="Times New Roman"/>
          <w:sz w:val="32"/>
          <w:szCs w:val="32"/>
          <w:lang w:val="en-US" w:eastAsia="zh-CN"/>
        </w:rPr>
        <w:t>5095.82</w:t>
      </w:r>
      <w:r>
        <w:rPr>
          <w:rFonts w:hint="eastAsia" w:ascii="仿宋_GB2312" w:hAnsi="Times New Roman" w:eastAsia="仿宋_GB2312" w:cs="Times New Roman"/>
          <w:sz w:val="32"/>
          <w:szCs w:val="32"/>
        </w:rPr>
        <w:t>万元，其中：基本支出4109.2万元，占</w:t>
      </w:r>
      <w:r>
        <w:rPr>
          <w:rFonts w:hint="eastAsia" w:ascii="仿宋_GB2312" w:hAnsi="Times New Roman" w:eastAsia="仿宋_GB2312" w:cs="Times New Roman"/>
          <w:sz w:val="32"/>
          <w:szCs w:val="32"/>
          <w:lang w:val="en-US" w:eastAsia="zh-CN"/>
        </w:rPr>
        <w:t>78.49</w:t>
      </w:r>
      <w:r>
        <w:rPr>
          <w:rFonts w:hint="eastAsia" w:ascii="仿宋_GB2312" w:hAnsi="Times New Roman" w:eastAsia="仿宋_GB2312" w:cs="Times New Roman"/>
          <w:sz w:val="32"/>
          <w:szCs w:val="32"/>
        </w:rPr>
        <w:t>%；项目支出986.64万元，占</w:t>
      </w:r>
      <w:r>
        <w:rPr>
          <w:rFonts w:hint="eastAsia" w:ascii="仿宋_GB2312" w:hAnsi="Times New Roman" w:eastAsia="仿宋_GB2312" w:cs="Times New Roman"/>
          <w:sz w:val="32"/>
          <w:szCs w:val="32"/>
          <w:lang w:val="en-US" w:eastAsia="zh-CN"/>
        </w:rPr>
        <w:t>21.51</w:t>
      </w:r>
      <w:r>
        <w:rPr>
          <w:rFonts w:hint="eastAsia" w:ascii="仿宋_GB2312" w:hAnsi="Times New Roman" w:eastAsia="仿宋_GB2312" w:cs="Times New Roman"/>
          <w:sz w:val="32"/>
          <w:szCs w:val="32"/>
        </w:rPr>
        <w:t>%；</w:t>
      </w:r>
    </w:p>
    <w:p>
      <w:pPr>
        <w:widowControl/>
        <w:ind w:firstLine="640" w:firstLineChars="200"/>
        <w:jc w:val="left"/>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pict>
          <v:shape id="_x0000_i1027" o:spt="75" alt="UCK7DN68W8)DD7Z}5ZQWV%Y" type="#_x0000_t75" style="height:193.8pt;width:331.8pt;" filled="f" o:preferrelative="t" stroked="f" coordsize="21600,21600">
            <v:path/>
            <v:fill on="f" focussize="0,0"/>
            <v:stroke on="f"/>
            <v:imagedata r:id="rId8" o:title="UCK7DN68W8)DD7Z}5ZQWV%Y"/>
            <o:lock v:ext="edit" aspectratio="t"/>
            <w10:wrap type="none"/>
            <w10:anchorlock/>
          </v:shape>
        </w:pict>
      </w:r>
      <w:bookmarkStart w:id="40" w:name="_Toc15377208"/>
      <w:bookmarkStart w:id="41" w:name="_Toc15396606"/>
    </w:p>
    <w:p>
      <w:pPr>
        <w:pStyle w:val="38"/>
        <w:numPr>
          <w:ilvl w:val="0"/>
          <w:numId w:val="0"/>
        </w:numPr>
        <w:spacing w:line="600" w:lineRule="exact"/>
        <w:outlineLvl w:val="1"/>
        <w:rPr>
          <w:rFonts w:hint="eastAsia" w:ascii="黑体" w:hAnsi="黑体" w:eastAsia="黑体"/>
          <w:color w:val="000000"/>
          <w:sz w:val="32"/>
          <w:szCs w:val="32"/>
          <w:lang w:val="en-US" w:eastAsia="zh-CN"/>
        </w:rPr>
      </w:pPr>
      <w:bookmarkStart w:id="42" w:name="_Toc28947"/>
      <w:r>
        <w:rPr>
          <w:rFonts w:hint="eastAsia" w:ascii="黑体" w:hAnsi="黑体" w:eastAsia="黑体"/>
          <w:color w:val="000000"/>
          <w:sz w:val="32"/>
          <w:szCs w:val="32"/>
          <w:lang w:val="en-US" w:eastAsia="zh-CN"/>
        </w:rPr>
        <w:t>四、财政拨款收入支出决算总体情况说明</w:t>
      </w:r>
      <w:bookmarkEnd w:id="40"/>
      <w:bookmarkEnd w:id="41"/>
      <w:bookmarkEnd w:id="42"/>
    </w:p>
    <w:p>
      <w:pPr>
        <w:widowControl/>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2020年度财政拨款收入</w:t>
      </w:r>
      <w:r>
        <w:rPr>
          <w:rFonts w:hint="eastAsia" w:ascii="仿宋_GB2312" w:eastAsia="仿宋_GB2312" w:cs="Times New Roman"/>
          <w:sz w:val="32"/>
          <w:szCs w:val="32"/>
          <w:lang w:val="en-US" w:eastAsia="zh-CN"/>
        </w:rPr>
        <w:t>5</w:t>
      </w:r>
      <w:r>
        <w:rPr>
          <w:rFonts w:hint="eastAsia" w:ascii="仿宋_GB2312" w:hAnsi="Times New Roman" w:eastAsia="仿宋_GB2312" w:cs="Times New Roman"/>
          <w:sz w:val="32"/>
          <w:szCs w:val="32"/>
          <w:lang w:val="en-US" w:eastAsia="zh-CN"/>
        </w:rPr>
        <w:t>095.82万元、财政拨款支出5095.82万元。与2019年相比，</w:t>
      </w:r>
      <w:r>
        <w:rPr>
          <w:rFonts w:hint="eastAsia" w:ascii="仿宋_GB2312" w:hAnsi="Times New Roman" w:eastAsia="仿宋_GB2312" w:cs="Times New Roman"/>
          <w:sz w:val="32"/>
          <w:szCs w:val="32"/>
        </w:rPr>
        <w:t>收</w:t>
      </w:r>
      <w:r>
        <w:rPr>
          <w:rFonts w:hint="eastAsia" w:ascii="仿宋_GB2312" w:hAnsi="Times New Roman" w:eastAsia="仿宋_GB2312" w:cs="Times New Roman"/>
          <w:sz w:val="32"/>
          <w:szCs w:val="32"/>
          <w:lang w:eastAsia="zh-CN"/>
        </w:rPr>
        <w:t>入</w:t>
      </w:r>
      <w:r>
        <w:rPr>
          <w:rFonts w:hint="eastAsia" w:ascii="仿宋_GB2312" w:hAnsi="Times New Roman" w:eastAsia="仿宋_GB2312" w:cs="Times New Roman"/>
          <w:sz w:val="32"/>
          <w:szCs w:val="32"/>
        </w:rPr>
        <w:t>减少</w:t>
      </w:r>
      <w:r>
        <w:rPr>
          <w:rFonts w:hint="eastAsia" w:ascii="仿宋_GB2312" w:hAnsi="Times New Roman" w:eastAsia="仿宋_GB2312" w:cs="Times New Roman"/>
          <w:sz w:val="32"/>
          <w:szCs w:val="32"/>
          <w:lang w:val="en-US" w:eastAsia="zh-CN"/>
        </w:rPr>
        <w:t>8.28</w:t>
      </w:r>
      <w:r>
        <w:rPr>
          <w:rFonts w:hint="eastAsia" w:ascii="仿宋_GB2312" w:hAnsi="Times New Roman" w:eastAsia="仿宋_GB2312" w:cs="Times New Roman"/>
          <w:sz w:val="32"/>
          <w:szCs w:val="32"/>
        </w:rPr>
        <w:t>万元，下降</w:t>
      </w:r>
      <w:r>
        <w:rPr>
          <w:rFonts w:hint="eastAsia" w:ascii="仿宋_GB2312" w:hAnsi="Times New Roman" w:eastAsia="仿宋_GB2312" w:cs="Times New Roman"/>
          <w:sz w:val="32"/>
          <w:szCs w:val="32"/>
          <w:lang w:val="en-US" w:eastAsia="zh-CN"/>
        </w:rPr>
        <w:t>0.16%；支出</w:t>
      </w:r>
      <w:r>
        <w:rPr>
          <w:rFonts w:hint="eastAsia" w:ascii="仿宋_GB2312" w:hAnsi="Times New Roman" w:eastAsia="仿宋_GB2312" w:cs="Times New Roman"/>
          <w:sz w:val="32"/>
          <w:szCs w:val="32"/>
        </w:rPr>
        <w:t>减少</w:t>
      </w:r>
      <w:r>
        <w:rPr>
          <w:rFonts w:hint="eastAsia" w:ascii="仿宋_GB2312" w:hAnsi="Times New Roman" w:eastAsia="仿宋_GB2312" w:cs="Times New Roman"/>
          <w:sz w:val="32"/>
          <w:szCs w:val="32"/>
          <w:lang w:val="en-US" w:eastAsia="zh-CN"/>
        </w:rPr>
        <w:t>8.28</w:t>
      </w:r>
      <w:r>
        <w:rPr>
          <w:rFonts w:hint="eastAsia" w:ascii="仿宋_GB2312" w:hAnsi="Times New Roman" w:eastAsia="仿宋_GB2312" w:cs="Times New Roman"/>
          <w:sz w:val="32"/>
          <w:szCs w:val="32"/>
        </w:rPr>
        <w:t>万元，下降</w:t>
      </w:r>
      <w:r>
        <w:rPr>
          <w:rFonts w:hint="eastAsia" w:ascii="仿宋_GB2312" w:hAnsi="Times New Roman" w:eastAsia="仿宋_GB2312" w:cs="Times New Roman"/>
          <w:sz w:val="32"/>
          <w:szCs w:val="32"/>
          <w:lang w:val="en-US" w:eastAsia="zh-CN"/>
        </w:rPr>
        <w:t>0.16%。主要变动原因是项目减少，政府缩减开支。</w:t>
      </w:r>
    </w:p>
    <w:p>
      <w:pPr>
        <w:spacing w:line="240" w:lineRule="auto"/>
        <w:rPr>
          <w:rFonts w:hint="eastAsia" w:ascii="黑体" w:hAnsi="黑体" w:eastAsia="黑体"/>
          <w:color w:val="000000"/>
          <w:sz w:val="32"/>
          <w:szCs w:val="32"/>
        </w:rPr>
      </w:pPr>
      <w:r>
        <w:rPr>
          <w:rFonts w:hint="eastAsia" w:ascii="仿宋" w:hAnsi="仿宋" w:eastAsia="仿宋"/>
          <w:color w:val="000000"/>
          <w:sz w:val="32"/>
          <w:szCs w:val="32"/>
          <w:lang w:eastAsia="zh-CN"/>
        </w:rPr>
        <w:pict>
          <v:shape id="_x0000_i1028" o:spt="75" alt="@%I[F8R{TTL1$48FKD6R%O8" type="#_x0000_t75" style="height:242.1pt;width:414.95pt;" filled="f" o:preferrelative="t" stroked="f" coordsize="21600,21600">
            <v:path/>
            <v:fill on="f" focussize="0,0"/>
            <v:stroke on="f"/>
            <v:imagedata r:id="rId6" o:title="@%I[F8R{TTL1$48FKD6R%O8"/>
            <o:lock v:ext="edit" aspectratio="t"/>
            <w10:wrap type="none"/>
            <w10:anchorlock/>
          </v:shape>
        </w:pict>
      </w:r>
      <w:bookmarkStart w:id="43" w:name="_Toc15377209"/>
      <w:bookmarkStart w:id="44" w:name="_Toc15396607"/>
    </w:p>
    <w:p>
      <w:pPr>
        <w:spacing w:line="600" w:lineRule="exact"/>
        <w:outlineLvl w:val="1"/>
        <w:rPr>
          <w:rStyle w:val="33"/>
          <w:rFonts w:ascii="黑体" w:hAnsi="黑体" w:eastAsia="黑体"/>
          <w:b w:val="0"/>
        </w:rPr>
      </w:pPr>
      <w:bookmarkStart w:id="45" w:name="_Toc32270"/>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33"/>
          <w:rFonts w:hint="eastAsia" w:ascii="黑体" w:hAnsi="黑体" w:eastAsia="黑体"/>
          <w:b w:val="0"/>
        </w:rPr>
        <w:t>般公共</w:t>
      </w:r>
      <w:r>
        <w:rPr>
          <w:rFonts w:hint="eastAsia" w:ascii="黑体" w:hAnsi="黑体" w:eastAsia="黑体"/>
          <w:b w:val="0"/>
        </w:rPr>
        <w:t>预算财政拨款支出决算情况说明</w:t>
      </w:r>
      <w:bookmarkEnd w:id="43"/>
      <w:bookmarkEnd w:id="44"/>
      <w:bookmarkEnd w:id="45"/>
    </w:p>
    <w:p>
      <w:pPr>
        <w:spacing w:line="600" w:lineRule="exact"/>
        <w:ind w:firstLine="643" w:firstLineChars="200"/>
        <w:outlineLvl w:val="2"/>
        <w:rPr>
          <w:rFonts w:ascii="仿宋" w:hAnsi="仿宋" w:eastAsia="仿宋"/>
          <w:b/>
          <w:color w:val="000000"/>
          <w:sz w:val="32"/>
          <w:szCs w:val="32"/>
        </w:rPr>
      </w:pPr>
      <w:bookmarkStart w:id="46" w:name="_Toc2568"/>
      <w:bookmarkStart w:id="47" w:name="_Toc15377210"/>
      <w:r>
        <w:rPr>
          <w:rFonts w:hint="eastAsia" w:ascii="仿宋" w:hAnsi="仿宋" w:eastAsia="仿宋"/>
          <w:b/>
          <w:color w:val="000000"/>
          <w:sz w:val="32"/>
          <w:szCs w:val="32"/>
        </w:rPr>
        <w:t>（一）一般公共预算财政拨款支出决算总体情况</w:t>
      </w:r>
      <w:bookmarkEnd w:id="46"/>
      <w:bookmarkEnd w:id="47"/>
    </w:p>
    <w:p>
      <w:pPr>
        <w:widowControl/>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2020年一般公共预算财政拨款支出4334.28万元，占本年支出合计的100%。与2019年相比，一般公共预算财政拨款减少141.11万元，下降3.15%。主要变动原因是项目减少，政府缩减开支。</w:t>
      </w:r>
    </w:p>
    <w:p>
      <w:pPr>
        <w:spacing w:line="240" w:lineRule="auto"/>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pict>
          <v:shape id="_x0000_i1029" o:spt="75" alt="ZM]28SFX]D@G0B[7CEHBJUR" type="#_x0000_t75" style="height:276.3pt;width:415.1pt;" filled="f" o:preferrelative="t" stroked="f" coordsize="21600,21600">
            <v:path/>
            <v:fill on="f" focussize="0,0"/>
            <v:stroke on="f"/>
            <v:imagedata r:id="rId9" o:title="ZM]28SFX]D@G0B[7CEHBJUR"/>
            <o:lock v:ext="edit" aspectratio="t"/>
            <w10:wrap type="none"/>
            <w10:anchorlock/>
          </v:shape>
        </w:pict>
      </w:r>
    </w:p>
    <w:p>
      <w:pPr>
        <w:spacing w:line="600" w:lineRule="exact"/>
        <w:ind w:firstLine="643" w:firstLineChars="200"/>
        <w:outlineLvl w:val="2"/>
        <w:rPr>
          <w:rFonts w:ascii="仿宋" w:hAnsi="仿宋" w:eastAsia="仿宋"/>
          <w:b/>
          <w:color w:val="000000"/>
          <w:sz w:val="32"/>
          <w:szCs w:val="32"/>
        </w:rPr>
      </w:pPr>
      <w:bookmarkStart w:id="48" w:name="_Toc21383"/>
      <w:bookmarkStart w:id="49" w:name="_Toc15377211"/>
      <w:r>
        <w:rPr>
          <w:rFonts w:hint="eastAsia" w:ascii="仿宋" w:hAnsi="仿宋" w:eastAsia="仿宋"/>
          <w:b/>
          <w:color w:val="000000"/>
          <w:sz w:val="32"/>
          <w:szCs w:val="32"/>
        </w:rPr>
        <w:t>（二）一般公共预算财政拨款支出决算结构情况</w:t>
      </w:r>
      <w:bookmarkEnd w:id="48"/>
      <w:bookmarkEnd w:id="49"/>
    </w:p>
    <w:p>
      <w:pPr>
        <w:spacing w:line="600" w:lineRule="exact"/>
        <w:ind w:firstLine="640" w:firstLineChars="200"/>
        <w:outlineLvl w:val="9"/>
        <w:rPr>
          <w:rFonts w:hint="eastAsia" w:ascii="宋体" w:hAnsi="宋体"/>
          <w:color w:val="000000"/>
          <w:sz w:val="28"/>
          <w:szCs w:val="28"/>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_GB2312" w:hAnsi="Times New Roman" w:eastAsia="仿宋_GB2312" w:cs="Times New Roman"/>
          <w:sz w:val="32"/>
          <w:szCs w:val="32"/>
          <w:lang w:val="en-US" w:eastAsia="zh-CN"/>
        </w:rPr>
        <w:t>4334.28</w:t>
      </w:r>
      <w:r>
        <w:rPr>
          <w:rFonts w:hint="eastAsia" w:ascii="仿宋" w:hAnsi="仿宋" w:eastAsia="仿宋"/>
          <w:color w:val="000000"/>
          <w:sz w:val="32"/>
          <w:szCs w:val="32"/>
        </w:rPr>
        <w:t>万元，主要用于以下方</w:t>
      </w:r>
      <w:r>
        <w:rPr>
          <w:rFonts w:hint="eastAsia" w:ascii="仿宋" w:hAnsi="仿宋" w:eastAsia="仿宋"/>
          <w:color w:val="000000"/>
          <w:sz w:val="32"/>
          <w:szCs w:val="32"/>
          <w:lang w:val="en-US" w:eastAsia="zh-CN"/>
        </w:rPr>
        <w:t>面：</w:t>
      </w:r>
      <w:r>
        <w:rPr>
          <w:rFonts w:hint="eastAsia" w:ascii="仿宋" w:hAnsi="仿宋" w:eastAsia="仿宋"/>
          <w:b/>
          <w:color w:val="000000"/>
          <w:sz w:val="32"/>
          <w:szCs w:val="32"/>
          <w:lang w:val="en-US" w:eastAsia="zh-CN"/>
        </w:rPr>
        <w:t>一</w:t>
      </w:r>
      <w:r>
        <w:rPr>
          <w:rFonts w:hint="eastAsia" w:ascii="仿宋" w:hAnsi="仿宋" w:eastAsia="仿宋"/>
          <w:b/>
          <w:color w:val="000000"/>
          <w:sz w:val="32"/>
          <w:szCs w:val="32"/>
        </w:rPr>
        <w:t>般公共服务（类）</w:t>
      </w:r>
      <w:r>
        <w:rPr>
          <w:rFonts w:hint="eastAsia" w:ascii="仿宋" w:hAnsi="仿宋" w:eastAsia="仿宋"/>
          <w:color w:val="000000"/>
          <w:sz w:val="32"/>
          <w:szCs w:val="32"/>
        </w:rPr>
        <w:t>支出680.16万元，占</w:t>
      </w:r>
      <w:r>
        <w:rPr>
          <w:rFonts w:hint="eastAsia" w:ascii="仿宋" w:hAnsi="仿宋" w:eastAsia="仿宋"/>
          <w:color w:val="000000"/>
          <w:sz w:val="32"/>
          <w:szCs w:val="32"/>
          <w:lang w:val="en-US" w:eastAsia="zh-CN"/>
        </w:rPr>
        <w:t>15.96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1528.58万元，占</w:t>
      </w:r>
      <w:r>
        <w:rPr>
          <w:rFonts w:hint="eastAsia" w:ascii="仿宋" w:hAnsi="仿宋" w:eastAsia="仿宋"/>
          <w:color w:val="000000"/>
          <w:sz w:val="32"/>
          <w:szCs w:val="32"/>
          <w:lang w:val="en-US" w:eastAsia="zh-CN"/>
        </w:rPr>
        <w:t>35.27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文化旅游体育与传媒（类）</w:t>
      </w:r>
      <w:r>
        <w:rPr>
          <w:rFonts w:hint="eastAsia" w:ascii="仿宋" w:hAnsi="仿宋" w:eastAsia="仿宋" w:cs="Times New Roman"/>
          <w:color w:val="000000"/>
          <w:sz w:val="32"/>
          <w:szCs w:val="32"/>
        </w:rPr>
        <w:t>支出13.11万元，占</w:t>
      </w:r>
      <w:r>
        <w:rPr>
          <w:rFonts w:hint="eastAsia" w:ascii="仿宋" w:hAnsi="仿宋" w:eastAsia="仿宋" w:cs="Times New Roman"/>
          <w:color w:val="000000"/>
          <w:sz w:val="32"/>
          <w:szCs w:val="32"/>
          <w:lang w:val="en-US" w:eastAsia="zh-CN"/>
        </w:rPr>
        <w:t>0.3</w:t>
      </w:r>
      <w:r>
        <w:rPr>
          <w:rFonts w:hint="eastAsia" w:ascii="仿宋" w:hAnsi="仿宋" w:eastAsia="仿宋" w:cs="Times New Roman"/>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支出322.41万元，占</w:t>
      </w:r>
      <w:r>
        <w:rPr>
          <w:rFonts w:hint="eastAsia" w:ascii="仿宋" w:hAnsi="仿宋" w:eastAsia="仿宋"/>
          <w:color w:val="000000"/>
          <w:sz w:val="32"/>
          <w:szCs w:val="32"/>
          <w:lang w:val="en-US" w:eastAsia="zh-CN"/>
        </w:rPr>
        <w:t>7.44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rPr>
        <w:t>524.06万元，占</w:t>
      </w:r>
      <w:r>
        <w:rPr>
          <w:rFonts w:hint="eastAsia" w:ascii="仿宋" w:hAnsi="仿宋" w:eastAsia="仿宋"/>
          <w:color w:val="000000"/>
          <w:sz w:val="32"/>
          <w:szCs w:val="32"/>
          <w:lang w:val="en-US" w:eastAsia="zh-CN"/>
        </w:rPr>
        <w:t>12.09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宋体" w:hAnsi="宋体"/>
          <w:b/>
          <w:bCs/>
          <w:color w:val="000000"/>
          <w:sz w:val="28"/>
          <w:szCs w:val="28"/>
        </w:rPr>
        <w:t>节能环保</w:t>
      </w:r>
      <w:r>
        <w:rPr>
          <w:rFonts w:hint="eastAsia" w:ascii="仿宋" w:hAnsi="仿宋" w:eastAsia="仿宋"/>
          <w:b/>
          <w:bCs/>
          <w:color w:val="000000"/>
          <w:sz w:val="28"/>
          <w:szCs w:val="28"/>
        </w:rPr>
        <w:t>（类）</w:t>
      </w:r>
      <w:r>
        <w:rPr>
          <w:rFonts w:hint="eastAsia" w:ascii="宋体" w:hAnsi="宋体"/>
          <w:b w:val="0"/>
          <w:bCs w:val="0"/>
          <w:color w:val="000000"/>
          <w:sz w:val="28"/>
          <w:szCs w:val="28"/>
        </w:rPr>
        <w:t>支出</w:t>
      </w:r>
      <w:r>
        <w:rPr>
          <w:rFonts w:hint="eastAsia" w:ascii="宋体" w:hAnsi="宋体"/>
          <w:b w:val="0"/>
          <w:bCs w:val="0"/>
          <w:color w:val="000000"/>
          <w:sz w:val="28"/>
          <w:szCs w:val="28"/>
          <w:lang w:val="en-US" w:eastAsia="zh-CN"/>
        </w:rPr>
        <w:t>0.96</w:t>
      </w:r>
      <w:r>
        <w:rPr>
          <w:rFonts w:hint="eastAsia" w:ascii="宋体" w:hAnsi="宋体"/>
          <w:color w:val="000000"/>
          <w:sz w:val="28"/>
          <w:szCs w:val="28"/>
        </w:rPr>
        <w:t>万元，占0.</w:t>
      </w:r>
      <w:r>
        <w:rPr>
          <w:rFonts w:hint="eastAsia" w:ascii="宋体" w:hAnsi="宋体"/>
          <w:color w:val="000000"/>
          <w:sz w:val="28"/>
          <w:szCs w:val="28"/>
          <w:lang w:val="en-US" w:eastAsia="zh-CN"/>
        </w:rPr>
        <w:t>02</w:t>
      </w:r>
      <w:r>
        <w:rPr>
          <w:rFonts w:hint="eastAsia" w:ascii="宋体" w:hAnsi="宋体"/>
          <w:color w:val="000000"/>
          <w:sz w:val="28"/>
          <w:szCs w:val="28"/>
        </w:rPr>
        <w:t>%；</w:t>
      </w:r>
      <w:r>
        <w:rPr>
          <w:rFonts w:hint="eastAsia" w:ascii="宋体" w:hAnsi="宋体"/>
          <w:b/>
          <w:bCs/>
          <w:color w:val="000000"/>
          <w:sz w:val="28"/>
          <w:szCs w:val="28"/>
        </w:rPr>
        <w:t>农林水</w:t>
      </w:r>
      <w:r>
        <w:rPr>
          <w:rFonts w:hint="eastAsia" w:ascii="仿宋" w:hAnsi="仿宋" w:eastAsia="仿宋"/>
          <w:b/>
          <w:bCs/>
          <w:color w:val="000000"/>
          <w:sz w:val="28"/>
          <w:szCs w:val="28"/>
        </w:rPr>
        <w:t>（类）</w:t>
      </w:r>
      <w:r>
        <w:rPr>
          <w:rFonts w:hint="eastAsia" w:ascii="宋体" w:hAnsi="宋体"/>
          <w:b w:val="0"/>
          <w:bCs w:val="0"/>
          <w:color w:val="000000"/>
          <w:sz w:val="28"/>
          <w:szCs w:val="28"/>
        </w:rPr>
        <w:t>支出</w:t>
      </w:r>
      <w:r>
        <w:rPr>
          <w:rFonts w:hint="eastAsia" w:ascii="宋体" w:hAnsi="宋体"/>
          <w:b w:val="0"/>
          <w:bCs w:val="0"/>
          <w:color w:val="000000"/>
          <w:sz w:val="28"/>
          <w:szCs w:val="28"/>
          <w:lang w:val="en-US" w:eastAsia="zh-CN"/>
        </w:rPr>
        <w:t>1043.37</w:t>
      </w:r>
      <w:r>
        <w:rPr>
          <w:rFonts w:hint="eastAsia" w:ascii="宋体" w:hAnsi="宋体"/>
          <w:color w:val="000000"/>
          <w:sz w:val="28"/>
          <w:szCs w:val="28"/>
        </w:rPr>
        <w:t>万元，占</w:t>
      </w:r>
      <w:r>
        <w:rPr>
          <w:rFonts w:hint="eastAsia" w:ascii="宋体" w:hAnsi="宋体"/>
          <w:color w:val="000000"/>
          <w:sz w:val="28"/>
          <w:szCs w:val="28"/>
          <w:lang w:val="en-US" w:eastAsia="zh-CN"/>
        </w:rPr>
        <w:t>24.07</w:t>
      </w:r>
      <w:r>
        <w:rPr>
          <w:rFonts w:hint="eastAsia" w:ascii="宋体" w:hAnsi="宋体"/>
          <w:color w:val="000000"/>
          <w:sz w:val="28"/>
          <w:szCs w:val="28"/>
        </w:rPr>
        <w:t>%；</w:t>
      </w:r>
      <w:r>
        <w:rPr>
          <w:rFonts w:hint="eastAsia" w:ascii="仿宋" w:hAnsi="仿宋" w:eastAsia="仿宋" w:cs="Times New Roman"/>
          <w:b/>
          <w:bCs/>
          <w:color w:val="000000"/>
          <w:sz w:val="32"/>
          <w:szCs w:val="32"/>
          <w:lang w:eastAsia="zh-CN"/>
        </w:rPr>
        <w:t>交通运输支出</w:t>
      </w:r>
      <w:r>
        <w:rPr>
          <w:rFonts w:hint="eastAsia" w:ascii="仿宋" w:hAnsi="仿宋" w:eastAsia="仿宋"/>
          <w:b/>
          <w:bCs/>
          <w:color w:val="000000"/>
          <w:sz w:val="28"/>
          <w:szCs w:val="28"/>
        </w:rPr>
        <w:t>（类）</w:t>
      </w:r>
      <w:r>
        <w:rPr>
          <w:rFonts w:hint="eastAsia" w:ascii="宋体" w:hAnsi="宋体"/>
          <w:color w:val="000000"/>
          <w:sz w:val="28"/>
          <w:szCs w:val="28"/>
        </w:rPr>
        <w:t>支出</w:t>
      </w:r>
      <w:r>
        <w:rPr>
          <w:rFonts w:hint="eastAsia" w:ascii="宋体" w:hAnsi="宋体"/>
          <w:color w:val="000000"/>
          <w:sz w:val="28"/>
          <w:szCs w:val="28"/>
          <w:lang w:val="en-US" w:eastAsia="zh-CN"/>
        </w:rPr>
        <w:t>46.33</w:t>
      </w:r>
      <w:r>
        <w:rPr>
          <w:rFonts w:hint="eastAsia" w:ascii="宋体" w:hAnsi="宋体"/>
          <w:color w:val="000000"/>
          <w:sz w:val="28"/>
          <w:szCs w:val="28"/>
        </w:rPr>
        <w:t>万元，占</w:t>
      </w:r>
      <w:r>
        <w:rPr>
          <w:rFonts w:hint="eastAsia" w:ascii="宋体" w:hAnsi="宋体"/>
          <w:color w:val="000000"/>
          <w:sz w:val="28"/>
          <w:szCs w:val="28"/>
          <w:lang w:val="en-US" w:eastAsia="zh-CN"/>
        </w:rPr>
        <w:t>1.07</w:t>
      </w:r>
      <w:r>
        <w:rPr>
          <w:rFonts w:hint="eastAsia" w:ascii="宋体" w:hAnsi="宋体"/>
          <w:color w:val="000000"/>
          <w:sz w:val="28"/>
          <w:szCs w:val="28"/>
        </w:rPr>
        <w:t>%;</w:t>
      </w:r>
      <w:r>
        <w:rPr>
          <w:rFonts w:hint="eastAsia" w:ascii="宋体" w:hAnsi="宋体"/>
          <w:b/>
          <w:bCs/>
          <w:color w:val="000000"/>
          <w:sz w:val="28"/>
          <w:szCs w:val="28"/>
        </w:rPr>
        <w:t>住房保障</w:t>
      </w:r>
      <w:r>
        <w:rPr>
          <w:rFonts w:hint="eastAsia" w:ascii="仿宋" w:hAnsi="仿宋" w:eastAsia="仿宋"/>
          <w:b/>
          <w:bCs/>
          <w:color w:val="000000"/>
          <w:sz w:val="28"/>
          <w:szCs w:val="28"/>
        </w:rPr>
        <w:t>（类）</w:t>
      </w:r>
      <w:r>
        <w:rPr>
          <w:rFonts w:hint="eastAsia" w:ascii="宋体" w:hAnsi="宋体"/>
          <w:color w:val="000000"/>
          <w:sz w:val="28"/>
          <w:szCs w:val="28"/>
        </w:rPr>
        <w:t>支</w:t>
      </w:r>
      <w:r>
        <w:rPr>
          <w:rFonts w:hint="eastAsia" w:ascii="宋体" w:hAnsi="宋体"/>
          <w:color w:val="000000"/>
          <w:sz w:val="28"/>
          <w:szCs w:val="28"/>
          <w:lang w:eastAsia="zh-CN"/>
        </w:rPr>
        <w:t>出</w:t>
      </w:r>
      <w:r>
        <w:rPr>
          <w:rFonts w:hint="eastAsia" w:ascii="宋体" w:hAnsi="宋体"/>
          <w:color w:val="000000"/>
          <w:sz w:val="28"/>
          <w:szCs w:val="28"/>
          <w:lang w:val="en-US" w:eastAsia="zh-CN"/>
        </w:rPr>
        <w:t>171.71</w:t>
      </w:r>
      <w:r>
        <w:rPr>
          <w:rFonts w:hint="eastAsia" w:ascii="宋体" w:hAnsi="宋体"/>
          <w:color w:val="000000"/>
          <w:sz w:val="28"/>
          <w:szCs w:val="28"/>
        </w:rPr>
        <w:t>万元，占</w:t>
      </w:r>
      <w:r>
        <w:rPr>
          <w:rFonts w:hint="eastAsia" w:ascii="宋体" w:hAnsi="宋体"/>
          <w:color w:val="000000"/>
          <w:sz w:val="28"/>
          <w:szCs w:val="28"/>
          <w:lang w:val="en-US" w:eastAsia="zh-CN"/>
        </w:rPr>
        <w:t>3.96</w:t>
      </w:r>
      <w:r>
        <w:rPr>
          <w:rFonts w:hint="eastAsia" w:ascii="宋体" w:hAnsi="宋体"/>
          <w:color w:val="000000"/>
          <w:sz w:val="28"/>
          <w:szCs w:val="28"/>
        </w:rPr>
        <w:t>%。</w:t>
      </w:r>
    </w:p>
    <w:p>
      <w:pPr>
        <w:spacing w:line="240" w:lineRule="auto"/>
        <w:ind w:firstLine="643" w:firstLineChars="200"/>
        <w:outlineLvl w:val="9"/>
        <w:rPr>
          <w:rFonts w:hint="eastAsia" w:ascii="仿宋" w:hAnsi="仿宋" w:eastAsia="仿宋"/>
          <w:b/>
          <w:color w:val="000000"/>
          <w:sz w:val="32"/>
          <w:szCs w:val="32"/>
          <w:lang w:eastAsia="zh-CN"/>
        </w:rPr>
      </w:pPr>
      <w:bookmarkStart w:id="50" w:name="_Toc15377212"/>
      <w:r>
        <w:rPr>
          <w:rFonts w:hint="eastAsia" w:ascii="仿宋" w:hAnsi="仿宋" w:eastAsia="仿宋"/>
          <w:b/>
          <w:color w:val="000000"/>
          <w:sz w:val="32"/>
          <w:szCs w:val="32"/>
          <w:lang w:eastAsia="zh-CN"/>
        </w:rPr>
        <w:pict>
          <v:shape id="_x0000_i1030" o:spt="75" alt="FQM~VZKTDU]I){BRW{5K)}H" type="#_x0000_t75" style="height:251.55pt;width:415.1pt;" filled="f" o:preferrelative="t" stroked="f" coordsize="21600,21600">
            <v:path/>
            <v:fill on="f" focussize="0,0"/>
            <v:stroke on="f"/>
            <v:imagedata r:id="rId10" o:title="FQM~VZKTDU]I){BRW{5K)}H"/>
            <o:lock v:ext="edit" aspectratio="t"/>
            <w10:wrap type="none"/>
            <w10:anchorlock/>
          </v:shape>
        </w:pict>
      </w:r>
    </w:p>
    <w:bookmarkEnd w:id="50"/>
    <w:p>
      <w:pPr>
        <w:spacing w:line="600" w:lineRule="exact"/>
        <w:ind w:firstLine="643" w:firstLineChars="200"/>
        <w:outlineLvl w:val="2"/>
        <w:rPr>
          <w:rFonts w:ascii="仿宋" w:hAnsi="仿宋" w:eastAsia="仿宋"/>
          <w:b/>
          <w:color w:val="000000"/>
          <w:sz w:val="32"/>
          <w:szCs w:val="32"/>
        </w:rPr>
      </w:pPr>
      <w:bookmarkStart w:id="51" w:name="_Toc23604"/>
      <w:r>
        <w:rPr>
          <w:rFonts w:hint="eastAsia" w:ascii="仿宋" w:hAnsi="仿宋" w:eastAsia="仿宋"/>
          <w:b/>
          <w:color w:val="000000"/>
          <w:sz w:val="32"/>
          <w:szCs w:val="32"/>
        </w:rPr>
        <w:t>（三）一般公共预算财政拨款支出决算具体情况</w:t>
      </w:r>
      <w:bookmarkEnd w:id="51"/>
    </w:p>
    <w:p>
      <w:pPr>
        <w:spacing w:line="600" w:lineRule="exact"/>
        <w:ind w:firstLine="643" w:firstLineChars="200"/>
        <w:outlineLvl w:val="9"/>
        <w:rPr>
          <w:rFonts w:ascii="仿宋" w:hAnsi="仿宋" w:eastAsia="仿宋"/>
          <w:b/>
          <w:bCs/>
          <w:color w:val="000000"/>
          <w:sz w:val="32"/>
          <w:szCs w:val="32"/>
        </w:rPr>
      </w:pPr>
      <w:bookmarkStart w:id="52" w:name="_Toc15378460"/>
      <w:bookmarkStart w:id="53" w:name="_Toc15377444"/>
      <w:bookmarkStart w:id="54" w:name="_Toc15377213"/>
      <w:r>
        <w:rPr>
          <w:rFonts w:hint="eastAsia" w:ascii="仿宋" w:hAnsi="仿宋" w:eastAsia="仿宋"/>
          <w:b/>
          <w:color w:val="000000"/>
          <w:sz w:val="32"/>
          <w:szCs w:val="32"/>
        </w:rPr>
        <w:t>20</w:t>
      </w:r>
      <w:r>
        <w:rPr>
          <w:rFonts w:ascii="仿宋" w:hAnsi="仿宋" w:eastAsia="仿宋"/>
          <w:b/>
          <w:color w:val="000000"/>
          <w:sz w:val="32"/>
          <w:szCs w:val="32"/>
        </w:rPr>
        <w:t>20</w:t>
      </w:r>
      <w:r>
        <w:rPr>
          <w:rFonts w:hint="eastAsia" w:ascii="仿宋" w:hAnsi="仿宋" w:eastAsia="仿宋"/>
          <w:b/>
          <w:color w:val="000000"/>
          <w:sz w:val="32"/>
          <w:szCs w:val="32"/>
        </w:rPr>
        <w:t>年一般公共预算支出决算数为4334.28万元</w:t>
      </w:r>
      <w:r>
        <w:rPr>
          <w:rFonts w:hint="eastAsia" w:ascii="仿宋" w:hAnsi="仿宋" w:eastAsia="仿宋"/>
          <w:color w:val="000000"/>
          <w:sz w:val="32"/>
          <w:szCs w:val="32"/>
        </w:rPr>
        <w:t>，</w:t>
      </w:r>
      <w:r>
        <w:rPr>
          <w:rFonts w:hint="eastAsia" w:ascii="仿宋" w:hAnsi="仿宋" w:eastAsia="仿宋"/>
          <w:b/>
          <w:bCs/>
          <w:color w:val="000000"/>
          <w:sz w:val="32"/>
          <w:szCs w:val="32"/>
        </w:rPr>
        <w:t>完成预算</w:t>
      </w:r>
      <w:r>
        <w:rPr>
          <w:rFonts w:ascii="仿宋" w:hAnsi="仿宋" w:eastAsia="仿宋"/>
          <w:b/>
          <w:bCs/>
          <w:color w:val="000000"/>
          <w:sz w:val="32"/>
          <w:szCs w:val="32"/>
        </w:rPr>
        <w:t>100%</w:t>
      </w:r>
      <w:r>
        <w:rPr>
          <w:rFonts w:hint="eastAsia" w:ascii="仿宋" w:hAnsi="仿宋" w:eastAsia="仿宋"/>
          <w:b/>
          <w:bCs/>
          <w:color w:val="000000"/>
          <w:sz w:val="32"/>
          <w:szCs w:val="32"/>
        </w:rPr>
        <w:t>。其中：</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一般公共服务支出（类）人大事务（款）行政运行（项）: 支出决算为10.24万元，完成预算100%。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一般公共服务支出（类）政府办公厅（室）及相关机构事务（款）行政运行（项）:支出决算为546.73万元，完成预算100%。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一般公共服务支出（类）政府办公厅（室）及相关机构事务（款） 一般行政管理事务（项）: 支出决算为25万元，完成预算100%。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一般公共服务支出（类）财政事务（款）行政运行（项）: 支出决算为27.79万元，完成预算100%。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一般公共服务支出（类）财政事务（款）事业运行（项）: 支出决算为</w:t>
      </w:r>
      <w:r>
        <w:rPr>
          <w:rFonts w:hint="eastAsia" w:ascii="仿宋" w:hAnsi="仿宋" w:eastAsia="仿宋"/>
          <w:b/>
          <w:bCs/>
          <w:color w:val="000000"/>
          <w:sz w:val="32"/>
          <w:szCs w:val="32"/>
          <w:lang w:val="en-US" w:eastAsia="zh-CN"/>
        </w:rPr>
        <w:t>17.46</w:t>
      </w:r>
      <w:r>
        <w:rPr>
          <w:rFonts w:hint="eastAsia" w:ascii="仿宋" w:hAnsi="仿宋" w:eastAsia="仿宋"/>
          <w:b/>
          <w:bCs/>
          <w:color w:val="000000"/>
          <w:sz w:val="32"/>
          <w:szCs w:val="32"/>
        </w:rPr>
        <w:t>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一般公共服务支出（类）纪检监察事务（款）行政运行（项）: 支出决算为</w:t>
      </w:r>
      <w:r>
        <w:rPr>
          <w:rFonts w:hint="eastAsia" w:ascii="仿宋" w:hAnsi="仿宋" w:eastAsia="仿宋"/>
          <w:b/>
          <w:bCs/>
          <w:color w:val="000000"/>
          <w:sz w:val="32"/>
          <w:szCs w:val="32"/>
          <w:lang w:val="en-US" w:eastAsia="zh-CN"/>
        </w:rPr>
        <w:t>19.5</w:t>
      </w:r>
      <w:r>
        <w:rPr>
          <w:rFonts w:hint="eastAsia" w:ascii="仿宋" w:hAnsi="仿宋" w:eastAsia="仿宋"/>
          <w:b/>
          <w:bCs/>
          <w:color w:val="000000"/>
          <w:sz w:val="32"/>
          <w:szCs w:val="32"/>
        </w:rPr>
        <w:t>万元，完成预算100%</w:t>
      </w:r>
      <w:r>
        <w:rPr>
          <w:rFonts w:hint="eastAsia" w:ascii="仿宋" w:hAnsi="仿宋" w:eastAsia="仿宋"/>
          <w:b/>
          <w:bCs/>
          <w:color w:val="000000"/>
          <w:sz w:val="32"/>
          <w:szCs w:val="32"/>
          <w:lang w:eastAsia="zh-CN"/>
        </w:rPr>
        <w:t>。</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一般公共服务支出（类）党委办公厅（室）及相关机构事务（款）  行政运行（项）: 支出决算为32.64万元，完成预算100%。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一般公共服务支出（类其他一般公共服务支出（款）  其他一般公共服务支出（项）: 支出决算为0.8万元，完成预算100%。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教育支出（类）普通教育（款）学前教育（项）: 支出决算为8万元，完成预算100%。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教育支出（类）普通教育（款）小学教育（项）: 支出决算为864.3万元，完成预算100%。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教育支出（类）普通教育（款）初中教育（项）: 支出决算为501.86万元，完成预算100%。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教育支出（类）普通教育（款）其他普通教育支出（项）: 支出决算为130.88万元，完成预算100%。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教育支出（类）教育费附加安排的支出（款）</w:t>
      </w:r>
      <w:r>
        <w:rPr>
          <w:rFonts w:hint="eastAsia" w:ascii="仿宋" w:hAnsi="仿宋" w:eastAsia="仿宋"/>
          <w:b/>
          <w:bCs/>
          <w:color w:val="000000"/>
          <w:sz w:val="32"/>
          <w:szCs w:val="32"/>
          <w:lang w:val="en-US" w:eastAsia="zh-CN"/>
        </w:rPr>
        <w:t>其</w:t>
      </w:r>
      <w:r>
        <w:rPr>
          <w:rFonts w:hint="eastAsia" w:ascii="仿宋" w:hAnsi="仿宋" w:eastAsia="仿宋"/>
          <w:b/>
          <w:bCs/>
          <w:color w:val="000000"/>
          <w:sz w:val="32"/>
          <w:szCs w:val="32"/>
        </w:rPr>
        <w:t>他教育费附加安排的支出（项）: 支出决算为23.54万元，完成预算100%。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文化旅游体育与传媒（类）文化和旅游（款）其他文化和旅游支出（项）: 支出决算为</w:t>
      </w:r>
      <w:r>
        <w:rPr>
          <w:rFonts w:hint="eastAsia" w:ascii="仿宋" w:hAnsi="仿宋" w:eastAsia="仿宋"/>
          <w:b/>
          <w:bCs/>
          <w:color w:val="000000"/>
          <w:sz w:val="32"/>
          <w:szCs w:val="32"/>
          <w:lang w:val="en-US" w:eastAsia="zh-CN"/>
        </w:rPr>
        <w:t>6</w:t>
      </w:r>
      <w:r>
        <w:rPr>
          <w:rFonts w:hint="eastAsia" w:ascii="仿宋" w:hAnsi="仿宋" w:eastAsia="仿宋"/>
          <w:b/>
          <w:bCs/>
          <w:color w:val="000000"/>
          <w:sz w:val="32"/>
          <w:szCs w:val="32"/>
        </w:rPr>
        <w:t>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文化旅游体育与传媒（类）文化和旅游（款）广播（项）: 支出决算为7.11万元，完成预算100%。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社会保障和就业支出（类）人力资源和社会保障管理事务（款）社会保险经办机构（项）: 支出决算为50.16万元，完成预算100%。</w:t>
      </w:r>
    </w:p>
    <w:p>
      <w:pPr>
        <w:numPr>
          <w:ilvl w:val="0"/>
          <w:numId w:val="4"/>
        </w:numPr>
        <w:ind w:firstLine="643" w:firstLineChars="200"/>
        <w:outlineLvl w:val="9"/>
        <w:rPr>
          <w:rFonts w:ascii="仿宋" w:hAnsi="仿宋" w:eastAsia="仿宋"/>
          <w:b/>
          <w:bCs/>
          <w:color w:val="000000"/>
          <w:sz w:val="32"/>
          <w:szCs w:val="32"/>
        </w:rPr>
      </w:pPr>
      <w:r>
        <w:rPr>
          <w:rFonts w:hint="eastAsia" w:ascii="仿宋" w:hAnsi="仿宋" w:eastAsia="仿宋"/>
          <w:b/>
          <w:bCs/>
          <w:color w:val="000000"/>
          <w:sz w:val="32"/>
          <w:szCs w:val="32"/>
        </w:rPr>
        <w:t>社会保障和就业支出（类）行政事业单位养老支出（款） 机关事业单位基本养老保险缴费支出（项）: 支出决算为228.96万元，完成预算100%。</w:t>
      </w:r>
    </w:p>
    <w:p>
      <w:pPr>
        <w:numPr>
          <w:ilvl w:val="0"/>
          <w:numId w:val="4"/>
        </w:numPr>
        <w:ind w:firstLine="643" w:firstLineChars="200"/>
        <w:outlineLvl w:val="9"/>
        <w:rPr>
          <w:rFonts w:ascii="仿宋" w:hAnsi="仿宋" w:eastAsia="仿宋"/>
          <w:b/>
          <w:bCs/>
          <w:color w:val="000000"/>
          <w:sz w:val="32"/>
          <w:szCs w:val="32"/>
        </w:rPr>
      </w:pPr>
      <w:r>
        <w:rPr>
          <w:rFonts w:hint="eastAsia" w:ascii="仿宋" w:hAnsi="仿宋" w:eastAsia="仿宋"/>
          <w:b/>
          <w:bCs/>
          <w:color w:val="000000"/>
          <w:sz w:val="32"/>
          <w:szCs w:val="32"/>
        </w:rPr>
        <w:t>社会保障和就业支出（类）就业补助（款）公益性岗位补贴（项）: 支出决算为43.29万元，完成预算100%。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卫生健康支出（类）基层医疗卫生机构（款）乡镇卫生院（项）:支出决算为264.06万元，完成预算100%。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卫生健康支出（类）基层医疗卫生机构（款）其他基层医疗卫生机构支出（项）:支出决算为44.68万元，完成预算100%。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卫生健康支出（类）公共卫生（款）基本公共卫生服务（项）:支出决算为82.73万元，完成预算100%。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卫生健康支出（类）公共卫生（款）其他公共卫生支出（项）:支出决算为</w:t>
      </w:r>
      <w:r>
        <w:rPr>
          <w:rFonts w:hint="eastAsia" w:ascii="仿宋" w:hAnsi="仿宋" w:eastAsia="仿宋"/>
          <w:b/>
          <w:bCs/>
          <w:color w:val="000000"/>
          <w:sz w:val="32"/>
          <w:szCs w:val="32"/>
          <w:lang w:val="en-US" w:eastAsia="zh-CN"/>
        </w:rPr>
        <w:t>1.89</w:t>
      </w:r>
      <w:r>
        <w:rPr>
          <w:rFonts w:hint="eastAsia" w:ascii="仿宋" w:hAnsi="仿宋" w:eastAsia="仿宋"/>
          <w:b/>
          <w:bCs/>
          <w:color w:val="000000"/>
          <w:sz w:val="32"/>
          <w:szCs w:val="32"/>
        </w:rPr>
        <w:t>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卫生健康支出（类）行政事业单位医疗（款）  行政单位医疗（项）:支出决算为24.96万元，完成预算100%。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卫生健康支出（类）行政事业单位医疗（款）事业单位医疗（项）:支出决算为100.23万元，完成预算100%。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卫生健康支出（类）行政事业单位医疗（款）公务员医疗补助（项）:支出决算为5.51万元，完成预算100%。</w:t>
      </w:r>
    </w:p>
    <w:p>
      <w:pPr>
        <w:numPr>
          <w:ilvl w:val="0"/>
          <w:numId w:val="4"/>
        </w:numPr>
        <w:ind w:firstLine="643" w:firstLineChars="200"/>
        <w:outlineLvl w:val="9"/>
        <w:rPr>
          <w:rFonts w:ascii="仿宋" w:hAnsi="仿宋" w:eastAsia="仿宋"/>
          <w:bCs/>
          <w:color w:val="000000"/>
          <w:sz w:val="32"/>
          <w:szCs w:val="32"/>
        </w:rPr>
      </w:pPr>
      <w:r>
        <w:rPr>
          <w:rFonts w:hint="eastAsia" w:ascii="仿宋" w:hAnsi="仿宋" w:eastAsia="仿宋"/>
          <w:b/>
          <w:bCs/>
          <w:color w:val="000000"/>
          <w:sz w:val="32"/>
          <w:szCs w:val="32"/>
        </w:rPr>
        <w:t>节能环保支出（类）天然林保护（款）森林管护（项）:支出决算为0.96万元，完成预算100%。</w:t>
      </w:r>
    </w:p>
    <w:p>
      <w:pPr>
        <w:numPr>
          <w:ilvl w:val="0"/>
          <w:numId w:val="4"/>
        </w:numPr>
        <w:ind w:firstLine="643" w:firstLineChars="200"/>
        <w:outlineLvl w:val="9"/>
        <w:rPr>
          <w:rFonts w:ascii="仿宋" w:hAnsi="仿宋" w:eastAsia="仿宋"/>
          <w:b/>
          <w:bCs/>
          <w:color w:val="000000"/>
          <w:sz w:val="32"/>
          <w:szCs w:val="32"/>
        </w:rPr>
      </w:pPr>
      <w:r>
        <w:rPr>
          <w:rFonts w:hint="eastAsia" w:ascii="仿宋" w:hAnsi="仿宋" w:eastAsia="仿宋"/>
          <w:b/>
          <w:bCs/>
          <w:color w:val="000000"/>
          <w:sz w:val="32"/>
          <w:szCs w:val="32"/>
        </w:rPr>
        <w:t>农林水支出（类）农业农村（款）</w:t>
      </w:r>
      <w:r>
        <w:rPr>
          <w:rFonts w:hint="eastAsia" w:ascii="仿宋" w:hAnsi="仿宋" w:eastAsia="仿宋"/>
          <w:b/>
          <w:bCs/>
          <w:color w:val="000000"/>
          <w:sz w:val="32"/>
          <w:szCs w:val="32"/>
          <w:lang w:val="en-US" w:eastAsia="zh-CN"/>
        </w:rPr>
        <w:t>事业</w:t>
      </w:r>
      <w:r>
        <w:rPr>
          <w:rFonts w:hint="eastAsia" w:ascii="仿宋" w:hAnsi="仿宋" w:eastAsia="仿宋"/>
          <w:b/>
          <w:bCs/>
          <w:color w:val="000000"/>
          <w:sz w:val="32"/>
          <w:szCs w:val="32"/>
        </w:rPr>
        <w:t>运行（项）:支出决算为220.7万元，完成预算100%。</w:t>
      </w:r>
    </w:p>
    <w:p>
      <w:pPr>
        <w:numPr>
          <w:ilvl w:val="0"/>
          <w:numId w:val="4"/>
        </w:numPr>
        <w:ind w:firstLine="643" w:firstLineChars="200"/>
        <w:outlineLvl w:val="9"/>
        <w:rPr>
          <w:rFonts w:ascii="仿宋" w:hAnsi="仿宋" w:eastAsia="仿宋"/>
          <w:b/>
          <w:bCs/>
          <w:color w:val="000000"/>
          <w:sz w:val="32"/>
          <w:szCs w:val="32"/>
        </w:rPr>
      </w:pPr>
      <w:r>
        <w:rPr>
          <w:rFonts w:hint="eastAsia" w:ascii="仿宋" w:hAnsi="仿宋" w:eastAsia="仿宋"/>
          <w:b/>
          <w:bCs/>
          <w:color w:val="000000"/>
          <w:sz w:val="32"/>
          <w:szCs w:val="32"/>
        </w:rPr>
        <w:t>农林水支出（类）农业农村（款）林业和草原（项）:支出决算为27.58万元，完成预算100%。</w:t>
      </w:r>
    </w:p>
    <w:p>
      <w:pPr>
        <w:numPr>
          <w:ilvl w:val="0"/>
          <w:numId w:val="4"/>
        </w:numPr>
        <w:ind w:firstLine="643" w:firstLineChars="200"/>
        <w:outlineLvl w:val="9"/>
        <w:rPr>
          <w:rFonts w:ascii="仿宋" w:hAnsi="仿宋" w:eastAsia="仿宋"/>
          <w:b/>
          <w:bCs/>
          <w:color w:val="000000"/>
          <w:sz w:val="32"/>
          <w:szCs w:val="32"/>
        </w:rPr>
      </w:pPr>
      <w:r>
        <w:rPr>
          <w:rFonts w:hint="eastAsia" w:ascii="仿宋" w:hAnsi="仿宋" w:eastAsia="仿宋"/>
          <w:b/>
          <w:bCs/>
          <w:color w:val="000000"/>
          <w:sz w:val="32"/>
          <w:szCs w:val="32"/>
        </w:rPr>
        <w:t>农林水支出（类）扶贫（款）农村基础设施建设（项）:支出决算为317.76万元，完成预算100%。</w:t>
      </w:r>
    </w:p>
    <w:p>
      <w:pPr>
        <w:numPr>
          <w:ilvl w:val="0"/>
          <w:numId w:val="4"/>
        </w:numPr>
        <w:ind w:firstLine="643" w:firstLineChars="200"/>
        <w:outlineLvl w:val="9"/>
        <w:rPr>
          <w:rFonts w:ascii="仿宋" w:hAnsi="仿宋" w:eastAsia="仿宋"/>
          <w:b/>
          <w:bCs/>
          <w:color w:val="000000"/>
          <w:sz w:val="32"/>
          <w:szCs w:val="32"/>
        </w:rPr>
      </w:pPr>
      <w:r>
        <w:rPr>
          <w:rFonts w:hint="eastAsia" w:ascii="仿宋" w:hAnsi="仿宋" w:eastAsia="仿宋"/>
          <w:b/>
          <w:bCs/>
          <w:color w:val="000000"/>
          <w:sz w:val="32"/>
          <w:szCs w:val="32"/>
        </w:rPr>
        <w:t>农林水支出（类）扶贫（款）生产发展（项）:支出决算为1.6万元，完成预算100%。</w:t>
      </w:r>
    </w:p>
    <w:p>
      <w:pPr>
        <w:numPr>
          <w:ilvl w:val="0"/>
          <w:numId w:val="4"/>
        </w:numPr>
        <w:ind w:firstLine="643" w:firstLineChars="200"/>
        <w:outlineLvl w:val="9"/>
        <w:rPr>
          <w:rFonts w:ascii="仿宋" w:hAnsi="仿宋" w:eastAsia="仿宋"/>
          <w:b/>
          <w:bCs/>
          <w:color w:val="000000"/>
          <w:sz w:val="32"/>
          <w:szCs w:val="32"/>
        </w:rPr>
      </w:pPr>
      <w:r>
        <w:rPr>
          <w:rFonts w:hint="eastAsia" w:ascii="仿宋" w:hAnsi="仿宋" w:eastAsia="仿宋"/>
          <w:b/>
          <w:bCs/>
          <w:color w:val="000000"/>
          <w:sz w:val="32"/>
          <w:szCs w:val="32"/>
        </w:rPr>
        <w:t>农林水支出（类）扶贫（款）其他扶贫支出（项）:支出决算为153.4万元，完成预算100%。</w:t>
      </w:r>
    </w:p>
    <w:p>
      <w:pPr>
        <w:numPr>
          <w:ilvl w:val="0"/>
          <w:numId w:val="4"/>
        </w:numPr>
        <w:ind w:firstLine="643" w:firstLineChars="200"/>
        <w:outlineLvl w:val="9"/>
        <w:rPr>
          <w:rFonts w:ascii="仿宋" w:hAnsi="仿宋" w:eastAsia="仿宋"/>
          <w:b/>
          <w:bCs/>
          <w:color w:val="000000"/>
          <w:sz w:val="32"/>
          <w:szCs w:val="32"/>
        </w:rPr>
      </w:pPr>
      <w:r>
        <w:rPr>
          <w:rFonts w:hint="eastAsia" w:ascii="仿宋" w:hAnsi="仿宋" w:eastAsia="仿宋"/>
          <w:b/>
          <w:bCs/>
          <w:color w:val="000000"/>
          <w:sz w:val="32"/>
          <w:szCs w:val="32"/>
        </w:rPr>
        <w:t>农林水支出（类）农村综合改革（款）对村民委员会和村党支部的补助（项）:支出决算为322.33万元，完成预算100%。</w:t>
      </w:r>
    </w:p>
    <w:p>
      <w:pPr>
        <w:numPr>
          <w:ilvl w:val="0"/>
          <w:numId w:val="4"/>
        </w:numPr>
        <w:ind w:firstLine="643" w:firstLineChars="200"/>
        <w:outlineLvl w:val="9"/>
        <w:rPr>
          <w:rFonts w:ascii="仿宋" w:hAnsi="仿宋" w:eastAsia="仿宋"/>
          <w:b/>
          <w:bCs/>
          <w:color w:val="000000"/>
          <w:sz w:val="32"/>
          <w:szCs w:val="32"/>
        </w:rPr>
      </w:pPr>
      <w:r>
        <w:rPr>
          <w:rFonts w:hint="eastAsia" w:ascii="仿宋" w:hAnsi="仿宋" w:eastAsia="仿宋"/>
          <w:b/>
          <w:bCs/>
          <w:color w:val="000000"/>
          <w:sz w:val="32"/>
          <w:szCs w:val="32"/>
        </w:rPr>
        <w:t>交通运输支出（类）公路水路运输（款）  公路运输管理（项）:支出决算为46.33万元，完成预算100%。</w:t>
      </w:r>
    </w:p>
    <w:p>
      <w:pPr>
        <w:numPr>
          <w:ilvl w:val="0"/>
          <w:numId w:val="4"/>
        </w:numPr>
        <w:ind w:firstLine="643" w:firstLineChars="200"/>
        <w:outlineLvl w:val="9"/>
        <w:rPr>
          <w:rFonts w:ascii="仿宋" w:hAnsi="仿宋" w:eastAsia="仿宋"/>
          <w:b/>
          <w:bCs/>
          <w:color w:val="000000"/>
          <w:sz w:val="32"/>
          <w:szCs w:val="32"/>
        </w:rPr>
      </w:pPr>
      <w:r>
        <w:rPr>
          <w:rFonts w:hint="eastAsia" w:ascii="仿宋" w:hAnsi="仿宋" w:eastAsia="仿宋"/>
          <w:b/>
          <w:bCs/>
          <w:color w:val="000000"/>
          <w:sz w:val="32"/>
          <w:szCs w:val="32"/>
        </w:rPr>
        <w:t>商业服务业等（类）商业流通事务（款）其他商业流通事务（项）:支出决算为3.6万元，完成预算100%。</w:t>
      </w:r>
    </w:p>
    <w:p>
      <w:pPr>
        <w:numPr>
          <w:ilvl w:val="0"/>
          <w:numId w:val="4"/>
        </w:numPr>
        <w:ind w:firstLine="643" w:firstLineChars="200"/>
        <w:outlineLvl w:val="9"/>
        <w:rPr>
          <w:rFonts w:hint="eastAsia" w:ascii="仿宋" w:hAnsi="仿宋" w:eastAsia="仿宋"/>
          <w:b/>
          <w:bCs/>
          <w:color w:val="000000"/>
          <w:sz w:val="32"/>
          <w:szCs w:val="32"/>
        </w:rPr>
      </w:pPr>
      <w:r>
        <w:rPr>
          <w:rFonts w:hint="eastAsia" w:ascii="仿宋" w:hAnsi="仿宋" w:eastAsia="仿宋"/>
          <w:b/>
          <w:bCs/>
          <w:color w:val="000000"/>
          <w:sz w:val="32"/>
          <w:szCs w:val="32"/>
        </w:rPr>
        <w:t>住房保障支出（类）住房改革支出（款）  住房公积金（项）:支出决算为171.71万元，完成预算100%。</w:t>
      </w:r>
    </w:p>
    <w:bookmarkEnd w:id="52"/>
    <w:bookmarkEnd w:id="53"/>
    <w:bookmarkEnd w:id="54"/>
    <w:p>
      <w:pPr>
        <w:tabs>
          <w:tab w:val="right" w:pos="8306"/>
        </w:tabs>
        <w:spacing w:line="600" w:lineRule="exact"/>
        <w:ind w:firstLine="640"/>
        <w:outlineLvl w:val="1"/>
      </w:pPr>
      <w:bookmarkStart w:id="55" w:name="_Toc15377214"/>
      <w:bookmarkStart w:id="56" w:name="_Toc19039"/>
      <w:bookmarkStart w:id="5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42"/>
          <w:rFonts w:hint="eastAsia" w:ascii="黑体" w:hAnsi="黑体" w:eastAsia="黑体"/>
          <w:b w:val="0"/>
        </w:rPr>
        <w:t>般公共</w:t>
      </w:r>
      <w:r>
        <w:rPr>
          <w:rFonts w:hint="eastAsia" w:ascii="黑体" w:hAnsi="黑体" w:eastAsia="黑体"/>
          <w:b w:val="0"/>
        </w:rPr>
        <w:t>预算财政拨款基本支出决算情况说明</w:t>
      </w:r>
      <w:bookmarkEnd w:id="55"/>
      <w:bookmarkEnd w:id="56"/>
      <w:bookmarkEnd w:id="57"/>
      <w:r>
        <w:rPr>
          <w:rStyle w:val="42"/>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年一般公共预算财政拨款基本支出4334.28万元，其中：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3187.36</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1146.92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42"/>
          <w:rFonts w:ascii="黑体" w:hAnsi="黑体" w:eastAsia="黑体"/>
          <w:b w:val="0"/>
        </w:rPr>
      </w:pPr>
      <w:bookmarkStart w:id="58" w:name="_Toc15377215"/>
      <w:bookmarkStart w:id="59" w:name="_Toc15396609"/>
      <w:bookmarkStart w:id="60" w:name="_Toc59"/>
      <w:r>
        <w:rPr>
          <w:rFonts w:hint="eastAsia" w:ascii="黑体" w:eastAsia="黑体"/>
          <w:color w:val="000000"/>
          <w:sz w:val="32"/>
          <w:szCs w:val="32"/>
        </w:rPr>
        <w:t>七、</w:t>
      </w:r>
      <w:r>
        <w:rPr>
          <w:rStyle w:val="42"/>
          <w:rFonts w:hint="eastAsia" w:ascii="黑体" w:hAnsi="黑体" w:eastAsia="黑体"/>
        </w:rPr>
        <w:t>“</w:t>
      </w:r>
      <w:r>
        <w:rPr>
          <w:rStyle w:val="42"/>
          <w:rFonts w:hint="eastAsia" w:ascii="黑体" w:hAnsi="黑体" w:eastAsia="黑体"/>
          <w:b w:val="0"/>
        </w:rPr>
        <w:t>三公”经费财政拨款支出决算情况说明</w:t>
      </w:r>
      <w:bookmarkEnd w:id="58"/>
      <w:bookmarkEnd w:id="59"/>
      <w:bookmarkEnd w:id="60"/>
    </w:p>
    <w:p>
      <w:pPr>
        <w:spacing w:line="600" w:lineRule="exact"/>
        <w:ind w:firstLine="640"/>
        <w:outlineLvl w:val="2"/>
        <w:rPr>
          <w:rFonts w:ascii="仿宋" w:hAnsi="仿宋" w:eastAsia="仿宋"/>
          <w:b/>
          <w:color w:val="000000"/>
          <w:sz w:val="32"/>
          <w:szCs w:val="32"/>
        </w:rPr>
      </w:pPr>
      <w:bookmarkStart w:id="61" w:name="_Toc15377216"/>
      <w:bookmarkStart w:id="62" w:name="_Toc21187"/>
      <w:r>
        <w:rPr>
          <w:rFonts w:hint="eastAsia" w:ascii="仿宋" w:hAnsi="仿宋" w:eastAsia="仿宋"/>
          <w:b/>
          <w:color w:val="000000"/>
          <w:sz w:val="32"/>
          <w:szCs w:val="32"/>
        </w:rPr>
        <w:t>（一）“三公”经费财政拨款支出决算总体情况说明</w:t>
      </w:r>
      <w:bookmarkEnd w:id="61"/>
      <w:bookmarkEnd w:id="6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5.1</w:t>
      </w:r>
      <w:r>
        <w:rPr>
          <w:rFonts w:hint="eastAsia" w:ascii="仿宋" w:hAnsi="仿宋" w:eastAsia="仿宋"/>
          <w:color w:val="000000"/>
          <w:sz w:val="32"/>
          <w:szCs w:val="32"/>
        </w:rPr>
        <w:t>万元，完成预算</w:t>
      </w:r>
      <w:r>
        <w:rPr>
          <w:rFonts w:ascii="仿宋" w:hAnsi="仿宋" w:eastAsia="仿宋"/>
          <w:color w:val="000000"/>
          <w:sz w:val="32"/>
          <w:szCs w:val="32"/>
        </w:rPr>
        <w:t>98.22%</w:t>
      </w:r>
      <w:r>
        <w:rPr>
          <w:rFonts w:hint="eastAsia" w:ascii="仿宋" w:hAnsi="仿宋" w:eastAsia="仿宋"/>
          <w:color w:val="000000"/>
          <w:sz w:val="32"/>
          <w:szCs w:val="32"/>
        </w:rPr>
        <w:t>，决算数小于预算数（或与预算数持平）的主要原因是公务接待次数减少。</w:t>
      </w:r>
    </w:p>
    <w:p>
      <w:pPr>
        <w:spacing w:line="600" w:lineRule="exact"/>
        <w:ind w:firstLine="640"/>
        <w:outlineLvl w:val="2"/>
        <w:rPr>
          <w:rFonts w:ascii="仿宋" w:hAnsi="仿宋" w:eastAsia="仿宋"/>
          <w:b/>
          <w:color w:val="000000"/>
          <w:sz w:val="32"/>
          <w:szCs w:val="32"/>
        </w:rPr>
      </w:pPr>
      <w:bookmarkStart w:id="63" w:name="_Toc15377217"/>
      <w:bookmarkStart w:id="64" w:name="_Toc24386"/>
      <w:r>
        <w:rPr>
          <w:rFonts w:hint="eastAsia" w:ascii="仿宋" w:hAnsi="仿宋" w:eastAsia="仿宋"/>
          <w:b/>
          <w:color w:val="000000"/>
          <w:sz w:val="32"/>
          <w:szCs w:val="32"/>
        </w:rPr>
        <w:t>（二）“三公”经费财政拨款支出决算具体情况说明</w:t>
      </w:r>
      <w:bookmarkEnd w:id="63"/>
      <w:bookmarkEnd w:id="64"/>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5.1</w:t>
      </w:r>
      <w:r>
        <w:rPr>
          <w:rFonts w:ascii="仿宋" w:hAnsi="仿宋" w:eastAsia="仿宋"/>
          <w:color w:val="000000"/>
          <w:sz w:val="32"/>
          <w:szCs w:val="32"/>
        </w:rPr>
        <w:t>3</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p>
    <w:p>
      <w:pPr>
        <w:spacing w:line="240" w:lineRule="auto"/>
        <w:ind w:firstLine="640"/>
        <w:rPr>
          <w:rFonts w:hint="eastAsia" w:ascii="仿宋" w:hAnsi="仿宋" w:eastAsia="仿宋"/>
          <w:color w:val="000000"/>
          <w:sz w:val="32"/>
          <w:szCs w:val="32"/>
        </w:rPr>
      </w:pPr>
      <w:r>
        <w:rPr>
          <w:rFonts w:hint="eastAsia" w:ascii="仿宋" w:hAnsi="仿宋" w:eastAsia="仿宋"/>
          <w:color w:val="000000"/>
          <w:sz w:val="32"/>
          <w:szCs w:val="32"/>
          <w:lang w:eastAsia="zh-CN"/>
        </w:rPr>
        <w:pict>
          <v:shape id="_x0000_i1031" o:spt="75" alt="Y[W1S7A58D(F8CHABQV@WOU" type="#_x0000_t75" style="height:244.55pt;width:415.25pt;" filled="f" o:preferrelative="t" stroked="f" coordsize="21600,21600">
            <v:path/>
            <v:fill on="f" focussize="0,0"/>
            <v:stroke on="f"/>
            <v:imagedata r:id="rId11" o:title="Y[W1S7A58D(F8CHABQV@WOU"/>
            <o:lock v:ext="edit" aspectratio="t"/>
            <w10:wrap type="none"/>
            <w10:anchorlock/>
          </v:shape>
        </w:pict>
      </w:r>
    </w:p>
    <w:p>
      <w:pPr>
        <w:spacing w:line="600" w:lineRule="exact"/>
        <w:rPr>
          <w:rFonts w:hint="eastAsia"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无因公出国（境）经费支出。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 xml:space="preserve"> 无公务用车购置及运行维护费支出</w:t>
      </w:r>
      <w:r>
        <w:rPr>
          <w:rFonts w:hint="eastAsia" w:ascii="仿宋_GB2312" w:eastAsia="仿宋_GB2312"/>
          <w:color w:val="000000"/>
          <w:sz w:val="32"/>
          <w:szCs w:val="32"/>
        </w:rPr>
        <w:t>。</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 w:hAnsi="仿宋" w:eastAsia="仿宋"/>
          <w:color w:val="000000"/>
          <w:sz w:val="32"/>
          <w:szCs w:val="32"/>
          <w:lang w:val="en-US" w:eastAsia="zh-CN"/>
        </w:rPr>
        <w:t>5.1</w:t>
      </w:r>
      <w:r>
        <w:rPr>
          <w:rFonts w:ascii="仿宋" w:hAnsi="仿宋" w:eastAsia="仿宋"/>
          <w:color w:val="000000"/>
          <w:sz w:val="32"/>
          <w:szCs w:val="32"/>
        </w:rPr>
        <w:t>3</w:t>
      </w:r>
      <w:r>
        <w:rPr>
          <w:rFonts w:hint="eastAsia" w:ascii="仿宋_GB2312" w:eastAsia="仿宋_GB2312"/>
          <w:color w:val="000000"/>
          <w:sz w:val="32"/>
          <w:szCs w:val="32"/>
        </w:rPr>
        <w:t>万元，完成预算</w:t>
      </w:r>
      <w:r>
        <w:rPr>
          <w:rFonts w:ascii="仿宋_GB2312" w:eastAsia="仿宋_GB2312"/>
          <w:color w:val="000000"/>
          <w:sz w:val="32"/>
          <w:szCs w:val="32"/>
        </w:rPr>
        <w:t>98.22%</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年的3</w:t>
      </w:r>
      <w:r>
        <w:rPr>
          <w:rFonts w:ascii="仿宋_GB2312" w:eastAsia="仿宋_GB2312"/>
          <w:color w:val="000000"/>
          <w:sz w:val="32"/>
          <w:szCs w:val="32"/>
        </w:rPr>
        <w:t>.</w:t>
      </w:r>
      <w:r>
        <w:rPr>
          <w:rFonts w:hint="eastAsia" w:ascii="仿宋_GB2312" w:eastAsia="仿宋_GB2312"/>
          <w:color w:val="000000"/>
          <w:sz w:val="32"/>
          <w:szCs w:val="32"/>
          <w:lang w:val="en-US" w:eastAsia="zh-CN"/>
        </w:rPr>
        <w:t>43</w:t>
      </w:r>
      <w:r>
        <w:rPr>
          <w:rFonts w:hint="eastAsia" w:ascii="仿宋_GB2312" w:eastAsia="仿宋_GB2312"/>
          <w:color w:val="000000"/>
          <w:sz w:val="32"/>
          <w:szCs w:val="32"/>
        </w:rPr>
        <w:t>万元增加</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万元，增长8</w:t>
      </w:r>
      <w:r>
        <w:rPr>
          <w:rFonts w:ascii="仿宋_GB2312" w:eastAsia="仿宋_GB2312"/>
          <w:color w:val="000000"/>
          <w:sz w:val="32"/>
          <w:szCs w:val="32"/>
        </w:rPr>
        <w:t>2.64%</w:t>
      </w:r>
      <w:r>
        <w:rPr>
          <w:rFonts w:hint="eastAsia" w:ascii="仿宋_GB2312" w:eastAsia="仿宋_GB2312"/>
          <w:color w:val="000000"/>
          <w:sz w:val="32"/>
          <w:szCs w:val="32"/>
        </w:rPr>
        <w:t>。主要原因是乡镇行政区划调整，原</w:t>
      </w:r>
      <w:r>
        <w:rPr>
          <w:rFonts w:hint="eastAsia" w:ascii="仿宋_GB2312" w:eastAsia="仿宋_GB2312"/>
          <w:color w:val="000000"/>
          <w:sz w:val="32"/>
          <w:szCs w:val="32"/>
          <w:lang w:val="en-US" w:eastAsia="zh-CN"/>
        </w:rPr>
        <w:t>朱元乡</w:t>
      </w:r>
      <w:r>
        <w:rPr>
          <w:rFonts w:hint="eastAsia" w:ascii="仿宋_GB2312" w:eastAsia="仿宋_GB2312"/>
          <w:color w:val="000000"/>
          <w:sz w:val="32"/>
          <w:szCs w:val="32"/>
        </w:rPr>
        <w:t>的并入。其中：</w:t>
      </w: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5.1</w:t>
      </w:r>
      <w:r>
        <w:rPr>
          <w:rFonts w:ascii="仿宋" w:hAnsi="仿宋" w:eastAsia="仿宋"/>
          <w:color w:val="000000"/>
          <w:sz w:val="32"/>
          <w:szCs w:val="32"/>
        </w:rPr>
        <w:t>3</w:t>
      </w:r>
      <w:r>
        <w:rPr>
          <w:rFonts w:hint="eastAsia" w:ascii="仿宋_GB2312" w:eastAsia="仿宋_GB2312"/>
          <w:color w:val="000000"/>
          <w:sz w:val="32"/>
          <w:szCs w:val="32"/>
        </w:rPr>
        <w:t>万元，主要用于国内公务接待。国内公务接待</w:t>
      </w:r>
      <w:r>
        <w:rPr>
          <w:rFonts w:ascii="仿宋_GB2312" w:eastAsia="仿宋_GB2312"/>
          <w:color w:val="000000"/>
          <w:sz w:val="32"/>
          <w:szCs w:val="32"/>
        </w:rPr>
        <w:t>175</w:t>
      </w:r>
      <w:r>
        <w:rPr>
          <w:rFonts w:hint="eastAsia" w:ascii="仿宋_GB2312" w:eastAsia="仿宋_GB2312"/>
          <w:color w:val="000000"/>
          <w:sz w:val="32"/>
          <w:szCs w:val="32"/>
        </w:rPr>
        <w:t>批次，</w:t>
      </w:r>
      <w:r>
        <w:rPr>
          <w:rFonts w:ascii="仿宋_GB2312" w:eastAsia="仿宋_GB2312"/>
          <w:color w:val="000000"/>
          <w:sz w:val="32"/>
          <w:szCs w:val="32"/>
        </w:rPr>
        <w:t>1458</w:t>
      </w:r>
      <w:r>
        <w:rPr>
          <w:rFonts w:hint="eastAsia" w:ascii="仿宋_GB2312" w:eastAsia="仿宋_GB2312"/>
          <w:color w:val="000000"/>
          <w:sz w:val="32"/>
          <w:szCs w:val="32"/>
        </w:rPr>
        <w:t>人次（不包括陪同人员），共计支出</w:t>
      </w:r>
      <w:r>
        <w:rPr>
          <w:rFonts w:hint="eastAsia" w:ascii="仿宋" w:hAnsi="仿宋" w:eastAsia="仿宋"/>
          <w:color w:val="000000"/>
          <w:sz w:val="32"/>
          <w:szCs w:val="32"/>
          <w:lang w:val="en-US" w:eastAsia="zh-CN"/>
        </w:rPr>
        <w:t>5.1</w:t>
      </w:r>
      <w:r>
        <w:rPr>
          <w:rFonts w:ascii="仿宋" w:hAnsi="仿宋" w:eastAsia="仿宋"/>
          <w:color w:val="000000"/>
          <w:sz w:val="32"/>
          <w:szCs w:val="32"/>
        </w:rPr>
        <w:t>3</w:t>
      </w:r>
      <w:r>
        <w:rPr>
          <w:rFonts w:hint="eastAsia" w:ascii="仿宋_GB2312" w:eastAsia="仿宋_GB2312"/>
          <w:color w:val="000000"/>
          <w:sz w:val="32"/>
          <w:szCs w:val="32"/>
        </w:rPr>
        <w:t>万元。</w:t>
      </w:r>
    </w:p>
    <w:p>
      <w:pPr>
        <w:spacing w:line="600" w:lineRule="exact"/>
        <w:ind w:firstLine="640"/>
        <w:outlineLvl w:val="1"/>
        <w:rPr>
          <w:rStyle w:val="42"/>
          <w:rFonts w:ascii="黑体" w:hAnsi="黑体" w:eastAsia="黑体"/>
        </w:rPr>
      </w:pPr>
      <w:bookmarkStart w:id="65" w:name="_Toc15396610"/>
      <w:bookmarkStart w:id="66" w:name="_Toc15377218"/>
      <w:bookmarkStart w:id="67" w:name="_Toc19502"/>
      <w:r>
        <w:rPr>
          <w:rFonts w:hint="eastAsia" w:ascii="黑体" w:eastAsia="黑体"/>
          <w:color w:val="000000"/>
          <w:sz w:val="32"/>
          <w:szCs w:val="32"/>
        </w:rPr>
        <w:t>八、</w:t>
      </w:r>
      <w:r>
        <w:rPr>
          <w:rStyle w:val="42"/>
          <w:rFonts w:hint="eastAsia" w:ascii="黑体" w:hAnsi="黑体" w:eastAsia="黑体"/>
          <w:b w:val="0"/>
        </w:rPr>
        <w:t>政府性基金预算支出决算情况说明</w:t>
      </w:r>
      <w:bookmarkEnd w:id="65"/>
      <w:bookmarkEnd w:id="66"/>
      <w:bookmarkEnd w:id="67"/>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p>
    <w:p>
      <w:pPr>
        <w:numPr>
          <w:ilvl w:val="0"/>
          <w:numId w:val="5"/>
        </w:numPr>
        <w:spacing w:line="600" w:lineRule="exact"/>
        <w:ind w:firstLine="640"/>
        <w:outlineLvl w:val="1"/>
        <w:rPr>
          <w:rStyle w:val="14"/>
          <w:rFonts w:ascii="黑体" w:hAnsi="黑体" w:eastAsia="黑体"/>
          <w:b w:val="0"/>
        </w:rPr>
      </w:pPr>
      <w:bookmarkStart w:id="68" w:name="_Toc15377219"/>
      <w:bookmarkStart w:id="69" w:name="_Toc12833"/>
      <w:bookmarkStart w:id="70" w:name="_Toc15396611"/>
      <w:bookmarkStart w:id="71" w:name="_Toc15377221"/>
      <w:bookmarkStart w:id="72" w:name="_Toc15396612"/>
      <w:r>
        <w:rPr>
          <w:rStyle w:val="14"/>
          <w:rFonts w:hint="eastAsia" w:ascii="黑体" w:hAnsi="黑体" w:eastAsia="黑体"/>
          <w:b w:val="0"/>
        </w:rPr>
        <w:t>国有资本经营预算支出决算情况说明</w:t>
      </w:r>
      <w:bookmarkEnd w:id="68"/>
      <w:bookmarkEnd w:id="69"/>
      <w:bookmarkEnd w:id="70"/>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无</w:t>
      </w:r>
      <w:r>
        <w:rPr>
          <w:rFonts w:hint="eastAsia" w:ascii="仿宋_GB2312" w:eastAsia="仿宋_GB2312"/>
          <w:color w:val="000000"/>
          <w:sz w:val="32"/>
          <w:szCs w:val="32"/>
        </w:rPr>
        <w:t>国有资本经营预算拨款支出。</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、政府采购及政府购买公共服务情况</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年政府采购支出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未安排采购</w:t>
      </w:r>
      <w:r>
        <w:rPr>
          <w:rFonts w:hint="eastAsia" w:ascii="仿宋_GB2312" w:hAnsi="仿宋_GB2312" w:eastAsia="仿宋_GB2312" w:cs="仿宋_GB2312"/>
          <w:sz w:val="32"/>
          <w:szCs w:val="32"/>
        </w:rPr>
        <w:t>。政府购买公共服务支出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动物接种服务</w:t>
      </w:r>
      <w:r>
        <w:rPr>
          <w:rFonts w:hint="eastAsia" w:ascii="仿宋_GB2312" w:hAnsi="仿宋_GB2312" w:eastAsia="仿宋_GB2312" w:cs="仿宋_GB2312"/>
          <w:sz w:val="32"/>
          <w:szCs w:val="32"/>
        </w:rPr>
        <w:t>。</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、国有资产占用情况说明</w:t>
      </w:r>
    </w:p>
    <w:p>
      <w:pPr>
        <w:spacing w:line="52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年底，本部门所属各预算单位固定资产总额1</w:t>
      </w:r>
      <w:r>
        <w:rPr>
          <w:rFonts w:hint="eastAsia" w:ascii="仿宋_GB2312" w:hAnsi="仿宋_GB2312" w:eastAsia="仿宋_GB2312" w:cs="仿宋_GB2312"/>
          <w:sz w:val="32"/>
          <w:szCs w:val="32"/>
          <w:lang w:val="en-US" w:eastAsia="zh-CN"/>
        </w:rPr>
        <w:t>26.61</w:t>
      </w:r>
      <w:r>
        <w:rPr>
          <w:rFonts w:hint="eastAsia" w:ascii="仿宋_GB2312" w:hAnsi="仿宋_GB2312" w:eastAsia="仿宋_GB2312" w:cs="仿宋_GB2312"/>
          <w:sz w:val="32"/>
          <w:szCs w:val="32"/>
        </w:rPr>
        <w:t>万元。现有公务用车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color w:val="auto"/>
          <w:sz w:val="32"/>
          <w:szCs w:val="32"/>
        </w:rPr>
        <w:t>单价</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0万</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eastAsia="zh-CN"/>
        </w:rPr>
        <w:t>大型</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spacing w:line="600" w:lineRule="exact"/>
        <w:ind w:firstLine="800" w:firstLineChars="250"/>
        <w:outlineLvl w:val="1"/>
        <w:rPr>
          <w:rStyle w:val="42"/>
          <w:rFonts w:ascii="黑体" w:hAnsi="黑体" w:eastAsia="黑体"/>
        </w:rPr>
      </w:pPr>
      <w:bookmarkStart w:id="73" w:name="_Toc3668"/>
      <w:r>
        <w:rPr>
          <w:rFonts w:hint="eastAsia" w:ascii="黑体" w:hAnsi="黑体" w:eastAsia="黑体"/>
          <w:color w:val="000000"/>
          <w:sz w:val="32"/>
          <w:szCs w:val="32"/>
        </w:rPr>
        <w:t>十</w:t>
      </w:r>
      <w:r>
        <w:rPr>
          <w:rFonts w:hint="eastAsia" w:ascii="黑体" w:hAnsi="黑体" w:eastAsia="黑体"/>
          <w:color w:val="000000"/>
          <w:sz w:val="32"/>
          <w:szCs w:val="32"/>
          <w:lang w:val="en-US" w:eastAsia="zh-CN"/>
        </w:rPr>
        <w:t>二</w:t>
      </w:r>
      <w:r>
        <w:rPr>
          <w:rStyle w:val="42"/>
          <w:rFonts w:hint="eastAsia" w:ascii="黑体" w:hAnsi="黑体" w:eastAsia="黑体"/>
        </w:rPr>
        <w:t>、</w:t>
      </w:r>
      <w:r>
        <w:rPr>
          <w:rStyle w:val="42"/>
          <w:rFonts w:hint="eastAsia" w:ascii="黑体" w:hAnsi="黑体" w:eastAsia="黑体"/>
          <w:b w:val="0"/>
          <w:sz w:val="32"/>
          <w:szCs w:val="32"/>
        </w:rPr>
        <w:t>其</w:t>
      </w:r>
      <w:r>
        <w:rPr>
          <w:rFonts w:hint="eastAsia" w:ascii="黑体" w:hAnsi="黑体" w:eastAsia="黑体"/>
          <w:b w:val="0"/>
          <w:sz w:val="32"/>
          <w:szCs w:val="32"/>
        </w:rPr>
        <w:t>他重要事项</w:t>
      </w:r>
      <w:r>
        <w:rPr>
          <w:rStyle w:val="42"/>
          <w:rFonts w:hint="eastAsia" w:ascii="黑体" w:hAnsi="黑体" w:eastAsia="黑体"/>
          <w:b w:val="0"/>
          <w:sz w:val="32"/>
          <w:szCs w:val="32"/>
        </w:rPr>
        <w:t>的</w:t>
      </w:r>
      <w:r>
        <w:rPr>
          <w:rFonts w:hint="eastAsia" w:ascii="黑体" w:hAnsi="黑体" w:eastAsia="黑体"/>
          <w:b w:val="0"/>
          <w:sz w:val="32"/>
          <w:szCs w:val="32"/>
        </w:rPr>
        <w:t>情况说明</w:t>
      </w:r>
      <w:bookmarkEnd w:id="71"/>
      <w:bookmarkEnd w:id="72"/>
      <w:bookmarkEnd w:id="73"/>
    </w:p>
    <w:p>
      <w:pPr>
        <w:spacing w:line="600" w:lineRule="exact"/>
        <w:ind w:firstLine="643" w:firstLineChars="200"/>
        <w:outlineLvl w:val="2"/>
        <w:rPr>
          <w:rFonts w:ascii="仿宋" w:hAnsi="仿宋" w:eastAsia="仿宋"/>
          <w:color w:val="000000"/>
          <w:sz w:val="32"/>
          <w:szCs w:val="32"/>
        </w:rPr>
      </w:pPr>
      <w:bookmarkStart w:id="74" w:name="_Toc15377222"/>
      <w:bookmarkStart w:id="75" w:name="_Toc21260"/>
      <w:r>
        <w:rPr>
          <w:rFonts w:hint="eastAsia" w:ascii="仿宋" w:hAnsi="仿宋" w:eastAsia="仿宋"/>
          <w:b/>
          <w:color w:val="000000"/>
          <w:sz w:val="32"/>
          <w:szCs w:val="32"/>
        </w:rPr>
        <w:t>（一）机关运行经费支出情况</w:t>
      </w:r>
      <w:bookmarkEnd w:id="74"/>
      <w:bookmarkEnd w:id="75"/>
    </w:p>
    <w:p>
      <w:pPr>
        <w:spacing w:line="600" w:lineRule="exact"/>
        <w:ind w:firstLine="640"/>
        <w:rPr>
          <w:rFonts w:ascii="仿宋" w:hAnsi="仿宋" w:eastAsia="仿宋"/>
          <w:b/>
          <w:color w:val="FF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铁溪</w:t>
      </w:r>
      <w:r>
        <w:rPr>
          <w:rFonts w:hint="eastAsia" w:ascii="仿宋_GB2312" w:eastAsia="仿宋_GB2312"/>
          <w:color w:val="000000"/>
          <w:sz w:val="32"/>
          <w:szCs w:val="32"/>
        </w:rPr>
        <w:t>镇机关</w:t>
      </w:r>
      <w:r>
        <w:rPr>
          <w:rFonts w:hint="eastAsia" w:ascii="仿宋_GB2312" w:eastAsia="仿宋_GB2312"/>
          <w:color w:val="000000"/>
          <w:sz w:val="32"/>
          <w:szCs w:val="32"/>
          <w:lang w:val="en-US" w:eastAsia="zh-CN"/>
        </w:rPr>
        <w:t>运</w:t>
      </w:r>
      <w:r>
        <w:rPr>
          <w:rFonts w:hint="eastAsia" w:ascii="仿宋_GB2312" w:eastAsia="仿宋_GB2312"/>
          <w:color w:val="000000"/>
          <w:sz w:val="32"/>
          <w:szCs w:val="32"/>
        </w:rPr>
        <w:t>行经费支出546.73万元，比</w:t>
      </w:r>
      <w:r>
        <w:rPr>
          <w:rFonts w:ascii="仿宋_GB2312" w:eastAsia="仿宋_GB2312"/>
          <w:color w:val="000000"/>
          <w:sz w:val="32"/>
          <w:szCs w:val="32"/>
        </w:rPr>
        <w:t>2019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增加了71.63</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。主要原因是乡镇行政区划调整，原</w:t>
      </w:r>
      <w:r>
        <w:rPr>
          <w:rFonts w:hint="eastAsia" w:ascii="仿宋_GB2312" w:eastAsia="仿宋_GB2312"/>
          <w:color w:val="000000"/>
          <w:sz w:val="32"/>
          <w:szCs w:val="32"/>
          <w:lang w:val="en-US" w:eastAsia="zh-CN"/>
        </w:rPr>
        <w:t>朱元</w:t>
      </w:r>
      <w:r>
        <w:rPr>
          <w:rFonts w:hint="eastAsia" w:ascii="仿宋_GB2312" w:eastAsia="仿宋_GB2312"/>
          <w:color w:val="000000"/>
          <w:sz w:val="32"/>
          <w:szCs w:val="32"/>
        </w:rPr>
        <w:t>乡并入</w:t>
      </w:r>
      <w:r>
        <w:rPr>
          <w:rFonts w:hint="eastAsia" w:ascii="仿宋_GB2312" w:eastAsia="仿宋_GB2312"/>
          <w:color w:val="000000"/>
          <w:sz w:val="32"/>
          <w:szCs w:val="32"/>
          <w:lang w:val="en-US" w:eastAsia="zh-CN"/>
        </w:rPr>
        <w:t>铁溪镇</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6" w:name="_Toc11933"/>
      <w:r>
        <w:rPr>
          <w:rFonts w:hint="eastAsia" w:ascii="仿宋" w:hAnsi="仿宋" w:eastAsia="仿宋"/>
          <w:b/>
          <w:color w:val="000000"/>
          <w:sz w:val="32"/>
          <w:szCs w:val="32"/>
        </w:rPr>
        <w:t>（</w:t>
      </w:r>
      <w:r>
        <w:rPr>
          <w:rFonts w:hint="eastAsia" w:ascii="仿宋" w:hAnsi="仿宋" w:eastAsia="仿宋"/>
          <w:b/>
          <w:color w:val="000000"/>
          <w:sz w:val="32"/>
          <w:szCs w:val="32"/>
          <w:lang w:eastAsia="zh-CN"/>
        </w:rPr>
        <w:t>二</w:t>
      </w:r>
      <w:r>
        <w:rPr>
          <w:rFonts w:hint="eastAsia" w:ascii="仿宋" w:hAnsi="仿宋" w:eastAsia="仿宋"/>
          <w:b/>
          <w:color w:val="000000"/>
          <w:sz w:val="32"/>
          <w:szCs w:val="32"/>
        </w:rPr>
        <w:t>）预算绩效管理情况</w:t>
      </w:r>
      <w:bookmarkEnd w:id="76"/>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2020年公益性岗位及创业就业补助、2020年安全饮水、2020年度家庭经济困难学生生活补助、2020年度营养餐及免作业本资金、2020年度基本公共卫生服务等项目开展了预算事前绩效评估，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本部门按要求对2020年部门整体支出开展绩效自评，从评价情况来看在项目实施过程中加强财政资金绩效评价培训，明确绩效目标评价的目的，</w:t>
      </w:r>
      <w:r>
        <w:rPr>
          <w:rFonts w:ascii="仿宋_GB2312" w:hAnsi="仿宋_GB2312" w:eastAsia="仿宋_GB2312" w:cs="仿宋_GB2312"/>
          <w:sz w:val="32"/>
          <w:szCs w:val="32"/>
        </w:rPr>
        <w:t>强化预算</w:t>
      </w:r>
      <w:r>
        <w:rPr>
          <w:rFonts w:hint="eastAsia" w:ascii="仿宋_GB2312" w:hAnsi="仿宋_GB2312" w:eastAsia="仿宋_GB2312" w:cs="仿宋_GB2312"/>
          <w:sz w:val="32"/>
          <w:szCs w:val="32"/>
        </w:rPr>
        <w:t>收</w:t>
      </w:r>
      <w:r>
        <w:rPr>
          <w:rFonts w:ascii="仿宋_GB2312" w:hAnsi="仿宋_GB2312" w:eastAsia="仿宋_GB2312" w:cs="仿宋_GB2312"/>
          <w:sz w:val="32"/>
          <w:szCs w:val="32"/>
        </w:rPr>
        <w:t>支的责任和效率提供参考依据</w:t>
      </w:r>
      <w:r>
        <w:rPr>
          <w:rFonts w:hint="eastAsia" w:ascii="仿宋_GB2312" w:hAnsi="仿宋_GB2312" w:eastAsia="仿宋_GB2312" w:cs="仿宋_GB2312"/>
          <w:sz w:val="32"/>
          <w:szCs w:val="32"/>
        </w:rPr>
        <w:t>。本部门还自行组织了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val="en-US" w:eastAsia="zh-CN"/>
        </w:rPr>
        <w:t>这5个项目让铁溪镇的交通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住房、饮水、教育</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卫生环境有了较大的改善</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本部门在2020年公益性岗位及创业就业补助、2020年安全饮水、2020年度家庭经济困难学生生活补助、2020年度营养餐及免作业本资金、2020年度基本公共卫生服务等5个项目绩效目标实际完成情况。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（1）2020年公益性岗位及创业就业补助项目绩效目标完成情况综述。项目全年预算数</w:t>
      </w:r>
      <w:r>
        <w:rPr>
          <w:rFonts w:hint="eastAsia" w:ascii="仿宋_GB2312" w:hAnsi="仿宋_GB2312" w:eastAsia="仿宋_GB2312" w:cs="仿宋_GB2312"/>
          <w:sz w:val="32"/>
          <w:szCs w:val="32"/>
          <w:lang w:val="en-US" w:eastAsia="zh-CN"/>
        </w:rPr>
        <w:t>23.91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23.91</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%。通过项目实施，有效解决了适龄劳动力解决就业问题，减少失业率，带动周边经济的发展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益群众的满意度为100%。发现的主要问题：公益性岗位人员整体素质偏低，年龄偏大，缺乏工作技能，业务能力不强，应聘后很少参加有关技能培训。下一步改进措施：建立定期培训制度，从业人员上岗前，职能部门要对其业务技能、岗位职责等方面的业务培训，使其能适应工作岗位的需要</w:t>
      </w:r>
      <w:r>
        <w:rPr>
          <w:rFonts w:hint="eastAsia" w:ascii="仿宋_GB2312" w:hAnsi="仿宋_GB2312" w:eastAsia="仿宋_GB2312" w:cs="仿宋_GB2312"/>
          <w:sz w:val="32"/>
          <w:szCs w:val="32"/>
          <w:lang w:eastAsia="zh-CN"/>
        </w:rPr>
        <w:t>。</w:t>
      </w:r>
    </w:p>
    <w:p>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77" w:name="_Hlk54104151"/>
      <w:r>
        <w:rPr>
          <w:rFonts w:hint="eastAsia" w:ascii="仿宋_GB2312" w:hAnsi="仿宋_GB2312" w:eastAsia="仿宋_GB2312" w:cs="仿宋_GB2312"/>
          <w:sz w:val="32"/>
          <w:szCs w:val="32"/>
        </w:rPr>
        <w:t>）2020年安全饮水项目</w:t>
      </w:r>
      <w:bookmarkEnd w:id="77"/>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128.75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128.75</w:t>
      </w:r>
      <w:r>
        <w:rPr>
          <w:rFonts w:hint="eastAsia" w:ascii="仿宋_GB2312" w:hAnsi="仿宋_GB2312" w:eastAsia="仿宋_GB2312" w:cs="仿宋_GB2312"/>
          <w:sz w:val="32"/>
          <w:szCs w:val="32"/>
        </w:rPr>
        <w:t>万元，完成预算的100%。通过项目实施，解决了个别村的饮水安全，解决农村饮水水量不足、供水保证率不达标、水质不达标问题。二是改善水质，减少人畜疾病，节约医药费，提高了健康水平；三是提升了农民生活品质，促进美丽乡村建设。安全饮水</w:t>
      </w:r>
      <w:r>
        <w:rPr>
          <w:rFonts w:hint="eastAsia" w:ascii="仿宋_GB2312" w:hAnsi="仿宋_GB2312" w:eastAsia="仿宋_GB2312" w:cs="仿宋_GB2312"/>
          <w:sz w:val="32"/>
          <w:szCs w:val="32"/>
          <w:lang w:val="en-US" w:eastAsia="zh-CN"/>
        </w:rPr>
        <w:t>项目的完成</w:t>
      </w:r>
      <w:r>
        <w:rPr>
          <w:rFonts w:hint="eastAsia" w:ascii="仿宋_GB2312" w:hAnsi="仿宋_GB2312" w:eastAsia="仿宋_GB2312" w:cs="仿宋_GB2312"/>
          <w:sz w:val="32"/>
          <w:szCs w:val="32"/>
        </w:rPr>
        <w:t>不仅提高</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村民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生活品质，还改善了农村生活环境，促进了乡村建设；发现的主要问题：</w:t>
      </w:r>
      <w:r>
        <w:rPr>
          <w:rFonts w:hint="eastAsia" w:ascii="仿宋_GB2312" w:hAnsi="仿宋_GB2312" w:eastAsia="仿宋_GB2312" w:cs="仿宋_GB2312"/>
          <w:sz w:val="32"/>
          <w:szCs w:val="32"/>
          <w:lang w:val="en-US" w:eastAsia="zh-CN"/>
        </w:rPr>
        <w:t>铁溪</w:t>
      </w:r>
      <w:r>
        <w:rPr>
          <w:rFonts w:hint="eastAsia" w:ascii="仿宋_GB2312" w:hAnsi="仿宋_GB2312" w:eastAsia="仿宋_GB2312" w:cs="仿宋_GB2312"/>
          <w:sz w:val="32"/>
          <w:szCs w:val="32"/>
        </w:rPr>
        <w:t>镇海拔高，缺乏饮用水资源，供水工程普遍标准低，缺乏污水处理措施。下一步改进措施：加强用水基础设施建设，加大资金投入， 生活污水和饮用水源分离，做好工程统筹规划。</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（3）2020年度银耳产业发展补助项目绩效目标完成情况综述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w:t>
      </w:r>
      <w:r>
        <w:rPr>
          <w:rFonts w:hint="eastAsia" w:ascii="仿宋_GB2312" w:hAnsi="仿宋" w:eastAsia="仿宋_GB2312"/>
          <w:sz w:val="30"/>
          <w:szCs w:val="30"/>
        </w:rPr>
        <w:t>目全年预算数</w:t>
      </w:r>
      <w:r>
        <w:rPr>
          <w:rFonts w:hint="eastAsia" w:ascii="仿宋_GB2312" w:hAnsi="仿宋" w:eastAsia="仿宋_GB2312"/>
          <w:sz w:val="30"/>
          <w:szCs w:val="30"/>
          <w:lang w:val="en-US" w:eastAsia="zh-CN"/>
        </w:rPr>
        <w:t>1.6</w:t>
      </w:r>
      <w:r>
        <w:rPr>
          <w:rFonts w:hint="eastAsia" w:ascii="仿宋_GB2312" w:hAnsi="仿宋" w:eastAsia="仿宋_GB2312"/>
          <w:sz w:val="30"/>
          <w:szCs w:val="30"/>
        </w:rPr>
        <w:t>万元，执行数为</w:t>
      </w:r>
      <w:r>
        <w:rPr>
          <w:rFonts w:hint="eastAsia" w:ascii="仿宋_GB2312" w:hAnsi="仿宋" w:eastAsia="仿宋_GB2312"/>
          <w:sz w:val="30"/>
          <w:szCs w:val="30"/>
          <w:lang w:val="en-US" w:eastAsia="zh-CN"/>
        </w:rPr>
        <w:t>1.6</w:t>
      </w:r>
      <w:r>
        <w:rPr>
          <w:rFonts w:hint="eastAsia" w:ascii="仿宋_GB2312" w:hAnsi="仿宋" w:eastAsia="仿宋_GB2312"/>
          <w:sz w:val="30"/>
          <w:szCs w:val="30"/>
        </w:rPr>
        <w:t>万元，完成预算的</w:t>
      </w:r>
      <w:r>
        <w:rPr>
          <w:rFonts w:ascii="仿宋_GB2312" w:hAnsi="仿宋" w:eastAsia="仿宋_GB2312"/>
          <w:sz w:val="30"/>
          <w:szCs w:val="30"/>
        </w:rPr>
        <w:t>100</w:t>
      </w:r>
      <w:r>
        <w:rPr>
          <w:rFonts w:hint="eastAsia" w:ascii="仿宋_GB2312" w:hAnsi="仿宋" w:eastAsia="仿宋_GB2312"/>
          <w:sz w:val="30"/>
          <w:szCs w:val="30"/>
        </w:rPr>
        <w:t>%。通过项目实施，保障了疫情期间银耳产业在我镇的持续发展，解决了我镇就业问题。实施了目标绩效考核，</w:t>
      </w:r>
      <w:r>
        <w:rPr>
          <w:rFonts w:hint="eastAsia" w:ascii="仿宋_GB2312" w:hAnsi="仿宋" w:eastAsia="仿宋_GB2312"/>
          <w:sz w:val="30"/>
          <w:szCs w:val="30"/>
          <w:lang w:val="en-US" w:eastAsia="zh-CN"/>
        </w:rPr>
        <w:t>生产方</w:t>
      </w:r>
      <w:r>
        <w:rPr>
          <w:rFonts w:hint="eastAsia" w:ascii="仿宋_GB2312" w:hAnsi="仿宋" w:eastAsia="仿宋_GB2312"/>
          <w:sz w:val="30"/>
          <w:szCs w:val="30"/>
        </w:rPr>
        <w:t>各方面工作都有序，高质量完成，产生较好的社会效益，严格执行目标管理，充分保障</w:t>
      </w:r>
      <w:r>
        <w:rPr>
          <w:rFonts w:hint="eastAsia" w:ascii="仿宋_GB2312" w:hAnsi="仿宋" w:eastAsia="仿宋_GB2312"/>
          <w:sz w:val="30"/>
          <w:szCs w:val="30"/>
          <w:lang w:val="en-US" w:eastAsia="zh-CN"/>
        </w:rPr>
        <w:t>正常生产</w:t>
      </w:r>
      <w:r>
        <w:rPr>
          <w:rFonts w:hint="eastAsia" w:ascii="仿宋_GB2312" w:hAnsi="仿宋" w:eastAsia="仿宋_GB2312"/>
          <w:sz w:val="30"/>
          <w:szCs w:val="30"/>
        </w:rPr>
        <w:t>。问题及建议：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pPr>
        <w:ind w:firstLine="640" w:firstLineChars="200"/>
        <w:rPr>
          <w:rFonts w:hint="eastAsia" w:ascii="仿宋_GB2312" w:hAnsi="仿宋" w:eastAsia="仿宋_GB2312"/>
          <w:sz w:val="30"/>
          <w:szCs w:val="30"/>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）2020年文化站免费开放</w:t>
      </w:r>
      <w:r>
        <w:rPr>
          <w:rFonts w:hint="eastAsia" w:ascii="仿宋_GB2312" w:hAnsi="仿宋_GB2312" w:eastAsia="仿宋_GB2312" w:cs="仿宋_GB2312"/>
          <w:sz w:val="32"/>
          <w:szCs w:val="32"/>
          <w:lang w:val="en-US" w:eastAsia="zh-CN"/>
        </w:rPr>
        <w:t>项目</w:t>
      </w:r>
      <w:r>
        <w:rPr>
          <w:rFonts w:hint="eastAsia" w:ascii="仿宋_GB2312" w:hAnsi="仿宋" w:eastAsia="仿宋_GB2312"/>
          <w:sz w:val="30"/>
          <w:szCs w:val="30"/>
        </w:rPr>
        <w:t>绩效目标完成情况综述。项目全年预算数</w:t>
      </w:r>
      <w:r>
        <w:rPr>
          <w:rFonts w:hint="eastAsia" w:ascii="仿宋_GB2312" w:hAnsi="仿宋" w:eastAsia="仿宋_GB2312"/>
          <w:sz w:val="30"/>
          <w:szCs w:val="30"/>
          <w:lang w:val="en-US" w:eastAsia="zh-CN"/>
        </w:rPr>
        <w:t>6</w:t>
      </w:r>
      <w:r>
        <w:rPr>
          <w:rFonts w:hint="eastAsia" w:ascii="仿宋_GB2312" w:hAnsi="仿宋" w:eastAsia="仿宋_GB2312"/>
          <w:sz w:val="30"/>
          <w:szCs w:val="30"/>
        </w:rPr>
        <w:t>万元，执行数为</w:t>
      </w:r>
      <w:r>
        <w:rPr>
          <w:rFonts w:hint="eastAsia" w:ascii="仿宋_GB2312" w:hAnsi="仿宋" w:eastAsia="仿宋_GB2312"/>
          <w:sz w:val="30"/>
          <w:szCs w:val="30"/>
          <w:lang w:val="en-US" w:eastAsia="zh-CN"/>
        </w:rPr>
        <w:t>6</w:t>
      </w:r>
      <w:r>
        <w:rPr>
          <w:rFonts w:hint="eastAsia" w:ascii="仿宋_GB2312" w:hAnsi="仿宋" w:eastAsia="仿宋_GB2312"/>
          <w:sz w:val="30"/>
          <w:szCs w:val="30"/>
        </w:rPr>
        <w:t>万元，完成预算的</w:t>
      </w:r>
      <w:r>
        <w:rPr>
          <w:rFonts w:ascii="仿宋_GB2312" w:hAnsi="仿宋" w:eastAsia="仿宋_GB2312"/>
          <w:sz w:val="30"/>
          <w:szCs w:val="30"/>
        </w:rPr>
        <w:t>100</w:t>
      </w:r>
      <w:r>
        <w:rPr>
          <w:rFonts w:hint="eastAsia" w:ascii="仿宋_GB2312" w:hAnsi="仿宋" w:eastAsia="仿宋_GB2312"/>
          <w:sz w:val="30"/>
          <w:szCs w:val="30"/>
        </w:rPr>
        <w:t>%。通过项目实施，实施了目标绩效考核，</w:t>
      </w:r>
      <w:r>
        <w:rPr>
          <w:rFonts w:hint="eastAsia" w:ascii="仿宋_GB2312" w:hAnsi="仿宋" w:eastAsia="仿宋_GB2312"/>
          <w:sz w:val="30"/>
          <w:szCs w:val="30"/>
          <w:lang w:val="en-US" w:eastAsia="zh-CN"/>
        </w:rPr>
        <w:t>文化站</w:t>
      </w:r>
      <w:r>
        <w:rPr>
          <w:rFonts w:hint="eastAsia" w:ascii="仿宋_GB2312" w:hAnsi="仿宋" w:eastAsia="仿宋_GB2312"/>
          <w:sz w:val="30"/>
          <w:szCs w:val="30"/>
        </w:rPr>
        <w:t>各方面工作都有序，高质量完成，产生较好的社会效益，严格执行目标管理，充分保障</w:t>
      </w:r>
      <w:r>
        <w:rPr>
          <w:rFonts w:hint="eastAsia" w:ascii="仿宋_GB2312" w:hAnsi="仿宋" w:eastAsia="仿宋_GB2312"/>
          <w:sz w:val="30"/>
          <w:szCs w:val="30"/>
          <w:lang w:val="en-US" w:eastAsia="zh-CN"/>
        </w:rPr>
        <w:t>群众学习问题</w:t>
      </w:r>
      <w:r>
        <w:rPr>
          <w:rFonts w:hint="eastAsia" w:ascii="仿宋_GB2312" w:hAnsi="仿宋" w:eastAsia="仿宋_GB2312"/>
          <w:sz w:val="30"/>
          <w:szCs w:val="30"/>
        </w:rPr>
        <w:t>。问题及建议：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pPr>
        <w:ind w:firstLine="600" w:firstLineChars="200"/>
        <w:rPr>
          <w:rFonts w:hint="eastAsia" w:ascii="仿宋_GB2312" w:eastAsia="仿宋_GB2312"/>
          <w:sz w:val="32"/>
          <w:szCs w:val="32"/>
        </w:rPr>
      </w:pPr>
      <w:r>
        <w:rPr>
          <w:rFonts w:hint="eastAsia" w:ascii="仿宋_GB2312" w:hAnsi="仿宋" w:eastAsia="仿宋_GB2312"/>
          <w:sz w:val="30"/>
          <w:szCs w:val="30"/>
          <w:lang w:val="en-US" w:eastAsia="zh-CN"/>
        </w:rPr>
        <w:t>（5）2020年农村道路建设项目绩效目标完成情况综述。项</w:t>
      </w:r>
      <w:r>
        <w:rPr>
          <w:rFonts w:hint="eastAsia" w:ascii="仿宋_GB2312" w:hAnsi="仿宋_GB2312" w:eastAsia="仿宋_GB2312" w:cs="仿宋_GB2312"/>
          <w:color w:val="auto"/>
          <w:sz w:val="32"/>
          <w:szCs w:val="32"/>
        </w:rPr>
        <w:t>目全年预算数</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实施促进了农村道路的建设发展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发现的主要问题：后续经费不</w:t>
      </w:r>
      <w:r>
        <w:rPr>
          <w:rFonts w:hint="eastAsia" w:ascii="仿宋_GB2312" w:hAnsi="仿宋_GB2312" w:eastAsia="仿宋_GB2312" w:cs="仿宋_GB2312"/>
          <w:color w:val="auto"/>
          <w:sz w:val="32"/>
          <w:szCs w:val="32"/>
          <w:lang w:val="en-US" w:eastAsia="zh-CN"/>
        </w:rPr>
        <w:t>足</w:t>
      </w:r>
      <w:r>
        <w:rPr>
          <w:rFonts w:hint="eastAsia" w:ascii="仿宋_GB2312" w:hAnsi="仿宋_GB2312" w:eastAsia="仿宋_GB2312" w:cs="仿宋_GB2312"/>
          <w:color w:val="auto"/>
          <w:sz w:val="32"/>
          <w:szCs w:val="32"/>
          <w:lang w:eastAsia="zh-CN"/>
        </w:rPr>
        <w:t>。</w:t>
      </w:r>
    </w:p>
    <w:tbl>
      <w:tblPr>
        <w:tblStyle w:val="7"/>
        <w:tblpPr w:leftFromText="180" w:rightFromText="180" w:vertAnchor="text" w:horzAnchor="page" w:tblpXSpec="center" w:tblpY="423"/>
        <w:tblOverlap w:val="never"/>
        <w:tblW w:w="7897" w:type="dxa"/>
        <w:jc w:val="center"/>
        <w:tblInd w:w="0" w:type="dxa"/>
        <w:tblLayout w:type="fixed"/>
        <w:tblCellMar>
          <w:top w:w="0" w:type="dxa"/>
          <w:left w:w="0" w:type="dxa"/>
          <w:bottom w:w="0" w:type="dxa"/>
          <w:right w:w="0" w:type="dxa"/>
        </w:tblCellMar>
      </w:tblPr>
      <w:tblGrid>
        <w:gridCol w:w="357"/>
        <w:gridCol w:w="652"/>
        <w:gridCol w:w="754"/>
        <w:gridCol w:w="582"/>
        <w:gridCol w:w="386"/>
        <w:gridCol w:w="840"/>
        <w:gridCol w:w="677"/>
        <w:gridCol w:w="444"/>
        <w:gridCol w:w="590"/>
        <w:gridCol w:w="590"/>
        <w:gridCol w:w="2025"/>
      </w:tblGrid>
      <w:tr>
        <w:tblPrEx>
          <w:tblLayout w:type="fixed"/>
          <w:tblCellMar>
            <w:top w:w="0" w:type="dxa"/>
            <w:left w:w="0" w:type="dxa"/>
            <w:bottom w:w="0" w:type="dxa"/>
            <w:right w:w="0" w:type="dxa"/>
          </w:tblCellMar>
        </w:tblPrEx>
        <w:trPr>
          <w:trHeight w:val="1105" w:hRule="atLeast"/>
          <w:jc w:val="center"/>
        </w:trPr>
        <w:tc>
          <w:tcPr>
            <w:tcW w:w="7897" w:type="dxa"/>
            <w:gridSpan w:val="11"/>
            <w:tcBorders>
              <w:top w:val="nil"/>
              <w:left w:val="nil"/>
              <w:bottom w:val="nil"/>
              <w:right w:val="nil"/>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36"/>
                <w:szCs w:val="36"/>
              </w:rPr>
            </w:pPr>
            <w:r>
              <w:rPr>
                <w:rFonts w:hint="eastAsia" w:ascii="宋体" w:hAnsi="宋体" w:eastAsia="宋体" w:cs="宋体"/>
                <w:b/>
                <w:bCs/>
                <w:i w:val="0"/>
                <w:iCs w:val="0"/>
                <w:color w:val="000000"/>
                <w:kern w:val="0"/>
                <w:sz w:val="32"/>
                <w:szCs w:val="32"/>
                <w:u w:val="none"/>
                <w:lang w:val="en-US" w:eastAsia="zh-CN"/>
              </w:rPr>
              <w:t>整体支出绩效目标自评表</w:t>
            </w:r>
            <w:r>
              <w:rPr>
                <w:rStyle w:val="43"/>
                <w:lang w:val="en-US" w:eastAsia="zh-CN"/>
              </w:rPr>
              <w:t xml:space="preserve"> </w:t>
            </w:r>
          </w:p>
        </w:tc>
      </w:tr>
      <w:tr>
        <w:tblPrEx>
          <w:tblLayout w:type="fixed"/>
          <w:tblCellMar>
            <w:top w:w="0" w:type="dxa"/>
            <w:left w:w="0" w:type="dxa"/>
            <w:bottom w:w="0" w:type="dxa"/>
            <w:right w:w="0" w:type="dxa"/>
          </w:tblCellMar>
        </w:tblPrEx>
        <w:trPr>
          <w:trHeight w:val="295" w:hRule="atLeast"/>
          <w:jc w:val="center"/>
        </w:trPr>
        <w:tc>
          <w:tcPr>
            <w:tcW w:w="7897" w:type="dxa"/>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keepNext w:val="0"/>
              <w:keepLines w:val="0"/>
              <w:widowControl/>
              <w:suppressLineNumbers w:val="0"/>
              <w:jc w:val="center"/>
              <w:textAlignment w:val="top"/>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rPr>
              <w:t>（2020年度）</w:t>
            </w:r>
          </w:p>
        </w:tc>
      </w:tr>
      <w:tr>
        <w:tblPrEx>
          <w:tblLayout w:type="fixed"/>
          <w:tblCellMar>
            <w:top w:w="0" w:type="dxa"/>
            <w:left w:w="0" w:type="dxa"/>
            <w:bottom w:w="0" w:type="dxa"/>
            <w:right w:w="0" w:type="dxa"/>
          </w:tblCellMar>
        </w:tblPrEx>
        <w:trPr>
          <w:trHeight w:val="295" w:hRule="atLeast"/>
          <w:jc w:val="center"/>
        </w:trPr>
        <w:tc>
          <w:tcPr>
            <w:tcW w:w="17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部门名称</w:t>
            </w:r>
          </w:p>
        </w:tc>
        <w:tc>
          <w:tcPr>
            <w:tcW w:w="6134"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通江县铁溪镇人民政府</w:t>
            </w:r>
          </w:p>
        </w:tc>
      </w:tr>
      <w:tr>
        <w:tblPrEx>
          <w:tblLayout w:type="fixed"/>
          <w:tblCellMar>
            <w:top w:w="0" w:type="dxa"/>
            <w:left w:w="0" w:type="dxa"/>
            <w:bottom w:w="0" w:type="dxa"/>
            <w:right w:w="0" w:type="dxa"/>
          </w:tblCellMar>
        </w:tblPrEx>
        <w:trPr>
          <w:trHeight w:val="295"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年度主要任务</w:t>
            </w:r>
          </w:p>
        </w:tc>
        <w:tc>
          <w:tcPr>
            <w:tcW w:w="65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任务名称</w:t>
            </w:r>
          </w:p>
        </w:tc>
        <w:tc>
          <w:tcPr>
            <w:tcW w:w="75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rPr>
              <w:t>主要内容</w:t>
            </w:r>
          </w:p>
        </w:tc>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分值</w:t>
            </w:r>
          </w:p>
        </w:tc>
        <w:tc>
          <w:tcPr>
            <w:tcW w:w="190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rPr>
              <w:t>预算金额（万元）</w:t>
            </w:r>
          </w:p>
        </w:tc>
        <w:tc>
          <w:tcPr>
            <w:tcW w:w="162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实际执行（万元）</w:t>
            </w:r>
          </w:p>
        </w:tc>
        <w:tc>
          <w:tcPr>
            <w:tcW w:w="20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得分</w:t>
            </w:r>
          </w:p>
        </w:tc>
      </w:tr>
      <w:tr>
        <w:tblPrEx>
          <w:tblLayout w:type="fixed"/>
          <w:tblCellMar>
            <w:top w:w="0" w:type="dxa"/>
            <w:left w:w="0" w:type="dxa"/>
            <w:bottom w:w="0" w:type="dxa"/>
            <w:right w:w="0" w:type="dxa"/>
          </w:tblCellMar>
        </w:tblPrEx>
        <w:trPr>
          <w:trHeight w:val="295"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75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rPr>
              <w:t>总额</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rPr>
              <w:t>财政拨款</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其他资金</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rPr>
              <w:t>总额</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rPr>
              <w:t>财政拨款</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rPr>
              <w:t>其他资金</w:t>
            </w:r>
          </w:p>
        </w:tc>
        <w:tc>
          <w:tcPr>
            <w:tcW w:w="2025"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616"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2020年项目</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1、落实中央、省、县出台的各项方针、政策。2、落实安全生产目标，经济发展，环境保护等工作。3、做好社会保障、民政、教、科文</w:t>
            </w:r>
            <w:r>
              <w:rPr>
                <w:rFonts w:hint="eastAsia" w:ascii="宋体" w:hAnsi="宋体" w:cs="宋体"/>
                <w:i w:val="0"/>
                <w:iCs w:val="0"/>
                <w:color w:val="000000"/>
                <w:kern w:val="0"/>
                <w:sz w:val="12"/>
                <w:szCs w:val="12"/>
                <w:u w:val="none"/>
                <w:lang w:val="en-US" w:eastAsia="zh-CN"/>
              </w:rPr>
              <w:t>和</w:t>
            </w:r>
            <w:r>
              <w:rPr>
                <w:rFonts w:hint="eastAsia" w:ascii="宋体" w:hAnsi="宋体" w:eastAsia="宋体" w:cs="宋体"/>
                <w:i w:val="0"/>
                <w:iCs w:val="0"/>
                <w:color w:val="000000"/>
                <w:kern w:val="0"/>
                <w:sz w:val="12"/>
                <w:szCs w:val="12"/>
                <w:u w:val="none"/>
                <w:lang w:val="en-US" w:eastAsia="zh-CN"/>
              </w:rPr>
              <w:t>卫</w:t>
            </w:r>
            <w:r>
              <w:rPr>
                <w:rFonts w:hint="eastAsia" w:ascii="宋体" w:hAnsi="宋体" w:cs="宋体"/>
                <w:i w:val="0"/>
                <w:iCs w:val="0"/>
                <w:color w:val="000000"/>
                <w:kern w:val="0"/>
                <w:sz w:val="12"/>
                <w:szCs w:val="12"/>
                <w:u w:val="none"/>
                <w:lang w:val="en-US" w:eastAsia="zh-CN"/>
              </w:rPr>
              <w:t>健</w:t>
            </w:r>
            <w:r>
              <w:rPr>
                <w:rFonts w:hint="eastAsia" w:ascii="宋体" w:hAnsi="宋体" w:eastAsia="宋体" w:cs="宋体"/>
                <w:i w:val="0"/>
                <w:iCs w:val="0"/>
                <w:color w:val="000000"/>
                <w:kern w:val="0"/>
                <w:sz w:val="12"/>
                <w:szCs w:val="12"/>
                <w:u w:val="none"/>
                <w:lang w:val="en-US" w:eastAsia="zh-CN"/>
              </w:rPr>
              <w:t>工作</w:t>
            </w:r>
            <w:r>
              <w:rPr>
                <w:rFonts w:hint="eastAsia" w:ascii="宋体" w:hAnsi="宋体" w:cs="宋体"/>
                <w:i w:val="0"/>
                <w:iCs w:val="0"/>
                <w:color w:val="000000"/>
                <w:kern w:val="0"/>
                <w:sz w:val="12"/>
                <w:szCs w:val="12"/>
                <w:u w:val="none"/>
                <w:lang w:val="en-US" w:eastAsia="zh-CN"/>
              </w:rPr>
              <w:t>.4</w:t>
            </w:r>
            <w:r>
              <w:rPr>
                <w:rFonts w:hint="eastAsia" w:ascii="宋体" w:hAnsi="宋体" w:eastAsia="宋体" w:cs="宋体"/>
                <w:i w:val="0"/>
                <w:iCs w:val="0"/>
                <w:color w:val="000000"/>
                <w:kern w:val="0"/>
                <w:sz w:val="12"/>
                <w:szCs w:val="12"/>
                <w:u w:val="none"/>
                <w:lang w:val="en-US" w:eastAsia="zh-CN"/>
              </w:rPr>
              <w:t>、组织预算收支执行、监督财政资金使用，落实强农惠民政策，指导村级财务管理。5、完成年度扶贫任务，巩固扶贫成果。6、做好便民服务和农业综合服务工作。</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10</w:t>
            </w: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rPr>
              <w:t>1,269.80</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rPr>
              <w:t>1,269.80</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0</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rPr>
              <w:t>1,269.80</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rPr>
              <w:t>1,269.80</w:t>
            </w: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0</w:t>
            </w: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10</w:t>
            </w:r>
          </w:p>
        </w:tc>
      </w:tr>
      <w:tr>
        <w:tblPrEx>
          <w:tblLayout w:type="fixed"/>
          <w:tblCellMar>
            <w:top w:w="0" w:type="dxa"/>
            <w:left w:w="0" w:type="dxa"/>
            <w:bottom w:w="0" w:type="dxa"/>
            <w:right w:w="0" w:type="dxa"/>
          </w:tblCellMar>
        </w:tblPrEx>
        <w:trPr>
          <w:trHeight w:val="295" w:hRule="atLeast"/>
          <w:jc w:val="center"/>
        </w:trPr>
        <w:tc>
          <w:tcPr>
            <w:tcW w:w="3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合   计</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宋体" w:cs="宋体"/>
                <w:color w:val="000000"/>
                <w:sz w:val="24"/>
              </w:rPr>
            </w:pP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5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c>
          <w:tcPr>
            <w:tcW w:w="2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tc>
      </w:tr>
      <w:tr>
        <w:tblPrEx>
          <w:tblLayout w:type="fixed"/>
          <w:tblCellMar>
            <w:top w:w="0" w:type="dxa"/>
            <w:left w:w="0" w:type="dxa"/>
            <w:bottom w:w="0" w:type="dxa"/>
            <w:right w:w="0" w:type="dxa"/>
          </w:tblCellMar>
        </w:tblPrEx>
        <w:trPr>
          <w:trHeight w:val="1239" w:hRule="atLeast"/>
          <w:jc w:val="center"/>
        </w:trPr>
        <w:tc>
          <w:tcPr>
            <w:tcW w:w="3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年度总体目标</w:t>
            </w:r>
          </w:p>
        </w:tc>
        <w:tc>
          <w:tcPr>
            <w:tcW w:w="321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预期目标</w:t>
            </w:r>
          </w:p>
        </w:tc>
        <w:tc>
          <w:tcPr>
            <w:tcW w:w="4326"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实际完成目标</w:t>
            </w:r>
          </w:p>
        </w:tc>
      </w:tr>
      <w:tr>
        <w:tblPrEx>
          <w:tblLayout w:type="fixed"/>
          <w:tblCellMar>
            <w:top w:w="0" w:type="dxa"/>
            <w:left w:w="0" w:type="dxa"/>
            <w:bottom w:w="0" w:type="dxa"/>
            <w:right w:w="0" w:type="dxa"/>
          </w:tblCellMar>
        </w:tblPrEx>
        <w:trPr>
          <w:trHeight w:val="1114" w:hRule="atLeast"/>
          <w:jc w:val="center"/>
        </w:trPr>
        <w:tc>
          <w:tcPr>
            <w:tcW w:w="357" w:type="dxa"/>
            <w:vMerge w:val="continue"/>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3214"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1、落实中央、省、县出台的各项方针、政策。2、落实安全生产目标，经济发展，环境保护等工作。3、做好社会保障、民政、教、科文</w:t>
            </w:r>
            <w:r>
              <w:rPr>
                <w:rFonts w:hint="eastAsia" w:ascii="宋体" w:hAnsi="宋体" w:cs="宋体"/>
                <w:i w:val="0"/>
                <w:iCs w:val="0"/>
                <w:color w:val="000000"/>
                <w:kern w:val="0"/>
                <w:sz w:val="12"/>
                <w:szCs w:val="12"/>
                <w:u w:val="none"/>
                <w:lang w:val="en-US" w:eastAsia="zh-CN"/>
              </w:rPr>
              <w:t>和</w:t>
            </w:r>
            <w:r>
              <w:rPr>
                <w:rFonts w:hint="eastAsia" w:ascii="宋体" w:hAnsi="宋体" w:eastAsia="宋体" w:cs="宋体"/>
                <w:i w:val="0"/>
                <w:iCs w:val="0"/>
                <w:color w:val="000000"/>
                <w:kern w:val="0"/>
                <w:sz w:val="12"/>
                <w:szCs w:val="12"/>
                <w:u w:val="none"/>
                <w:lang w:val="en-US" w:eastAsia="zh-CN"/>
              </w:rPr>
              <w:t>卫</w:t>
            </w:r>
            <w:r>
              <w:rPr>
                <w:rFonts w:hint="eastAsia" w:ascii="宋体" w:hAnsi="宋体" w:cs="宋体"/>
                <w:i w:val="0"/>
                <w:iCs w:val="0"/>
                <w:color w:val="000000"/>
                <w:kern w:val="0"/>
                <w:sz w:val="12"/>
                <w:szCs w:val="12"/>
                <w:u w:val="none"/>
                <w:lang w:val="en-US" w:eastAsia="zh-CN"/>
              </w:rPr>
              <w:t>健</w:t>
            </w:r>
            <w:r>
              <w:rPr>
                <w:rFonts w:hint="eastAsia" w:ascii="宋体" w:hAnsi="宋体" w:eastAsia="宋体" w:cs="宋体"/>
                <w:i w:val="0"/>
                <w:iCs w:val="0"/>
                <w:color w:val="000000"/>
                <w:kern w:val="0"/>
                <w:sz w:val="12"/>
                <w:szCs w:val="12"/>
                <w:u w:val="none"/>
                <w:lang w:val="en-US" w:eastAsia="zh-CN"/>
              </w:rPr>
              <w:t>工作</w:t>
            </w:r>
            <w:r>
              <w:rPr>
                <w:rFonts w:hint="eastAsia" w:ascii="宋体" w:hAnsi="宋体" w:cs="宋体"/>
                <w:i w:val="0"/>
                <w:iCs w:val="0"/>
                <w:color w:val="000000"/>
                <w:kern w:val="0"/>
                <w:sz w:val="12"/>
                <w:szCs w:val="12"/>
                <w:u w:val="none"/>
                <w:lang w:val="en-US" w:eastAsia="zh-CN"/>
              </w:rPr>
              <w:t>。4</w:t>
            </w:r>
            <w:r>
              <w:rPr>
                <w:rFonts w:hint="eastAsia" w:ascii="宋体" w:hAnsi="宋体" w:eastAsia="宋体" w:cs="宋体"/>
                <w:i w:val="0"/>
                <w:iCs w:val="0"/>
                <w:color w:val="000000"/>
                <w:kern w:val="0"/>
                <w:sz w:val="12"/>
                <w:szCs w:val="12"/>
                <w:u w:val="none"/>
                <w:lang w:val="en-US" w:eastAsia="zh-CN"/>
              </w:rPr>
              <w:t>、组织预算收支执行、监督财政资金使用，落实强农惠民政策，指导村级财务管理。5、完成年度扶贫任务，巩固扶贫成果。6、做好便民服务和农业综合服务工作。</w:t>
            </w:r>
          </w:p>
        </w:tc>
        <w:tc>
          <w:tcPr>
            <w:tcW w:w="4326"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1、落实中央、省、县出台的各项方针、政策。2、落实安全生产目标，经济发展，环境保护等工作</w:t>
            </w:r>
            <w:r>
              <w:rPr>
                <w:rFonts w:hint="eastAsia" w:ascii="宋体" w:hAnsi="宋体" w:cs="宋体"/>
                <w:i w:val="0"/>
                <w:iCs w:val="0"/>
                <w:color w:val="000000"/>
                <w:kern w:val="0"/>
                <w:sz w:val="12"/>
                <w:szCs w:val="12"/>
                <w:u w:val="none"/>
                <w:lang w:val="en-US" w:eastAsia="zh-CN"/>
              </w:rPr>
              <w:t>。</w:t>
            </w:r>
            <w:r>
              <w:rPr>
                <w:rFonts w:hint="eastAsia" w:ascii="宋体" w:hAnsi="宋体" w:eastAsia="宋体" w:cs="宋体"/>
                <w:i w:val="0"/>
                <w:iCs w:val="0"/>
                <w:color w:val="000000"/>
                <w:kern w:val="0"/>
                <w:sz w:val="12"/>
                <w:szCs w:val="12"/>
                <w:u w:val="none"/>
                <w:lang w:val="en-US" w:eastAsia="zh-CN"/>
              </w:rPr>
              <w:t>3、做好社会保障、民政、教、科文</w:t>
            </w:r>
            <w:r>
              <w:rPr>
                <w:rFonts w:hint="eastAsia" w:ascii="宋体" w:hAnsi="宋体" w:cs="宋体"/>
                <w:i w:val="0"/>
                <w:iCs w:val="0"/>
                <w:color w:val="000000"/>
                <w:kern w:val="0"/>
                <w:sz w:val="12"/>
                <w:szCs w:val="12"/>
                <w:u w:val="none"/>
                <w:lang w:val="en-US" w:eastAsia="zh-CN"/>
              </w:rPr>
              <w:t>和</w:t>
            </w:r>
            <w:r>
              <w:rPr>
                <w:rFonts w:hint="eastAsia" w:ascii="宋体" w:hAnsi="宋体" w:eastAsia="宋体" w:cs="宋体"/>
                <w:i w:val="0"/>
                <w:iCs w:val="0"/>
                <w:color w:val="000000"/>
                <w:kern w:val="0"/>
                <w:sz w:val="12"/>
                <w:szCs w:val="12"/>
                <w:u w:val="none"/>
                <w:lang w:val="en-US" w:eastAsia="zh-CN"/>
              </w:rPr>
              <w:t>卫</w:t>
            </w:r>
            <w:r>
              <w:rPr>
                <w:rFonts w:hint="eastAsia" w:ascii="宋体" w:hAnsi="宋体" w:cs="宋体"/>
                <w:i w:val="0"/>
                <w:iCs w:val="0"/>
                <w:color w:val="000000"/>
                <w:kern w:val="0"/>
                <w:sz w:val="12"/>
                <w:szCs w:val="12"/>
                <w:u w:val="none"/>
                <w:lang w:val="en-US" w:eastAsia="zh-CN"/>
              </w:rPr>
              <w:t>健</w:t>
            </w:r>
            <w:r>
              <w:rPr>
                <w:rFonts w:hint="eastAsia" w:ascii="宋体" w:hAnsi="宋体" w:eastAsia="宋体" w:cs="宋体"/>
                <w:i w:val="0"/>
                <w:iCs w:val="0"/>
                <w:color w:val="000000"/>
                <w:kern w:val="0"/>
                <w:sz w:val="12"/>
                <w:szCs w:val="12"/>
                <w:u w:val="none"/>
                <w:lang w:val="en-US" w:eastAsia="zh-CN"/>
              </w:rPr>
              <w:t>工作</w:t>
            </w:r>
            <w:r>
              <w:rPr>
                <w:rFonts w:hint="eastAsia" w:ascii="宋体" w:hAnsi="宋体" w:cs="宋体"/>
                <w:i w:val="0"/>
                <w:iCs w:val="0"/>
                <w:color w:val="000000"/>
                <w:kern w:val="0"/>
                <w:sz w:val="12"/>
                <w:szCs w:val="12"/>
                <w:u w:val="none"/>
                <w:lang w:val="en-US" w:eastAsia="zh-CN"/>
              </w:rPr>
              <w:t>4、</w:t>
            </w:r>
            <w:r>
              <w:rPr>
                <w:rFonts w:hint="eastAsia" w:ascii="宋体" w:hAnsi="宋体" w:eastAsia="宋体" w:cs="宋体"/>
                <w:i w:val="0"/>
                <w:iCs w:val="0"/>
                <w:color w:val="000000"/>
                <w:kern w:val="0"/>
                <w:sz w:val="12"/>
                <w:szCs w:val="12"/>
                <w:u w:val="none"/>
                <w:lang w:val="en-US" w:eastAsia="zh-CN"/>
              </w:rPr>
              <w:t>组织预算收支执行、监督财政资金使用，落实强农惠民政策，指导村级财务管理。5、完成年度扶贫任务，巩固扶贫成果。6、做好便民服务和农业综合服务工作。</w:t>
            </w:r>
          </w:p>
        </w:tc>
      </w:tr>
      <w:tr>
        <w:tblPrEx>
          <w:tblLayout w:type="fixed"/>
          <w:tblCellMar>
            <w:top w:w="0" w:type="dxa"/>
            <w:left w:w="0" w:type="dxa"/>
            <w:bottom w:w="0" w:type="dxa"/>
            <w:right w:w="0" w:type="dxa"/>
          </w:tblCellMar>
        </w:tblPrEx>
        <w:trPr>
          <w:trHeight w:val="1019" w:hRule="atLeast"/>
          <w:jc w:val="center"/>
        </w:trPr>
        <w:tc>
          <w:tcPr>
            <w:tcW w:w="357" w:type="dxa"/>
            <w:vMerge w:val="restart"/>
            <w:tcBorders>
              <w:top w:val="nil"/>
              <w:left w:val="single" w:color="000000" w:sz="4" w:space="0"/>
              <w:bottom w:val="nil"/>
              <w:right w:val="single" w:color="000000" w:sz="4" w:space="0"/>
            </w:tcBorders>
            <w:tcMar>
              <w:top w:w="15" w:type="dxa"/>
              <w:left w:w="15" w:type="dxa"/>
              <w:bottom w:w="0" w:type="dxa"/>
              <w:right w:w="15" w:type="dxa"/>
            </w:tcMar>
            <w:textDirection w:val="tbRlV"/>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绩效指标</w:t>
            </w: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一级</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指标</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二级指标</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三级指标</w:t>
            </w: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rPr>
              <w:t>分值</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rPr>
              <w:t>年度指标值</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全年实际值</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rPr>
              <w:t>得分</w:t>
            </w:r>
          </w:p>
        </w:tc>
        <w:tc>
          <w:tcPr>
            <w:tcW w:w="32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8"/>
                <w:szCs w:val="18"/>
                <w:u w:val="none"/>
                <w:lang w:val="en-US" w:eastAsia="zh-CN"/>
              </w:rPr>
              <w:t>未完成原因及拟采取的改进措施</w:t>
            </w:r>
          </w:p>
        </w:tc>
      </w:tr>
      <w:tr>
        <w:tblPrEx>
          <w:tblLayout w:type="fixed"/>
          <w:tblCellMar>
            <w:top w:w="0" w:type="dxa"/>
            <w:left w:w="0" w:type="dxa"/>
            <w:bottom w:w="0" w:type="dxa"/>
            <w:right w:w="0" w:type="dxa"/>
          </w:tblCellMar>
        </w:tblPrEx>
        <w:trPr>
          <w:trHeight w:val="1387" w:hRule="atLeast"/>
          <w:jc w:val="center"/>
        </w:trPr>
        <w:tc>
          <w:tcPr>
            <w:tcW w:w="357" w:type="dxa"/>
            <w:vMerge w:val="continue"/>
            <w:tcBorders>
              <w:top w:val="nil"/>
              <w:left w:val="single" w:color="000000" w:sz="4" w:space="0"/>
              <w:bottom w:val="nil"/>
              <w:right w:val="single" w:color="000000" w:sz="4" w:space="0"/>
            </w:tcBorders>
            <w:tcMar>
              <w:top w:w="15" w:type="dxa"/>
              <w:left w:w="15" w:type="dxa"/>
              <w:bottom w:w="0" w:type="dxa"/>
              <w:right w:w="15" w:type="dxa"/>
            </w:tcMar>
            <w:textDirection w:val="tbRlV"/>
            <w:vAlign w:val="center"/>
          </w:tcPr>
          <w:p>
            <w:pPr>
              <w:jc w:val="center"/>
              <w:rPr>
                <w:rFonts w:ascii="宋体" w:hAnsi="宋体" w:cs="宋体"/>
                <w:color w:val="000000"/>
                <w:sz w:val="24"/>
              </w:rPr>
            </w:pPr>
          </w:p>
        </w:tc>
        <w:tc>
          <w:tcPr>
            <w:tcW w:w="65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产</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出</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指</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标</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cs="宋体"/>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50分</w:t>
            </w:r>
            <w:r>
              <w:rPr>
                <w:rFonts w:hint="eastAsia" w:ascii="宋体" w:hAnsi="宋体" w:cs="宋体"/>
                <w:i w:val="0"/>
                <w:iCs w:val="0"/>
                <w:color w:val="000000"/>
                <w:kern w:val="0"/>
                <w:sz w:val="20"/>
                <w:szCs w:val="20"/>
                <w:u w:val="none"/>
                <w:lang w:val="en-US" w:eastAsia="zh-CN"/>
              </w:rPr>
              <w:t>）</w:t>
            </w:r>
          </w:p>
        </w:tc>
        <w:tc>
          <w:tcPr>
            <w:tcW w:w="75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数量指标</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cs="宋体"/>
                <w:color w:val="000000"/>
                <w:sz w:val="24"/>
                <w:lang w:val="en-US"/>
              </w:rPr>
            </w:pPr>
            <w:r>
              <w:rPr>
                <w:rFonts w:hint="eastAsia" w:ascii="宋体" w:hAnsi="宋体" w:eastAsia="宋体" w:cs="宋体"/>
                <w:i w:val="0"/>
                <w:iCs w:val="0"/>
                <w:color w:val="000000"/>
                <w:kern w:val="0"/>
                <w:sz w:val="12"/>
                <w:szCs w:val="12"/>
                <w:u w:val="none"/>
                <w:lang w:val="en-US" w:eastAsia="zh-CN"/>
              </w:rPr>
              <w:t>民生保障及强农惠民政策</w:t>
            </w:r>
            <w:r>
              <w:rPr>
                <w:rFonts w:hint="eastAsia" w:ascii="宋体" w:hAnsi="宋体" w:cs="宋体"/>
                <w:i w:val="0"/>
                <w:iCs w:val="0"/>
                <w:color w:val="000000"/>
                <w:kern w:val="0"/>
                <w:sz w:val="12"/>
                <w:szCs w:val="12"/>
                <w:u w:val="none"/>
                <w:lang w:val="en-US" w:eastAsia="zh-CN"/>
              </w:rPr>
              <w:t>落实</w:t>
            </w: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≥15 项</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=20 项</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32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14" w:hRule="atLeast"/>
          <w:jc w:val="center"/>
        </w:trPr>
        <w:tc>
          <w:tcPr>
            <w:tcW w:w="357" w:type="dxa"/>
            <w:vMerge w:val="continue"/>
            <w:tcBorders>
              <w:top w:val="nil"/>
              <w:left w:val="single" w:color="000000" w:sz="4" w:space="0"/>
              <w:bottom w:val="nil"/>
              <w:right w:val="single" w:color="000000" w:sz="4" w:space="0"/>
            </w:tcBorders>
            <w:tcMar>
              <w:top w:w="15" w:type="dxa"/>
              <w:left w:w="15" w:type="dxa"/>
              <w:bottom w:w="0"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75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安全生产、环境保护案件受理个数</w:t>
            </w: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≤2件</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 1件</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32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14" w:hRule="atLeast"/>
          <w:jc w:val="center"/>
        </w:trPr>
        <w:tc>
          <w:tcPr>
            <w:tcW w:w="357" w:type="dxa"/>
            <w:vMerge w:val="continue"/>
            <w:tcBorders>
              <w:top w:val="nil"/>
              <w:left w:val="single" w:color="000000" w:sz="4" w:space="0"/>
              <w:bottom w:val="nil"/>
              <w:right w:val="single" w:color="000000" w:sz="4" w:space="0"/>
            </w:tcBorders>
            <w:tcMar>
              <w:top w:w="15" w:type="dxa"/>
              <w:left w:w="15" w:type="dxa"/>
              <w:bottom w:w="0"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kern w:val="0"/>
                <w:sz w:val="24"/>
              </w:rPr>
            </w:pPr>
          </w:p>
        </w:tc>
        <w:tc>
          <w:tcPr>
            <w:tcW w:w="75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巩固帮扶贫困人口脱贫</w:t>
            </w: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 2133人次</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 2133人次</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32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14" w:hRule="atLeast"/>
          <w:jc w:val="center"/>
        </w:trPr>
        <w:tc>
          <w:tcPr>
            <w:tcW w:w="357" w:type="dxa"/>
            <w:vMerge w:val="continue"/>
            <w:tcBorders>
              <w:top w:val="nil"/>
              <w:left w:val="single" w:color="000000" w:sz="4" w:space="0"/>
              <w:bottom w:val="nil"/>
              <w:right w:val="single" w:color="000000" w:sz="4" w:space="0"/>
            </w:tcBorders>
            <w:tcMar>
              <w:top w:w="15" w:type="dxa"/>
              <w:left w:w="15" w:type="dxa"/>
              <w:bottom w:w="0"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75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质量指标</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民生保障及强农惠民政策落实率</w:t>
            </w: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=100%</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=100%</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32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14" w:hRule="atLeast"/>
          <w:jc w:val="center"/>
        </w:trPr>
        <w:tc>
          <w:tcPr>
            <w:tcW w:w="357" w:type="dxa"/>
            <w:vMerge w:val="continue"/>
            <w:tcBorders>
              <w:top w:val="nil"/>
              <w:left w:val="single" w:color="000000" w:sz="4" w:space="0"/>
              <w:bottom w:val="nil"/>
              <w:right w:val="single" w:color="000000" w:sz="4" w:space="0"/>
            </w:tcBorders>
            <w:tcMar>
              <w:top w:w="15" w:type="dxa"/>
              <w:left w:w="15" w:type="dxa"/>
              <w:bottom w:w="0"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75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安全生产、环境保护案件受理率</w:t>
            </w: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≥100%</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=95%</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4</w:t>
            </w:r>
          </w:p>
        </w:tc>
        <w:tc>
          <w:tcPr>
            <w:tcW w:w="32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执行时效慢，执行效率有待提升</w:t>
            </w:r>
          </w:p>
        </w:tc>
      </w:tr>
      <w:tr>
        <w:tblPrEx>
          <w:tblLayout w:type="fixed"/>
          <w:tblCellMar>
            <w:top w:w="0" w:type="dxa"/>
            <w:left w:w="0" w:type="dxa"/>
            <w:bottom w:w="0" w:type="dxa"/>
            <w:right w:w="0" w:type="dxa"/>
          </w:tblCellMar>
        </w:tblPrEx>
        <w:trPr>
          <w:trHeight w:val="1114" w:hRule="atLeast"/>
          <w:jc w:val="center"/>
        </w:trPr>
        <w:tc>
          <w:tcPr>
            <w:tcW w:w="357" w:type="dxa"/>
            <w:vMerge w:val="continue"/>
            <w:tcBorders>
              <w:top w:val="nil"/>
              <w:left w:val="single" w:color="000000" w:sz="4" w:space="0"/>
              <w:bottom w:val="nil"/>
              <w:right w:val="single" w:color="000000" w:sz="4" w:space="0"/>
            </w:tcBorders>
            <w:tcMar>
              <w:top w:w="15" w:type="dxa"/>
              <w:left w:w="15" w:type="dxa"/>
              <w:bottom w:w="0"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75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帮扶贫困人口脱贫率</w:t>
            </w: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≥100%</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=100%</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32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387" w:hRule="atLeast"/>
          <w:jc w:val="center"/>
        </w:trPr>
        <w:tc>
          <w:tcPr>
            <w:tcW w:w="357" w:type="dxa"/>
            <w:vMerge w:val="continue"/>
            <w:tcBorders>
              <w:top w:val="nil"/>
              <w:left w:val="single" w:color="000000" w:sz="4" w:space="0"/>
              <w:bottom w:val="nil"/>
              <w:right w:val="single" w:color="000000" w:sz="4" w:space="0"/>
            </w:tcBorders>
            <w:tcMar>
              <w:top w:w="15" w:type="dxa"/>
              <w:left w:w="15" w:type="dxa"/>
              <w:bottom w:w="0"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75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时效指标</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民生保障及强农惠民政策落实率</w:t>
            </w: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≥100%</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=100%</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32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387" w:hRule="atLeast"/>
          <w:jc w:val="center"/>
        </w:trPr>
        <w:tc>
          <w:tcPr>
            <w:tcW w:w="357" w:type="dxa"/>
            <w:vMerge w:val="continue"/>
            <w:tcBorders>
              <w:top w:val="nil"/>
              <w:left w:val="single" w:color="000000" w:sz="4" w:space="0"/>
              <w:bottom w:val="nil"/>
              <w:right w:val="single" w:color="000000" w:sz="4" w:space="0"/>
            </w:tcBorders>
            <w:tcMar>
              <w:top w:w="15" w:type="dxa"/>
              <w:left w:w="15" w:type="dxa"/>
              <w:bottom w:w="0"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kern w:val="0"/>
                <w:sz w:val="24"/>
              </w:rPr>
            </w:pPr>
          </w:p>
        </w:tc>
        <w:tc>
          <w:tcPr>
            <w:tcW w:w="75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帮助困难人员增加收入时间</w:t>
            </w: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≤2020年9月30日</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宋体" w:hAnsi="宋体" w:eastAsia="宋体" w:cs="宋体"/>
                <w:i w:val="0"/>
                <w:iCs w:val="0"/>
                <w:color w:val="000000"/>
                <w:kern w:val="0"/>
                <w:sz w:val="12"/>
                <w:szCs w:val="12"/>
                <w:u w:val="none"/>
                <w:lang w:val="en-US" w:eastAsia="zh-CN"/>
              </w:rPr>
              <w:t>2020年9月30</w:t>
            </w:r>
            <w:r>
              <w:rPr>
                <w:rFonts w:hint="eastAsia" w:ascii="宋体" w:hAnsi="宋体" w:cs="宋体"/>
                <w:i w:val="0"/>
                <w:iCs w:val="0"/>
                <w:color w:val="000000"/>
                <w:kern w:val="0"/>
                <w:sz w:val="12"/>
                <w:szCs w:val="12"/>
                <w:u w:val="none"/>
                <w:lang w:val="en-US" w:eastAsia="zh-CN"/>
              </w:rPr>
              <w:t>日</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32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23" w:hRule="atLeast"/>
          <w:jc w:val="center"/>
        </w:trPr>
        <w:tc>
          <w:tcPr>
            <w:tcW w:w="357" w:type="dxa"/>
            <w:vMerge w:val="continue"/>
            <w:tcBorders>
              <w:top w:val="nil"/>
              <w:left w:val="single" w:color="000000" w:sz="4" w:space="0"/>
              <w:bottom w:val="nil"/>
              <w:right w:val="single" w:color="000000" w:sz="4" w:space="0"/>
            </w:tcBorders>
            <w:tcMar>
              <w:top w:w="15" w:type="dxa"/>
              <w:left w:w="15" w:type="dxa"/>
              <w:bottom w:w="0"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kern w:val="0"/>
                <w:sz w:val="24"/>
              </w:rPr>
            </w:pPr>
          </w:p>
        </w:tc>
        <w:tc>
          <w:tcPr>
            <w:tcW w:w="75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32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23" w:hRule="atLeast"/>
          <w:jc w:val="center"/>
        </w:trPr>
        <w:tc>
          <w:tcPr>
            <w:tcW w:w="357" w:type="dxa"/>
            <w:vMerge w:val="continue"/>
            <w:tcBorders>
              <w:top w:val="nil"/>
              <w:left w:val="single" w:color="000000" w:sz="4" w:space="0"/>
              <w:bottom w:val="nil"/>
              <w:right w:val="single" w:color="000000" w:sz="4" w:space="0"/>
            </w:tcBorders>
            <w:tcMar>
              <w:top w:w="15" w:type="dxa"/>
              <w:left w:w="15" w:type="dxa"/>
              <w:bottom w:w="0"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75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成本指标</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both"/>
              <w:textAlignment w:val="center"/>
              <w:rPr>
                <w:rFonts w:hint="default" w:ascii="宋体" w:hAnsi="宋体" w:eastAsia="宋体" w:cs="宋体"/>
                <w:color w:val="000000"/>
                <w:sz w:val="24"/>
                <w:lang w:val="en-US" w:eastAsia="zh-CN"/>
              </w:rPr>
            </w:pPr>
            <w:r>
              <w:rPr>
                <w:rFonts w:hint="eastAsia"/>
                <w:lang w:val="en-US" w:eastAsia="zh-CN"/>
              </w:rPr>
              <w:t xml:space="preserve"> </w:t>
            </w:r>
            <w:r>
              <w:rPr>
                <w:rFonts w:hint="eastAsia" w:ascii="宋体" w:hAnsi="宋体" w:eastAsia="宋体" w:cs="宋体"/>
                <w:i w:val="0"/>
                <w:iCs w:val="0"/>
                <w:color w:val="000000"/>
                <w:kern w:val="0"/>
                <w:sz w:val="12"/>
                <w:szCs w:val="12"/>
                <w:u w:val="none"/>
                <w:lang w:val="en-US" w:eastAsia="zh-CN"/>
              </w:rPr>
              <w:t>村级管理</w:t>
            </w: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=181.84</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=181.84</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32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23" w:hRule="atLeast"/>
          <w:jc w:val="center"/>
        </w:trPr>
        <w:tc>
          <w:tcPr>
            <w:tcW w:w="357" w:type="dxa"/>
            <w:vMerge w:val="continue"/>
            <w:tcBorders>
              <w:top w:val="nil"/>
              <w:left w:val="single" w:color="000000" w:sz="4" w:space="0"/>
              <w:bottom w:val="nil"/>
              <w:right w:val="single" w:color="000000" w:sz="4" w:space="0"/>
            </w:tcBorders>
            <w:tcMar>
              <w:top w:w="15" w:type="dxa"/>
              <w:left w:w="15" w:type="dxa"/>
              <w:bottom w:w="0"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kern w:val="0"/>
                <w:sz w:val="24"/>
              </w:rPr>
            </w:pPr>
          </w:p>
        </w:tc>
        <w:tc>
          <w:tcPr>
            <w:tcW w:w="75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平均村级管理成本</w:t>
            </w: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≤16.54</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=16.54</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5</w:t>
            </w:r>
          </w:p>
        </w:tc>
        <w:tc>
          <w:tcPr>
            <w:tcW w:w="32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23" w:hRule="atLeast"/>
          <w:jc w:val="center"/>
        </w:trPr>
        <w:tc>
          <w:tcPr>
            <w:tcW w:w="357" w:type="dxa"/>
            <w:vMerge w:val="continue"/>
            <w:tcBorders>
              <w:top w:val="nil"/>
              <w:left w:val="single" w:color="000000" w:sz="4" w:space="0"/>
              <w:bottom w:val="nil"/>
              <w:right w:val="single" w:color="000000" w:sz="4" w:space="0"/>
            </w:tcBorders>
            <w:tcMar>
              <w:top w:w="15" w:type="dxa"/>
              <w:left w:w="15" w:type="dxa"/>
              <w:bottom w:w="0"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kern w:val="0"/>
                <w:sz w:val="24"/>
              </w:rPr>
            </w:pPr>
          </w:p>
        </w:tc>
        <w:tc>
          <w:tcPr>
            <w:tcW w:w="75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32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23" w:hRule="atLeast"/>
          <w:jc w:val="center"/>
        </w:trPr>
        <w:tc>
          <w:tcPr>
            <w:tcW w:w="357" w:type="dxa"/>
            <w:vMerge w:val="continue"/>
            <w:tcBorders>
              <w:top w:val="nil"/>
              <w:left w:val="single" w:color="000000" w:sz="4" w:space="0"/>
              <w:bottom w:val="nil"/>
              <w:right w:val="single" w:color="000000" w:sz="4" w:space="0"/>
            </w:tcBorders>
            <w:tcMar>
              <w:top w:w="15" w:type="dxa"/>
              <w:left w:w="15" w:type="dxa"/>
              <w:bottom w:w="0" w:type="dxa"/>
              <w:right w:w="15" w:type="dxa"/>
            </w:tcMar>
            <w:textDirection w:val="tbRlV"/>
            <w:vAlign w:val="center"/>
          </w:tcPr>
          <w:p>
            <w:pPr>
              <w:jc w:val="center"/>
              <w:rPr>
                <w:rFonts w:ascii="宋体" w:hAnsi="宋体" w:cs="宋体"/>
                <w:color w:val="000000"/>
                <w:sz w:val="24"/>
              </w:rPr>
            </w:pPr>
          </w:p>
        </w:tc>
        <w:tc>
          <w:tcPr>
            <w:tcW w:w="652"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kern w:val="0"/>
                <w:sz w:val="24"/>
              </w:rPr>
            </w:pP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p>
        </w:tc>
        <w:tc>
          <w:tcPr>
            <w:tcW w:w="32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1123" w:hRule="atLeast"/>
          <w:jc w:val="center"/>
        </w:trPr>
        <w:tc>
          <w:tcPr>
            <w:tcW w:w="357" w:type="dxa"/>
            <w:vMerge w:val="continue"/>
            <w:tcBorders>
              <w:top w:val="nil"/>
              <w:left w:val="single" w:color="000000" w:sz="4" w:space="0"/>
              <w:bottom w:val="single" w:color="000000" w:sz="4" w:space="0"/>
              <w:right w:val="single" w:color="000000" w:sz="4" w:space="0"/>
            </w:tcBorders>
            <w:tcMar>
              <w:top w:w="15" w:type="dxa"/>
              <w:left w:w="15" w:type="dxa"/>
              <w:bottom w:w="0" w:type="dxa"/>
              <w:right w:w="15" w:type="dxa"/>
            </w:tcMar>
            <w:textDirection w:val="tbRlV"/>
            <w:vAlign w:val="center"/>
          </w:tcPr>
          <w:p>
            <w:pPr>
              <w:jc w:val="center"/>
              <w:rPr>
                <w:rFonts w:ascii="宋体" w:hAnsi="宋体" w:cs="宋体"/>
                <w:color w:val="000000"/>
                <w:sz w:val="24"/>
              </w:rPr>
            </w:pPr>
          </w:p>
        </w:tc>
        <w:tc>
          <w:tcPr>
            <w:tcW w:w="6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kern w:val="0"/>
                <w:sz w:val="24"/>
              </w:rPr>
            </w:pPr>
            <w:r>
              <w:rPr>
                <w:rFonts w:hint="eastAsia" w:ascii="宋体" w:hAnsi="宋体" w:eastAsia="宋体" w:cs="宋体"/>
                <w:i w:val="0"/>
                <w:iCs w:val="0"/>
                <w:color w:val="000000"/>
                <w:kern w:val="0"/>
                <w:sz w:val="20"/>
                <w:szCs w:val="20"/>
                <w:u w:val="none"/>
                <w:lang w:val="en-US" w:eastAsia="zh-CN"/>
              </w:rPr>
              <w:t>效</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益</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指</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标</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cs="宋体"/>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30分</w:t>
            </w:r>
            <w:r>
              <w:rPr>
                <w:rFonts w:hint="eastAsia" w:ascii="宋体" w:hAnsi="宋体" w:cs="宋体"/>
                <w:i w:val="0"/>
                <w:iCs w:val="0"/>
                <w:color w:val="000000"/>
                <w:kern w:val="0"/>
                <w:sz w:val="20"/>
                <w:szCs w:val="20"/>
                <w:u w:val="none"/>
                <w:lang w:val="en-US" w:eastAsia="zh-CN"/>
              </w:rPr>
              <w:t>）</w:t>
            </w:r>
          </w:p>
        </w:tc>
        <w:tc>
          <w:tcPr>
            <w:tcW w:w="75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0"/>
                <w:szCs w:val="20"/>
                <w:u w:val="none"/>
                <w:lang w:val="en-US" w:eastAsia="zh-CN"/>
              </w:rPr>
              <w:t>经济效益</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指标</w:t>
            </w:r>
          </w:p>
        </w:tc>
        <w:tc>
          <w:tcPr>
            <w:tcW w:w="58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贫困人口人均增收</w:t>
            </w:r>
          </w:p>
        </w:tc>
        <w:tc>
          <w:tcPr>
            <w:tcW w:w="38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10</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 600元</w:t>
            </w:r>
          </w:p>
        </w:tc>
        <w:tc>
          <w:tcPr>
            <w:tcW w:w="6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 580元</w:t>
            </w:r>
          </w:p>
        </w:tc>
        <w:tc>
          <w:tcPr>
            <w:tcW w:w="44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2"/>
                <w:szCs w:val="12"/>
                <w:u w:val="none"/>
                <w:lang w:val="en-US" w:eastAsia="zh-CN"/>
              </w:rPr>
              <w:t>9</w:t>
            </w:r>
          </w:p>
        </w:tc>
        <w:tc>
          <w:tcPr>
            <w:tcW w:w="320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12"/>
                <w:szCs w:val="12"/>
                <w:u w:val="none"/>
                <w:lang w:val="en-US" w:eastAsia="zh-CN"/>
              </w:rPr>
              <w:t>执行时效慢，执行效率有待提升</w:t>
            </w:r>
          </w:p>
        </w:tc>
      </w:tr>
    </w:tbl>
    <w:p>
      <w:pPr>
        <w:spacing w:line="580" w:lineRule="exact"/>
        <w:rPr>
          <w:rFonts w:ascii="仿宋_GB2312" w:hAnsi="仿宋_GB2312" w:eastAsia="仿宋_GB2312" w:cs="仿宋_GB2312"/>
          <w:sz w:val="32"/>
          <w:szCs w:val="32"/>
        </w:rPr>
      </w:pPr>
    </w:p>
    <w:p>
      <w:pPr>
        <w:numPr>
          <w:ilvl w:val="0"/>
          <w:numId w:val="6"/>
        </w:numPr>
        <w:spacing w:line="580" w:lineRule="exact"/>
        <w:ind w:left="63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本部门按要求对2020年部门整体支出绩效评价情况开展自评，《</w:t>
      </w:r>
      <w:r>
        <w:rPr>
          <w:rFonts w:hint="eastAsia" w:ascii="仿宋_GB2312" w:hAnsi="仿宋_GB2312" w:eastAsia="仿宋_GB2312" w:cs="仿宋_GB2312"/>
          <w:sz w:val="32"/>
          <w:szCs w:val="32"/>
          <w:lang w:val="en-US" w:eastAsia="zh-CN"/>
        </w:rPr>
        <w:t>铁溪</w:t>
      </w:r>
      <w:r>
        <w:rPr>
          <w:rFonts w:hint="eastAsia" w:ascii="仿宋_GB2312" w:hAnsi="仿宋_GB2312" w:eastAsia="仿宋_GB2312" w:cs="仿宋_GB2312"/>
          <w:sz w:val="32"/>
          <w:szCs w:val="32"/>
        </w:rPr>
        <w:t>镇2020年部门整体支出绩效评价报告》见附件（附件1）。</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本部门自行组织对2020年公益性岗位及创业就业补助项目开展了绩效评价，《2020年公益性岗位及创业就业补助绩效评价报告》见附件（附件2）。</w:t>
      </w:r>
    </w:p>
    <w:p>
      <w:pPr>
        <w:widowControl/>
        <w:jc w:val="left"/>
        <w:rPr>
          <w:rFonts w:ascii="仿宋_GB2312" w:eastAsia="仿宋_GB2312"/>
          <w:b/>
          <w:color w:val="000000"/>
          <w:sz w:val="32"/>
          <w:szCs w:val="32"/>
        </w:rPr>
      </w:pPr>
      <w:r>
        <w:br w:type="page"/>
      </w:r>
    </w:p>
    <w:p>
      <w:pPr>
        <w:numPr>
          <w:ilvl w:val="0"/>
          <w:numId w:val="7"/>
        </w:numPr>
        <w:spacing w:line="600" w:lineRule="exact"/>
        <w:ind w:firstLine="660" w:firstLineChars="150"/>
        <w:jc w:val="center"/>
        <w:outlineLvl w:val="0"/>
        <w:rPr>
          <w:rStyle w:val="13"/>
          <w:rFonts w:ascii="黑体" w:hAnsi="黑体" w:eastAsia="黑体"/>
          <w:b w:val="0"/>
        </w:rPr>
      </w:pPr>
      <w:bookmarkStart w:id="78" w:name="_Toc15396613"/>
      <w:bookmarkStart w:id="79" w:name="_Toc15377225"/>
      <w:bookmarkStart w:id="80" w:name="_Toc15787"/>
      <w:r>
        <w:rPr>
          <w:rFonts w:hint="eastAsia" w:ascii="黑体" w:hAnsi="黑体" w:eastAsia="黑体"/>
          <w:color w:val="000000"/>
          <w:sz w:val="44"/>
          <w:szCs w:val="44"/>
        </w:rPr>
        <w:t>名</w:t>
      </w:r>
      <w:r>
        <w:rPr>
          <w:rStyle w:val="13"/>
          <w:rFonts w:hint="eastAsia" w:ascii="黑体" w:hAnsi="黑体" w:eastAsia="黑体"/>
          <w:b w:val="0"/>
        </w:rPr>
        <w:t>词解释</w:t>
      </w:r>
      <w:bookmarkEnd w:id="78"/>
      <w:bookmarkEnd w:id="79"/>
      <w:bookmarkEnd w:id="80"/>
    </w:p>
    <w:p>
      <w:pPr>
        <w:spacing w:line="600" w:lineRule="exact"/>
        <w:jc w:val="left"/>
        <w:rPr>
          <w:rFonts w:ascii="宋体"/>
          <w:b/>
          <w:color w:val="000000"/>
          <w:sz w:val="44"/>
          <w:szCs w:val="44"/>
        </w:rPr>
      </w:pPr>
    </w:p>
    <w:p>
      <w:pPr>
        <w:pStyle w:val="3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9．一般公共服务（类）人大事务（款）行政运行（项）:指用于保障乡镇人大机构正常运转，用于行政运行方面的人员经费和日常运转经费支出；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10．一般公共服务（类）政府办公厅（室）及相关机构事务（款）行政运行（项）: 指用于保障乡镇政府机构正常运转，用于行政运行方面的人员经费和日常运转经费支出；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11. 一般公共服务（类）政府办公厅（室）及相关机构事务（款）一般行政管理事务（项）指为完成上级安排的特定工作和任务发生的支出；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 xml:space="preserve">12. 一般公共服务（类）政府办公厅（室）及相关机构事务（款）信访事务（项）: 信访维稳、矛盾纠纷调解、网格化服务和征兵等支出 ； </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13．一般公共服务（类）财政事务（款）行政运行（项）: 保障乡镇财政机构正常运行，用于行政运行方面的人员经费和日常运转经费支出；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14．一般公共服务（类）人力资源事务（款）其他人力资源事务支出（项）: 指引进人才的安家住房补贴支出；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15．一般公共服务（类）纪检监察事务（款）行政运行（项）: 保障乡镇纪检机构正常运行，用于行政运行方面的人员经费和日常运转经费支出；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16．一般公共服务（类）群众团体事务（款）行政运行（项）: 保障乡镇妇联、共青团机构正常运行，用于行政运行方面的人员经费和日常运转经费支出；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17．一般公共服务（类）党委办公厅（室）及相关机构事务（款）行政运行（项）: 保障乡镇党委机构正常运行，用于行政运行方面的人员经费和日常运转经费支出；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18．教育支出（类）普通教育（款）学前教育（项）:指乡镇学前教育阶段专项支出；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19．教育支出（类）普通教育（款）小学教育（项）:指义务教育小学阶段的人员经费和日常运转经费支出；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20．教育支出（类）普通教育（款）初中教育（项）: 指义务教育初中阶段的经费支出；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 xml:space="preserve">21．教育支出（类）普通教育（款）其他普通教育支出（项）:指义务教育阶段寄宿生生活补助、作业本费、学生营养餐； </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22．教育支出（类）其他教育支出（款）其他教育支出（项）: 指</w:t>
      </w:r>
      <w:r>
        <w:rPr>
          <w:rFonts w:hint="eastAsia" w:ascii="仿宋_GB2312" w:eastAsia="仿宋_GB2312"/>
          <w:color w:val="000000"/>
          <w:sz w:val="32"/>
          <w:szCs w:val="32"/>
          <w:lang w:val="en-US" w:eastAsia="zh-CN"/>
        </w:rPr>
        <w:t>铁溪</w:t>
      </w:r>
      <w:r>
        <w:rPr>
          <w:rFonts w:hint="eastAsia" w:ascii="仿宋_GB2312" w:eastAsia="仿宋_GB2312"/>
          <w:color w:val="000000"/>
          <w:sz w:val="32"/>
          <w:szCs w:val="32"/>
        </w:rPr>
        <w:t xml:space="preserve">初级中学运动场建设支出； </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23．文化体育与传媒支出（类）文化（款）其他文化支出（项）:指乡镇文化站、农家书屋免费开放补助支出；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24．文化体育与传媒支出（类）新闻出版广播影视（款）广播（项）:乡镇广播站人员经费和日常运转经费支出；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 xml:space="preserve">25．社会保障和就业支出（类）人力资源和社会保障管理事务（款）社会保险经办机构（项）:指乡镇社会保险机构人员经费和日常运转经费支出； </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26．社会保障和就业支出（类）行政事业单位离退休（款）机关事业单位基本养老保险缴费支出（项）:指乡镇在职人员基本养老保险缴费支出；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27．医疗卫生与计划生育支出（类）基层医疗卫生机构（款）乡镇卫生院（项）:指乡镇卫生院人员及正常运行必要经费支出；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28．医疗卫生与计划生育支出（类）基层医疗卫生机构（款）其他基层医疗卫生机构支出（项）: 指乡镇卫生院人员及正常运行必要经费支出；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 xml:space="preserve">29．医疗卫生与计划生育支出（类）公共卫生（款）基本公共卫生服务（项）:指公共卫生人员及日常运行经费支出； </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30．医疗卫生与计划生育支出（类）中医药（款）其他中医药支出（项）:指</w:t>
      </w:r>
      <w:r>
        <w:rPr>
          <w:rFonts w:hint="eastAsia" w:ascii="仿宋_GB2312" w:eastAsia="仿宋_GB2312"/>
          <w:color w:val="000000"/>
          <w:sz w:val="32"/>
          <w:szCs w:val="32"/>
          <w:lang w:val="en-US" w:eastAsia="zh-CN"/>
        </w:rPr>
        <w:t>铁溪</w:t>
      </w:r>
      <w:r>
        <w:rPr>
          <w:rFonts w:hint="eastAsia" w:ascii="仿宋_GB2312" w:eastAsia="仿宋_GB2312"/>
          <w:color w:val="000000"/>
          <w:sz w:val="32"/>
          <w:szCs w:val="32"/>
        </w:rPr>
        <w:t>卫生院中医馆建设支出；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31．医疗卫生与计划生育支出（类）计划生育事务（款）计划生育机构（项）:指乡镇卫计部门人员经费和日常运转经费支出；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32．医疗卫生与计划生育支出（类）食品和药品监督管理事务（款）事业运行（项）:指乡镇食品和药品监督管理人员经费和日常运转经费支出；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33．医疗卫生与计划生育支出（类）财政对基本医疗保险基金的补助（款）财政对城乡居民基本医疗保险基金的补助（项）:指对乡镇2014年至2015年已脱贫人员的农村医疗参保补贴；</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34．节能环保支出（类）退耕还林（款）退耕现金（项）:指2017年林业生态保护完善退耕还林政策补助和2017年林业生态保护恢复资金，兑现2015年度第三年新一轮退耕还林补助；</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35．城乡社区支出（类）城乡社区公共设施（款）其他城乡社区公共设施支出（项）:指乡村垃圾池建设；</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36．农林水支出（类）农业（款）事业运行（项）:指农业技术岗位人员经费和日常运转经费；</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37．农林水支出（类）农业（款）农业生产支持补贴（项）:指201</w:t>
      </w:r>
      <w:r>
        <w:rPr>
          <w:rFonts w:ascii="仿宋_GB2312" w:eastAsia="仿宋_GB2312"/>
          <w:color w:val="000000"/>
          <w:sz w:val="32"/>
          <w:szCs w:val="32"/>
        </w:rPr>
        <w:t>9</w:t>
      </w:r>
      <w:r>
        <w:rPr>
          <w:rFonts w:hint="eastAsia" w:ascii="仿宋_GB2312" w:eastAsia="仿宋_GB2312"/>
          <w:color w:val="000000"/>
          <w:sz w:val="32"/>
          <w:szCs w:val="32"/>
        </w:rPr>
        <w:t>年农村地力保护补贴；</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38．农林水支出（类）农业（款）农村道路建设（项）:指村道路维修补助；</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39．农林水支出（类）农业（款）林业事业机构（项）:指林业岗位人员经费及日常运转支出；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40．农林水支出（类）农业（款）森林生态效益补偿（项）:指集体公益补偿支出；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41．农林水支出（类）水利（款）水利技术推广（项）:指水利岗位人员经费及日常运转经费支出；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42．农林水支出（类）水利（款）农村人畜饮水（项）:指农村安全饮水项目补助；</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 xml:space="preserve">43．农林水支出（类）扶贫（款）其他扶贫支出（项）:指2017年易地移民搬迁中央财政补助资金支出； </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44．农林水支出（类）农村综合改革（款）对村民委员会和村党支部的补助（项）:指农村（社区）党支部、村（社区）民委员会及小组人员误工报酬和村（居）委会必要的办公经费支出；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45．农林水支出（类）农村综合改革（款）其他农村综合改革支出</w:t>
      </w:r>
      <w:r>
        <w:rPr>
          <w:rFonts w:hint="eastAsia"/>
          <w:lang w:eastAsia="zh-CN"/>
        </w:rPr>
        <w:t>：</w:t>
      </w:r>
      <w:r>
        <w:rPr>
          <w:rFonts w:hint="eastAsia" w:ascii="仿宋_GB2312" w:eastAsia="仿宋_GB2312"/>
          <w:color w:val="000000"/>
          <w:sz w:val="32"/>
          <w:szCs w:val="32"/>
        </w:rPr>
        <w:t>指农村基层党</w:t>
      </w:r>
      <w:r>
        <w:rPr>
          <w:rFonts w:hint="eastAsia" w:ascii="仿宋_GB2312" w:eastAsia="仿宋_GB2312"/>
          <w:color w:val="000000"/>
          <w:sz w:val="32"/>
          <w:szCs w:val="32"/>
          <w:lang w:val="en-US" w:eastAsia="zh-CN"/>
        </w:rPr>
        <w:t>组织</w:t>
      </w:r>
      <w:r>
        <w:rPr>
          <w:rFonts w:hint="eastAsia" w:ascii="仿宋_GB2312" w:eastAsia="仿宋_GB2312"/>
          <w:color w:val="000000"/>
          <w:sz w:val="32"/>
          <w:szCs w:val="32"/>
        </w:rPr>
        <w:t>活动和公共服务运转支出；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46．交通运输支出（类）公路水路运输（款）公路运输管理（项）:指交通岗位人员经费和日常运转经费支出；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47．住房保障支出（类）住房改革支出（款）住房公积金（项）:指在职职工单位负担住房公积金支出</w:t>
      </w:r>
    </w:p>
    <w:p>
      <w:pPr>
        <w:ind w:firstLine="640" w:firstLineChars="200"/>
        <w:rPr>
          <w:rFonts w:ascii="仿宋_GB2312" w:eastAsia="仿宋_GB2312"/>
          <w:color w:val="000000"/>
          <w:sz w:val="32"/>
          <w:szCs w:val="32"/>
        </w:rPr>
      </w:pPr>
      <w:r>
        <w:rPr>
          <w:rFonts w:ascii="仿宋_GB2312" w:eastAsia="仿宋_GB2312"/>
          <w:color w:val="000000"/>
          <w:sz w:val="32"/>
          <w:szCs w:val="32"/>
        </w:rPr>
        <w:t>48.</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49.</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50.</w:t>
      </w:r>
      <w:r>
        <w:rPr>
          <w:rFonts w:hint="eastAsia" w:ascii="仿宋_GB2312" w:eastAsia="仿宋_GB2312"/>
          <w:color w:val="000000"/>
          <w:sz w:val="32"/>
          <w:szCs w:val="32"/>
        </w:rPr>
        <w:t>经营支出：指事业单位在专业业务活动及其辅助活动之外开展非独立核算经营活动发生的支出。</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51.</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52.</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3"/>
          <w:rFonts w:ascii="黑体" w:hAnsi="黑体" w:eastAsia="黑体"/>
          <w:b w:val="0"/>
        </w:rPr>
      </w:pPr>
      <w:bookmarkStart w:id="81" w:name="_Toc15377226"/>
      <w:r>
        <w:br w:type="page"/>
      </w:r>
      <w:bookmarkStart w:id="82" w:name="_Toc3700"/>
      <w:bookmarkStart w:id="83" w:name="_Toc15396614"/>
      <w:r>
        <w:rPr>
          <w:rFonts w:hint="eastAsia" w:ascii="黑体" w:hAnsi="黑体" w:eastAsia="黑体"/>
          <w:color w:val="000000"/>
          <w:sz w:val="44"/>
          <w:szCs w:val="44"/>
        </w:rPr>
        <w:t>第</w:t>
      </w:r>
      <w:r>
        <w:rPr>
          <w:rStyle w:val="13"/>
          <w:rFonts w:hint="eastAsia" w:ascii="黑体" w:hAnsi="黑体" w:eastAsia="黑体"/>
          <w:b w:val="0"/>
        </w:rPr>
        <w:t>四部分</w:t>
      </w:r>
      <w:r>
        <w:rPr>
          <w:rStyle w:val="13"/>
          <w:rFonts w:ascii="黑体" w:hAnsi="黑体" w:eastAsia="黑体"/>
          <w:b w:val="0"/>
        </w:rPr>
        <w:t xml:space="preserve"> </w:t>
      </w:r>
      <w:r>
        <w:rPr>
          <w:rStyle w:val="13"/>
          <w:rFonts w:hint="eastAsia" w:ascii="黑体" w:hAnsi="黑体" w:eastAsia="黑体"/>
          <w:b w:val="0"/>
        </w:rPr>
        <w:t>附件</w:t>
      </w:r>
      <w:bookmarkEnd w:id="82"/>
      <w:bookmarkEnd w:id="83"/>
    </w:p>
    <w:p>
      <w:pPr>
        <w:spacing w:line="600" w:lineRule="exact"/>
        <w:jc w:val="left"/>
        <w:outlineLvl w:val="1"/>
        <w:rPr>
          <w:rFonts w:ascii="黑体" w:hAnsi="黑体" w:eastAsia="黑体" w:cs="黑体"/>
          <w:sz w:val="32"/>
          <w:szCs w:val="32"/>
        </w:rPr>
      </w:pPr>
      <w:bookmarkStart w:id="84" w:name="_Toc14511"/>
      <w:r>
        <w:rPr>
          <w:rFonts w:hint="eastAsia" w:ascii="黑体" w:hAnsi="黑体" w:eastAsia="黑体" w:cs="黑体"/>
          <w:sz w:val="32"/>
          <w:szCs w:val="32"/>
        </w:rPr>
        <w:t>附件</w:t>
      </w:r>
      <w:r>
        <w:rPr>
          <w:rFonts w:ascii="黑体" w:hAnsi="黑体" w:eastAsia="黑体" w:cs="黑体"/>
          <w:sz w:val="32"/>
          <w:szCs w:val="32"/>
        </w:rPr>
        <w:t>1</w:t>
      </w:r>
      <w:bookmarkEnd w:id="84"/>
    </w:p>
    <w:p>
      <w:pPr>
        <w:pStyle w:val="41"/>
        <w:spacing w:line="560" w:lineRule="exact"/>
        <w:rPr>
          <w:rFonts w:hint="eastAsia" w:ascii="宋体" w:hAnsi="宋体"/>
          <w:b/>
          <w:sz w:val="32"/>
          <w:szCs w:val="32"/>
        </w:rPr>
      </w:pPr>
    </w:p>
    <w:p>
      <w:pPr>
        <w:pStyle w:val="41"/>
        <w:spacing w:line="240" w:lineRule="auto"/>
        <w:jc w:val="center"/>
        <w:rPr>
          <w:rFonts w:hint="eastAsia" w:ascii="宋体" w:hAnsi="宋体"/>
          <w:b/>
          <w:sz w:val="44"/>
          <w:szCs w:val="44"/>
        </w:rPr>
      </w:pPr>
      <w:r>
        <w:rPr>
          <w:rFonts w:hint="eastAsia" w:ascii="宋体" w:hAnsi="宋体"/>
          <w:b/>
          <w:sz w:val="44"/>
          <w:szCs w:val="44"/>
          <w:lang w:eastAsia="zh-CN"/>
        </w:rPr>
        <w:t>铁溪</w:t>
      </w:r>
      <w:r>
        <w:rPr>
          <w:rFonts w:hint="eastAsia" w:ascii="宋体" w:hAnsi="宋体"/>
          <w:b/>
          <w:sz w:val="44"/>
          <w:szCs w:val="44"/>
        </w:rPr>
        <w:t>镇人民政府</w:t>
      </w:r>
    </w:p>
    <w:p>
      <w:pPr>
        <w:pStyle w:val="41"/>
        <w:spacing w:line="240" w:lineRule="auto"/>
        <w:jc w:val="center"/>
        <w:rPr>
          <w:rFonts w:hint="eastAsia" w:ascii="宋体" w:hAnsi="宋体"/>
          <w:b/>
          <w:sz w:val="44"/>
          <w:szCs w:val="44"/>
        </w:rPr>
      </w:pPr>
      <w:r>
        <w:rPr>
          <w:rFonts w:hint="eastAsia" w:ascii="宋体" w:hAnsi="宋体"/>
          <w:b/>
          <w:sz w:val="44"/>
          <w:szCs w:val="44"/>
        </w:rPr>
        <w:t>关于2019年整体支出绩效自评情况的</w:t>
      </w:r>
    </w:p>
    <w:p>
      <w:pPr>
        <w:pStyle w:val="41"/>
        <w:spacing w:line="240" w:lineRule="auto"/>
        <w:jc w:val="center"/>
        <w:rPr>
          <w:rFonts w:hint="eastAsia" w:ascii="宋体" w:hAnsi="宋体"/>
          <w:b/>
          <w:sz w:val="44"/>
          <w:szCs w:val="44"/>
        </w:rPr>
      </w:pPr>
      <w:r>
        <w:rPr>
          <w:rFonts w:hint="eastAsia" w:ascii="宋体" w:hAnsi="宋体"/>
          <w:b/>
          <w:sz w:val="44"/>
          <w:szCs w:val="44"/>
        </w:rPr>
        <w:t>报  告</w:t>
      </w:r>
    </w:p>
    <w:p>
      <w:pPr>
        <w:pStyle w:val="37"/>
        <w:spacing w:line="560" w:lineRule="exact"/>
        <w:rPr>
          <w:rFonts w:hint="eastAsia" w:ascii="仿宋_GB2312" w:hAnsi="宋体" w:eastAsia="仿宋_GB2312" w:cs="Times New Roman"/>
          <w:kern w:val="2"/>
          <w:sz w:val="32"/>
          <w:szCs w:val="32"/>
        </w:rPr>
      </w:pPr>
    </w:p>
    <w:p>
      <w:pPr>
        <w:pStyle w:val="37"/>
        <w:spacing w:line="560" w:lineRule="exac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通江县财政局：</w:t>
      </w:r>
    </w:p>
    <w:p>
      <w:pPr>
        <w:adjustRightInd w:val="0"/>
        <w:snapToGrid w:val="0"/>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通江县财政局关于开展2019年度预算绩效自评的通知》（通财预﹝2020﹞39号）文件要求，强化绩效理念，提高财政资金使用效益，增强政府公信力和执行力，结合我镇实际财政情况，现就开展2018年度财政整体支出绩效自评情况报告如下。</w:t>
      </w:r>
    </w:p>
    <w:p>
      <w:pPr>
        <w:adjustRightInd w:val="0"/>
        <w:snapToGrid w:val="0"/>
        <w:spacing w:line="560" w:lineRule="exact"/>
        <w:ind w:firstLine="72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一、基本情况</w:t>
      </w:r>
    </w:p>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铁溪镇位于通江县东北部</w:t>
      </w:r>
      <w:r>
        <w:rPr>
          <w:rFonts w:hint="eastAsia"/>
          <w:lang w:eastAsia="zh-CN"/>
        </w:rPr>
        <w:t>，</w:t>
      </w:r>
      <w:r>
        <w:rPr>
          <w:rFonts w:hint="eastAsia" w:ascii="仿宋_GB2312" w:hAnsi="仿宋_GB2312" w:eastAsia="仿宋_GB2312" w:cs="仿宋_GB2312"/>
          <w:color w:val="auto"/>
          <w:kern w:val="2"/>
          <w:sz w:val="32"/>
          <w:szCs w:val="32"/>
          <w:lang w:val="en-US" w:eastAsia="zh-CN" w:bidi="ar-SA"/>
        </w:rPr>
        <w:t>距通江县城85公里，2020年合并后镇政府位于铁溪镇冉家坝街道361号。辖2个社区，11个行政村，52个村民小组，户籍数6435户、16899人，地域面积240.87平方公里、耕地面积2万余亩。有中学1所，小学3所，幼儿园1所，卫生院2所。冉家坝场镇面积4.5平方公里，常住人口5000余人。</w:t>
      </w:r>
    </w:p>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铁溪镇是典型的高山农业乡镇，海拔560米—2000米。种植主要以水稻、玉米、红薯等为主；发展以核桃、板栗为主的干果10000余亩；以木瓜、大黄为主的中药材1000余亩；以青脆李、猕猴桃为主的水果3000亩；以罗村茶叶品牌为代表的茶叶1000亩。年出栏生猪3万余头，山羊4000余只，肉牛2000余头，家禽饲养10万余只。</w:t>
      </w:r>
    </w:p>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国道347线直穿境内中心地带22公里，硬化路里程达   公里。镇便民服务中心200平方米，镇文化广场2000余平方米，镇文化中心200余平方米，村村设有便民服务站、文化活动中心、卫生室、图书室。</w:t>
      </w:r>
    </w:p>
    <w:p>
      <w:pPr>
        <w:pStyle w:val="2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2020年重点工作。</w:t>
      </w:r>
    </w:p>
    <w:p>
      <w:pPr>
        <w:pStyle w:val="2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一是着力打好疫情防控阻击战。年初</w:t>
      </w:r>
      <w:r>
        <w:rPr>
          <w:rFonts w:hint="default" w:ascii="仿宋_GB2312" w:hAnsi="仿宋_GB2312" w:eastAsia="仿宋_GB2312" w:cs="仿宋_GB2312"/>
          <w:color w:val="auto"/>
          <w:kern w:val="2"/>
          <w:sz w:val="32"/>
          <w:szCs w:val="32"/>
          <w:lang w:val="en-US" w:eastAsia="zh-CN" w:bidi="ar-SA"/>
        </w:rPr>
        <w:t>全镇排查累计4882户，13268人；全镇共排查出涉湖北、深圳、温州、广州、重庆、北京、新疆等地“四类人员”共计572人次，其中国外返乡人员4人，老挝返回3人，多米尼加返回1人。石家庄、邢台、廊坊等重点地区返乡12人；春运（2021年1月28日）以来返乡人员共计228人；设卡口（封堵）20个，</w:t>
      </w:r>
      <w:r>
        <w:rPr>
          <w:rFonts w:hint="eastAsia" w:ascii="仿宋_GB2312" w:hAnsi="仿宋_GB2312" w:eastAsia="仿宋_GB2312" w:cs="仿宋_GB2312"/>
          <w:color w:val="auto"/>
          <w:kern w:val="2"/>
          <w:sz w:val="32"/>
          <w:szCs w:val="32"/>
          <w:lang w:val="en-US" w:eastAsia="zh-CN" w:bidi="ar-SA"/>
        </w:rPr>
        <w:t>设立</w:t>
      </w:r>
      <w:r>
        <w:rPr>
          <w:rFonts w:hint="default" w:ascii="仿宋_GB2312" w:hAnsi="仿宋_GB2312" w:eastAsia="仿宋_GB2312" w:cs="仿宋_GB2312"/>
          <w:color w:val="auto"/>
          <w:kern w:val="2"/>
          <w:sz w:val="32"/>
          <w:szCs w:val="32"/>
          <w:lang w:val="en-US" w:eastAsia="zh-CN" w:bidi="ar-SA"/>
        </w:rPr>
        <w:t>医学留验站1个</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共出动排查人员368人（包含党员干部，志愿者）</w:t>
      </w:r>
      <w:r>
        <w:rPr>
          <w:rFonts w:hint="eastAsia" w:ascii="仿宋_GB2312" w:hAnsi="仿宋_GB2312" w:eastAsia="仿宋_GB2312" w:cs="仿宋_GB2312"/>
          <w:color w:val="auto"/>
          <w:kern w:val="2"/>
          <w:sz w:val="32"/>
          <w:szCs w:val="32"/>
          <w:lang w:val="en-US" w:eastAsia="zh-CN" w:bidi="ar-SA"/>
        </w:rPr>
        <w:t>。</w:t>
      </w:r>
    </w:p>
    <w:p>
      <w:pPr>
        <w:pStyle w:val="2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二是</w:t>
      </w:r>
      <w:r>
        <w:rPr>
          <w:rFonts w:hint="default" w:ascii="仿宋_GB2312" w:hAnsi="仿宋_GB2312" w:eastAsia="仿宋_GB2312" w:cs="仿宋_GB2312"/>
          <w:color w:val="auto"/>
          <w:kern w:val="2"/>
          <w:sz w:val="32"/>
          <w:szCs w:val="32"/>
          <w:lang w:val="en-US" w:eastAsia="zh-CN" w:bidi="ar-SA"/>
        </w:rPr>
        <w:t>通过完善集镇功能，增加了居民的休闲场所，投入240万元修建群众足球场（包括绿化、美化、亮化）；投入近5万元疏通了下街里的下水道和中国电信处的主管网；投入了近5万元，对集镇弱电进行改造；</w:t>
      </w:r>
    </w:p>
    <w:p>
      <w:pPr>
        <w:pStyle w:val="2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三是</w:t>
      </w:r>
      <w:r>
        <w:rPr>
          <w:rFonts w:hint="default" w:ascii="仿宋_GB2312" w:hAnsi="仿宋_GB2312" w:eastAsia="仿宋_GB2312" w:cs="仿宋_GB2312"/>
          <w:color w:val="auto"/>
          <w:kern w:val="2"/>
          <w:sz w:val="32"/>
          <w:szCs w:val="32"/>
          <w:lang w:val="en-US" w:eastAsia="zh-CN" w:bidi="ar-SA"/>
        </w:rPr>
        <w:t>着力抓好“6.20”</w:t>
      </w:r>
      <w:r>
        <w:rPr>
          <w:rFonts w:hint="eastAsia" w:ascii="仿宋_GB2312" w:hAnsi="仿宋_GB2312" w:eastAsia="仿宋_GB2312" w:cs="仿宋_GB2312"/>
          <w:color w:val="auto"/>
          <w:kern w:val="2"/>
          <w:sz w:val="32"/>
          <w:szCs w:val="32"/>
          <w:lang w:val="en-US" w:eastAsia="zh-CN" w:bidi="ar-SA"/>
        </w:rPr>
        <w:t>和</w:t>
      </w:r>
      <w:r>
        <w:rPr>
          <w:rFonts w:hint="default" w:ascii="仿宋_GB2312" w:hAnsi="仿宋_GB2312" w:eastAsia="仿宋_GB2312" w:cs="仿宋_GB2312"/>
          <w:color w:val="auto"/>
          <w:kern w:val="2"/>
          <w:sz w:val="32"/>
          <w:szCs w:val="32"/>
          <w:lang w:val="en-US" w:eastAsia="zh-CN" w:bidi="ar-SA"/>
        </w:rPr>
        <w:t>“6.17”灾后重建</w:t>
      </w:r>
      <w:r>
        <w:rPr>
          <w:rFonts w:hint="eastAsia" w:ascii="仿宋_GB2312" w:hAnsi="仿宋_GB2312" w:eastAsia="仿宋_GB2312" w:cs="仿宋_GB2312"/>
          <w:color w:val="auto"/>
          <w:kern w:val="2"/>
          <w:sz w:val="32"/>
          <w:szCs w:val="32"/>
          <w:lang w:val="en-US" w:eastAsia="zh-CN" w:bidi="ar-SA"/>
        </w:rPr>
        <w:t>。</w:t>
      </w:r>
      <w:r>
        <w:rPr>
          <w:rFonts w:hint="eastAsia" w:ascii="Times New Roman" w:hAnsi="Times New Roman" w:eastAsia="仿宋_GB2312" w:cs="Times New Roman"/>
          <w:b w:val="0"/>
          <w:bCs w:val="0"/>
          <w:color w:val="000000"/>
          <w:spacing w:val="0"/>
          <w:sz w:val="32"/>
          <w:szCs w:val="32"/>
          <w:shd w:val="clear" w:color="auto" w:fill="auto"/>
          <w:lang w:val="en-US" w:eastAsia="zh-CN"/>
        </w:rPr>
        <w:t>洪灾过后我镇狠抓</w:t>
      </w:r>
      <w:r>
        <w:rPr>
          <w:rFonts w:hint="default" w:ascii="Times New Roman" w:hAnsi="Times New Roman" w:eastAsia="仿宋_GB2312" w:cs="Times New Roman"/>
          <w:b w:val="0"/>
          <w:bCs w:val="0"/>
          <w:color w:val="000000"/>
          <w:spacing w:val="0"/>
          <w:sz w:val="32"/>
          <w:szCs w:val="32"/>
          <w:shd w:val="clear" w:color="auto" w:fill="auto"/>
          <w:lang w:val="en-US" w:eastAsia="zh-CN"/>
        </w:rPr>
        <w:t>灾后重建，顺利</w:t>
      </w:r>
      <w:r>
        <w:rPr>
          <w:rFonts w:hint="eastAsia" w:ascii="Times New Roman" w:hAnsi="Times New Roman" w:eastAsia="仿宋_GB2312" w:cs="Times New Roman"/>
          <w:b w:val="0"/>
          <w:bCs w:val="0"/>
          <w:color w:val="000000"/>
          <w:spacing w:val="0"/>
          <w:sz w:val="32"/>
          <w:szCs w:val="32"/>
          <w:shd w:val="clear" w:color="auto" w:fill="auto"/>
          <w:lang w:val="en-US" w:eastAsia="zh-CN"/>
        </w:rPr>
        <w:t>地完成</w:t>
      </w:r>
      <w:r>
        <w:rPr>
          <w:rFonts w:hint="default" w:ascii="Times New Roman" w:hAnsi="Times New Roman" w:eastAsia="仿宋_GB2312" w:cs="Times New Roman"/>
          <w:b w:val="0"/>
          <w:bCs w:val="0"/>
          <w:color w:val="000000"/>
          <w:spacing w:val="0"/>
          <w:sz w:val="32"/>
          <w:szCs w:val="32"/>
          <w:shd w:val="clear" w:color="auto" w:fill="auto"/>
          <w:lang w:val="en-US" w:eastAsia="zh-CN"/>
        </w:rPr>
        <w:t>各项工作</w:t>
      </w:r>
      <w:r>
        <w:rPr>
          <w:rFonts w:hint="eastAsia" w:ascii="Times New Roman" w:hAnsi="Times New Roman" w:eastAsia="仿宋_GB2312" w:cs="Times New Roman"/>
          <w:b w:val="0"/>
          <w:bCs w:val="0"/>
          <w:color w:val="000000"/>
          <w:spacing w:val="0"/>
          <w:sz w:val="32"/>
          <w:szCs w:val="32"/>
          <w:shd w:val="clear" w:color="auto" w:fill="auto"/>
          <w:lang w:val="en-US" w:eastAsia="zh-CN"/>
        </w:rPr>
        <w:t>。一</w:t>
      </w:r>
      <w:r>
        <w:rPr>
          <w:rFonts w:hint="default" w:ascii="Times New Roman" w:hAnsi="Times New Roman" w:eastAsia="仿宋_GB2312" w:cs="Times New Roman"/>
          <w:b w:val="0"/>
          <w:bCs w:val="0"/>
          <w:color w:val="000000"/>
          <w:spacing w:val="0"/>
          <w:sz w:val="32"/>
          <w:szCs w:val="32"/>
          <w:shd w:val="clear" w:color="auto" w:fill="auto"/>
          <w:lang w:val="en-US" w:eastAsia="zh-CN"/>
        </w:rPr>
        <w:t>是“6.20”洪灾后积极争取上级部门的支持。争取了40余万元 资金解决了朱元场镇饮水安全问题。二是“6.17”洪灾后。在道修复路上。修复了桐梓塬村、五童坝村、甑子坝村等为重点村的道路建设，共计预估达3000余万元，特别是以此为契机，拓宽了天里村到村委会的道路、改造了五童坝危桥、修建了槡树坝的高水位车行桥。在安全饮水恢复上。争取上级解决了50余万元资金80千米</w:t>
      </w:r>
      <w:r>
        <w:rPr>
          <w:rFonts w:hint="eastAsia" w:ascii="Times New Roman" w:hAnsi="Times New Roman" w:eastAsia="仿宋_GB2312" w:cs="Times New Roman"/>
          <w:b w:val="0"/>
          <w:bCs w:val="0"/>
          <w:color w:val="000000"/>
          <w:spacing w:val="0"/>
          <w:sz w:val="32"/>
          <w:szCs w:val="32"/>
          <w:shd w:val="clear" w:color="auto" w:fill="auto"/>
          <w:lang w:val="en-US" w:eastAsia="zh-CN"/>
        </w:rPr>
        <w:t>引水管</w:t>
      </w:r>
      <w:r>
        <w:rPr>
          <w:rFonts w:hint="default" w:ascii="Times New Roman" w:hAnsi="Times New Roman" w:eastAsia="仿宋_GB2312" w:cs="Times New Roman"/>
          <w:b w:val="0"/>
          <w:bCs w:val="0"/>
          <w:color w:val="000000"/>
          <w:spacing w:val="0"/>
          <w:sz w:val="32"/>
          <w:szCs w:val="32"/>
          <w:shd w:val="clear" w:color="auto" w:fill="auto"/>
          <w:lang w:val="en-US" w:eastAsia="zh-CN"/>
        </w:rPr>
        <w:t>道，迅速恢复了村（居）民安全饮用水。在河道疏浚上。采取多种方式对甑子坝村、五童坝村2条、桐梓塬村、朱元村、园坝村等重点小流域进行了及时治理，为日后的洪灾预防起到了重要作用</w:t>
      </w:r>
      <w:r>
        <w:rPr>
          <w:rFonts w:hint="default" w:ascii="仿宋_GB2312" w:hAnsi="仿宋_GB2312" w:eastAsia="仿宋_GB2312" w:cs="仿宋_GB2312"/>
          <w:color w:val="auto"/>
          <w:kern w:val="2"/>
          <w:sz w:val="32"/>
          <w:szCs w:val="32"/>
          <w:lang w:val="en-US" w:eastAsia="zh-CN" w:bidi="ar-SA"/>
        </w:rPr>
        <w:t>。</w:t>
      </w:r>
    </w:p>
    <w:p>
      <w:pPr>
        <w:pStyle w:val="27"/>
        <w:keepNext w:val="0"/>
        <w:keepLines w:val="0"/>
        <w:pageBreakBefore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w:t>
      </w:r>
      <w:r>
        <w:rPr>
          <w:rFonts w:hint="default" w:ascii="仿宋_GB2312" w:hAnsi="仿宋_GB2312" w:eastAsia="仿宋_GB2312" w:cs="仿宋_GB2312"/>
          <w:color w:val="auto"/>
          <w:kern w:val="2"/>
          <w:sz w:val="32"/>
          <w:szCs w:val="32"/>
          <w:lang w:val="en-US" w:eastAsia="zh-CN" w:bidi="ar-SA"/>
        </w:rPr>
        <w:t>是</w:t>
      </w:r>
      <w:r>
        <w:rPr>
          <w:rFonts w:hint="eastAsia" w:ascii="仿宋_GB2312" w:hAnsi="仿宋_GB2312" w:eastAsia="仿宋_GB2312" w:cs="仿宋_GB2312"/>
          <w:color w:val="auto"/>
          <w:kern w:val="2"/>
          <w:sz w:val="32"/>
          <w:szCs w:val="32"/>
          <w:lang w:val="en-US" w:eastAsia="zh-CN" w:bidi="ar-SA"/>
        </w:rPr>
        <w:t>完成了</w:t>
      </w:r>
      <w:r>
        <w:rPr>
          <w:rFonts w:hint="default" w:ascii="仿宋_GB2312" w:hAnsi="仿宋_GB2312" w:eastAsia="仿宋_GB2312" w:cs="仿宋_GB2312"/>
          <w:color w:val="auto"/>
          <w:kern w:val="2"/>
          <w:sz w:val="32"/>
          <w:szCs w:val="32"/>
          <w:lang w:val="en-US" w:eastAsia="zh-CN" w:bidi="ar-SA"/>
        </w:rPr>
        <w:t>第七次全国人口普查</w:t>
      </w:r>
      <w:r>
        <w:rPr>
          <w:rFonts w:hint="eastAsia" w:ascii="仿宋_GB2312" w:hAnsi="仿宋_GB2312" w:eastAsia="仿宋_GB2312" w:cs="仿宋_GB2312"/>
          <w:color w:val="auto"/>
          <w:kern w:val="2"/>
          <w:sz w:val="32"/>
          <w:szCs w:val="32"/>
          <w:lang w:val="en-US" w:eastAsia="zh-CN" w:bidi="ar-SA"/>
        </w:rPr>
        <w:t>工作。</w:t>
      </w:r>
      <w:r>
        <w:rPr>
          <w:rFonts w:hint="default" w:ascii="仿宋_GB2312" w:hAnsi="仿宋_GB2312" w:eastAsia="仿宋_GB2312" w:cs="仿宋_GB2312"/>
          <w:color w:val="auto"/>
          <w:kern w:val="2"/>
          <w:sz w:val="32"/>
          <w:szCs w:val="32"/>
          <w:lang w:val="en-US" w:eastAsia="zh-CN" w:bidi="ar-SA"/>
        </w:rPr>
        <w:t>完成了约4500个建筑物标绘、69个普查小区划定工作，9月中旬开始入户调查摸底，10月底完成了户主姓名底册登记工作，11月底全部完成登记工作。</w:t>
      </w:r>
    </w:p>
    <w:p>
      <w:pPr>
        <w:pStyle w:val="46"/>
        <w:spacing w:before="0" w:beforeAutospacing="0" w:after="0" w:afterAutospacing="0" w:line="560" w:lineRule="exact"/>
        <w:ind w:firstLine="643"/>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二、2019年重点工作</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做好财政收支预算，保障运转。我镇财政所根据上级财政“健全乡镇财政预算制度，坚持量入为出、收支平衡”的原则，力求科学合理地编制镇年度财政收支预算，切实保障我镇基本运转支出的需要，努力适应统筹城乡发展的要求，并严格按照财政预算制度的编制程序按时编制年度财政收支预算。</w:t>
      </w:r>
    </w:p>
    <w:p>
      <w:pPr>
        <w:keepNext w:val="0"/>
        <w:keepLines w:val="0"/>
        <w:pageBreakBefore w:val="0"/>
        <w:widowControl w:val="0"/>
        <w:numPr>
          <w:ilvl w:val="0"/>
          <w:numId w:val="8"/>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参与专项资金监督管理，提高资金使用效率。加强专项资金的监督管理，对于列入财政预算的专项资金，建立了全项目库管理制度，严防截留、挪用、挤占专项资金的行为发生。对专项资金的使用情况进行跟踪监督管理，确保提高资金使用效率。</w:t>
      </w:r>
    </w:p>
    <w:p>
      <w:pPr>
        <w:keepNext w:val="0"/>
        <w:keepLines w:val="0"/>
        <w:pageBreakBefore w:val="0"/>
        <w:widowControl w:val="0"/>
        <w:kinsoku/>
        <w:overflowPunct/>
        <w:topLinePunct w:val="0"/>
        <w:autoSpaceDE/>
        <w:autoSpaceDN/>
        <w:bidi w:val="0"/>
        <w:adjustRightInd w:val="0"/>
        <w:snapToGrid w:val="0"/>
        <w:spacing w:line="595" w:lineRule="exact"/>
        <w:ind w:firstLine="72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三、资金使用情况</w:t>
      </w:r>
    </w:p>
    <w:p>
      <w:pPr>
        <w:keepNext w:val="0"/>
        <w:keepLines w:val="0"/>
        <w:pageBreakBefore w:val="0"/>
        <w:widowControl w:val="0"/>
        <w:kinsoku/>
        <w:overflowPunct/>
        <w:topLinePunct w:val="0"/>
        <w:autoSpaceDE/>
        <w:autoSpaceDN/>
        <w:bidi w:val="0"/>
        <w:adjustRightInd w:val="0"/>
        <w:snapToGrid w:val="0"/>
        <w:spacing w:line="595" w:lineRule="exact"/>
        <w:ind w:firstLine="720"/>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（一）资金使用。2020年我镇财政一般公共预算财政拨款收入</w:t>
      </w:r>
      <w:r>
        <w:rPr>
          <w:rFonts w:hint="eastAsia" w:ascii="仿宋_GB2312" w:hAnsi="仿宋_GB2312" w:eastAsia="仿宋_GB2312" w:cs="仿宋_GB2312"/>
          <w:color w:val="auto"/>
          <w:kern w:val="2"/>
          <w:sz w:val="32"/>
          <w:szCs w:val="32"/>
          <w:lang w:val="en-US" w:eastAsia="zh-CN" w:bidi="ar-SA"/>
        </w:rPr>
        <w:t>2071.78</w:t>
      </w:r>
      <w:r>
        <w:rPr>
          <w:rFonts w:hint="eastAsia" w:ascii="仿宋_GB2312" w:hAnsi="仿宋_GB2312" w:eastAsia="仿宋_GB2312" w:cs="仿宋_GB2312"/>
          <w:color w:val="auto"/>
          <w:kern w:val="2"/>
          <w:sz w:val="32"/>
          <w:szCs w:val="32"/>
          <w:lang w:val="zh-CN" w:eastAsia="zh-CN" w:bidi="ar-SA"/>
        </w:rPr>
        <w:t>万元。其中：用于干部职工工资福利支出</w:t>
      </w:r>
      <w:r>
        <w:rPr>
          <w:rFonts w:hint="eastAsia" w:ascii="仿宋_GB2312" w:hAnsi="仿宋_GB2312" w:eastAsia="仿宋_GB2312" w:cs="仿宋_GB2312"/>
          <w:color w:val="auto"/>
          <w:kern w:val="2"/>
          <w:sz w:val="32"/>
          <w:szCs w:val="32"/>
          <w:lang w:val="en-US" w:eastAsia="zh-CN" w:bidi="ar-SA"/>
        </w:rPr>
        <w:t>1008.26</w:t>
      </w:r>
      <w:r>
        <w:rPr>
          <w:rFonts w:hint="eastAsia" w:ascii="仿宋_GB2312" w:hAnsi="仿宋_GB2312" w:eastAsia="仿宋_GB2312" w:cs="仿宋_GB2312"/>
          <w:color w:val="auto"/>
          <w:kern w:val="2"/>
          <w:sz w:val="32"/>
          <w:szCs w:val="32"/>
          <w:lang w:val="zh-CN" w:eastAsia="zh-CN" w:bidi="ar-SA"/>
        </w:rPr>
        <w:t>万元；商品和服务支出</w:t>
      </w:r>
      <w:r>
        <w:rPr>
          <w:rFonts w:hint="eastAsia" w:ascii="仿宋_GB2312" w:hAnsi="仿宋_GB2312" w:eastAsia="仿宋_GB2312" w:cs="仿宋_GB2312"/>
          <w:color w:val="auto"/>
          <w:kern w:val="2"/>
          <w:sz w:val="32"/>
          <w:szCs w:val="32"/>
          <w:lang w:val="en-US" w:eastAsia="zh-CN" w:bidi="ar-SA"/>
        </w:rPr>
        <w:t>369.17</w:t>
      </w:r>
      <w:r>
        <w:rPr>
          <w:rFonts w:hint="eastAsia" w:ascii="仿宋_GB2312" w:hAnsi="仿宋_GB2312" w:eastAsia="仿宋_GB2312" w:cs="仿宋_GB2312"/>
          <w:color w:val="auto"/>
          <w:kern w:val="2"/>
          <w:sz w:val="32"/>
          <w:szCs w:val="32"/>
          <w:lang w:val="zh-CN" w:eastAsia="zh-CN" w:bidi="ar-SA"/>
        </w:rPr>
        <w:t>万元；对个人和家庭的补助</w:t>
      </w:r>
      <w:r>
        <w:rPr>
          <w:rFonts w:hint="eastAsia" w:ascii="仿宋_GB2312" w:hAnsi="仿宋_GB2312" w:eastAsia="仿宋_GB2312" w:cs="仿宋_GB2312"/>
          <w:color w:val="auto"/>
          <w:kern w:val="2"/>
          <w:sz w:val="32"/>
          <w:szCs w:val="32"/>
          <w:lang w:val="en-US" w:eastAsia="zh-CN" w:bidi="ar-SA"/>
        </w:rPr>
        <w:t>271.38</w:t>
      </w:r>
      <w:r>
        <w:rPr>
          <w:rFonts w:hint="eastAsia" w:ascii="仿宋_GB2312" w:hAnsi="仿宋_GB2312" w:eastAsia="仿宋_GB2312" w:cs="仿宋_GB2312"/>
          <w:color w:val="auto"/>
          <w:kern w:val="2"/>
          <w:sz w:val="32"/>
          <w:szCs w:val="32"/>
          <w:lang w:val="zh-CN" w:eastAsia="zh-CN" w:bidi="ar-SA"/>
        </w:rPr>
        <w:t>万元；资本性支出</w:t>
      </w:r>
      <w:r>
        <w:rPr>
          <w:rFonts w:hint="eastAsia" w:ascii="仿宋_GB2312" w:hAnsi="仿宋_GB2312" w:eastAsia="仿宋_GB2312" w:cs="仿宋_GB2312"/>
          <w:color w:val="auto"/>
          <w:kern w:val="2"/>
          <w:sz w:val="32"/>
          <w:szCs w:val="32"/>
          <w:lang w:val="en-US" w:eastAsia="zh-CN" w:bidi="ar-SA"/>
        </w:rPr>
        <w:t>422.96</w:t>
      </w:r>
      <w:r>
        <w:rPr>
          <w:rFonts w:hint="eastAsia" w:ascii="仿宋_GB2312" w:hAnsi="仿宋_GB2312" w:eastAsia="仿宋_GB2312" w:cs="仿宋_GB2312"/>
          <w:color w:val="auto"/>
          <w:kern w:val="2"/>
          <w:sz w:val="32"/>
          <w:szCs w:val="32"/>
          <w:lang w:val="zh-CN" w:eastAsia="zh-CN" w:bidi="ar-SA"/>
        </w:rPr>
        <w:t>万元。</w:t>
      </w:r>
    </w:p>
    <w:p>
      <w:pPr>
        <w:keepNext w:val="0"/>
        <w:keepLines w:val="0"/>
        <w:pageBreakBefore w:val="0"/>
        <w:widowControl w:val="0"/>
        <w:kinsoku/>
        <w:overflowPunct/>
        <w:topLinePunct w:val="0"/>
        <w:autoSpaceDE/>
        <w:autoSpaceDN/>
        <w:bidi w:val="0"/>
        <w:adjustRightInd w:val="0"/>
        <w:snapToGrid w:val="0"/>
        <w:spacing w:line="595" w:lineRule="exact"/>
        <w:ind w:firstLine="720"/>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二）组织实施情况。我镇严格执行中央、省、市、县有关财务管理制度，结合全镇实际情况，规范制定相应的资金管理使用制度，严格出差管理、办公费用管理，完善接待制度，坚持财务会审制度和单位财务公开制度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四、绩效评价工作情况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制定了符合本单位实际的财务管理制度、会计核算制度等管理制度，相关制度合法、合规、完整，并有效执行、较好的完成了预期目标，支出符合国家财经法规和财务管理制度规定，对本单位的预算配置、预算执行情况、预算管理、职责履行、度职效益和各部门新增财政支出、一般性支出、会议支出、办公经费支出、机构编制和工资管理、厉行节约保障措施、村级管理等方面的执行情况进行了自评，预算编制质量良好、预算信息公开符合要求，预算执行进度良好、财务制度健全，会计核算总体规范、准确，项目在实行过程中严格执行有关规定，基本达到预期效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五、存在的主要问题</w:t>
      </w:r>
    </w:p>
    <w:p>
      <w:pPr>
        <w:adjustRightInd w:val="0"/>
        <w:snapToGrid w:val="0"/>
        <w:spacing w:line="560" w:lineRule="exact"/>
        <w:ind w:firstLine="72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zh-CN" w:eastAsia="zh-CN" w:bidi="ar-SA"/>
        </w:rPr>
        <w:t>项目预算的准确性还不够高，如镇环境综合治理长效管理经费年初按照分类固定标准进行预算，实际使用中存在较大缺口，支出责任与资金预算不成正比。</w:t>
      </w:r>
    </w:p>
    <w:p>
      <w:pPr>
        <w:adjustRightInd w:val="0"/>
        <w:snapToGrid w:val="0"/>
        <w:spacing w:line="560" w:lineRule="exact"/>
        <w:ind w:firstLine="72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zh-CN" w:eastAsia="zh-CN" w:bidi="ar-SA"/>
        </w:rPr>
        <w:t>是项目管理不到位。惠农政策由于</w:t>
      </w:r>
      <w:r>
        <w:rPr>
          <w:rFonts w:hint="eastAsia" w:ascii="仿宋_GB2312" w:hAnsi="仿宋_GB2312" w:eastAsia="仿宋_GB2312" w:cs="仿宋_GB2312"/>
          <w:color w:val="auto"/>
          <w:kern w:val="2"/>
          <w:sz w:val="32"/>
          <w:szCs w:val="32"/>
          <w:lang w:val="en-US" w:eastAsia="zh-CN" w:bidi="ar-SA"/>
        </w:rPr>
        <w:t>收集的信息</w:t>
      </w:r>
      <w:r>
        <w:rPr>
          <w:rFonts w:hint="eastAsia" w:ascii="仿宋_GB2312" w:hAnsi="仿宋_GB2312" w:eastAsia="仿宋_GB2312" w:cs="仿宋_GB2312"/>
          <w:color w:val="auto"/>
          <w:kern w:val="2"/>
          <w:sz w:val="32"/>
          <w:szCs w:val="32"/>
          <w:lang w:val="zh-CN" w:eastAsia="zh-CN" w:bidi="ar-SA"/>
        </w:rPr>
        <w:t>不准确，导致对部分受益人的补贴多次</w:t>
      </w:r>
      <w:r>
        <w:rPr>
          <w:rFonts w:hint="eastAsia" w:ascii="仿宋_GB2312" w:hAnsi="仿宋_GB2312" w:eastAsia="仿宋_GB2312" w:cs="仿宋_GB2312"/>
          <w:color w:val="auto"/>
          <w:kern w:val="2"/>
          <w:sz w:val="32"/>
          <w:szCs w:val="32"/>
          <w:lang w:val="en-US" w:eastAsia="zh-CN" w:bidi="ar-SA"/>
        </w:rPr>
        <w:t>发放</w:t>
      </w:r>
      <w:r>
        <w:rPr>
          <w:rFonts w:hint="eastAsia" w:ascii="仿宋_GB2312" w:hAnsi="仿宋_GB2312" w:eastAsia="仿宋_GB2312" w:cs="仿宋_GB2312"/>
          <w:color w:val="auto"/>
          <w:kern w:val="2"/>
          <w:sz w:val="32"/>
          <w:szCs w:val="32"/>
          <w:lang w:val="zh-CN" w:eastAsia="zh-CN" w:bidi="ar-SA"/>
        </w:rPr>
        <w:t>失败；导致群众满意度降低。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六、整改措施及建议</w:t>
      </w:r>
    </w:p>
    <w:p>
      <w:pPr>
        <w:adjustRightInd w:val="0"/>
        <w:snapToGrid w:val="0"/>
        <w:spacing w:line="560" w:lineRule="exact"/>
        <w:ind w:firstLine="640" w:firstLineChars="20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一）强化绩效理念，深入推进评价工作。进一步强化绩效管理理念，将“要我评价”的被动认识转化为“我要评价”的主动实践，把财政绩效评价作为转变政府职能、深化财政改革、促进科学理财的重要工作来抓，健全完善制度办法，切实加强组织领导，提升整体绩效管理水平。</w:t>
      </w:r>
    </w:p>
    <w:p>
      <w:pPr>
        <w:adjustRightInd w:val="0"/>
        <w:snapToGrid w:val="0"/>
        <w:spacing w:line="560" w:lineRule="exact"/>
        <w:ind w:firstLine="72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二）强化事前准备，提升评价质量。在推进自身评价工作开展时，结合评价工作实际，完善项目评价特性指标，规范评价标准，立足管理需求，预设评价重点，确保绩效评价结果公正、客观、精准，做到评价结果客观公正、实事求是，真实反映绩效，如实反映问题，切实提高评价质量。</w:t>
      </w:r>
    </w:p>
    <w:p>
      <w:pPr>
        <w:adjustRightInd w:val="0"/>
        <w:snapToGrid w:val="0"/>
        <w:spacing w:line="560" w:lineRule="exact"/>
        <w:ind w:firstLine="720"/>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（三）强化结果应用，巩固评价成效。在进一步严格问题整改落实，加强评价结果与县级预算安排挂钩的工作力度的基础上，试点评价结果公开。由主管部门将部门自评报告向社会公开，接受公众监督。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铁溪</w:t>
      </w:r>
      <w:r>
        <w:rPr>
          <w:rFonts w:hint="eastAsia" w:ascii="仿宋_GB2312" w:hAnsi="仿宋_GB2312" w:eastAsia="仿宋_GB2312" w:cs="仿宋_GB2312"/>
          <w:sz w:val="32"/>
          <w:szCs w:val="32"/>
          <w:lang w:eastAsia="zh-CN"/>
        </w:rPr>
        <w:t>镇人民政府</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年6月</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outlineLvl w:val="9"/>
        <w:rPr>
          <w:rFonts w:hint="default" w:ascii="仿宋_GB2312" w:hAnsi="仿宋_GB2312" w:eastAsia="仿宋_GB2312" w:cs="仿宋_GB2312"/>
          <w:sz w:val="32"/>
          <w:szCs w:val="32"/>
          <w:lang w:val="en-US" w:eastAsia="zh-CN"/>
        </w:rPr>
      </w:pPr>
    </w:p>
    <w:p>
      <w:pPr>
        <w:spacing w:line="580" w:lineRule="exact"/>
        <w:outlineLvl w:val="1"/>
        <w:rPr>
          <w:rFonts w:ascii="黑体" w:hAnsi="黑体" w:eastAsia="黑体" w:cs="黑体"/>
          <w:sz w:val="32"/>
          <w:szCs w:val="32"/>
        </w:rPr>
      </w:pPr>
      <w:bookmarkStart w:id="85" w:name="_Toc24808"/>
      <w:r>
        <w:rPr>
          <w:rFonts w:hint="eastAsia" w:ascii="黑体" w:hAnsi="黑体" w:eastAsia="黑体" w:cs="黑体"/>
          <w:sz w:val="32"/>
          <w:szCs w:val="32"/>
        </w:rPr>
        <w:t>附件</w:t>
      </w:r>
      <w:r>
        <w:rPr>
          <w:rFonts w:ascii="黑体" w:hAnsi="黑体" w:eastAsia="黑体" w:cs="黑体"/>
          <w:sz w:val="32"/>
          <w:szCs w:val="32"/>
        </w:rPr>
        <w:t>2</w:t>
      </w:r>
      <w:bookmarkEnd w:id="85"/>
    </w:p>
    <w:p>
      <w:pPr>
        <w:spacing w:line="580" w:lineRule="exact"/>
        <w:rPr>
          <w:rFonts w:ascii="仿宋_GB2312" w:hAnsi="仿宋_GB2312" w:eastAsia="仿宋_GB2312" w:cs="仿宋_GB2312"/>
          <w:sz w:val="32"/>
          <w:szCs w:val="32"/>
        </w:rPr>
      </w:pPr>
    </w:p>
    <w:p>
      <w:pPr>
        <w:pStyle w:val="41"/>
        <w:spacing w:line="240" w:lineRule="auto"/>
        <w:jc w:val="center"/>
        <w:rPr>
          <w:rFonts w:hint="eastAsia" w:ascii="宋体" w:hAnsi="宋体"/>
          <w:b/>
          <w:sz w:val="44"/>
          <w:szCs w:val="44"/>
        </w:rPr>
      </w:pPr>
      <w:r>
        <w:rPr>
          <w:rFonts w:hint="eastAsia" w:ascii="宋体" w:hAnsi="宋体"/>
          <w:b/>
          <w:sz w:val="44"/>
          <w:szCs w:val="44"/>
          <w:lang w:eastAsia="zh-CN"/>
        </w:rPr>
        <w:t>铁溪</w:t>
      </w:r>
      <w:r>
        <w:rPr>
          <w:rFonts w:hint="eastAsia" w:ascii="宋体" w:hAnsi="宋体"/>
          <w:b/>
          <w:sz w:val="44"/>
          <w:szCs w:val="44"/>
        </w:rPr>
        <w:t>镇人民政府</w:t>
      </w:r>
    </w:p>
    <w:p>
      <w:pPr>
        <w:pStyle w:val="41"/>
        <w:spacing w:line="240" w:lineRule="auto"/>
        <w:jc w:val="center"/>
        <w:rPr>
          <w:rFonts w:hint="eastAsia" w:ascii="宋体" w:hAnsi="宋体"/>
          <w:b/>
          <w:sz w:val="44"/>
          <w:szCs w:val="44"/>
        </w:rPr>
      </w:pPr>
      <w:r>
        <w:rPr>
          <w:rFonts w:hint="eastAsia" w:ascii="宋体" w:hAnsi="宋体"/>
          <w:b/>
          <w:sz w:val="44"/>
          <w:szCs w:val="44"/>
        </w:rPr>
        <w:t>关于公益性岗位补贴资金绩效自评报告</w:t>
      </w:r>
    </w:p>
    <w:p>
      <w:pPr>
        <w:pStyle w:val="41"/>
        <w:spacing w:line="240" w:lineRule="auto"/>
        <w:jc w:val="center"/>
        <w:rPr>
          <w:rFonts w:hint="eastAsia" w:ascii="宋体" w:hAnsi="宋体"/>
          <w:b/>
          <w:sz w:val="44"/>
          <w:szCs w:val="44"/>
        </w:rPr>
      </w:pPr>
    </w:p>
    <w:p>
      <w:pPr>
        <w:adjustRightInd w:val="0"/>
        <w:snapToGrid w:val="0"/>
        <w:spacing w:line="560" w:lineRule="exact"/>
        <w:rPr>
          <w:rFonts w:hint="eastAsia" w:ascii="黑体" w:hAnsi="宋体" w:eastAsia="黑体"/>
          <w:sz w:val="32"/>
          <w:szCs w:val="32"/>
        </w:rPr>
      </w:pPr>
      <w:r>
        <w:rPr>
          <w:rFonts w:hint="eastAsia" w:ascii="黑体" w:hAnsi="宋体" w:eastAsia="黑体"/>
          <w:sz w:val="32"/>
          <w:szCs w:val="32"/>
        </w:rPr>
        <w:t>一、基本情况</w:t>
      </w:r>
    </w:p>
    <w:p>
      <w:pPr>
        <w:adjustRightInd w:val="0"/>
        <w:snapToGrid w:val="0"/>
        <w:spacing w:line="560" w:lineRule="exact"/>
        <w:ind w:firstLine="720"/>
        <w:rPr>
          <w:rFonts w:hint="eastAsia" w:ascii="仿宋_GB2312" w:hAnsi="仿宋_GB2312" w:eastAsia="仿宋_GB2312" w:cs="Times New Roman"/>
          <w:sz w:val="32"/>
          <w:lang w:val="en-US" w:eastAsia="zh-CN"/>
        </w:rPr>
      </w:pPr>
      <w:r>
        <w:rPr>
          <w:rFonts w:hint="eastAsia" w:ascii="仿宋_GB2312" w:hAnsi="仿宋_GB2312" w:eastAsia="仿宋_GB2312"/>
          <w:sz w:val="32"/>
          <w:lang w:eastAsia="zh-CN"/>
        </w:rPr>
        <w:t>通江县铁溪镇辖区面积169.37平方公里。东与陕西省镇巴县三元镇接壤，西与长坪乡相邻，南与胜利乡毗邻，北与陕西省镇巴县简池镇接壤，境内山川秀美、风光旖旎。全镇共有14个村委会，2个居委会，8个居民小组、74个农业合作社、201</w:t>
      </w:r>
      <w:r>
        <w:rPr>
          <w:rFonts w:hint="eastAsia" w:ascii="仿宋_GB2312" w:hAnsi="仿宋_GB2312"/>
          <w:sz w:val="32"/>
          <w:lang w:val="en-US" w:eastAsia="zh-CN"/>
        </w:rPr>
        <w:t>9</w:t>
      </w:r>
      <w:r>
        <w:rPr>
          <w:rFonts w:hint="eastAsia" w:ascii="仿宋_GB2312" w:hAnsi="仿宋_GB2312" w:eastAsia="仿宋_GB2312"/>
          <w:sz w:val="32"/>
          <w:lang w:eastAsia="zh-CN"/>
        </w:rPr>
        <w:t>年末，3806户12522人（其中农业户2422户，人口9364人，农业劳动力4326个），耕地8188亩（其中田2545亩、地5643亩），人均产粮524公斤，人均纯收入7428元。</w:t>
      </w:r>
      <w:r>
        <w:rPr>
          <w:rFonts w:hint="eastAsia" w:ascii="仿宋_GB2312" w:eastAsia="仿宋_GB2312"/>
          <w:color w:val="000000"/>
          <w:sz w:val="32"/>
          <w:szCs w:val="32"/>
        </w:rPr>
        <w:t>累计投资1721.118万元对103户301人（8月底新增7户21人）实施易地搬迁，其中新建集中安置点3个，改扩建集中安置点2个。集中安置易迁户27户85人，分散安置59户181人，投亲靠友安置16户28人，场镇购买安置1户7人。危旧房改造，全镇2018年404户，2019年443户，涉及14个行政村，</w:t>
      </w:r>
      <w:r>
        <w:rPr>
          <w:rFonts w:hint="eastAsia" w:ascii="仿宋_GB2312" w:eastAsia="仿宋_GB2312"/>
          <w:color w:val="000000"/>
          <w:sz w:val="32"/>
          <w:szCs w:val="32"/>
          <w:lang w:val="en-US" w:eastAsia="zh-CN"/>
        </w:rPr>
        <w:t>目</w:t>
      </w:r>
      <w:r>
        <w:rPr>
          <w:rFonts w:hint="eastAsia" w:ascii="仿宋_GB2312" w:eastAsia="仿宋_GB2312"/>
          <w:color w:val="000000"/>
          <w:sz w:val="32"/>
          <w:szCs w:val="32"/>
        </w:rPr>
        <w:t>前，我镇危旧房改造已全部完工，地质灾害避险搬迁13户。按照“乡三有”“村五有”“户六有”项目达标建设标准。加固装修便民中心，顺利实现便民中心正常办公；按照村退出标准，实现预退出村五童坝村、梨坪沟村“一低五有”的达标；按照户脱贫“两不愁三保障”标准，推进贫困户住房安全保障、安全饮水保障、通讯网络保障、教育保障、医疗保障、电力保障，全镇</w:t>
      </w:r>
      <w:r>
        <w:rPr>
          <w:rFonts w:hint="eastAsia" w:ascii="仿宋_GB2312" w:hAnsi="仿宋_GB2312" w:eastAsia="仿宋_GB2312" w:cs="仿宋_GB2312"/>
          <w:color w:val="000000"/>
          <w:sz w:val="32"/>
          <w:szCs w:val="32"/>
        </w:rPr>
        <w:t>138户426人</w:t>
      </w:r>
      <w:r>
        <w:rPr>
          <w:rFonts w:hint="eastAsia" w:ascii="仿宋_GB2312" w:eastAsia="仿宋_GB2312"/>
          <w:color w:val="000000"/>
          <w:sz w:val="32"/>
          <w:szCs w:val="32"/>
        </w:rPr>
        <w:t>“一</w:t>
      </w:r>
      <w:r>
        <w:rPr>
          <w:rFonts w:hint="eastAsia" w:ascii="仿宋_GB2312" w:hAnsi="仿宋_GB2312" w:eastAsia="仿宋_GB2312" w:cs="Times New Roman"/>
          <w:sz w:val="32"/>
          <w:lang w:eastAsia="zh-CN"/>
        </w:rPr>
        <w:t>超六有”达标。持续做好642户2071人已脱贫户的成效巩固。</w:t>
      </w:r>
      <w:r>
        <w:rPr>
          <w:rFonts w:hint="eastAsia" w:ascii="仿宋_GB2312" w:hAnsi="仿宋_GB2312" w:eastAsia="仿宋_GB2312" w:cs="Times New Roman"/>
          <w:sz w:val="32"/>
          <w:lang w:val="en-US" w:eastAsia="zh-CN"/>
        </w:rPr>
        <w:t>行政事业编合计72人，实际在编72人。</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1、短期目标：根据国家政策法规和本单位实际情况，建立健全财务制度和约束机制，依法、合理地使用财政资金，提高财政资金使用效率，在完成部门职能目标中合理分配人、财、物，使之达到较高的工作效率和水平。</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2、长期目标：围绕“强基础、转作风、树形象、保稳定、促发展、惠民生”</w:t>
      </w:r>
      <w:r>
        <w:rPr>
          <w:rFonts w:hint="eastAsia" w:ascii="仿宋_GB2312" w:hAnsi="仿宋_GB2312" w:eastAsia="仿宋_GB2312" w:cs="Times New Roman"/>
          <w:sz w:val="32"/>
          <w:lang w:val="en-US" w:eastAsia="zh-CN"/>
        </w:rPr>
        <w:t>的</w:t>
      </w:r>
      <w:r>
        <w:rPr>
          <w:rFonts w:hint="eastAsia" w:ascii="仿宋_GB2312" w:hAnsi="仿宋_GB2312" w:eastAsia="仿宋_GB2312" w:cs="Times New Roman"/>
          <w:sz w:val="32"/>
          <w:lang w:eastAsia="zh-CN"/>
        </w:rPr>
        <w:t>工作思路，大力实施镇村振兴的发展战略。</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二、资金使用情况</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（一）资金使用。</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2020年，我镇</w:t>
      </w:r>
      <w:r>
        <w:rPr>
          <w:rFonts w:hint="eastAsia" w:ascii="仿宋_GB2312" w:hAnsi="仿宋_GB2312" w:eastAsia="仿宋_GB2312" w:cs="Times New Roman"/>
          <w:sz w:val="32"/>
          <w:lang w:eastAsia="zh-CN"/>
        </w:rPr>
        <w:t>公益性岗位补贴、就业创业补助资金支出</w:t>
      </w:r>
      <w:r>
        <w:rPr>
          <w:rFonts w:hint="eastAsia" w:ascii="仿宋_GB2312" w:hAnsi="仿宋_GB2312" w:eastAsia="仿宋_GB2312" w:cs="Times New Roman"/>
          <w:sz w:val="32"/>
          <w:lang w:val="en-US" w:eastAsia="zh-CN"/>
        </w:rPr>
        <w:t>23.91</w:t>
      </w:r>
      <w:r>
        <w:rPr>
          <w:rFonts w:hint="eastAsia" w:ascii="仿宋_GB2312" w:hAnsi="仿宋_GB2312" w:eastAsia="仿宋_GB2312" w:cs="Times New Roman"/>
          <w:sz w:val="32"/>
          <w:lang w:eastAsia="zh-CN"/>
        </w:rPr>
        <w:t>万元</w:t>
      </w:r>
      <w:r>
        <w:rPr>
          <w:rFonts w:hint="eastAsia" w:ascii="仿宋_GB2312" w:hAnsi="仿宋_GB2312" w:eastAsia="仿宋_GB2312" w:cs="Times New Roman"/>
          <w:sz w:val="32"/>
          <w:lang w:val="zh-CN" w:eastAsia="zh-CN"/>
        </w:rPr>
        <w:t>。</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（二）组织实施情况。</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鉴于我镇经费情况，如何将有限的资金发挥最大作用，在严格执行县委、县政府下发的有关财务制度的情况下，我镇出台了一系列的资金管理制度和措施，例如：严格项目审批管理、费用管理，完善监管制度，坚持财务会审制度和单位财务公开制度。</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eastAsia="zh-CN"/>
        </w:rPr>
        <w:t>三、目标完成情况</w:t>
      </w:r>
      <w:r>
        <w:rPr>
          <w:rFonts w:hint="eastAsia" w:ascii="仿宋_GB2312" w:hAnsi="仿宋_GB2312" w:eastAsia="仿宋_GB2312" w:cs="Times New Roman"/>
          <w:sz w:val="32"/>
          <w:lang w:val="zh-CN" w:eastAsia="zh-CN"/>
        </w:rPr>
        <w:tab/>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（一）目标任务量完成情况。</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2020年全年公益性岗位补贴、就业创业补助资金</w:t>
      </w:r>
      <w:r>
        <w:rPr>
          <w:rFonts w:hint="eastAsia" w:ascii="仿宋_GB2312" w:hAnsi="仿宋_GB2312" w:eastAsia="仿宋_GB2312" w:cs="Times New Roman"/>
          <w:sz w:val="32"/>
          <w:lang w:val="en-US" w:eastAsia="zh-CN"/>
        </w:rPr>
        <w:t>23.91</w:t>
      </w:r>
      <w:r>
        <w:rPr>
          <w:rFonts w:hint="eastAsia" w:ascii="仿宋_GB2312" w:hAnsi="仿宋_GB2312" w:eastAsia="仿宋_GB2312" w:cs="Times New Roman"/>
          <w:sz w:val="32"/>
          <w:lang w:eastAsia="zh-CN"/>
        </w:rPr>
        <w:t>万元，用于公益性事业。</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（二）目标质量完成情况。</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2020年全年，圆满完成原定目标绩效任务。各项指标均达到并超过合格要求线。</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（三）目标进度完成情况。</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我单位严格执行相关规定，及时考核目标任务执行进度情况，促使目标进度及时完成。</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项目效益情况</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 xml:space="preserve">    受益群众生活质量有效提高；提升社会形象，促进社会和谐和发展。</w:t>
      </w:r>
    </w:p>
    <w:p>
      <w:pPr>
        <w:adjustRightInd w:val="0"/>
        <w:snapToGrid w:val="0"/>
        <w:spacing w:line="560" w:lineRule="exact"/>
        <w:ind w:firstLine="720"/>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五、问题及建议</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（一）存在的问题。</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项目预算的准确性还不够高，实际使用中</w:t>
      </w:r>
      <w:bookmarkStart w:id="114" w:name="_GoBack"/>
      <w:bookmarkEnd w:id="114"/>
      <w:r>
        <w:rPr>
          <w:rFonts w:hint="eastAsia" w:ascii="仿宋_GB2312" w:hAnsi="仿宋_GB2312" w:eastAsia="仿宋_GB2312" w:cs="Times New Roman"/>
          <w:sz w:val="32"/>
          <w:lang w:val="zh-CN" w:eastAsia="zh-CN"/>
        </w:rPr>
        <w:t>存在较大缺口，支出责任与资金预算不成正比。</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val="zh-CN" w:eastAsia="zh-CN"/>
        </w:rPr>
        <w:t>相关建议。</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eastAsia="zh-CN"/>
        </w:rPr>
        <w:t>1.</w:t>
      </w:r>
      <w:r>
        <w:rPr>
          <w:rFonts w:hint="eastAsia" w:ascii="仿宋_GB2312" w:hAnsi="仿宋_GB2312" w:eastAsia="仿宋_GB2312" w:cs="Times New Roman"/>
          <w:sz w:val="32"/>
          <w:lang w:val="zh-CN" w:eastAsia="zh-CN"/>
        </w:rPr>
        <w:t>强化绩效理念，深入推进评价工作。</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eastAsia="zh-CN"/>
        </w:rPr>
        <w:t>2.</w:t>
      </w:r>
      <w:r>
        <w:rPr>
          <w:rFonts w:hint="eastAsia" w:ascii="仿宋_GB2312" w:hAnsi="仿宋_GB2312" w:eastAsia="仿宋_GB2312" w:cs="Times New Roman"/>
          <w:sz w:val="32"/>
          <w:lang w:val="zh-CN" w:eastAsia="zh-CN"/>
        </w:rPr>
        <w:t>强化事前准备，提升评价质量。</w:t>
      </w:r>
    </w:p>
    <w:p>
      <w:pPr>
        <w:adjustRightInd w:val="0"/>
        <w:snapToGrid w:val="0"/>
        <w:spacing w:line="560" w:lineRule="exact"/>
        <w:ind w:firstLine="720"/>
        <w:rPr>
          <w:rFonts w:hint="eastAsia" w:ascii="仿宋_GB2312" w:hAnsi="仿宋_GB2312" w:eastAsia="仿宋_GB2312" w:cs="Times New Roman"/>
          <w:sz w:val="32"/>
          <w:lang w:val="zh-CN" w:eastAsia="zh-CN"/>
        </w:rPr>
      </w:pPr>
      <w:r>
        <w:rPr>
          <w:rFonts w:hint="eastAsia" w:ascii="仿宋_GB2312" w:hAnsi="仿宋_GB2312" w:eastAsia="仿宋_GB2312" w:cs="Times New Roman"/>
          <w:sz w:val="32"/>
          <w:lang w:eastAsia="zh-CN"/>
        </w:rPr>
        <w:t>3.</w:t>
      </w:r>
      <w:r>
        <w:rPr>
          <w:rFonts w:hint="eastAsia" w:ascii="仿宋_GB2312" w:hAnsi="仿宋_GB2312" w:eastAsia="仿宋_GB2312" w:cs="Times New Roman"/>
          <w:sz w:val="32"/>
          <w:lang w:val="zh-CN" w:eastAsia="zh-CN"/>
        </w:rPr>
        <w:t>强化结果应用，巩固评价成效。</w:t>
      </w:r>
    </w:p>
    <w:p>
      <w:pPr>
        <w:adjustRightInd w:val="0"/>
        <w:snapToGrid w:val="0"/>
        <w:spacing w:line="560" w:lineRule="exact"/>
        <w:ind w:firstLine="720"/>
        <w:rPr>
          <w:rFonts w:hint="eastAsia" w:ascii="仿宋_GB2312" w:hAnsi="仿宋_GB2312" w:eastAsia="仿宋_GB2312" w:cs="Times New Roman"/>
          <w:sz w:val="32"/>
          <w:lang w:val="zh-CN" w:eastAsia="zh-CN"/>
        </w:rPr>
      </w:pPr>
    </w:p>
    <w:p>
      <w:pPr>
        <w:adjustRightInd w:val="0"/>
        <w:snapToGrid w:val="0"/>
        <w:spacing w:line="560" w:lineRule="exact"/>
        <w:ind w:firstLine="4614" w:firstLineChars="1442"/>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val="zh-CN" w:eastAsia="zh-CN"/>
        </w:rPr>
        <w:t>通江县铁溪镇人民政府</w:t>
      </w:r>
      <w:r>
        <w:rPr>
          <w:rFonts w:hint="eastAsia" w:ascii="仿宋_GB2312" w:hAnsi="仿宋_GB2312" w:eastAsia="仿宋_GB2312" w:cs="Times New Roman"/>
          <w:sz w:val="32"/>
          <w:lang w:eastAsia="zh-CN"/>
        </w:rPr>
        <w:t xml:space="preserve"> </w:t>
      </w:r>
    </w:p>
    <w:p>
      <w:pPr>
        <w:adjustRightInd w:val="0"/>
        <w:snapToGrid w:val="0"/>
        <w:spacing w:line="560" w:lineRule="exact"/>
        <w:ind w:firstLine="4934" w:firstLineChars="1542"/>
        <w:rPr>
          <w:rFonts w:hint="eastAsia" w:ascii="仿宋_GB2312" w:hAnsi="仿宋_GB2312" w:eastAsia="仿宋_GB2312" w:cs="Times New Roman"/>
          <w:sz w:val="32"/>
          <w:lang w:eastAsia="zh-CN"/>
        </w:rPr>
      </w:pPr>
      <w:r>
        <w:rPr>
          <w:rFonts w:hint="eastAsia" w:ascii="仿宋_GB2312" w:hAnsi="仿宋_GB2312" w:eastAsia="仿宋_GB2312" w:cs="Times New Roman"/>
          <w:sz w:val="32"/>
          <w:lang w:eastAsia="zh-CN"/>
        </w:rPr>
        <w:t>20</w:t>
      </w:r>
      <w:r>
        <w:rPr>
          <w:rFonts w:hint="eastAsia" w:ascii="仿宋_GB2312" w:hAnsi="仿宋_GB2312" w:eastAsia="仿宋_GB2312" w:cs="Times New Roman"/>
          <w:sz w:val="32"/>
          <w:lang w:val="en-US" w:eastAsia="zh-CN"/>
        </w:rPr>
        <w:t>21</w:t>
      </w:r>
      <w:r>
        <w:rPr>
          <w:rFonts w:hint="eastAsia" w:ascii="仿宋_GB2312" w:hAnsi="仿宋_GB2312" w:eastAsia="仿宋_GB2312" w:cs="Times New Roman"/>
          <w:sz w:val="32"/>
          <w:lang w:eastAsia="zh-CN"/>
        </w:rPr>
        <w:t>年</w:t>
      </w:r>
      <w:r>
        <w:rPr>
          <w:rFonts w:hint="eastAsia" w:ascii="仿宋_GB2312" w:hAnsi="仿宋_GB2312" w:eastAsia="仿宋_GB2312" w:cs="Times New Roman"/>
          <w:sz w:val="32"/>
          <w:lang w:val="en-US" w:eastAsia="zh-CN"/>
        </w:rPr>
        <w:t>6</w:t>
      </w:r>
      <w:r>
        <w:rPr>
          <w:rFonts w:hint="eastAsia" w:ascii="仿宋_GB2312" w:hAnsi="仿宋_GB2312" w:eastAsia="仿宋_GB2312" w:cs="Times New Roman"/>
          <w:sz w:val="32"/>
          <w:lang w:eastAsia="zh-CN"/>
        </w:rPr>
        <w:t>月</w:t>
      </w:r>
      <w:r>
        <w:rPr>
          <w:rFonts w:hint="eastAsia" w:ascii="仿宋_GB2312" w:hAnsi="仿宋_GB2312" w:eastAsia="仿宋_GB2312" w:cs="Times New Roman"/>
          <w:sz w:val="32"/>
          <w:lang w:val="en-US" w:eastAsia="zh-CN"/>
        </w:rPr>
        <w:t>11</w:t>
      </w:r>
      <w:r>
        <w:rPr>
          <w:rFonts w:hint="eastAsia" w:ascii="仿宋_GB2312" w:hAnsi="仿宋_GB2312" w:eastAsia="仿宋_GB2312" w:cs="Times New Roman"/>
          <w:sz w:val="32"/>
          <w:lang w:eastAsia="zh-CN"/>
        </w:rPr>
        <w:t xml:space="preserve">日   </w:t>
      </w:r>
    </w:p>
    <w:p>
      <w:pPr>
        <w:widowControl/>
        <w:jc w:val="left"/>
        <w:outlineLvl w:val="0"/>
        <w:rPr>
          <w:rStyle w:val="13"/>
          <w:rFonts w:ascii="黑体" w:hAnsi="黑体" w:eastAsia="黑体"/>
          <w:b w:val="0"/>
        </w:rPr>
      </w:pPr>
      <w:r>
        <w:br w:type="page"/>
      </w:r>
      <w:bookmarkStart w:id="86" w:name="_Toc15727"/>
      <w:bookmarkStart w:id="87" w:name="_Toc15396618"/>
      <w:r>
        <w:rPr>
          <w:rFonts w:hint="eastAsia" w:ascii="黑体" w:hAnsi="黑体" w:eastAsia="黑体"/>
          <w:color w:val="000000"/>
          <w:sz w:val="44"/>
          <w:szCs w:val="44"/>
        </w:rPr>
        <w:t>第</w:t>
      </w:r>
      <w:r>
        <w:rPr>
          <w:rStyle w:val="13"/>
          <w:rFonts w:hint="eastAsia" w:ascii="黑体" w:hAnsi="黑体" w:eastAsia="黑体"/>
          <w:b w:val="0"/>
        </w:rPr>
        <w:t>五部分</w:t>
      </w:r>
      <w:r>
        <w:rPr>
          <w:rStyle w:val="13"/>
          <w:rFonts w:ascii="黑体" w:hAnsi="黑体" w:eastAsia="黑体"/>
          <w:b w:val="0"/>
        </w:rPr>
        <w:t xml:space="preserve"> </w:t>
      </w:r>
      <w:r>
        <w:rPr>
          <w:rStyle w:val="13"/>
          <w:rFonts w:hint="eastAsia" w:ascii="黑体" w:hAnsi="黑体" w:eastAsia="黑体"/>
          <w:b w:val="0"/>
        </w:rPr>
        <w:t>附表</w:t>
      </w:r>
      <w:bookmarkEnd w:id="81"/>
      <w:bookmarkEnd w:id="86"/>
      <w:bookmarkEnd w:id="87"/>
    </w:p>
    <w:p>
      <w:pPr>
        <w:pStyle w:val="10"/>
        <w:rPr>
          <w:rFonts w:ascii="仿宋" w:hAnsi="仿宋" w:eastAsia="仿宋"/>
          <w:color w:val="000000"/>
        </w:rPr>
      </w:pPr>
      <w:bookmarkStart w:id="88" w:name="_Toc15396619"/>
      <w:bookmarkStart w:id="89" w:name="_Toc2673"/>
      <w:r>
        <w:rPr>
          <w:rFonts w:hint="eastAsia" w:ascii="仿宋" w:hAnsi="仿宋" w:eastAsia="仿宋"/>
          <w:b w:val="0"/>
          <w:color w:val="000000"/>
        </w:rPr>
        <w:t>一、收</w:t>
      </w:r>
      <w:r>
        <w:rPr>
          <w:rStyle w:val="42"/>
          <w:rFonts w:hint="eastAsia" w:ascii="仿宋" w:hAnsi="仿宋" w:eastAsia="仿宋"/>
          <w:b/>
          <w:bCs/>
        </w:rPr>
        <w:t>入支出决算总表</w:t>
      </w:r>
      <w:bookmarkEnd w:id="88"/>
      <w:bookmarkEnd w:id="89"/>
    </w:p>
    <w:p>
      <w:pPr>
        <w:pStyle w:val="10"/>
        <w:rPr>
          <w:rFonts w:ascii="仿宋" w:hAnsi="仿宋" w:eastAsia="仿宋"/>
          <w:color w:val="000000"/>
        </w:rPr>
      </w:pPr>
      <w:bookmarkStart w:id="90" w:name="_Toc15396620"/>
      <w:bookmarkStart w:id="91" w:name="_Toc5396"/>
      <w:r>
        <w:rPr>
          <w:rFonts w:hint="eastAsia" w:ascii="仿宋" w:hAnsi="仿宋" w:eastAsia="仿宋"/>
          <w:b w:val="0"/>
          <w:color w:val="000000"/>
        </w:rPr>
        <w:t>二、收</w:t>
      </w:r>
      <w:r>
        <w:rPr>
          <w:rStyle w:val="42"/>
          <w:rFonts w:hint="eastAsia" w:ascii="仿宋" w:hAnsi="仿宋" w:eastAsia="仿宋"/>
          <w:b/>
          <w:bCs/>
        </w:rPr>
        <w:t>入决算表</w:t>
      </w:r>
      <w:bookmarkEnd w:id="90"/>
      <w:bookmarkEnd w:id="91"/>
    </w:p>
    <w:p>
      <w:pPr>
        <w:pStyle w:val="10"/>
        <w:rPr>
          <w:rFonts w:ascii="仿宋" w:hAnsi="仿宋" w:eastAsia="仿宋"/>
          <w:color w:val="000000"/>
        </w:rPr>
      </w:pPr>
      <w:bookmarkStart w:id="92" w:name="_Toc15396621"/>
      <w:bookmarkStart w:id="93" w:name="_Toc5088"/>
      <w:r>
        <w:rPr>
          <w:rStyle w:val="42"/>
          <w:rFonts w:hint="eastAsia" w:ascii="仿宋" w:hAnsi="仿宋" w:eastAsia="仿宋"/>
          <w:b/>
          <w:bCs/>
        </w:rPr>
        <w:t>三、</w:t>
      </w:r>
      <w:r>
        <w:rPr>
          <w:rFonts w:hint="eastAsia" w:ascii="仿宋" w:hAnsi="仿宋" w:eastAsia="仿宋"/>
          <w:b w:val="0"/>
          <w:color w:val="000000"/>
        </w:rPr>
        <w:t>支</w:t>
      </w:r>
      <w:r>
        <w:rPr>
          <w:rStyle w:val="42"/>
          <w:rFonts w:hint="eastAsia" w:ascii="仿宋" w:hAnsi="仿宋" w:eastAsia="仿宋"/>
          <w:b/>
          <w:bCs/>
        </w:rPr>
        <w:t>出决算表</w:t>
      </w:r>
      <w:bookmarkEnd w:id="92"/>
      <w:bookmarkEnd w:id="93"/>
    </w:p>
    <w:p>
      <w:pPr>
        <w:pStyle w:val="10"/>
        <w:rPr>
          <w:rFonts w:ascii="仿宋" w:hAnsi="仿宋" w:eastAsia="仿宋"/>
          <w:b w:val="0"/>
          <w:color w:val="000000"/>
        </w:rPr>
      </w:pPr>
      <w:bookmarkStart w:id="94" w:name="_Toc8271"/>
      <w:bookmarkStart w:id="95" w:name="_Toc15396622"/>
      <w:r>
        <w:rPr>
          <w:rStyle w:val="42"/>
          <w:rFonts w:hint="eastAsia" w:ascii="仿宋" w:hAnsi="仿宋" w:eastAsia="仿宋"/>
          <w:b/>
          <w:bCs/>
        </w:rPr>
        <w:t>四、</w:t>
      </w:r>
      <w:r>
        <w:rPr>
          <w:rFonts w:hint="eastAsia" w:ascii="仿宋" w:hAnsi="仿宋" w:eastAsia="仿宋"/>
          <w:b w:val="0"/>
          <w:color w:val="000000"/>
        </w:rPr>
        <w:t>财</w:t>
      </w:r>
      <w:r>
        <w:rPr>
          <w:rStyle w:val="42"/>
          <w:rFonts w:hint="eastAsia" w:ascii="仿宋" w:hAnsi="仿宋" w:eastAsia="仿宋"/>
          <w:b/>
          <w:bCs/>
        </w:rPr>
        <w:t>政拨款收入支出决算总表</w:t>
      </w:r>
      <w:bookmarkEnd w:id="94"/>
      <w:bookmarkEnd w:id="95"/>
    </w:p>
    <w:p>
      <w:pPr>
        <w:pStyle w:val="10"/>
        <w:rPr>
          <w:rStyle w:val="42"/>
          <w:rFonts w:ascii="仿宋" w:hAnsi="仿宋" w:eastAsia="仿宋"/>
          <w:b/>
          <w:bCs/>
        </w:rPr>
      </w:pPr>
      <w:bookmarkStart w:id="96" w:name="_Toc15396623"/>
      <w:bookmarkStart w:id="97" w:name="_Toc29116"/>
      <w:r>
        <w:rPr>
          <w:rStyle w:val="42"/>
          <w:rFonts w:hint="eastAsia" w:ascii="仿宋" w:hAnsi="仿宋" w:eastAsia="仿宋"/>
          <w:b/>
          <w:bCs/>
        </w:rPr>
        <w:t>五、</w:t>
      </w:r>
      <w:r>
        <w:rPr>
          <w:rFonts w:hint="eastAsia" w:ascii="仿宋" w:hAnsi="仿宋" w:eastAsia="仿宋"/>
          <w:b w:val="0"/>
          <w:color w:val="000000"/>
        </w:rPr>
        <w:t>财</w:t>
      </w:r>
      <w:r>
        <w:rPr>
          <w:rStyle w:val="42"/>
          <w:rFonts w:hint="eastAsia" w:ascii="仿宋" w:hAnsi="仿宋" w:eastAsia="仿宋"/>
          <w:b/>
          <w:bCs/>
        </w:rPr>
        <w:t>政拨款支出决算明细表</w:t>
      </w:r>
      <w:bookmarkEnd w:id="96"/>
      <w:bookmarkEnd w:id="97"/>
      <w:bookmarkStart w:id="98" w:name="_Toc15396624"/>
    </w:p>
    <w:p>
      <w:pPr>
        <w:pStyle w:val="10"/>
        <w:rPr>
          <w:rFonts w:ascii="仿宋" w:hAnsi="仿宋" w:eastAsia="仿宋"/>
          <w:color w:val="000000"/>
        </w:rPr>
      </w:pPr>
      <w:bookmarkStart w:id="99" w:name="_Toc9658"/>
      <w:r>
        <w:rPr>
          <w:rStyle w:val="42"/>
          <w:rFonts w:hint="eastAsia" w:ascii="仿宋" w:hAnsi="仿宋" w:eastAsia="仿宋"/>
          <w:b/>
          <w:bCs/>
        </w:rPr>
        <w:t>六、</w:t>
      </w:r>
      <w:r>
        <w:rPr>
          <w:rFonts w:hint="eastAsia" w:ascii="仿宋" w:hAnsi="仿宋" w:eastAsia="仿宋"/>
          <w:b w:val="0"/>
          <w:color w:val="000000"/>
        </w:rPr>
        <w:t>一</w:t>
      </w:r>
      <w:r>
        <w:rPr>
          <w:rStyle w:val="42"/>
          <w:rFonts w:hint="eastAsia" w:ascii="仿宋" w:hAnsi="仿宋" w:eastAsia="仿宋"/>
          <w:b/>
          <w:bCs/>
        </w:rPr>
        <w:t>般公共</w:t>
      </w:r>
      <w:r>
        <w:rPr>
          <w:rFonts w:hint="eastAsia" w:ascii="仿宋" w:hAnsi="仿宋" w:eastAsia="仿宋"/>
          <w:b/>
          <w:bCs/>
        </w:rPr>
        <w:t>预算财政拨款支出决算表</w:t>
      </w:r>
      <w:bookmarkEnd w:id="98"/>
      <w:bookmarkEnd w:id="99"/>
    </w:p>
    <w:p>
      <w:pPr>
        <w:pStyle w:val="10"/>
        <w:rPr>
          <w:rFonts w:ascii="仿宋" w:hAnsi="仿宋" w:eastAsia="仿宋"/>
          <w:color w:val="000000"/>
        </w:rPr>
      </w:pPr>
      <w:bookmarkStart w:id="100" w:name="_Toc11164"/>
      <w:bookmarkStart w:id="101" w:name="_Toc15396625"/>
      <w:r>
        <w:rPr>
          <w:rStyle w:val="42"/>
          <w:rFonts w:hint="eastAsia" w:ascii="仿宋" w:hAnsi="仿宋" w:eastAsia="仿宋"/>
          <w:b/>
          <w:bCs/>
        </w:rPr>
        <w:t>七、</w:t>
      </w:r>
      <w:r>
        <w:rPr>
          <w:rFonts w:hint="eastAsia" w:ascii="仿宋" w:hAnsi="仿宋" w:eastAsia="仿宋"/>
          <w:b w:val="0"/>
          <w:color w:val="000000"/>
        </w:rPr>
        <w:t>一</w:t>
      </w:r>
      <w:r>
        <w:rPr>
          <w:rStyle w:val="42"/>
          <w:rFonts w:hint="eastAsia" w:ascii="仿宋" w:hAnsi="仿宋" w:eastAsia="仿宋"/>
          <w:b/>
          <w:bCs/>
        </w:rPr>
        <w:t>般公共</w:t>
      </w:r>
      <w:r>
        <w:rPr>
          <w:rFonts w:hint="eastAsia" w:ascii="仿宋" w:hAnsi="仿宋" w:eastAsia="仿宋"/>
          <w:b/>
          <w:bCs/>
        </w:rPr>
        <w:t>预算财政拨款支出决算明细表</w:t>
      </w:r>
      <w:bookmarkEnd w:id="100"/>
      <w:bookmarkEnd w:id="101"/>
    </w:p>
    <w:p>
      <w:pPr>
        <w:pStyle w:val="10"/>
        <w:rPr>
          <w:rFonts w:ascii="仿宋" w:hAnsi="仿宋" w:eastAsia="仿宋"/>
          <w:color w:val="000000"/>
        </w:rPr>
      </w:pPr>
      <w:bookmarkStart w:id="102" w:name="_Toc9301"/>
      <w:bookmarkStart w:id="103" w:name="_Toc15396626"/>
      <w:r>
        <w:rPr>
          <w:rStyle w:val="42"/>
          <w:rFonts w:hint="eastAsia" w:ascii="仿宋" w:hAnsi="仿宋" w:eastAsia="仿宋"/>
          <w:b/>
          <w:bCs/>
        </w:rPr>
        <w:t>八、</w:t>
      </w:r>
      <w:r>
        <w:rPr>
          <w:rFonts w:hint="eastAsia" w:ascii="仿宋" w:hAnsi="仿宋" w:eastAsia="仿宋"/>
          <w:b w:val="0"/>
          <w:color w:val="000000"/>
        </w:rPr>
        <w:t>一</w:t>
      </w:r>
      <w:r>
        <w:rPr>
          <w:rStyle w:val="42"/>
          <w:rFonts w:hint="eastAsia" w:ascii="仿宋" w:hAnsi="仿宋" w:eastAsia="仿宋"/>
          <w:b/>
          <w:bCs/>
        </w:rPr>
        <w:t>般公共</w:t>
      </w:r>
      <w:r>
        <w:rPr>
          <w:rFonts w:hint="eastAsia" w:ascii="仿宋" w:hAnsi="仿宋" w:eastAsia="仿宋"/>
          <w:b/>
          <w:bCs/>
        </w:rPr>
        <w:t>预算财政拨款基本支出决算表</w:t>
      </w:r>
      <w:bookmarkEnd w:id="102"/>
      <w:bookmarkEnd w:id="103"/>
    </w:p>
    <w:p>
      <w:pPr>
        <w:pStyle w:val="10"/>
        <w:rPr>
          <w:rFonts w:ascii="仿宋" w:hAnsi="仿宋" w:eastAsia="仿宋"/>
          <w:color w:val="000000"/>
        </w:rPr>
      </w:pPr>
      <w:bookmarkStart w:id="104" w:name="_Toc2877"/>
      <w:bookmarkStart w:id="105" w:name="_Toc15396627"/>
      <w:r>
        <w:rPr>
          <w:rStyle w:val="42"/>
          <w:rFonts w:hint="eastAsia" w:ascii="仿宋" w:hAnsi="仿宋" w:eastAsia="仿宋"/>
          <w:b/>
          <w:bCs/>
        </w:rPr>
        <w:t>九、</w:t>
      </w:r>
      <w:r>
        <w:rPr>
          <w:rFonts w:hint="eastAsia" w:ascii="仿宋" w:hAnsi="仿宋" w:eastAsia="仿宋"/>
          <w:b w:val="0"/>
          <w:color w:val="000000"/>
        </w:rPr>
        <w:t>一</w:t>
      </w:r>
      <w:r>
        <w:rPr>
          <w:rStyle w:val="42"/>
          <w:rFonts w:hint="eastAsia" w:ascii="仿宋" w:hAnsi="仿宋" w:eastAsia="仿宋"/>
          <w:b/>
          <w:bCs/>
        </w:rPr>
        <w:t>般公共</w:t>
      </w:r>
      <w:r>
        <w:rPr>
          <w:rFonts w:hint="eastAsia" w:ascii="仿宋" w:hAnsi="仿宋" w:eastAsia="仿宋"/>
          <w:b/>
          <w:bCs/>
        </w:rPr>
        <w:t>预算财政拨款项目支出决算表</w:t>
      </w:r>
      <w:bookmarkEnd w:id="104"/>
      <w:bookmarkEnd w:id="105"/>
    </w:p>
    <w:p>
      <w:pPr>
        <w:pStyle w:val="10"/>
        <w:rPr>
          <w:rFonts w:ascii="仿宋" w:hAnsi="仿宋" w:eastAsia="仿宋"/>
          <w:color w:val="000000"/>
        </w:rPr>
      </w:pPr>
      <w:bookmarkStart w:id="106" w:name="_Toc21174"/>
      <w:bookmarkStart w:id="107" w:name="_Toc15396628"/>
      <w:r>
        <w:rPr>
          <w:rStyle w:val="42"/>
          <w:rFonts w:hint="eastAsia" w:ascii="仿宋" w:hAnsi="仿宋" w:eastAsia="仿宋"/>
          <w:b/>
          <w:bCs/>
        </w:rPr>
        <w:t>十、</w:t>
      </w:r>
      <w:r>
        <w:rPr>
          <w:rFonts w:hint="eastAsia" w:ascii="仿宋" w:hAnsi="仿宋" w:eastAsia="仿宋"/>
          <w:b w:val="0"/>
          <w:color w:val="000000"/>
        </w:rPr>
        <w:t>一</w:t>
      </w:r>
      <w:r>
        <w:rPr>
          <w:rStyle w:val="42"/>
          <w:rFonts w:hint="eastAsia" w:ascii="仿宋" w:hAnsi="仿宋" w:eastAsia="仿宋"/>
          <w:b/>
          <w:bCs/>
        </w:rPr>
        <w:t>般公共</w:t>
      </w:r>
      <w:r>
        <w:rPr>
          <w:rFonts w:hint="eastAsia" w:ascii="仿宋" w:hAnsi="仿宋" w:eastAsia="仿宋"/>
          <w:b/>
          <w:bCs/>
        </w:rPr>
        <w:t>预算财政拨</w:t>
      </w:r>
      <w:r>
        <w:rPr>
          <w:rStyle w:val="42"/>
          <w:rFonts w:hint="eastAsia" w:ascii="仿宋" w:hAnsi="仿宋" w:eastAsia="仿宋"/>
          <w:b/>
          <w:bCs/>
        </w:rPr>
        <w:t>款“三公”经费支出决算表</w:t>
      </w:r>
      <w:bookmarkEnd w:id="106"/>
      <w:bookmarkEnd w:id="107"/>
    </w:p>
    <w:p>
      <w:pPr>
        <w:pStyle w:val="10"/>
        <w:rPr>
          <w:rFonts w:ascii="仿宋" w:hAnsi="仿宋" w:eastAsia="仿宋"/>
          <w:color w:val="000000"/>
        </w:rPr>
      </w:pPr>
      <w:bookmarkStart w:id="108" w:name="_Toc31083"/>
      <w:bookmarkStart w:id="109" w:name="_Toc15396629"/>
      <w:r>
        <w:rPr>
          <w:rStyle w:val="42"/>
          <w:rFonts w:hint="eastAsia" w:ascii="仿宋" w:hAnsi="仿宋" w:eastAsia="仿宋"/>
          <w:b/>
          <w:bCs/>
        </w:rPr>
        <w:t>十一、</w:t>
      </w:r>
      <w:r>
        <w:rPr>
          <w:rFonts w:hint="eastAsia" w:ascii="仿宋" w:hAnsi="仿宋" w:eastAsia="仿宋"/>
          <w:b w:val="0"/>
          <w:color w:val="000000"/>
        </w:rPr>
        <w:t>政</w:t>
      </w:r>
      <w:r>
        <w:rPr>
          <w:rStyle w:val="42"/>
          <w:rFonts w:hint="eastAsia" w:ascii="仿宋" w:hAnsi="仿宋" w:eastAsia="仿宋"/>
          <w:b/>
          <w:bCs/>
        </w:rPr>
        <w:t>府性基金预算财政拨款收入支出决算表</w:t>
      </w:r>
      <w:bookmarkEnd w:id="108"/>
      <w:bookmarkEnd w:id="109"/>
    </w:p>
    <w:p>
      <w:pPr>
        <w:pStyle w:val="10"/>
        <w:rPr>
          <w:rFonts w:ascii="仿宋" w:hAnsi="仿宋" w:eastAsia="仿宋"/>
          <w:color w:val="000000"/>
        </w:rPr>
      </w:pPr>
      <w:bookmarkStart w:id="110" w:name="_Toc15396630"/>
      <w:bookmarkStart w:id="111" w:name="_Toc30946"/>
      <w:r>
        <w:rPr>
          <w:rStyle w:val="42"/>
          <w:rFonts w:hint="eastAsia" w:ascii="仿宋" w:hAnsi="仿宋" w:eastAsia="仿宋"/>
          <w:b/>
          <w:bCs/>
        </w:rPr>
        <w:t>十二、</w:t>
      </w:r>
      <w:r>
        <w:rPr>
          <w:rFonts w:hint="eastAsia" w:ascii="仿宋" w:hAnsi="仿宋" w:eastAsia="仿宋"/>
          <w:b w:val="0"/>
          <w:color w:val="000000"/>
        </w:rPr>
        <w:t>政</w:t>
      </w:r>
      <w:r>
        <w:rPr>
          <w:rStyle w:val="42"/>
          <w:rFonts w:hint="eastAsia" w:ascii="仿宋" w:hAnsi="仿宋" w:eastAsia="仿宋"/>
          <w:b/>
          <w:bCs/>
        </w:rPr>
        <w:t>府性基金预算财政拨款“三公”经费支出决算表</w:t>
      </w:r>
      <w:bookmarkEnd w:id="110"/>
      <w:bookmarkEnd w:id="111"/>
    </w:p>
    <w:p>
      <w:pPr>
        <w:pStyle w:val="10"/>
        <w:rPr>
          <w:rFonts w:ascii="仿宋" w:hAnsi="仿宋" w:eastAsia="仿宋"/>
          <w:color w:val="000000"/>
        </w:rPr>
      </w:pPr>
      <w:bookmarkStart w:id="112" w:name="_Toc7914"/>
      <w:bookmarkStart w:id="113" w:name="_Toc15396631"/>
      <w:r>
        <w:rPr>
          <w:rStyle w:val="42"/>
          <w:rFonts w:hint="eastAsia" w:ascii="仿宋" w:hAnsi="仿宋" w:eastAsia="仿宋"/>
          <w:b/>
          <w:bCs/>
        </w:rPr>
        <w:t>十三、</w:t>
      </w:r>
      <w:r>
        <w:rPr>
          <w:rFonts w:hint="eastAsia" w:ascii="仿宋" w:hAnsi="仿宋" w:eastAsia="仿宋"/>
          <w:b w:val="0"/>
          <w:color w:val="000000"/>
        </w:rPr>
        <w:t>国</w:t>
      </w:r>
      <w:r>
        <w:rPr>
          <w:rStyle w:val="42"/>
          <w:rFonts w:hint="eastAsia" w:ascii="仿宋" w:hAnsi="仿宋" w:eastAsia="仿宋"/>
          <w:b/>
          <w:bCs/>
        </w:rPr>
        <w:t>有资本经营预算财政拨款支出决算表</w:t>
      </w:r>
      <w:bookmarkEnd w:id="112"/>
      <w:bookmarkEnd w:id="113"/>
    </w:p>
    <w:p>
      <w:pPr>
        <w:pStyle w:val="10"/>
        <w:rPr>
          <w:rFonts w:ascii="仿宋" w:hAnsi="仿宋" w:eastAsia="仿宋"/>
          <w:color w:val="000000"/>
        </w:rPr>
      </w:pP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3</w:t>
    </w:r>
    <w: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6F08E"/>
    <w:multiLevelType w:val="singleLevel"/>
    <w:tmpl w:val="99C6F08E"/>
    <w:lvl w:ilvl="0" w:tentative="0">
      <w:start w:val="1"/>
      <w:numFmt w:val="decimal"/>
      <w:suff w:val="nothing"/>
      <w:lvlText w:val="%1、"/>
      <w:lvlJc w:val="left"/>
    </w:lvl>
  </w:abstractNum>
  <w:abstractNum w:abstractNumId="1">
    <w:nsid w:val="B5E306ED"/>
    <w:multiLevelType w:val="singleLevel"/>
    <w:tmpl w:val="B5E306ED"/>
    <w:lvl w:ilvl="0" w:tentative="0">
      <w:start w:val="2"/>
      <w:numFmt w:val="decimal"/>
      <w:lvlText w:val="%1."/>
      <w:lvlJc w:val="left"/>
      <w:pPr>
        <w:tabs>
          <w:tab w:val="left" w:pos="312"/>
        </w:tabs>
      </w:pPr>
    </w:lvl>
  </w:abstractNum>
  <w:abstractNum w:abstractNumId="2">
    <w:nsid w:val="BF205925"/>
    <w:multiLevelType w:val="singleLevel"/>
    <w:tmpl w:val="BF205925"/>
    <w:lvl w:ilvl="0" w:tentative="0">
      <w:start w:val="9"/>
      <w:numFmt w:val="chineseCounting"/>
      <w:suff w:val="nothing"/>
      <w:lvlText w:val="%1、"/>
      <w:lvlJc w:val="left"/>
      <w:pPr>
        <w:ind w:left="-10"/>
      </w:pPr>
      <w:rPr>
        <w:rFonts w:hint="eastAsia" w:cs="Times New Roman"/>
      </w:rPr>
    </w:lvl>
  </w:abstractNum>
  <w:abstractNum w:abstractNumId="3">
    <w:nsid w:val="CF092B84"/>
    <w:multiLevelType w:val="singleLevel"/>
    <w:tmpl w:val="CF092B84"/>
    <w:lvl w:ilvl="0" w:tentative="0">
      <w:start w:val="1"/>
      <w:numFmt w:val="decimal"/>
      <w:lvlText w:val="%1."/>
      <w:lvlJc w:val="left"/>
      <w:pPr>
        <w:tabs>
          <w:tab w:val="left" w:pos="312"/>
        </w:tabs>
        <w:ind w:left="0" w:firstLine="0"/>
      </w:pPr>
    </w:lvl>
  </w:abstractNum>
  <w:abstractNum w:abstractNumId="4">
    <w:nsid w:val="E66CEE89"/>
    <w:multiLevelType w:val="singleLevel"/>
    <w:tmpl w:val="E66CEE89"/>
    <w:lvl w:ilvl="0" w:tentative="0">
      <w:start w:val="2"/>
      <w:numFmt w:val="decimal"/>
      <w:lvlText w:val="%1."/>
      <w:lvlJc w:val="left"/>
      <w:pPr>
        <w:tabs>
          <w:tab w:val="left" w:pos="312"/>
        </w:tabs>
      </w:pPr>
    </w:lvl>
  </w:abstractNum>
  <w:abstractNum w:abstractNumId="5">
    <w:nsid w:val="0053208E"/>
    <w:multiLevelType w:val="multilevel"/>
    <w:tmpl w:val="0053208E"/>
    <w:lvl w:ilvl="0" w:tentative="0">
      <w:start w:val="1"/>
      <w:numFmt w:val="japaneseCounting"/>
      <w:lvlText w:val="%1、"/>
      <w:lvlJc w:val="left"/>
      <w:pPr>
        <w:ind w:left="198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03D62ECE"/>
    <w:multiLevelType w:val="singleLevel"/>
    <w:tmpl w:val="03D62ECE"/>
    <w:lvl w:ilvl="0" w:tentative="0">
      <w:start w:val="3"/>
      <w:numFmt w:val="chineseCounting"/>
      <w:suff w:val="space"/>
      <w:lvlText w:val="第%1部分"/>
      <w:lvlJc w:val="left"/>
      <w:rPr>
        <w:rFonts w:hint="eastAsia" w:cs="Times New Roman"/>
      </w:rPr>
    </w:lvl>
  </w:abstractNum>
  <w:abstractNum w:abstractNumId="7">
    <w:nsid w:val="7080D058"/>
    <w:multiLevelType w:val="singleLevel"/>
    <w:tmpl w:val="7080D058"/>
    <w:lvl w:ilvl="0" w:tentative="0">
      <w:start w:val="6"/>
      <w:numFmt w:val="decimal"/>
      <w:lvlText w:val="%1."/>
      <w:lvlJc w:val="left"/>
      <w:pPr>
        <w:tabs>
          <w:tab w:val="left" w:pos="312"/>
        </w:tabs>
      </w:pPr>
    </w:lvl>
  </w:abstractNum>
  <w:num w:numId="1">
    <w:abstractNumId w:val="4"/>
  </w:num>
  <w:num w:numId="2">
    <w:abstractNumId w:val="7"/>
  </w:num>
  <w:num w:numId="3">
    <w:abstractNumId w:val="5"/>
  </w:num>
  <w:num w:numId="4">
    <w:abstractNumId w:val="3"/>
    <w:lvlOverride w:ilvl="0">
      <w:startOverride w:val="1"/>
    </w:lvlOverride>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dit="trackedChanges"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000000"/>
    <w:rsid w:val="097F500D"/>
    <w:rsid w:val="0D6A32A4"/>
    <w:rsid w:val="111279E5"/>
    <w:rsid w:val="15153868"/>
    <w:rsid w:val="1CFB49B5"/>
    <w:rsid w:val="1D997CFD"/>
    <w:rsid w:val="20674525"/>
    <w:rsid w:val="304469BE"/>
    <w:rsid w:val="323E3774"/>
    <w:rsid w:val="40AD1645"/>
    <w:rsid w:val="42D255EE"/>
    <w:rsid w:val="42E15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toc 1"/>
    <w:basedOn w:val="1"/>
    <w:next w:val="1"/>
    <w:unhideWhenUsed/>
    <w:qFormat/>
    <w:uiPriority w:val="39"/>
  </w:style>
  <w:style w:type="paragraph" w:styleId="4">
    <w:name w:val="toc 2"/>
    <w:basedOn w:val="1"/>
    <w:next w:val="1"/>
    <w:unhideWhenUsed/>
    <w:qFormat/>
    <w:uiPriority w:val="39"/>
    <w:pPr>
      <w:ind w:left="420" w:leftChars="200"/>
    </w:pPr>
  </w:style>
  <w:style w:type="table" w:styleId="6">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7">
    <w:name w:val="普通表格1"/>
    <w:unhideWhenUsed/>
    <w:qFormat/>
    <w:uiPriority w:val="99"/>
    <w:tblPr>
      <w:tblLayout w:type="fixed"/>
      <w:tblCellMar>
        <w:top w:w="0" w:type="dxa"/>
        <w:left w:w="108" w:type="dxa"/>
        <w:bottom w:w="0" w:type="dxa"/>
        <w:right w:w="108" w:type="dxa"/>
      </w:tblCellMar>
    </w:tblPr>
  </w:style>
  <w:style w:type="paragraph" w:customStyle="1" w:styleId="9">
    <w:name w:val="标题 11"/>
    <w:basedOn w:val="1"/>
    <w:next w:val="1"/>
    <w:link w:val="32"/>
    <w:qFormat/>
    <w:uiPriority w:val="9"/>
    <w:pPr>
      <w:keepNext/>
      <w:keepLines/>
      <w:spacing w:before="340" w:after="330" w:line="578" w:lineRule="auto"/>
      <w:outlineLvl w:val="0"/>
    </w:pPr>
    <w:rPr>
      <w:b/>
      <w:bCs/>
      <w:kern w:val="44"/>
      <w:sz w:val="44"/>
      <w:szCs w:val="44"/>
    </w:rPr>
  </w:style>
  <w:style w:type="paragraph" w:customStyle="1" w:styleId="10">
    <w:name w:val="标题 21"/>
    <w:basedOn w:val="1"/>
    <w:next w:val="1"/>
    <w:link w:val="42"/>
    <w:unhideWhenUsed/>
    <w:qFormat/>
    <w:uiPriority w:val="9"/>
    <w:pPr>
      <w:keepNext/>
      <w:keepLines/>
      <w:spacing w:before="260" w:after="260" w:line="416" w:lineRule="auto"/>
      <w:outlineLvl w:val="1"/>
    </w:pPr>
    <w:rPr>
      <w:rFonts w:ascii="Cambria" w:hAnsi="Cambria"/>
      <w:b/>
      <w:bCs/>
      <w:sz w:val="32"/>
      <w:szCs w:val="32"/>
    </w:rPr>
  </w:style>
  <w:style w:type="paragraph" w:customStyle="1" w:styleId="11">
    <w:name w:val="标题 31"/>
    <w:basedOn w:val="1"/>
    <w:next w:val="1"/>
    <w:link w:val="15"/>
    <w:unhideWhenUsed/>
    <w:qFormat/>
    <w:uiPriority w:val="9"/>
    <w:pPr>
      <w:keepNext/>
      <w:keepLines/>
      <w:spacing w:before="260" w:after="260" w:line="416" w:lineRule="auto"/>
      <w:outlineLvl w:val="2"/>
    </w:pPr>
    <w:rPr>
      <w:b/>
      <w:bCs/>
      <w:sz w:val="32"/>
      <w:szCs w:val="32"/>
    </w:rPr>
  </w:style>
  <w:style w:type="character" w:customStyle="1" w:styleId="12">
    <w:name w:val="默认段落字体1"/>
    <w:unhideWhenUsed/>
    <w:qFormat/>
    <w:uiPriority w:val="1"/>
  </w:style>
  <w:style w:type="character" w:customStyle="1" w:styleId="13">
    <w:name w:val="标题 1 字符"/>
    <w:link w:val="9"/>
    <w:qFormat/>
    <w:locked/>
    <w:uiPriority w:val="9"/>
    <w:rPr>
      <w:rFonts w:ascii="Times New Roman" w:hAnsi="Times New Roman" w:cs="Times New Roman"/>
      <w:b/>
      <w:bCs/>
      <w:kern w:val="44"/>
      <w:sz w:val="44"/>
      <w:szCs w:val="44"/>
    </w:rPr>
  </w:style>
  <w:style w:type="character" w:customStyle="1" w:styleId="14">
    <w:name w:val="标题 2 Char"/>
    <w:basedOn w:val="12"/>
    <w:link w:val="10"/>
    <w:qFormat/>
    <w:uiPriority w:val="9"/>
    <w:rPr>
      <w:rFonts w:ascii="Cambria" w:hAnsi="Cambria" w:eastAsia="宋体" w:cs="Times New Roman"/>
      <w:b/>
      <w:bCs/>
      <w:kern w:val="2"/>
      <w:sz w:val="32"/>
      <w:szCs w:val="32"/>
    </w:rPr>
  </w:style>
  <w:style w:type="character" w:customStyle="1" w:styleId="15">
    <w:name w:val=" Char Char4"/>
    <w:basedOn w:val="12"/>
    <w:link w:val="11"/>
    <w:qFormat/>
    <w:locked/>
    <w:uiPriority w:val="9"/>
    <w:rPr>
      <w:rFonts w:ascii="Times New Roman" w:hAnsi="Times New Roman" w:cs="Times New Roman"/>
      <w:b/>
      <w:bCs/>
      <w:kern w:val="2"/>
      <w:sz w:val="32"/>
      <w:szCs w:val="32"/>
    </w:rPr>
  </w:style>
  <w:style w:type="paragraph" w:customStyle="1" w:styleId="16">
    <w:name w:val="正文文本1"/>
    <w:basedOn w:val="1"/>
    <w:qFormat/>
    <w:uiPriority w:val="99"/>
    <w:pPr>
      <w:spacing w:beforeLines="30"/>
    </w:pPr>
    <w:rPr>
      <w:rFonts w:ascii="仿宋_GB2312" w:eastAsia="仿宋_GB2312"/>
      <w:kern w:val="0"/>
      <w:sz w:val="24"/>
      <w:szCs w:val="20"/>
    </w:rPr>
  </w:style>
  <w:style w:type="character" w:customStyle="1" w:styleId="17">
    <w:name w:val="Body Text Char"/>
    <w:basedOn w:val="12"/>
    <w:semiHidden/>
    <w:qFormat/>
    <w:uiPriority w:val="99"/>
    <w:rPr>
      <w:rFonts w:ascii="Times New Roman" w:hAnsi="Times New Roman" w:cs="Times New Roman"/>
      <w:sz w:val="24"/>
      <w:szCs w:val="24"/>
    </w:rPr>
  </w:style>
  <w:style w:type="paragraph" w:customStyle="1" w:styleId="18">
    <w:name w:val="目录 31"/>
    <w:basedOn w:val="1"/>
    <w:next w:val="1"/>
    <w:unhideWhenUsed/>
    <w:qFormat/>
    <w:uiPriority w:val="39"/>
    <w:pPr>
      <w:tabs>
        <w:tab w:val="right" w:leader="dot" w:pos="8296"/>
      </w:tabs>
      <w:ind w:left="840" w:leftChars="400"/>
    </w:pPr>
  </w:style>
  <w:style w:type="paragraph" w:customStyle="1" w:styleId="19">
    <w:name w:val="批注框文本1"/>
    <w:basedOn w:val="1"/>
    <w:unhideWhenUsed/>
    <w:qFormat/>
    <w:uiPriority w:val="99"/>
    <w:rPr>
      <w:sz w:val="18"/>
      <w:szCs w:val="18"/>
    </w:rPr>
  </w:style>
  <w:style w:type="character" w:customStyle="1" w:styleId="20">
    <w:name w:val=" Char Char2"/>
    <w:basedOn w:val="12"/>
    <w:semiHidden/>
    <w:qFormat/>
    <w:locked/>
    <w:uiPriority w:val="99"/>
    <w:rPr>
      <w:rFonts w:ascii="Times New Roman" w:hAnsi="Times New Roman" w:cs="Times New Roman"/>
      <w:kern w:val="2"/>
      <w:sz w:val="18"/>
      <w:szCs w:val="18"/>
    </w:rPr>
  </w:style>
  <w:style w:type="paragraph" w:customStyle="1" w:styleId="21">
    <w:name w:val="页脚1"/>
    <w:basedOn w:val="1"/>
    <w:qFormat/>
    <w:uiPriority w:val="99"/>
    <w:pPr>
      <w:tabs>
        <w:tab w:val="center" w:pos="4153"/>
        <w:tab w:val="right" w:pos="8306"/>
      </w:tabs>
      <w:snapToGrid w:val="0"/>
      <w:jc w:val="left"/>
    </w:pPr>
    <w:rPr>
      <w:rFonts w:ascii="Calibri" w:hAnsi="Calibri"/>
      <w:kern w:val="0"/>
      <w:sz w:val="18"/>
      <w:szCs w:val="20"/>
    </w:rPr>
  </w:style>
  <w:style w:type="character" w:customStyle="1" w:styleId="22">
    <w:name w:val="Footer Char"/>
    <w:basedOn w:val="12"/>
    <w:semiHidden/>
    <w:qFormat/>
    <w:uiPriority w:val="99"/>
    <w:rPr>
      <w:rFonts w:ascii="Times New Roman" w:hAnsi="Times New Roman" w:cs="Times New Roman"/>
      <w:sz w:val="18"/>
      <w:szCs w:val="18"/>
    </w:rPr>
  </w:style>
  <w:style w:type="paragraph" w:customStyle="1" w:styleId="23">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character" w:customStyle="1" w:styleId="24">
    <w:name w:val="Header Char"/>
    <w:basedOn w:val="12"/>
    <w:semiHidden/>
    <w:qFormat/>
    <w:uiPriority w:val="99"/>
    <w:rPr>
      <w:rFonts w:ascii="Times New Roman" w:hAnsi="Times New Roman" w:cs="Times New Roman"/>
      <w:sz w:val="18"/>
      <w:szCs w:val="18"/>
    </w:rPr>
  </w:style>
  <w:style w:type="paragraph" w:customStyle="1" w:styleId="25">
    <w:name w:val="目录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26">
    <w:name w:val="目录 21"/>
    <w:basedOn w:val="1"/>
    <w:next w:val="1"/>
    <w:unhideWhenUsed/>
    <w:qFormat/>
    <w:uiPriority w:val="39"/>
    <w:pPr>
      <w:tabs>
        <w:tab w:val="right" w:leader="dot" w:pos="8296"/>
      </w:tabs>
      <w:ind w:left="420" w:leftChars="200"/>
    </w:pPr>
  </w:style>
  <w:style w:type="paragraph" w:customStyle="1" w:styleId="27">
    <w:name w:val="普通(网站)1"/>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28">
    <w:name w:val="要点1"/>
    <w:basedOn w:val="12"/>
    <w:qFormat/>
    <w:uiPriority w:val="99"/>
    <w:rPr>
      <w:rFonts w:cs="Times New Roman"/>
      <w:b/>
    </w:rPr>
  </w:style>
  <w:style w:type="character" w:customStyle="1" w:styleId="29">
    <w:name w:val="页码1"/>
    <w:basedOn w:val="12"/>
    <w:uiPriority w:val="0"/>
  </w:style>
  <w:style w:type="character" w:customStyle="1" w:styleId="30">
    <w:name w:val="强调1"/>
    <w:basedOn w:val="12"/>
    <w:qFormat/>
    <w:uiPriority w:val="0"/>
  </w:style>
  <w:style w:type="character" w:customStyle="1" w:styleId="31">
    <w:name w:val="超链接1"/>
    <w:basedOn w:val="12"/>
    <w:unhideWhenUsed/>
    <w:qFormat/>
    <w:uiPriority w:val="99"/>
    <w:rPr>
      <w:rFonts w:cs="Times New Roman"/>
      <w:color w:val="0000FF"/>
      <w:u w:val="single"/>
    </w:rPr>
  </w:style>
  <w:style w:type="character" w:customStyle="1" w:styleId="32">
    <w:name w:val=" Char Char6"/>
    <w:basedOn w:val="12"/>
    <w:link w:val="9"/>
    <w:qFormat/>
    <w:locked/>
    <w:uiPriority w:val="9"/>
    <w:rPr>
      <w:rFonts w:ascii="Times New Roman" w:hAnsi="Times New Roman" w:cs="Times New Roman"/>
      <w:b/>
      <w:bCs/>
      <w:kern w:val="44"/>
      <w:sz w:val="44"/>
      <w:szCs w:val="44"/>
    </w:rPr>
  </w:style>
  <w:style w:type="character" w:customStyle="1" w:styleId="33">
    <w:name w:val=" Char Char5"/>
    <w:basedOn w:val="12"/>
    <w:link w:val="10"/>
    <w:qFormat/>
    <w:locked/>
    <w:uiPriority w:val="9"/>
    <w:rPr>
      <w:rFonts w:ascii="Cambria" w:hAnsi="Cambria" w:eastAsia="宋体" w:cs="Times New Roman"/>
      <w:b/>
      <w:bCs/>
      <w:kern w:val="2"/>
      <w:sz w:val="32"/>
      <w:szCs w:val="32"/>
    </w:rPr>
  </w:style>
  <w:style w:type="character" w:customStyle="1" w:styleId="34">
    <w:name w:val=" Char Char3"/>
    <w:qFormat/>
    <w:locked/>
    <w:uiPriority w:val="99"/>
    <w:rPr>
      <w:rFonts w:ascii="仿宋_GB2312" w:hAnsi="Times New Roman" w:eastAsia="仿宋_GB2312"/>
      <w:sz w:val="24"/>
    </w:rPr>
  </w:style>
  <w:style w:type="character" w:customStyle="1" w:styleId="35">
    <w:name w:val=" Char Char1"/>
    <w:qFormat/>
    <w:locked/>
    <w:uiPriority w:val="99"/>
    <w:rPr>
      <w:sz w:val="18"/>
    </w:rPr>
  </w:style>
  <w:style w:type="character" w:customStyle="1" w:styleId="36">
    <w:name w:val=" Char Char"/>
    <w:semiHidden/>
    <w:qFormat/>
    <w:locked/>
    <w:uiPriority w:val="99"/>
    <w:rPr>
      <w:sz w:val="18"/>
    </w:rPr>
  </w:style>
  <w:style w:type="paragraph" w:customStyle="1" w:styleId="37">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38">
    <w:name w:val="List Paragraph"/>
    <w:basedOn w:val="1"/>
    <w:qFormat/>
    <w:uiPriority w:val="34"/>
    <w:pPr>
      <w:ind w:firstLine="420" w:firstLineChars="200"/>
    </w:pPr>
  </w:style>
  <w:style w:type="paragraph" w:customStyle="1" w:styleId="39">
    <w:name w:val="TOC 标题1"/>
    <w:basedOn w:val="9"/>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0">
    <w:name w:val="TOC Heading1"/>
    <w:basedOn w:val="9"/>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1">
    <w:name w:val="四号正文"/>
    <w:basedOn w:val="1"/>
    <w:qFormat/>
    <w:uiPriority w:val="0"/>
    <w:pPr>
      <w:spacing w:line="360" w:lineRule="auto"/>
    </w:pPr>
    <w:rPr>
      <w:rFonts w:ascii="??" w:hAnsi="??" w:eastAsia="宋体" w:cs="宋体"/>
      <w:color w:val="000000"/>
      <w:kern w:val="0"/>
      <w:sz w:val="28"/>
      <w:szCs w:val="21"/>
    </w:rPr>
  </w:style>
  <w:style w:type="character" w:customStyle="1" w:styleId="42">
    <w:name w:val="标题 2 字符"/>
    <w:link w:val="10"/>
    <w:qFormat/>
    <w:locked/>
    <w:uiPriority w:val="9"/>
    <w:rPr>
      <w:rFonts w:ascii="Cambria" w:hAnsi="Cambria" w:eastAsia="宋体" w:cs="Times New Roman"/>
      <w:b/>
      <w:bCs/>
      <w:kern w:val="2"/>
      <w:sz w:val="32"/>
      <w:szCs w:val="32"/>
    </w:rPr>
  </w:style>
  <w:style w:type="character" w:customStyle="1" w:styleId="43">
    <w:name w:val="font71"/>
    <w:basedOn w:val="12"/>
    <w:uiPriority w:val="0"/>
    <w:rPr>
      <w:rFonts w:hint="eastAsia" w:ascii="宋体" w:hAnsi="宋体" w:eastAsia="宋体" w:cs="宋体"/>
      <w:color w:val="000000"/>
      <w:sz w:val="32"/>
      <w:szCs w:val="32"/>
      <w:u w:val="none"/>
    </w:rPr>
  </w:style>
  <w:style w:type="character" w:customStyle="1" w:styleId="44">
    <w:name w:val="font01"/>
    <w:basedOn w:val="12"/>
    <w:uiPriority w:val="0"/>
    <w:rPr>
      <w:rFonts w:hint="eastAsia" w:ascii="宋体" w:hAnsi="宋体" w:eastAsia="宋体" w:cs="宋体"/>
      <w:color w:val="000000"/>
      <w:sz w:val="18"/>
      <w:szCs w:val="18"/>
      <w:u w:val="none"/>
    </w:rPr>
  </w:style>
  <w:style w:type="character" w:customStyle="1" w:styleId="45">
    <w:name w:val="font61"/>
    <w:basedOn w:val="12"/>
    <w:uiPriority w:val="0"/>
    <w:rPr>
      <w:rFonts w:hint="eastAsia" w:ascii="宋体" w:hAnsi="宋体" w:eastAsia="宋体" w:cs="宋体"/>
      <w:color w:val="000000"/>
      <w:sz w:val="12"/>
      <w:szCs w:val="12"/>
      <w:u w:val="none"/>
    </w:rPr>
  </w:style>
  <w:style w:type="paragraph" w:customStyle="1" w:styleId="46">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2052-11.1.0.11045</vt:lpstr>
  </property>
  <property fmtid="{D5CDD505-2E9C-101B-9397-08002B2CF9AE}" pid="3" name="ICV">
    <vt:lpstr>BE90D8DF092340A7A0E40F1CFC644390</vt:lpstr>
  </property>
</Properties>
</file>

<file path=customXml/item3.xml><?xml version="1.0" encoding="utf-8"?>
<Properties xmlns:vt="http://schemas.openxmlformats.org/officeDocument/2006/docPropsVTypes" xmlns="http://schemas.openxmlformats.org/officeDocument/2006/extended-properties">
  <Template>Normal</Template>
  <TotalTime>157259040</TotalTime>
  <Pages>48</Pages>
  <Words>17490</Words>
  <Characters>18994</Characters>
  <Application>WPS Office_11.1.0.11045_F1E327BC-269C-435d-A152-05C5408002CA</Application>
  <DocSecurity>0</DocSecurity>
  <Lines>61</Lines>
  <Paragraphs>17</Paragraphs>
  <Company>四川省财政厅</Company>
  <CharactersWithSpaces>19801</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卡夫卡</cp:lastModifiedBy>
  <cp:revision>36</cp:revision>
  <cp:lastPrinted>2021-07-29T03:56:00Z</cp:lastPrinted>
  <dcterms:created xsi:type="dcterms:W3CDTF">2020-08-04T01:49:00Z</dcterms:created>
  <dcterms:modified xsi:type="dcterms:W3CDTF">2021-10-22T04:16:24Z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8596a-4fe2-474f-92c8-a2956e588f39}">
  <ds:schemaRefs/>
</ds:datastoreItem>
</file>

<file path=customXml/itemProps3.xml><?xml version="1.0" encoding="utf-8"?>
<ds:datastoreItem xmlns:ds="http://schemas.openxmlformats.org/officeDocument/2006/customXml" ds:itemID="{bdcf2ec1-3c1a-403a-82ba-809dd205990d}">
  <ds:schemaRefs/>
</ds:datastoreItem>
</file>

<file path=customXml/itemProps4.xml><?xml version="1.0" encoding="utf-8"?>
<ds:datastoreItem xmlns:ds="http://schemas.openxmlformats.org/officeDocument/2006/customXml" ds:itemID="{fdb9781a-9fb2-4411-b283-4bcb8b7dd57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48</Pages>
  <Words>17490</Words>
  <Characters>18994</Characters>
  <Lines>61</Lines>
  <Paragraphs>17</Paragraphs>
  <TotalTime>14</TotalTime>
  <ScaleCrop>false</ScaleCrop>
  <LinksUpToDate>false</LinksUpToDate>
  <CharactersWithSpaces>19801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2021-07-29T03:56:00Z</cp:lastPrinted>
  <dcterms:modified xsi:type="dcterms:W3CDTF">2024-12-19T01:50:10Z</dcterms:modified>
  <dc:title>四川省_x002A__x002A__x002A_</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F49CC6A992304DD686DA241851BC1D81</vt:lpwstr>
  </property>
</Properties>
</file>