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AB10">
      <w:pPr>
        <w:spacing w:line="600" w:lineRule="exact"/>
        <w:jc w:val="center"/>
        <w:rPr>
          <w:rFonts w:ascii="方正小标宋简体" w:hAnsi="宋体" w:eastAsia="方正小标宋简体"/>
          <w:sz w:val="72"/>
          <w:szCs w:val="72"/>
        </w:rPr>
      </w:pPr>
      <w:bookmarkStart w:id="0" w:name="_Toc15306267"/>
    </w:p>
    <w:p w14:paraId="640B4938">
      <w:pPr>
        <w:spacing w:line="600" w:lineRule="exact"/>
        <w:jc w:val="center"/>
        <w:rPr>
          <w:rFonts w:ascii="方正小标宋简体" w:hAnsi="宋体" w:eastAsia="方正小标宋简体"/>
          <w:sz w:val="72"/>
          <w:szCs w:val="72"/>
        </w:rPr>
      </w:pPr>
    </w:p>
    <w:p w14:paraId="2004E354">
      <w:pPr>
        <w:spacing w:line="600" w:lineRule="exact"/>
        <w:jc w:val="center"/>
        <w:rPr>
          <w:rFonts w:ascii="方正小标宋简体" w:hAnsi="宋体" w:eastAsia="方正小标宋简体"/>
          <w:sz w:val="72"/>
          <w:szCs w:val="72"/>
        </w:rPr>
      </w:pPr>
    </w:p>
    <w:p w14:paraId="7691DC43">
      <w:pPr>
        <w:spacing w:line="600" w:lineRule="exact"/>
        <w:jc w:val="center"/>
        <w:rPr>
          <w:rFonts w:ascii="方正小标宋简体" w:hAnsi="宋体" w:eastAsia="方正小标宋简体"/>
          <w:sz w:val="72"/>
          <w:szCs w:val="72"/>
        </w:rPr>
      </w:pPr>
    </w:p>
    <w:p w14:paraId="54BBF2D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21388"/>
      <w:bookmarkStart w:id="3" w:name="_Toc23251"/>
      <w:bookmarkStart w:id="4" w:name="_Toc15378441"/>
      <w:bookmarkStart w:id="5" w:name="_Toc15377425"/>
      <w:bookmarkStart w:id="6" w:name="_Toc15377193"/>
      <w:bookmarkStart w:id="7" w:name="_Toc15396475"/>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bookmarkEnd w:id="6"/>
      <w:bookmarkEnd w:id="7"/>
    </w:p>
    <w:p w14:paraId="49612AA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29010"/>
      <w:bookmarkStart w:id="9" w:name="_Toc3546"/>
      <w:bookmarkStart w:id="10" w:name="_Toc15377426"/>
      <w:bookmarkStart w:id="11" w:name="_Toc15377194"/>
      <w:bookmarkStart w:id="12" w:name="_Toc15396598"/>
      <w:bookmarkStart w:id="13" w:name="_Toc15306268"/>
      <w:bookmarkStart w:id="14" w:name="_Toc15396476"/>
      <w:bookmarkStart w:id="15" w:name="_Toc15378442"/>
      <w:r>
        <w:rPr>
          <w:rFonts w:hint="eastAsia" w:ascii="方正小标宋简体" w:hAnsi="方正小标宋简体" w:eastAsia="方正小标宋简体" w:cs="方正小标宋简体"/>
          <w:sz w:val="72"/>
          <w:szCs w:val="72"/>
        </w:rPr>
        <w:t>通江县民胜初级中学</w:t>
      </w:r>
      <w:bookmarkEnd w:id="8"/>
      <w:bookmarkEnd w:id="9"/>
    </w:p>
    <w:p w14:paraId="2FAE3A1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5550"/>
      <w:bookmarkStart w:id="17" w:name="_Toc31852"/>
      <w:r>
        <w:rPr>
          <w:rFonts w:hint="eastAsia" w:ascii="方正小标宋简体" w:hAnsi="方正小标宋简体" w:eastAsia="方正小标宋简体" w:cs="方正小标宋简体"/>
          <w:sz w:val="72"/>
          <w:szCs w:val="72"/>
        </w:rPr>
        <w:t>单位决算</w:t>
      </w:r>
      <w:bookmarkEnd w:id="10"/>
      <w:bookmarkEnd w:id="11"/>
      <w:bookmarkEnd w:id="12"/>
      <w:bookmarkEnd w:id="13"/>
      <w:bookmarkEnd w:id="14"/>
      <w:bookmarkEnd w:id="15"/>
      <w:bookmarkEnd w:id="16"/>
      <w:bookmarkEnd w:id="17"/>
    </w:p>
    <w:p w14:paraId="49F81E29">
      <w:pPr>
        <w:adjustRightInd w:val="0"/>
        <w:snapToGrid w:val="0"/>
        <w:spacing w:line="360" w:lineRule="auto"/>
        <w:jc w:val="center"/>
        <w:rPr>
          <w:rFonts w:ascii="方正小标宋简体" w:hAnsi="宋体" w:eastAsia="方正小标宋简体"/>
          <w:sz w:val="52"/>
          <w:szCs w:val="52"/>
        </w:rPr>
      </w:pPr>
    </w:p>
    <w:p w14:paraId="4EA9EA81">
      <w:pPr>
        <w:widowControl/>
        <w:jc w:val="center"/>
        <w:rPr>
          <w:rFonts w:ascii="黑体" w:hAnsi="黑体" w:eastAsia="黑体"/>
          <w:sz w:val="48"/>
          <w:szCs w:val="48"/>
        </w:rPr>
      </w:pPr>
      <w:r>
        <w:br w:type="page"/>
      </w:r>
      <w:r>
        <w:rPr>
          <w:rFonts w:hint="eastAsia" w:ascii="黑体" w:hAnsi="黑体" w:eastAsia="黑体"/>
          <w:sz w:val="48"/>
          <w:szCs w:val="48"/>
        </w:rPr>
        <w:t>目录</w:t>
      </w:r>
    </w:p>
    <w:p w14:paraId="67962802">
      <w:pPr>
        <w:pStyle w:val="19"/>
      </w:pPr>
      <w:r>
        <w:rPr>
          <w:rFonts w:hint="eastAsia"/>
        </w:rPr>
        <w:t>公开时间：2022年8月25日</w:t>
      </w:r>
    </w:p>
    <w:p w14:paraId="0689CA11"/>
    <w:sdt>
      <w:sdtPr>
        <w:rPr>
          <w:rFonts w:ascii="宋体" w:hAnsi="宋体"/>
        </w:rPr>
        <w:id w:val="147467549"/>
        <w:docPartObj>
          <w:docPartGallery w:val="Table of Contents"/>
          <w:docPartUnique/>
        </w:docPartObj>
      </w:sdtPr>
      <w:sdtEndPr>
        <w:rPr>
          <w:rFonts w:ascii="宋体" w:hAnsi="宋体"/>
          <w:b/>
        </w:rPr>
      </w:sdtEndPr>
      <w:sdtContent>
        <w:p w14:paraId="6F19B2E2">
          <w:pPr>
            <w:jc w:val="center"/>
          </w:pPr>
          <w:bookmarkStart w:id="18" w:name="_Toc15396599"/>
        </w:p>
        <w:p w14:paraId="47F07798">
          <w:pPr>
            <w:pStyle w:val="19"/>
            <w:tabs>
              <w:tab w:val="right" w:leader="dot" w:pos="8306"/>
              <w:tab w:val="clear" w:pos="8296"/>
            </w:tabs>
            <w:rPr>
              <w:rFonts w:ascii="黑体" w:hAnsi="黑体" w:eastAsia="黑体" w:cs="黑体"/>
              <w:sz w:val="24"/>
              <w:szCs w:val="24"/>
            </w:rPr>
          </w:pPr>
          <w:r>
            <w:fldChar w:fldCharType="begin"/>
          </w:r>
          <w:r>
            <w:instrText xml:space="preserve">TOC\o"1-2"\h\u</w:instrText>
          </w:r>
          <w:r>
            <w:fldChar w:fldCharType="separate"/>
          </w:r>
          <w:r>
            <w:fldChar w:fldCharType="begin"/>
          </w:r>
          <w:r>
            <w:instrText xml:space="preserve"> HYPERLINK \l "_Toc15412" </w:instrText>
          </w:r>
          <w:r>
            <w:fldChar w:fldCharType="separate"/>
          </w:r>
          <w:r>
            <w:rPr>
              <w:rFonts w:hint="eastAsia" w:ascii="黑体" w:hAnsi="黑体" w:eastAsia="黑体" w:cs="黑体"/>
              <w:sz w:val="24"/>
              <w:szCs w:val="24"/>
            </w:rPr>
            <w:t>第一部分单位概况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_Toc15412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F28E6D8">
          <w:pPr>
            <w:pStyle w:val="20"/>
            <w:tabs>
              <w:tab w:val="right" w:leader="dot" w:pos="8306"/>
              <w:tab w:val="clear" w:pos="8296"/>
            </w:tabs>
          </w:pPr>
          <w:r>
            <w:fldChar w:fldCharType="begin"/>
          </w:r>
          <w:r>
            <w:instrText xml:space="preserve"> HYPERLINK \l "_Toc13072" </w:instrText>
          </w:r>
          <w:r>
            <w:fldChar w:fldCharType="separate"/>
          </w:r>
          <w:r>
            <w:rPr>
              <w:rFonts w:hint="eastAsia" w:ascii="黑体" w:hAnsi="黑体" w:eastAsia="黑体"/>
            </w:rPr>
            <w:t>一、职能简介</w:t>
          </w:r>
          <w:r>
            <w:tab/>
          </w:r>
          <w:r>
            <w:fldChar w:fldCharType="begin"/>
          </w:r>
          <w:r>
            <w:instrText xml:space="preserve"> PAGEREF _Toc13072 </w:instrText>
          </w:r>
          <w:r>
            <w:fldChar w:fldCharType="separate"/>
          </w:r>
          <w:r>
            <w:t>4</w:t>
          </w:r>
          <w:r>
            <w:fldChar w:fldCharType="end"/>
          </w:r>
          <w:r>
            <w:fldChar w:fldCharType="end"/>
          </w:r>
        </w:p>
        <w:p w14:paraId="0F2CEA80">
          <w:pPr>
            <w:pStyle w:val="20"/>
            <w:tabs>
              <w:tab w:val="right" w:leader="dot" w:pos="8306"/>
              <w:tab w:val="clear" w:pos="8296"/>
            </w:tabs>
          </w:pPr>
          <w:r>
            <w:fldChar w:fldCharType="begin"/>
          </w:r>
          <w:r>
            <w:instrText xml:space="preserve"> HYPERLINK \l "_Toc27510" </w:instrText>
          </w:r>
          <w:r>
            <w:fldChar w:fldCharType="separate"/>
          </w:r>
          <w:r>
            <w:rPr>
              <w:rFonts w:hint="eastAsia" w:ascii="黑体" w:hAnsi="黑体" w:eastAsia="黑体"/>
            </w:rPr>
            <w:t>二、2021年重点工作完成情况</w:t>
          </w:r>
          <w:r>
            <w:tab/>
          </w:r>
          <w:r>
            <w:fldChar w:fldCharType="begin"/>
          </w:r>
          <w:r>
            <w:instrText xml:space="preserve"> PAGEREF _Toc27510 </w:instrText>
          </w:r>
          <w:r>
            <w:fldChar w:fldCharType="separate"/>
          </w:r>
          <w:r>
            <w:t>4</w:t>
          </w:r>
          <w:r>
            <w:fldChar w:fldCharType="end"/>
          </w:r>
          <w:r>
            <w:fldChar w:fldCharType="end"/>
          </w:r>
        </w:p>
        <w:p w14:paraId="492CF80E">
          <w:pPr>
            <w:pStyle w:val="19"/>
            <w:tabs>
              <w:tab w:val="right" w:leader="dot" w:pos="8306"/>
              <w:tab w:val="clear" w:pos="8296"/>
            </w:tabs>
            <w:rPr>
              <w:rFonts w:ascii="黑体" w:hAnsi="黑体" w:eastAsia="黑体" w:cs="黑体"/>
              <w:sz w:val="24"/>
              <w:szCs w:val="24"/>
            </w:rPr>
          </w:pPr>
          <w:r>
            <w:fldChar w:fldCharType="begin"/>
          </w:r>
          <w:r>
            <w:instrText xml:space="preserve"> HYPERLINK \l "_Toc30394" </w:instrText>
          </w:r>
          <w:r>
            <w:fldChar w:fldCharType="separate"/>
          </w:r>
          <w:r>
            <w:rPr>
              <w:rFonts w:hint="eastAsia" w:ascii="黑体" w:hAnsi="黑体" w:eastAsia="黑体" w:cs="黑体"/>
              <w:sz w:val="24"/>
              <w:szCs w:val="24"/>
            </w:rPr>
            <w:t>第二部分2021年度</w:t>
          </w:r>
          <w:r>
            <w:rPr>
              <w:rFonts w:hint="eastAsia" w:ascii="黑体" w:hAnsi="黑体" w:eastAsia="黑体" w:cs="黑体"/>
              <w:bCs/>
              <w:sz w:val="24"/>
              <w:szCs w:val="24"/>
            </w:rPr>
            <w:t>单位决算情况说明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_Toc30394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D351CD5">
          <w:pPr>
            <w:pStyle w:val="20"/>
            <w:tabs>
              <w:tab w:val="right" w:leader="dot" w:pos="8306"/>
              <w:tab w:val="clear" w:pos="8296"/>
            </w:tabs>
          </w:pPr>
          <w:r>
            <w:fldChar w:fldCharType="begin"/>
          </w:r>
          <w:r>
            <w:instrText xml:space="preserve"> HYPERLINK \l "_Toc3151"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_Toc3151 </w:instrText>
          </w:r>
          <w:r>
            <w:fldChar w:fldCharType="separate"/>
          </w:r>
          <w:r>
            <w:t>5</w:t>
          </w:r>
          <w:r>
            <w:fldChar w:fldCharType="end"/>
          </w:r>
          <w:r>
            <w:fldChar w:fldCharType="end"/>
          </w:r>
        </w:p>
        <w:p w14:paraId="599FF8DC">
          <w:pPr>
            <w:pStyle w:val="20"/>
            <w:tabs>
              <w:tab w:val="right" w:leader="dot" w:pos="8306"/>
              <w:tab w:val="clear" w:pos="8296"/>
            </w:tabs>
          </w:pPr>
          <w:r>
            <w:fldChar w:fldCharType="begin"/>
          </w:r>
          <w:r>
            <w:instrText xml:space="preserve"> HYPERLINK \l "_Toc17577"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_Toc17577 </w:instrText>
          </w:r>
          <w:r>
            <w:fldChar w:fldCharType="separate"/>
          </w:r>
          <w:r>
            <w:t>6</w:t>
          </w:r>
          <w:r>
            <w:fldChar w:fldCharType="end"/>
          </w:r>
          <w:r>
            <w:fldChar w:fldCharType="end"/>
          </w:r>
        </w:p>
        <w:p w14:paraId="691AF5D2">
          <w:pPr>
            <w:pStyle w:val="20"/>
            <w:tabs>
              <w:tab w:val="right" w:leader="dot" w:pos="8306"/>
              <w:tab w:val="clear" w:pos="8296"/>
            </w:tabs>
          </w:pPr>
          <w:r>
            <w:fldChar w:fldCharType="begin"/>
          </w:r>
          <w:r>
            <w:instrText xml:space="preserve"> HYPERLINK \l "_Toc7608"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_Toc7608 </w:instrText>
          </w:r>
          <w:r>
            <w:fldChar w:fldCharType="separate"/>
          </w:r>
          <w:r>
            <w:t>6</w:t>
          </w:r>
          <w:r>
            <w:fldChar w:fldCharType="end"/>
          </w:r>
          <w:r>
            <w:fldChar w:fldCharType="end"/>
          </w:r>
        </w:p>
        <w:p w14:paraId="4A557AB1">
          <w:pPr>
            <w:pStyle w:val="20"/>
            <w:tabs>
              <w:tab w:val="right" w:leader="dot" w:pos="8306"/>
              <w:tab w:val="clear" w:pos="8296"/>
            </w:tabs>
          </w:pPr>
          <w:r>
            <w:fldChar w:fldCharType="begin"/>
          </w:r>
          <w:r>
            <w:instrText xml:space="preserve"> HYPERLINK \l "_Toc23224"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_Toc23224 </w:instrText>
          </w:r>
          <w:r>
            <w:fldChar w:fldCharType="separate"/>
          </w:r>
          <w:r>
            <w:t>7</w:t>
          </w:r>
          <w:r>
            <w:fldChar w:fldCharType="end"/>
          </w:r>
          <w:r>
            <w:fldChar w:fldCharType="end"/>
          </w:r>
        </w:p>
        <w:p w14:paraId="4C50A660">
          <w:pPr>
            <w:pStyle w:val="20"/>
            <w:tabs>
              <w:tab w:val="right" w:leader="dot" w:pos="8306"/>
              <w:tab w:val="clear" w:pos="8296"/>
            </w:tabs>
          </w:pPr>
          <w:r>
            <w:fldChar w:fldCharType="begin"/>
          </w:r>
          <w:r>
            <w:instrText xml:space="preserve"> HYPERLINK \l "_Toc2691"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_Toc2691 </w:instrText>
          </w:r>
          <w:r>
            <w:fldChar w:fldCharType="separate"/>
          </w:r>
          <w:r>
            <w:t>8</w:t>
          </w:r>
          <w:r>
            <w:fldChar w:fldCharType="end"/>
          </w:r>
          <w:r>
            <w:fldChar w:fldCharType="end"/>
          </w:r>
        </w:p>
        <w:p w14:paraId="4D0B950E">
          <w:pPr>
            <w:pStyle w:val="20"/>
            <w:tabs>
              <w:tab w:val="right" w:leader="dot" w:pos="8306"/>
              <w:tab w:val="clear" w:pos="8296"/>
            </w:tabs>
          </w:pPr>
          <w:r>
            <w:fldChar w:fldCharType="begin"/>
          </w:r>
          <w:r>
            <w:instrText xml:space="preserve"> HYPERLINK \l "_Toc11613"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_Toc11613 </w:instrText>
          </w:r>
          <w:r>
            <w:fldChar w:fldCharType="separate"/>
          </w:r>
          <w:r>
            <w:t>10</w:t>
          </w:r>
          <w:r>
            <w:fldChar w:fldCharType="end"/>
          </w:r>
          <w:r>
            <w:fldChar w:fldCharType="end"/>
          </w:r>
        </w:p>
        <w:p w14:paraId="50620E4E">
          <w:pPr>
            <w:pStyle w:val="20"/>
            <w:tabs>
              <w:tab w:val="right" w:leader="dot" w:pos="8306"/>
              <w:tab w:val="clear" w:pos="8296"/>
            </w:tabs>
          </w:pPr>
          <w:r>
            <w:fldChar w:fldCharType="begin"/>
          </w:r>
          <w:r>
            <w:instrText xml:space="preserve"> HYPERLINK \l "_Toc8393"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_Toc8393 </w:instrText>
          </w:r>
          <w:r>
            <w:fldChar w:fldCharType="separate"/>
          </w:r>
          <w:r>
            <w:t>10</w:t>
          </w:r>
          <w:r>
            <w:fldChar w:fldCharType="end"/>
          </w:r>
          <w:r>
            <w:fldChar w:fldCharType="end"/>
          </w:r>
        </w:p>
        <w:p w14:paraId="5CCBA678">
          <w:pPr>
            <w:pStyle w:val="20"/>
            <w:tabs>
              <w:tab w:val="right" w:leader="dot" w:pos="8306"/>
              <w:tab w:val="clear" w:pos="8296"/>
            </w:tabs>
          </w:pPr>
          <w:r>
            <w:fldChar w:fldCharType="begin"/>
          </w:r>
          <w:r>
            <w:instrText xml:space="preserve"> HYPERLINK \l "_Toc6794"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_Toc6794 </w:instrText>
          </w:r>
          <w:r>
            <w:fldChar w:fldCharType="separate"/>
          </w:r>
          <w:r>
            <w:t>12</w:t>
          </w:r>
          <w:r>
            <w:fldChar w:fldCharType="end"/>
          </w:r>
          <w:r>
            <w:fldChar w:fldCharType="end"/>
          </w:r>
        </w:p>
        <w:p w14:paraId="0BBE2529">
          <w:pPr>
            <w:pStyle w:val="20"/>
            <w:tabs>
              <w:tab w:val="right" w:leader="dot" w:pos="8306"/>
              <w:tab w:val="clear" w:pos="8296"/>
            </w:tabs>
          </w:pPr>
          <w:r>
            <w:fldChar w:fldCharType="begin"/>
          </w:r>
          <w:r>
            <w:instrText xml:space="preserve"> HYPERLINK \l "_Toc14698" </w:instrText>
          </w:r>
          <w:r>
            <w:fldChar w:fldCharType="separate"/>
          </w:r>
          <w:r>
            <w:rPr>
              <w:rFonts w:hint="eastAsia" w:ascii="黑体" w:hAnsi="黑体" w:eastAsia="黑体"/>
            </w:rPr>
            <w:t>九、 国有资本经营预算支出决算情况说明</w:t>
          </w:r>
          <w:r>
            <w:tab/>
          </w:r>
          <w:r>
            <w:fldChar w:fldCharType="begin"/>
          </w:r>
          <w:r>
            <w:instrText xml:space="preserve"> PAGEREF _Toc14698 </w:instrText>
          </w:r>
          <w:r>
            <w:fldChar w:fldCharType="separate"/>
          </w:r>
          <w:r>
            <w:t>12</w:t>
          </w:r>
          <w:r>
            <w:fldChar w:fldCharType="end"/>
          </w:r>
          <w:r>
            <w:fldChar w:fldCharType="end"/>
          </w:r>
        </w:p>
        <w:p w14:paraId="18A44806">
          <w:pPr>
            <w:pStyle w:val="20"/>
            <w:tabs>
              <w:tab w:val="right" w:leader="dot" w:pos="8306"/>
              <w:tab w:val="clear" w:pos="8296"/>
            </w:tabs>
          </w:pPr>
          <w:r>
            <w:fldChar w:fldCharType="begin"/>
          </w:r>
          <w:r>
            <w:instrText xml:space="preserve"> HYPERLINK \l "_Toc24529" </w:instrText>
          </w:r>
          <w:r>
            <w:fldChar w:fldCharType="separate"/>
          </w:r>
          <w:r>
            <w:rPr>
              <w:rFonts w:hint="eastAsia" w:ascii="黑体" w:hAnsi="黑体" w:eastAsia="黑体"/>
            </w:rPr>
            <w:t>十、 其他重要事项的情况说明</w:t>
          </w:r>
          <w:r>
            <w:tab/>
          </w:r>
          <w:r>
            <w:fldChar w:fldCharType="begin"/>
          </w:r>
          <w:r>
            <w:instrText xml:space="preserve"> PAGEREF _Toc24529 </w:instrText>
          </w:r>
          <w:r>
            <w:fldChar w:fldCharType="separate"/>
          </w:r>
          <w:r>
            <w:t>12</w:t>
          </w:r>
          <w:r>
            <w:fldChar w:fldCharType="end"/>
          </w:r>
          <w:r>
            <w:fldChar w:fldCharType="end"/>
          </w:r>
        </w:p>
        <w:p w14:paraId="716BD582">
          <w:pPr>
            <w:pStyle w:val="19"/>
            <w:tabs>
              <w:tab w:val="right" w:leader="dot" w:pos="8306"/>
              <w:tab w:val="clear" w:pos="8296"/>
            </w:tabs>
            <w:rPr>
              <w:rFonts w:ascii="黑体" w:hAnsi="黑体" w:eastAsia="黑体" w:cs="黑体"/>
              <w:sz w:val="21"/>
              <w:szCs w:val="21"/>
            </w:rPr>
          </w:pPr>
          <w:r>
            <w:fldChar w:fldCharType="begin"/>
          </w:r>
          <w:r>
            <w:instrText xml:space="preserve"> HYPERLINK \l "_Toc11576" </w:instrText>
          </w:r>
          <w:r>
            <w:fldChar w:fldCharType="separate"/>
          </w:r>
          <w:r>
            <w:rPr>
              <w:rFonts w:hint="eastAsia" w:ascii="黑体" w:hAnsi="黑体" w:eastAsia="黑体" w:cs="黑体"/>
              <w:sz w:val="21"/>
              <w:szCs w:val="21"/>
            </w:rPr>
            <w:t>第三部分 名词解释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_Toc11576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0EAD96E">
          <w:pPr>
            <w:pStyle w:val="19"/>
            <w:tabs>
              <w:tab w:val="right" w:leader="dot" w:pos="8306"/>
              <w:tab w:val="clear" w:pos="8296"/>
            </w:tabs>
            <w:rPr>
              <w:rFonts w:ascii="黑体" w:hAnsi="黑体" w:eastAsia="黑体" w:cs="黑体"/>
              <w:sz w:val="21"/>
              <w:szCs w:val="21"/>
            </w:rPr>
          </w:pPr>
          <w:r>
            <w:fldChar w:fldCharType="begin"/>
          </w:r>
          <w:r>
            <w:instrText xml:space="preserve"> HYPERLINK \l "_Toc26144" </w:instrText>
          </w:r>
          <w:r>
            <w:fldChar w:fldCharType="separate"/>
          </w:r>
          <w:r>
            <w:rPr>
              <w:rFonts w:hint="eastAsia" w:ascii="黑体" w:hAnsi="黑体" w:eastAsia="黑体" w:cs="黑体"/>
              <w:bCs/>
              <w:sz w:val="21"/>
              <w:szCs w:val="21"/>
            </w:rPr>
            <w:t>第四部分附件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_Toc26144 </w:instrText>
          </w:r>
          <w:r>
            <w:rPr>
              <w:rFonts w:hint="eastAsia" w:ascii="黑体" w:hAnsi="黑体" w:eastAsia="黑体" w:cs="黑体"/>
              <w:sz w:val="21"/>
              <w:szCs w:val="21"/>
            </w:rPr>
            <w:fldChar w:fldCharType="separate"/>
          </w:r>
          <w:r>
            <w:rPr>
              <w:rFonts w:hint="eastAsia" w:ascii="黑体" w:hAnsi="黑体" w:eastAsia="黑体" w:cs="黑体"/>
              <w:sz w:val="21"/>
              <w:szCs w:val="21"/>
            </w:rPr>
            <w:t>15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5CA43EE1">
          <w:pPr>
            <w:pStyle w:val="19"/>
            <w:tabs>
              <w:tab w:val="right" w:leader="dot" w:pos="8306"/>
              <w:tab w:val="clear" w:pos="8296"/>
            </w:tabs>
          </w:pPr>
          <w:r>
            <w:fldChar w:fldCharType="begin"/>
          </w:r>
          <w:r>
            <w:instrText xml:space="preserve"> HYPERLINK \l "_Toc30520" </w:instrText>
          </w:r>
          <w:r>
            <w:fldChar w:fldCharType="separate"/>
          </w:r>
          <w:r>
            <w:rPr>
              <w:rFonts w:hint="eastAsia" w:ascii="黑体" w:hAnsi="黑体" w:eastAsia="黑体" w:cs="黑体"/>
              <w:sz w:val="21"/>
              <w:szCs w:val="21"/>
            </w:rPr>
            <w:t>第五部分附表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_Toc30520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240D297D">
          <w:pPr>
            <w:pStyle w:val="20"/>
            <w:tabs>
              <w:tab w:val="right" w:leader="dot" w:pos="8306"/>
              <w:tab w:val="clear" w:pos="8296"/>
            </w:tabs>
          </w:pPr>
          <w:r>
            <w:fldChar w:fldCharType="begin"/>
          </w:r>
          <w:r>
            <w:instrText xml:space="preserve"> HYPERLINK \l "_Toc11749" </w:instrText>
          </w:r>
          <w:r>
            <w:fldChar w:fldCharType="separate"/>
          </w:r>
          <w:r>
            <w:rPr>
              <w:rFonts w:hint="eastAsia" w:ascii="仿宋" w:hAnsi="仿宋" w:eastAsia="仿宋"/>
            </w:rPr>
            <w:t>一、收入支出决算总表</w:t>
          </w:r>
          <w:r>
            <w:tab/>
          </w:r>
          <w:r>
            <w:fldChar w:fldCharType="begin"/>
          </w:r>
          <w:r>
            <w:instrText xml:space="preserve"> PAGEREF _Toc11749 </w:instrText>
          </w:r>
          <w:r>
            <w:fldChar w:fldCharType="separate"/>
          </w:r>
          <w:r>
            <w:t>18</w:t>
          </w:r>
          <w:r>
            <w:fldChar w:fldCharType="end"/>
          </w:r>
          <w:r>
            <w:fldChar w:fldCharType="end"/>
          </w:r>
        </w:p>
        <w:p w14:paraId="27FD5B88">
          <w:pPr>
            <w:pStyle w:val="20"/>
            <w:tabs>
              <w:tab w:val="right" w:leader="dot" w:pos="8306"/>
              <w:tab w:val="clear" w:pos="8296"/>
            </w:tabs>
          </w:pPr>
          <w:r>
            <w:fldChar w:fldCharType="begin"/>
          </w:r>
          <w:r>
            <w:instrText xml:space="preserve"> HYPERLINK \l "_Toc18720" </w:instrText>
          </w:r>
          <w:r>
            <w:fldChar w:fldCharType="separate"/>
          </w:r>
          <w:r>
            <w:rPr>
              <w:rFonts w:hint="eastAsia" w:ascii="仿宋" w:hAnsi="仿宋" w:eastAsia="仿宋"/>
            </w:rPr>
            <w:t>二、收入决算表</w:t>
          </w:r>
          <w:r>
            <w:tab/>
          </w:r>
          <w:r>
            <w:fldChar w:fldCharType="begin"/>
          </w:r>
          <w:r>
            <w:instrText xml:space="preserve"> PAGEREF _Toc18720 </w:instrText>
          </w:r>
          <w:r>
            <w:fldChar w:fldCharType="separate"/>
          </w:r>
          <w:r>
            <w:t>18</w:t>
          </w:r>
          <w:r>
            <w:fldChar w:fldCharType="end"/>
          </w:r>
          <w:r>
            <w:fldChar w:fldCharType="end"/>
          </w:r>
        </w:p>
        <w:p w14:paraId="3DAD2FF2">
          <w:pPr>
            <w:pStyle w:val="20"/>
            <w:tabs>
              <w:tab w:val="right" w:leader="dot" w:pos="8306"/>
              <w:tab w:val="clear" w:pos="8296"/>
            </w:tabs>
          </w:pPr>
          <w:r>
            <w:fldChar w:fldCharType="begin"/>
          </w:r>
          <w:r>
            <w:instrText xml:space="preserve"> HYPERLINK \l "_Toc10779" </w:instrText>
          </w:r>
          <w:r>
            <w:fldChar w:fldCharType="separate"/>
          </w:r>
          <w:r>
            <w:rPr>
              <w:rFonts w:hint="eastAsia" w:ascii="仿宋" w:hAnsi="仿宋" w:eastAsia="仿宋"/>
            </w:rPr>
            <w:t>三、支出决算表</w:t>
          </w:r>
          <w:r>
            <w:tab/>
          </w:r>
          <w:r>
            <w:fldChar w:fldCharType="begin"/>
          </w:r>
          <w:r>
            <w:instrText xml:space="preserve"> PAGEREF _Toc10779 </w:instrText>
          </w:r>
          <w:r>
            <w:fldChar w:fldCharType="separate"/>
          </w:r>
          <w:r>
            <w:t>18</w:t>
          </w:r>
          <w:r>
            <w:fldChar w:fldCharType="end"/>
          </w:r>
          <w:r>
            <w:fldChar w:fldCharType="end"/>
          </w:r>
        </w:p>
        <w:p w14:paraId="381531F4">
          <w:pPr>
            <w:pStyle w:val="20"/>
            <w:tabs>
              <w:tab w:val="right" w:leader="dot" w:pos="8306"/>
              <w:tab w:val="clear" w:pos="8296"/>
            </w:tabs>
          </w:pPr>
          <w:r>
            <w:fldChar w:fldCharType="begin"/>
          </w:r>
          <w:r>
            <w:instrText xml:space="preserve"> HYPERLINK \l "_Toc24022" </w:instrText>
          </w:r>
          <w:r>
            <w:fldChar w:fldCharType="separate"/>
          </w:r>
          <w:r>
            <w:rPr>
              <w:rFonts w:hint="eastAsia" w:ascii="仿宋" w:hAnsi="仿宋" w:eastAsia="仿宋"/>
            </w:rPr>
            <w:t>四、财政拨款收入支出决算总表</w:t>
          </w:r>
          <w:r>
            <w:tab/>
          </w:r>
          <w:r>
            <w:fldChar w:fldCharType="begin"/>
          </w:r>
          <w:r>
            <w:instrText xml:space="preserve"> PAGEREF _Toc24022 </w:instrText>
          </w:r>
          <w:r>
            <w:fldChar w:fldCharType="separate"/>
          </w:r>
          <w:r>
            <w:t>18</w:t>
          </w:r>
          <w:r>
            <w:fldChar w:fldCharType="end"/>
          </w:r>
          <w:r>
            <w:fldChar w:fldCharType="end"/>
          </w:r>
        </w:p>
        <w:p w14:paraId="202A2BB8">
          <w:pPr>
            <w:pStyle w:val="20"/>
            <w:tabs>
              <w:tab w:val="right" w:leader="dot" w:pos="8306"/>
              <w:tab w:val="clear" w:pos="8296"/>
            </w:tabs>
          </w:pPr>
          <w:r>
            <w:fldChar w:fldCharType="begin"/>
          </w:r>
          <w:r>
            <w:instrText xml:space="preserve"> HYPERLINK \l "_Toc12943" </w:instrText>
          </w:r>
          <w:r>
            <w:fldChar w:fldCharType="separate"/>
          </w:r>
          <w:r>
            <w:rPr>
              <w:rFonts w:hint="eastAsia" w:ascii="仿宋" w:hAnsi="仿宋" w:eastAsia="仿宋"/>
            </w:rPr>
            <w:t>五、财政拨款支出决算明细表</w:t>
          </w:r>
          <w:r>
            <w:tab/>
          </w:r>
          <w:r>
            <w:fldChar w:fldCharType="begin"/>
          </w:r>
          <w:r>
            <w:instrText xml:space="preserve"> PAGEREF _Toc12943 </w:instrText>
          </w:r>
          <w:r>
            <w:fldChar w:fldCharType="separate"/>
          </w:r>
          <w:r>
            <w:t>18</w:t>
          </w:r>
          <w:r>
            <w:fldChar w:fldCharType="end"/>
          </w:r>
          <w:r>
            <w:fldChar w:fldCharType="end"/>
          </w:r>
        </w:p>
        <w:p w14:paraId="0CDBEFAA">
          <w:pPr>
            <w:pStyle w:val="20"/>
            <w:tabs>
              <w:tab w:val="right" w:leader="dot" w:pos="8306"/>
              <w:tab w:val="clear" w:pos="8296"/>
            </w:tabs>
          </w:pPr>
          <w:r>
            <w:fldChar w:fldCharType="begin"/>
          </w:r>
          <w:r>
            <w:instrText xml:space="preserve"> HYPERLINK \l "_Toc18643" </w:instrText>
          </w:r>
          <w:r>
            <w:fldChar w:fldCharType="separate"/>
          </w:r>
          <w:r>
            <w:rPr>
              <w:rFonts w:hint="eastAsia" w:ascii="仿宋" w:hAnsi="仿宋" w:eastAsia="仿宋"/>
            </w:rPr>
            <w:t>六、一般公共预算财政拨款支出决算表</w:t>
          </w:r>
          <w:r>
            <w:tab/>
          </w:r>
          <w:r>
            <w:fldChar w:fldCharType="begin"/>
          </w:r>
          <w:r>
            <w:instrText xml:space="preserve"> PAGEREF _Toc18643 </w:instrText>
          </w:r>
          <w:r>
            <w:fldChar w:fldCharType="separate"/>
          </w:r>
          <w:r>
            <w:t>18</w:t>
          </w:r>
          <w:r>
            <w:fldChar w:fldCharType="end"/>
          </w:r>
          <w:r>
            <w:fldChar w:fldCharType="end"/>
          </w:r>
        </w:p>
        <w:p w14:paraId="6C85FA9D">
          <w:pPr>
            <w:pStyle w:val="20"/>
            <w:tabs>
              <w:tab w:val="right" w:leader="dot" w:pos="8306"/>
              <w:tab w:val="clear" w:pos="8296"/>
            </w:tabs>
          </w:pPr>
          <w:r>
            <w:fldChar w:fldCharType="begin"/>
          </w:r>
          <w:r>
            <w:instrText xml:space="preserve"> HYPERLINK \l "_Toc23597" </w:instrText>
          </w:r>
          <w:r>
            <w:fldChar w:fldCharType="separate"/>
          </w:r>
          <w:r>
            <w:rPr>
              <w:rFonts w:hint="eastAsia" w:ascii="仿宋" w:hAnsi="仿宋" w:eastAsia="仿宋"/>
            </w:rPr>
            <w:t>七、一般公共预算财政拨款支出决算明细表</w:t>
          </w:r>
          <w:r>
            <w:tab/>
          </w:r>
          <w:r>
            <w:fldChar w:fldCharType="begin"/>
          </w:r>
          <w:r>
            <w:instrText xml:space="preserve"> PAGEREF _Toc23597 </w:instrText>
          </w:r>
          <w:r>
            <w:fldChar w:fldCharType="separate"/>
          </w:r>
          <w:r>
            <w:t>18</w:t>
          </w:r>
          <w:r>
            <w:fldChar w:fldCharType="end"/>
          </w:r>
          <w:r>
            <w:fldChar w:fldCharType="end"/>
          </w:r>
        </w:p>
        <w:p w14:paraId="6AEC392A">
          <w:pPr>
            <w:pStyle w:val="20"/>
            <w:tabs>
              <w:tab w:val="right" w:leader="dot" w:pos="8306"/>
              <w:tab w:val="clear" w:pos="8296"/>
            </w:tabs>
          </w:pPr>
          <w:r>
            <w:fldChar w:fldCharType="begin"/>
          </w:r>
          <w:r>
            <w:instrText xml:space="preserve"> HYPERLINK \l "_Toc9567" </w:instrText>
          </w:r>
          <w:r>
            <w:fldChar w:fldCharType="separate"/>
          </w:r>
          <w:r>
            <w:rPr>
              <w:rFonts w:hint="eastAsia" w:ascii="仿宋" w:hAnsi="仿宋" w:eastAsia="仿宋"/>
            </w:rPr>
            <w:t>八、一般公共预算财政拨款基本支出决算表</w:t>
          </w:r>
          <w:r>
            <w:tab/>
          </w:r>
          <w:r>
            <w:fldChar w:fldCharType="begin"/>
          </w:r>
          <w:r>
            <w:instrText xml:space="preserve"> PAGEREF _Toc9567 </w:instrText>
          </w:r>
          <w:r>
            <w:fldChar w:fldCharType="separate"/>
          </w:r>
          <w:r>
            <w:t>18</w:t>
          </w:r>
          <w:r>
            <w:fldChar w:fldCharType="end"/>
          </w:r>
          <w:r>
            <w:fldChar w:fldCharType="end"/>
          </w:r>
        </w:p>
        <w:p w14:paraId="035A0243">
          <w:pPr>
            <w:pStyle w:val="20"/>
            <w:tabs>
              <w:tab w:val="right" w:leader="dot" w:pos="8306"/>
              <w:tab w:val="clear" w:pos="8296"/>
            </w:tabs>
          </w:pPr>
          <w:r>
            <w:fldChar w:fldCharType="begin"/>
          </w:r>
          <w:r>
            <w:instrText xml:space="preserve"> HYPERLINK \l "_Toc28410" </w:instrText>
          </w:r>
          <w:r>
            <w:fldChar w:fldCharType="separate"/>
          </w:r>
          <w:r>
            <w:rPr>
              <w:rFonts w:hint="eastAsia" w:ascii="仿宋" w:hAnsi="仿宋" w:eastAsia="仿宋"/>
            </w:rPr>
            <w:t>九、一般公共预算财政拨款项目支出决算表</w:t>
          </w:r>
          <w:r>
            <w:tab/>
          </w:r>
          <w:r>
            <w:fldChar w:fldCharType="begin"/>
          </w:r>
          <w:r>
            <w:instrText xml:space="preserve"> PAGEREF _Toc28410 </w:instrText>
          </w:r>
          <w:r>
            <w:fldChar w:fldCharType="separate"/>
          </w:r>
          <w:r>
            <w:t>18</w:t>
          </w:r>
          <w:r>
            <w:fldChar w:fldCharType="end"/>
          </w:r>
          <w:r>
            <w:fldChar w:fldCharType="end"/>
          </w:r>
        </w:p>
        <w:p w14:paraId="2F157D83">
          <w:pPr>
            <w:pStyle w:val="20"/>
            <w:tabs>
              <w:tab w:val="right" w:leader="dot" w:pos="8306"/>
              <w:tab w:val="clear" w:pos="8296"/>
            </w:tabs>
          </w:pPr>
          <w:r>
            <w:fldChar w:fldCharType="begin"/>
          </w:r>
          <w:r>
            <w:instrText xml:space="preserve"> HYPERLINK \l "_Toc21952"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_Toc21952 </w:instrText>
          </w:r>
          <w:r>
            <w:fldChar w:fldCharType="separate"/>
          </w:r>
          <w:r>
            <w:t>18</w:t>
          </w:r>
          <w:r>
            <w:fldChar w:fldCharType="end"/>
          </w:r>
          <w:r>
            <w:fldChar w:fldCharType="end"/>
          </w:r>
        </w:p>
        <w:p w14:paraId="667CD4C4">
          <w:pPr>
            <w:pStyle w:val="20"/>
            <w:tabs>
              <w:tab w:val="right" w:leader="dot" w:pos="8306"/>
              <w:tab w:val="clear" w:pos="8296"/>
            </w:tabs>
          </w:pPr>
          <w:r>
            <w:fldChar w:fldCharType="begin"/>
          </w:r>
          <w:r>
            <w:instrText xml:space="preserve"> HYPERLINK \l "_Toc32025"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_Toc32025 </w:instrText>
          </w:r>
          <w:r>
            <w:fldChar w:fldCharType="separate"/>
          </w:r>
          <w:r>
            <w:t>18</w:t>
          </w:r>
          <w:r>
            <w:fldChar w:fldCharType="end"/>
          </w:r>
          <w:r>
            <w:fldChar w:fldCharType="end"/>
          </w:r>
        </w:p>
        <w:p w14:paraId="5DFB5CA9">
          <w:pPr>
            <w:pStyle w:val="20"/>
            <w:tabs>
              <w:tab w:val="right" w:leader="dot" w:pos="8306"/>
              <w:tab w:val="clear" w:pos="8296"/>
            </w:tabs>
          </w:pPr>
          <w:r>
            <w:fldChar w:fldCharType="begin"/>
          </w:r>
          <w:r>
            <w:instrText xml:space="preserve"> HYPERLINK \l "_Toc16573"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_Toc16573 </w:instrText>
          </w:r>
          <w:r>
            <w:fldChar w:fldCharType="separate"/>
          </w:r>
          <w:r>
            <w:t>18</w:t>
          </w:r>
          <w:r>
            <w:fldChar w:fldCharType="end"/>
          </w:r>
          <w:r>
            <w:fldChar w:fldCharType="end"/>
          </w:r>
        </w:p>
        <w:p w14:paraId="0F1EAA19">
          <w:pPr>
            <w:pStyle w:val="20"/>
            <w:tabs>
              <w:tab w:val="right" w:leader="dot" w:pos="8306"/>
              <w:tab w:val="clear" w:pos="8296"/>
            </w:tabs>
          </w:pPr>
          <w:r>
            <w:fldChar w:fldCharType="begin"/>
          </w:r>
          <w:r>
            <w:instrText xml:space="preserve"> HYPERLINK \l "_Toc8889"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_Toc8889 </w:instrText>
          </w:r>
          <w:r>
            <w:fldChar w:fldCharType="separate"/>
          </w:r>
          <w:r>
            <w:t>18</w:t>
          </w:r>
          <w:r>
            <w:fldChar w:fldCharType="end"/>
          </w:r>
          <w:r>
            <w:fldChar w:fldCharType="end"/>
          </w:r>
        </w:p>
        <w:p w14:paraId="2670275F">
          <w:pPr>
            <w:pStyle w:val="20"/>
            <w:tabs>
              <w:tab w:val="right" w:leader="dot" w:pos="8306"/>
              <w:tab w:val="clear" w:pos="8296"/>
            </w:tabs>
          </w:pPr>
          <w:r>
            <w:fldChar w:fldCharType="begin"/>
          </w:r>
          <w:r>
            <w:instrText xml:space="preserve"> HYPERLINK \l "_Toc10304"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_Toc10304 </w:instrText>
          </w:r>
          <w:r>
            <w:fldChar w:fldCharType="separate"/>
          </w:r>
          <w:r>
            <w:t>18</w:t>
          </w:r>
          <w:r>
            <w:fldChar w:fldCharType="end"/>
          </w:r>
          <w:r>
            <w:fldChar w:fldCharType="end"/>
          </w:r>
        </w:p>
        <w:p w14:paraId="37A33A62">
          <w:r>
            <w:fldChar w:fldCharType="end"/>
          </w:r>
        </w:p>
      </w:sdtContent>
    </w:sdt>
    <w:p w14:paraId="0C039766">
      <w:pPr>
        <w:pStyle w:val="13"/>
        <w:jc w:val="center"/>
        <w:rPr>
          <w:rFonts w:ascii="黑体" w:hAnsi="黑体" w:eastAsia="黑体"/>
          <w:b w:val="0"/>
        </w:rPr>
      </w:pPr>
      <w:bookmarkStart w:id="19" w:name="_Toc24511"/>
    </w:p>
    <w:p w14:paraId="00D3D6B6">
      <w:pPr>
        <w:pStyle w:val="13"/>
        <w:jc w:val="center"/>
        <w:rPr>
          <w:rStyle w:val="30"/>
          <w:rFonts w:ascii="黑体" w:hAnsi="黑体" w:eastAsia="黑体"/>
          <w:b/>
          <w:bCs w:val="0"/>
        </w:rPr>
      </w:pPr>
      <w:bookmarkStart w:id="20" w:name="_Toc15412"/>
      <w:r>
        <w:rPr>
          <w:rFonts w:hint="eastAsia" w:ascii="黑体" w:hAnsi="黑体" w:eastAsia="黑体"/>
          <w:b w:val="0"/>
        </w:rPr>
        <w:t>第一部分单位</w:t>
      </w:r>
      <w:r>
        <w:rPr>
          <w:rStyle w:val="30"/>
          <w:rFonts w:hint="eastAsia" w:ascii="黑体" w:hAnsi="黑体" w:eastAsia="黑体"/>
          <w:b w:val="0"/>
          <w:bCs w:val="0"/>
        </w:rPr>
        <w:t>概况</w:t>
      </w:r>
      <w:bookmarkEnd w:id="18"/>
      <w:bookmarkEnd w:id="19"/>
      <w:bookmarkEnd w:id="20"/>
    </w:p>
    <w:p w14:paraId="59E0AF80">
      <w:pPr>
        <w:widowControl/>
        <w:jc w:val="left"/>
        <w:rPr>
          <w:rFonts w:ascii="黑体" w:eastAsia="黑体"/>
          <w:sz w:val="32"/>
          <w:szCs w:val="32"/>
        </w:rPr>
      </w:pPr>
    </w:p>
    <w:p w14:paraId="1BB9A1DD">
      <w:pPr>
        <w:pStyle w:val="14"/>
        <w:spacing w:before="0" w:after="0" w:line="560" w:lineRule="exact"/>
        <w:ind w:firstLine="640" w:firstLineChars="200"/>
      </w:pPr>
      <w:bookmarkStart w:id="21" w:name="_Toc13072"/>
      <w:bookmarkStart w:id="22" w:name="_Toc2956"/>
      <w:bookmarkStart w:id="23" w:name="_Toc15377197"/>
      <w:bookmarkStart w:id="24" w:name="_Toc15396600"/>
      <w:r>
        <w:rPr>
          <w:rStyle w:val="31"/>
          <w:rFonts w:hint="eastAsia" w:ascii="黑体" w:hAnsi="黑体" w:eastAsia="黑体"/>
          <w:b w:val="0"/>
          <w:bCs w:val="0"/>
        </w:rPr>
        <w:t>一、职能简介</w:t>
      </w:r>
      <w:bookmarkEnd w:id="21"/>
      <w:bookmarkEnd w:id="22"/>
    </w:p>
    <w:p w14:paraId="3B834A7E">
      <w:pPr>
        <w:spacing w:line="560" w:lineRule="exact"/>
        <w:ind w:firstLine="640" w:firstLineChars="200"/>
        <w:outlineLvl w:val="1"/>
        <w:rPr>
          <w:rFonts w:ascii="仿宋" w:hAnsi="仿宋" w:eastAsia="仿宋"/>
          <w:sz w:val="32"/>
          <w:szCs w:val="32"/>
        </w:rPr>
      </w:pPr>
      <w:bookmarkStart w:id="25" w:name="_Toc7124"/>
      <w:bookmarkStart w:id="26" w:name="_Toc25038"/>
      <w:r>
        <w:rPr>
          <w:rFonts w:hint="eastAsia" w:ascii="仿宋" w:hAnsi="仿宋" w:eastAsia="仿宋"/>
          <w:sz w:val="32"/>
          <w:szCs w:val="32"/>
        </w:rPr>
        <w:t>通江县民胜初级中学是一所农村寄宿制初级中学，贯彻落实党和国家的教育方针、政策，严格执行上级主管部门的决议和指示，全面实施素质教育，培养德、智、体、美等方面全面发展的社会主义事业的建设者和接班人，做到为党育人，为国育才。</w:t>
      </w:r>
      <w:bookmarkEnd w:id="25"/>
      <w:bookmarkEnd w:id="26"/>
    </w:p>
    <w:p w14:paraId="36CD87E2">
      <w:pPr>
        <w:spacing w:line="560" w:lineRule="exact"/>
        <w:ind w:firstLine="640" w:firstLineChars="200"/>
        <w:outlineLvl w:val="1"/>
        <w:rPr>
          <w:rFonts w:ascii="仿宋" w:hAnsi="仿宋" w:eastAsia="仿宋"/>
          <w:sz w:val="32"/>
          <w:szCs w:val="32"/>
        </w:rPr>
      </w:pPr>
      <w:bookmarkStart w:id="27" w:name="_Toc14801"/>
      <w:bookmarkStart w:id="28" w:name="_Toc23267"/>
      <w:r>
        <w:rPr>
          <w:rFonts w:hint="eastAsia" w:ascii="仿宋" w:hAnsi="仿宋" w:eastAsia="仿宋"/>
          <w:sz w:val="32"/>
          <w:szCs w:val="32"/>
        </w:rPr>
        <w:t>（一）研究拟定学校教育发展规划，贯彻执行党和国家的教育方针、政策。</w:t>
      </w:r>
      <w:bookmarkEnd w:id="27"/>
      <w:bookmarkEnd w:id="28"/>
    </w:p>
    <w:p w14:paraId="05E2C737">
      <w:pPr>
        <w:spacing w:line="560" w:lineRule="exact"/>
        <w:ind w:firstLine="640" w:firstLineChars="200"/>
        <w:outlineLvl w:val="1"/>
        <w:rPr>
          <w:rFonts w:ascii="仿宋" w:hAnsi="仿宋" w:eastAsia="仿宋"/>
          <w:sz w:val="32"/>
          <w:szCs w:val="32"/>
        </w:rPr>
      </w:pPr>
      <w:bookmarkStart w:id="29" w:name="_Toc3380"/>
      <w:bookmarkStart w:id="30" w:name="_Toc27272"/>
      <w:r>
        <w:rPr>
          <w:rFonts w:hint="eastAsia" w:ascii="仿宋" w:hAnsi="仿宋" w:eastAsia="仿宋"/>
          <w:sz w:val="32"/>
          <w:szCs w:val="32"/>
        </w:rPr>
        <w:t>（二）研究拟定学校年度教学计划，组织实施教育教学活动。</w:t>
      </w:r>
      <w:bookmarkEnd w:id="29"/>
      <w:bookmarkEnd w:id="30"/>
    </w:p>
    <w:p w14:paraId="680141D9">
      <w:pPr>
        <w:spacing w:line="560" w:lineRule="exact"/>
        <w:ind w:firstLine="640" w:firstLineChars="200"/>
        <w:outlineLvl w:val="1"/>
        <w:rPr>
          <w:rFonts w:ascii="仿宋" w:hAnsi="仿宋" w:eastAsia="仿宋"/>
          <w:sz w:val="32"/>
          <w:szCs w:val="32"/>
        </w:rPr>
      </w:pPr>
      <w:bookmarkStart w:id="31" w:name="_Toc15826"/>
      <w:bookmarkStart w:id="32" w:name="_Toc10805"/>
      <w:r>
        <w:rPr>
          <w:rFonts w:hint="eastAsia" w:ascii="仿宋" w:hAnsi="仿宋" w:eastAsia="仿宋"/>
          <w:sz w:val="32"/>
          <w:szCs w:val="32"/>
        </w:rPr>
        <w:t>（三）管理和指导学校教育教学工作，确保普及九年义务教育工作成果。</w:t>
      </w:r>
      <w:bookmarkEnd w:id="31"/>
      <w:bookmarkEnd w:id="32"/>
    </w:p>
    <w:p w14:paraId="13481CDE">
      <w:pPr>
        <w:spacing w:line="560" w:lineRule="exact"/>
        <w:ind w:firstLine="640" w:firstLineChars="200"/>
        <w:outlineLvl w:val="1"/>
        <w:rPr>
          <w:rFonts w:ascii="仿宋" w:hAnsi="仿宋" w:eastAsia="仿宋"/>
          <w:sz w:val="32"/>
          <w:szCs w:val="32"/>
        </w:rPr>
      </w:pPr>
      <w:bookmarkStart w:id="33" w:name="_Toc28671"/>
      <w:bookmarkStart w:id="34" w:name="_Toc9366"/>
      <w:r>
        <w:rPr>
          <w:rFonts w:hint="eastAsia" w:ascii="仿宋" w:hAnsi="仿宋" w:eastAsia="仿宋"/>
          <w:sz w:val="32"/>
          <w:szCs w:val="32"/>
        </w:rPr>
        <w:t>（四）管理学校教育经费，严格执行财务管理制度，保障学校教育教学活动正常开展。</w:t>
      </w:r>
      <w:bookmarkEnd w:id="33"/>
      <w:bookmarkEnd w:id="34"/>
    </w:p>
    <w:p w14:paraId="50882DDD">
      <w:pPr>
        <w:spacing w:line="560" w:lineRule="exact"/>
        <w:ind w:firstLine="640" w:firstLineChars="200"/>
        <w:outlineLvl w:val="1"/>
        <w:rPr>
          <w:rFonts w:ascii="仿宋" w:hAnsi="仿宋" w:eastAsia="仿宋"/>
          <w:sz w:val="32"/>
          <w:szCs w:val="32"/>
        </w:rPr>
      </w:pPr>
      <w:bookmarkStart w:id="35" w:name="_Toc23445"/>
      <w:bookmarkStart w:id="36" w:name="_Toc24107"/>
      <w:r>
        <w:rPr>
          <w:rFonts w:hint="eastAsia" w:ascii="仿宋" w:hAnsi="仿宋" w:eastAsia="仿宋"/>
          <w:sz w:val="32"/>
          <w:szCs w:val="32"/>
        </w:rPr>
        <w:t>（五）负责和指导学校教职工的思想政治工作，规划学校思想品德教育、体育卫生教育、安全教育、艺术教育和国防教育工作；负责做好社会治安综合治理及安全保卫工作。</w:t>
      </w:r>
      <w:bookmarkEnd w:id="35"/>
      <w:bookmarkEnd w:id="36"/>
    </w:p>
    <w:p w14:paraId="1354607D">
      <w:pPr>
        <w:spacing w:line="560" w:lineRule="exact"/>
        <w:ind w:firstLine="640" w:firstLineChars="200"/>
        <w:outlineLvl w:val="1"/>
        <w:rPr>
          <w:rFonts w:ascii="仿宋" w:hAnsi="仿宋" w:eastAsia="仿宋"/>
          <w:sz w:val="32"/>
          <w:szCs w:val="32"/>
        </w:rPr>
      </w:pPr>
      <w:bookmarkStart w:id="37" w:name="_Toc3367"/>
      <w:bookmarkStart w:id="38" w:name="_Toc21306"/>
      <w:r>
        <w:rPr>
          <w:rFonts w:hint="eastAsia" w:ascii="仿宋" w:hAnsi="仿宋" w:eastAsia="仿宋"/>
          <w:sz w:val="32"/>
          <w:szCs w:val="32"/>
        </w:rPr>
        <w:t>（六）完成初中学历教育。</w:t>
      </w:r>
      <w:bookmarkEnd w:id="37"/>
      <w:bookmarkEnd w:id="38"/>
    </w:p>
    <w:p w14:paraId="27064FC9">
      <w:pPr>
        <w:pStyle w:val="14"/>
        <w:spacing w:before="0" w:after="0" w:line="560" w:lineRule="exact"/>
        <w:ind w:firstLine="640" w:firstLineChars="200"/>
        <w:rPr>
          <w:rFonts w:ascii="黑体" w:hAnsi="黑体" w:eastAsia="黑体"/>
          <w:b w:val="0"/>
        </w:rPr>
      </w:pPr>
      <w:bookmarkStart w:id="39" w:name="_Toc31431"/>
      <w:bookmarkStart w:id="40" w:name="_Toc27510"/>
      <w:r>
        <w:rPr>
          <w:rFonts w:hint="eastAsia" w:ascii="黑体" w:hAnsi="黑体" w:eastAsia="黑体"/>
          <w:b w:val="0"/>
        </w:rPr>
        <w:t>二、2021年重点工作</w:t>
      </w:r>
      <w:bookmarkEnd w:id="23"/>
      <w:bookmarkEnd w:id="24"/>
      <w:r>
        <w:rPr>
          <w:rFonts w:hint="eastAsia" w:ascii="黑体" w:hAnsi="黑体" w:eastAsia="黑体"/>
          <w:b w:val="0"/>
        </w:rPr>
        <w:t>完成情况</w:t>
      </w:r>
      <w:bookmarkEnd w:id="39"/>
      <w:bookmarkEnd w:id="40"/>
    </w:p>
    <w:p w14:paraId="382FAA96">
      <w:pPr>
        <w:spacing w:line="560" w:lineRule="exact"/>
        <w:ind w:firstLine="640" w:firstLineChars="200"/>
        <w:outlineLvl w:val="1"/>
        <w:rPr>
          <w:rFonts w:ascii="仿宋" w:hAnsi="仿宋" w:eastAsia="仿宋"/>
          <w:sz w:val="32"/>
          <w:szCs w:val="32"/>
        </w:rPr>
      </w:pPr>
      <w:bookmarkStart w:id="41" w:name="_Toc21349"/>
      <w:bookmarkStart w:id="42" w:name="_Toc24485"/>
      <w:r>
        <w:rPr>
          <w:rFonts w:hint="eastAsia" w:ascii="仿宋" w:hAnsi="仿宋" w:eastAsia="仿宋"/>
          <w:sz w:val="32"/>
          <w:szCs w:val="32"/>
        </w:rPr>
        <w:t>（一）完成本年度义务教育规定的教育教学目标计划。</w:t>
      </w:r>
      <w:bookmarkEnd w:id="41"/>
      <w:bookmarkEnd w:id="42"/>
    </w:p>
    <w:p w14:paraId="17B00ACC">
      <w:pPr>
        <w:spacing w:line="560" w:lineRule="exact"/>
        <w:ind w:firstLine="640" w:firstLineChars="200"/>
        <w:outlineLvl w:val="1"/>
        <w:rPr>
          <w:rFonts w:ascii="仿宋" w:hAnsi="仿宋" w:eastAsia="仿宋"/>
          <w:sz w:val="32"/>
          <w:szCs w:val="32"/>
        </w:rPr>
      </w:pPr>
      <w:bookmarkStart w:id="43" w:name="_Toc16178"/>
      <w:bookmarkStart w:id="44" w:name="_Toc3941"/>
      <w:r>
        <w:rPr>
          <w:rFonts w:hint="eastAsia" w:ascii="仿宋" w:hAnsi="仿宋" w:eastAsia="仿宋"/>
          <w:sz w:val="32"/>
          <w:szCs w:val="32"/>
        </w:rPr>
        <w:t>（二）争取校舍维修资金8万元，维修改造学校化粪池。</w:t>
      </w:r>
      <w:bookmarkEnd w:id="43"/>
      <w:bookmarkEnd w:id="44"/>
    </w:p>
    <w:p w14:paraId="579AE077">
      <w:pPr>
        <w:spacing w:line="560" w:lineRule="exact"/>
        <w:ind w:firstLine="640" w:firstLineChars="200"/>
        <w:outlineLvl w:val="1"/>
        <w:rPr>
          <w:rFonts w:ascii="仿宋" w:hAnsi="仿宋" w:eastAsia="仿宋"/>
          <w:sz w:val="32"/>
          <w:szCs w:val="32"/>
        </w:rPr>
      </w:pPr>
      <w:bookmarkStart w:id="45" w:name="_Toc21064"/>
      <w:bookmarkStart w:id="46" w:name="_Toc19571"/>
      <w:r>
        <w:rPr>
          <w:rFonts w:hint="eastAsia" w:ascii="仿宋" w:hAnsi="仿宋" w:eastAsia="仿宋"/>
          <w:sz w:val="32"/>
          <w:szCs w:val="32"/>
        </w:rPr>
        <w:t>（三）开展春季、冬季运动会2次。</w:t>
      </w:r>
      <w:bookmarkEnd w:id="45"/>
      <w:bookmarkEnd w:id="46"/>
    </w:p>
    <w:p w14:paraId="6BA22373">
      <w:pPr>
        <w:spacing w:line="560" w:lineRule="exact"/>
        <w:ind w:firstLine="640" w:firstLineChars="200"/>
        <w:outlineLvl w:val="1"/>
        <w:rPr>
          <w:rFonts w:ascii="仿宋" w:hAnsi="仿宋" w:eastAsia="仿宋"/>
          <w:sz w:val="32"/>
          <w:szCs w:val="32"/>
        </w:rPr>
      </w:pPr>
      <w:bookmarkStart w:id="47" w:name="_Toc2981"/>
      <w:bookmarkStart w:id="48" w:name="_Toc16488"/>
      <w:r>
        <w:rPr>
          <w:rFonts w:hint="eastAsia" w:ascii="仿宋" w:hAnsi="仿宋" w:eastAsia="仿宋"/>
          <w:sz w:val="32"/>
          <w:szCs w:val="32"/>
        </w:rPr>
        <w:t>（四）开展12.9爱国主义歌咏会1次。</w:t>
      </w:r>
      <w:bookmarkEnd w:id="47"/>
      <w:bookmarkEnd w:id="48"/>
    </w:p>
    <w:p w14:paraId="4636D409">
      <w:pPr>
        <w:spacing w:line="560" w:lineRule="exact"/>
        <w:ind w:firstLine="640" w:firstLineChars="200"/>
        <w:outlineLvl w:val="1"/>
        <w:rPr>
          <w:rFonts w:ascii="仿宋" w:hAnsi="仿宋" w:eastAsia="仿宋"/>
          <w:sz w:val="32"/>
          <w:szCs w:val="32"/>
        </w:rPr>
      </w:pPr>
      <w:bookmarkStart w:id="49" w:name="_Toc12333"/>
      <w:bookmarkStart w:id="50" w:name="_Toc10317"/>
      <w:r>
        <w:rPr>
          <w:rFonts w:hint="eastAsia" w:ascii="仿宋" w:hAnsi="仿宋" w:eastAsia="仿宋"/>
          <w:sz w:val="32"/>
          <w:szCs w:val="32"/>
        </w:rPr>
        <w:t>（五）开展教师演讲比赛2次。</w:t>
      </w:r>
      <w:bookmarkEnd w:id="49"/>
      <w:bookmarkEnd w:id="50"/>
    </w:p>
    <w:p w14:paraId="40712E6B">
      <w:pPr>
        <w:spacing w:line="560" w:lineRule="exact"/>
        <w:ind w:firstLine="640" w:firstLineChars="200"/>
        <w:outlineLvl w:val="1"/>
        <w:rPr>
          <w:rFonts w:ascii="仿宋" w:hAnsi="仿宋" w:eastAsia="仿宋"/>
          <w:sz w:val="32"/>
          <w:szCs w:val="32"/>
        </w:rPr>
      </w:pPr>
      <w:bookmarkStart w:id="51" w:name="_Toc8318"/>
      <w:bookmarkStart w:id="52" w:name="_Toc3242"/>
      <w:r>
        <w:rPr>
          <w:rFonts w:hint="eastAsia" w:ascii="仿宋" w:hAnsi="仿宋" w:eastAsia="仿宋"/>
          <w:sz w:val="32"/>
          <w:szCs w:val="32"/>
        </w:rPr>
        <w:t>（六）开展青年教师师徒结对帮扶计划，促进青年教师成长。</w:t>
      </w:r>
      <w:bookmarkEnd w:id="51"/>
      <w:bookmarkEnd w:id="52"/>
    </w:p>
    <w:p w14:paraId="510E8DD8">
      <w:pPr>
        <w:pStyle w:val="13"/>
        <w:ind w:right="440"/>
        <w:jc w:val="center"/>
        <w:rPr>
          <w:rStyle w:val="30"/>
          <w:rFonts w:ascii="黑体" w:hAnsi="黑体" w:eastAsia="黑体"/>
          <w:b w:val="0"/>
          <w:bCs/>
        </w:rPr>
      </w:pPr>
      <w:bookmarkStart w:id="53" w:name="_Toc30394"/>
      <w:bookmarkStart w:id="54" w:name="_Toc15396602"/>
      <w:bookmarkStart w:id="55" w:name="_Toc15377204"/>
      <w:bookmarkStart w:id="56" w:name="_Toc9507"/>
      <w:r>
        <w:rPr>
          <w:rFonts w:hint="eastAsia" w:ascii="黑体" w:hAnsi="黑体" w:eastAsia="黑体"/>
          <w:b w:val="0"/>
        </w:rPr>
        <w:t>第二部分2021年度</w:t>
      </w:r>
      <w:r>
        <w:rPr>
          <w:rStyle w:val="30"/>
          <w:rFonts w:hint="eastAsia" w:ascii="黑体" w:hAnsi="黑体" w:eastAsia="黑体"/>
          <w:b w:val="0"/>
          <w:bCs/>
        </w:rPr>
        <w:t>单位决算情况说明</w:t>
      </w:r>
      <w:bookmarkEnd w:id="53"/>
      <w:bookmarkEnd w:id="54"/>
      <w:bookmarkEnd w:id="55"/>
      <w:bookmarkEnd w:id="56"/>
    </w:p>
    <w:p w14:paraId="3664828B"/>
    <w:p w14:paraId="48F0D7A0">
      <w:pPr>
        <w:pStyle w:val="29"/>
        <w:numPr>
          <w:ilvl w:val="0"/>
          <w:numId w:val="1"/>
        </w:numPr>
        <w:spacing w:line="600" w:lineRule="exact"/>
        <w:ind w:firstLineChars="0"/>
        <w:outlineLvl w:val="1"/>
        <w:rPr>
          <w:rStyle w:val="31"/>
          <w:rFonts w:ascii="黑体" w:hAnsi="黑体" w:eastAsia="黑体"/>
          <w:b w:val="0"/>
        </w:rPr>
      </w:pPr>
      <w:bookmarkStart w:id="57" w:name="_Toc15396603"/>
      <w:bookmarkStart w:id="58" w:name="_Toc15377205"/>
      <w:bookmarkStart w:id="59" w:name="_Toc3151"/>
      <w:bookmarkStart w:id="60" w:name="_Toc27993"/>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57"/>
      <w:bookmarkEnd w:id="58"/>
      <w:bookmarkEnd w:id="59"/>
      <w:bookmarkEnd w:id="60"/>
    </w:p>
    <w:p w14:paraId="5A8CF9C1">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2021年度收、支总计1137.48万元。与2020年相比，收、支总计各减少5.62万元，减少0.49</w:t>
      </w:r>
      <w:r>
        <w:rPr>
          <w:rFonts w:ascii="仿宋" w:hAnsi="仿宋" w:eastAsia="仿宋"/>
          <w:sz w:val="32"/>
          <w:szCs w:val="32"/>
        </w:rPr>
        <w:t>%</w:t>
      </w:r>
      <w:r>
        <w:rPr>
          <w:rFonts w:hint="eastAsia" w:ascii="仿宋" w:hAnsi="仿宋" w:eastAsia="仿宋"/>
          <w:sz w:val="32"/>
          <w:szCs w:val="32"/>
        </w:rPr>
        <w:t>。主要变动原因是校舍维修项目资金减少。</w:t>
      </w:r>
    </w:p>
    <w:p w14:paraId="1A20FBB3">
      <w:pPr>
        <w:pStyle w:val="29"/>
        <w:numPr>
          <w:ilvl w:val="0"/>
          <w:numId w:val="1"/>
        </w:numPr>
        <w:spacing w:line="600" w:lineRule="exact"/>
        <w:ind w:firstLineChars="0"/>
        <w:outlineLvl w:val="1"/>
        <w:rPr>
          <w:rStyle w:val="31"/>
          <w:rFonts w:ascii="黑体" w:hAnsi="黑体" w:eastAsia="黑体"/>
          <w:b w:val="0"/>
        </w:rPr>
      </w:pPr>
      <w:bookmarkStart w:id="61" w:name="_Toc19849"/>
      <w:bookmarkStart w:id="62" w:name="_Toc17577"/>
      <w:bookmarkStart w:id="63" w:name="_Toc15396604"/>
      <w:bookmarkStart w:id="64" w:name="_Toc15377206"/>
      <w:r>
        <w:rPr>
          <w:rFonts w:hint="eastAsia" w:ascii="黑体" w:hAnsi="黑体" w:eastAsia="黑体"/>
          <w:sz w:val="32"/>
          <w:szCs w:val="32"/>
        </w:rPr>
        <w:t>收</w:t>
      </w:r>
      <w:r>
        <w:rPr>
          <w:rStyle w:val="31"/>
          <w:rFonts w:hint="eastAsia" w:ascii="黑体" w:hAnsi="黑体" w:eastAsia="黑体"/>
          <w:b w:val="0"/>
        </w:rPr>
        <w:t>入决算情况说明</w:t>
      </w:r>
      <w:bookmarkEnd w:id="61"/>
      <w:bookmarkEnd w:id="62"/>
      <w:bookmarkEnd w:id="63"/>
      <w:bookmarkEnd w:id="64"/>
    </w:p>
    <w:p w14:paraId="7E64CC5A">
      <w:pPr>
        <w:spacing w:line="600" w:lineRule="exact"/>
        <w:ind w:firstLine="640" w:firstLineChars="200"/>
        <w:outlineLvl w:val="1"/>
        <w:rPr>
          <w:rFonts w:ascii="仿宋" w:hAnsi="仿宋" w:eastAsia="仿宋"/>
          <w:sz w:val="32"/>
          <w:szCs w:val="32"/>
        </w:rPr>
      </w:pPr>
      <w:bookmarkStart w:id="65" w:name="_Toc10880"/>
      <w:bookmarkStart w:id="66" w:name="_Toc31094"/>
      <w:r>
        <w:rPr>
          <w:rFonts w:ascii="仿宋" w:hAnsi="仿宋" w:eastAsia="仿宋"/>
          <w:sz w:val="32"/>
          <w:szCs w:val="32"/>
        </w:rPr>
        <w:t>20</w:t>
      </w:r>
      <w:r>
        <w:rPr>
          <w:rFonts w:hint="eastAsia" w:ascii="仿宋" w:hAnsi="仿宋" w:eastAsia="仿宋"/>
          <w:sz w:val="32"/>
          <w:szCs w:val="32"/>
        </w:rPr>
        <w:t>21年本年收入合计1137.48万元，其中：一般公共预算财政拨款收入1137.48万元，占100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65"/>
      <w:bookmarkEnd w:id="66"/>
    </w:p>
    <w:p w14:paraId="7C00A016">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327650" cy="3133725"/>
            <wp:effectExtent l="4445" t="4445" r="20955" b="5080"/>
            <wp:docPr id="801" name="_x0000_i29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0A74E3">
      <w:pPr>
        <w:spacing w:line="600" w:lineRule="exact"/>
        <w:ind w:firstLine="640" w:firstLineChars="200"/>
        <w:rPr>
          <w:rFonts w:ascii="仿宋" w:hAnsi="仿宋" w:eastAsia="仿宋"/>
          <w:sz w:val="32"/>
          <w:szCs w:val="32"/>
        </w:rPr>
      </w:pPr>
      <w:r>
        <w:rPr>
          <w:rFonts w:hint="eastAsia" w:ascii="仿宋" w:hAnsi="仿宋" w:eastAsia="仿宋"/>
          <w:sz w:val="32"/>
          <w:szCs w:val="32"/>
        </w:rPr>
        <w:t>（收入决算结构图）</w:t>
      </w:r>
    </w:p>
    <w:p w14:paraId="0F32FCEA">
      <w:pPr>
        <w:pStyle w:val="29"/>
        <w:numPr>
          <w:ilvl w:val="0"/>
          <w:numId w:val="1"/>
        </w:numPr>
        <w:spacing w:line="600" w:lineRule="exact"/>
        <w:ind w:firstLineChars="0"/>
        <w:outlineLvl w:val="1"/>
        <w:rPr>
          <w:rStyle w:val="31"/>
          <w:rFonts w:ascii="黑体" w:hAnsi="黑体" w:eastAsia="黑体"/>
          <w:b w:val="0"/>
        </w:rPr>
      </w:pPr>
      <w:bookmarkStart w:id="67" w:name="_Toc27496"/>
      <w:bookmarkStart w:id="68" w:name="_Toc15377207"/>
      <w:bookmarkStart w:id="69" w:name="_Toc7608"/>
      <w:bookmarkStart w:id="70" w:name="_Toc15396605"/>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67"/>
      <w:bookmarkEnd w:id="68"/>
      <w:bookmarkEnd w:id="69"/>
      <w:bookmarkEnd w:id="70"/>
    </w:p>
    <w:p w14:paraId="321D4552">
      <w:pPr>
        <w:spacing w:line="600" w:lineRule="exact"/>
        <w:ind w:firstLine="640" w:firstLineChars="200"/>
        <w:outlineLvl w:val="1"/>
        <w:rPr>
          <w:rFonts w:ascii="仿宋" w:hAnsi="仿宋" w:eastAsia="仿宋"/>
          <w:sz w:val="32"/>
          <w:szCs w:val="32"/>
        </w:rPr>
      </w:pPr>
      <w:bookmarkStart w:id="71" w:name="_Toc25303"/>
      <w:bookmarkStart w:id="72" w:name="_Toc8580"/>
      <w:r>
        <w:rPr>
          <w:rFonts w:ascii="仿宋" w:hAnsi="仿宋" w:eastAsia="仿宋"/>
          <w:sz w:val="32"/>
          <w:szCs w:val="32"/>
        </w:rPr>
        <w:t>20</w:t>
      </w:r>
      <w:r>
        <w:rPr>
          <w:rFonts w:hint="eastAsia" w:ascii="仿宋" w:hAnsi="仿宋" w:eastAsia="仿宋"/>
          <w:sz w:val="32"/>
          <w:szCs w:val="32"/>
        </w:rPr>
        <w:t>21年本年支出合计1137.48万元，其中：基本支出1060.8万元，占93.25</w:t>
      </w:r>
      <w:r>
        <w:rPr>
          <w:rFonts w:ascii="仿宋" w:hAnsi="仿宋" w:eastAsia="仿宋"/>
          <w:sz w:val="32"/>
          <w:szCs w:val="32"/>
        </w:rPr>
        <w:t>%</w:t>
      </w:r>
      <w:r>
        <w:rPr>
          <w:rFonts w:hint="eastAsia" w:ascii="仿宋" w:hAnsi="仿宋" w:eastAsia="仿宋"/>
          <w:sz w:val="32"/>
          <w:szCs w:val="32"/>
        </w:rPr>
        <w:t>；项目支出76.67万元，占6.75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71"/>
      <w:bookmarkEnd w:id="72"/>
    </w:p>
    <w:p w14:paraId="27F929FD">
      <w:pPr>
        <w:spacing w:line="600" w:lineRule="exact"/>
        <w:ind w:firstLine="640"/>
        <w:rPr>
          <w:rFonts w:ascii="仿宋" w:hAnsi="仿宋" w:eastAsia="仿宋"/>
          <w:sz w:val="32"/>
          <w:szCs w:val="32"/>
          <w:shd w:val="pct10" w:color="auto" w:fill="FFFFFF"/>
        </w:rPr>
      </w:pPr>
    </w:p>
    <w:p w14:paraId="1CCCA887">
      <w:pPr>
        <w:pStyle w:val="3"/>
        <w:spacing w:before="93"/>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5327650" cy="3133725"/>
            <wp:effectExtent l="4445" t="4445" r="20955" b="5080"/>
            <wp:docPr id="802" name="_x0000_i29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69FFCF">
      <w:pPr>
        <w:spacing w:line="600" w:lineRule="exact"/>
        <w:ind w:firstLine="640" w:firstLineChars="200"/>
        <w:rPr>
          <w:rFonts w:ascii="仿宋_GB2312" w:eastAsia="仿宋_GB2312"/>
          <w:sz w:val="32"/>
          <w:szCs w:val="32"/>
        </w:rPr>
      </w:pPr>
      <w:r>
        <w:rPr>
          <w:rFonts w:hint="eastAsia" w:ascii="仿宋" w:hAnsi="仿宋" w:eastAsia="仿宋"/>
          <w:sz w:val="32"/>
          <w:szCs w:val="32"/>
        </w:rPr>
        <w:t>（支出决算结构图）</w:t>
      </w:r>
    </w:p>
    <w:p w14:paraId="67878DF3">
      <w:pPr>
        <w:spacing w:line="600" w:lineRule="exact"/>
        <w:ind w:firstLine="640" w:firstLineChars="200"/>
        <w:outlineLvl w:val="1"/>
        <w:rPr>
          <w:rStyle w:val="31"/>
          <w:rFonts w:ascii="黑体" w:hAnsi="黑体" w:eastAsia="黑体"/>
          <w:b w:val="0"/>
        </w:rPr>
      </w:pPr>
      <w:bookmarkStart w:id="73" w:name="_Toc15377208"/>
      <w:bookmarkStart w:id="74" w:name="_Toc23224"/>
      <w:bookmarkStart w:id="75" w:name="_Toc18792"/>
      <w:bookmarkStart w:id="76" w:name="_Toc15396606"/>
      <w:r>
        <w:rPr>
          <w:rFonts w:hint="eastAsia" w:ascii="黑体" w:hAnsi="黑体" w:eastAsia="黑体"/>
          <w:sz w:val="32"/>
          <w:szCs w:val="32"/>
        </w:rPr>
        <w:t>四、财</w:t>
      </w:r>
      <w:r>
        <w:rPr>
          <w:rStyle w:val="31"/>
          <w:rFonts w:hint="eastAsia" w:ascii="黑体" w:hAnsi="黑体" w:eastAsia="黑体"/>
          <w:b w:val="0"/>
        </w:rPr>
        <w:t>政拨款收入支出</w:t>
      </w:r>
      <w:r>
        <w:rPr>
          <w:rFonts w:hint="eastAsia" w:ascii="黑体" w:hAnsi="黑体" w:eastAsia="黑体"/>
        </w:rPr>
        <w:t>决算总体情况说明</w:t>
      </w:r>
      <w:bookmarkEnd w:id="73"/>
      <w:bookmarkEnd w:id="74"/>
      <w:bookmarkEnd w:id="75"/>
      <w:bookmarkEnd w:id="76"/>
    </w:p>
    <w:p w14:paraId="565D96E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21年财政拨款收、支总计1137.48万元。与</w:t>
      </w:r>
      <w:r>
        <w:rPr>
          <w:rFonts w:ascii="仿宋" w:hAnsi="仿宋" w:eastAsia="仿宋"/>
          <w:sz w:val="32"/>
          <w:szCs w:val="32"/>
        </w:rPr>
        <w:t>20</w:t>
      </w:r>
      <w:r>
        <w:rPr>
          <w:rFonts w:hint="eastAsia" w:ascii="仿宋" w:hAnsi="仿宋" w:eastAsia="仿宋"/>
          <w:sz w:val="32"/>
          <w:szCs w:val="32"/>
        </w:rPr>
        <w:t>20年相比，财政拨款收、支总计各减少5.62万元，增长0.49</w:t>
      </w:r>
      <w:r>
        <w:rPr>
          <w:rFonts w:ascii="仿宋" w:hAnsi="仿宋" w:eastAsia="仿宋"/>
          <w:sz w:val="32"/>
          <w:szCs w:val="32"/>
        </w:rPr>
        <w:t>%</w:t>
      </w:r>
      <w:r>
        <w:rPr>
          <w:rFonts w:hint="eastAsia" w:ascii="仿宋" w:hAnsi="仿宋" w:eastAsia="仿宋"/>
          <w:sz w:val="32"/>
          <w:szCs w:val="32"/>
        </w:rPr>
        <w:t>。主要变动原因是校舍维修项目资金减少。</w:t>
      </w:r>
    </w:p>
    <w:p w14:paraId="2ADFED20">
      <w:pPr>
        <w:spacing w:line="600" w:lineRule="exact"/>
        <w:ind w:firstLine="640" w:firstLineChars="200"/>
        <w:outlineLvl w:val="1"/>
        <w:rPr>
          <w:rStyle w:val="31"/>
          <w:rFonts w:ascii="黑体" w:hAnsi="黑体" w:eastAsia="黑体"/>
          <w:b w:val="0"/>
        </w:rPr>
      </w:pPr>
      <w:bookmarkStart w:id="77" w:name="_Toc15396607"/>
      <w:bookmarkStart w:id="78" w:name="_Toc15377209"/>
      <w:bookmarkStart w:id="79" w:name="_Toc20744"/>
      <w:bookmarkStart w:id="80" w:name="_Toc2691"/>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财政拨款支出决算情况说明</w:t>
      </w:r>
      <w:bookmarkEnd w:id="77"/>
      <w:bookmarkEnd w:id="78"/>
      <w:bookmarkEnd w:id="79"/>
      <w:bookmarkEnd w:id="80"/>
    </w:p>
    <w:p w14:paraId="6B98B997">
      <w:pPr>
        <w:spacing w:line="600" w:lineRule="exact"/>
        <w:ind w:firstLine="643" w:firstLineChars="200"/>
        <w:outlineLvl w:val="2"/>
        <w:rPr>
          <w:rFonts w:ascii="仿宋" w:hAnsi="仿宋" w:eastAsia="仿宋"/>
          <w:b/>
          <w:sz w:val="32"/>
          <w:szCs w:val="32"/>
        </w:rPr>
      </w:pPr>
      <w:bookmarkStart w:id="81" w:name="_Toc15377210"/>
      <w:r>
        <w:rPr>
          <w:rFonts w:hint="eastAsia" w:ascii="仿宋" w:hAnsi="仿宋" w:eastAsia="仿宋"/>
          <w:b/>
          <w:sz w:val="32"/>
          <w:szCs w:val="32"/>
        </w:rPr>
        <w:t>（一）一般公共预算财政拨款支出决算总体情况</w:t>
      </w:r>
      <w:bookmarkEnd w:id="81"/>
    </w:p>
    <w:p w14:paraId="5D14D54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21年一般公共预算财政拨款支出1137.48万元，占本年支出合计的100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20年相比，一般公共预算财政拨款支出减少5.62万元，减少0.49</w:t>
      </w:r>
      <w:r>
        <w:rPr>
          <w:rFonts w:ascii="仿宋" w:hAnsi="仿宋" w:eastAsia="仿宋"/>
          <w:sz w:val="32"/>
          <w:szCs w:val="32"/>
        </w:rPr>
        <w:t>%</w:t>
      </w:r>
      <w:r>
        <w:rPr>
          <w:rFonts w:hint="eastAsia" w:ascii="仿宋" w:hAnsi="仿宋" w:eastAsia="仿宋"/>
          <w:sz w:val="32"/>
          <w:szCs w:val="32"/>
        </w:rPr>
        <w:t>。变动原因是校舍维修项目资金减少。</w:t>
      </w:r>
    </w:p>
    <w:p w14:paraId="0348107E">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804" name="_x0000_i29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AD6E9D">
      <w:pPr>
        <w:spacing w:line="600" w:lineRule="exact"/>
        <w:ind w:firstLine="640" w:firstLineChars="200"/>
        <w:rPr>
          <w:rFonts w:ascii="仿宋" w:hAnsi="仿宋" w:eastAsia="仿宋"/>
          <w:sz w:val="32"/>
          <w:szCs w:val="32"/>
        </w:rPr>
      </w:pPr>
      <w:r>
        <w:rPr>
          <w:rFonts w:hint="eastAsia" w:ascii="仿宋" w:hAnsi="仿宋" w:eastAsia="仿宋"/>
          <w:sz w:val="32"/>
          <w:szCs w:val="32"/>
        </w:rPr>
        <w:t>（一般公共预算财政拨款支出决算变动情况）</w:t>
      </w:r>
    </w:p>
    <w:p w14:paraId="5E7969C2">
      <w:pPr>
        <w:spacing w:line="600" w:lineRule="exact"/>
        <w:ind w:firstLine="643" w:firstLineChars="200"/>
        <w:outlineLvl w:val="2"/>
        <w:rPr>
          <w:rFonts w:ascii="仿宋" w:hAnsi="仿宋" w:eastAsia="仿宋"/>
          <w:b/>
          <w:sz w:val="32"/>
          <w:szCs w:val="32"/>
        </w:rPr>
      </w:pPr>
      <w:bookmarkStart w:id="82" w:name="_Toc15377211"/>
      <w:r>
        <w:rPr>
          <w:rFonts w:hint="eastAsia" w:ascii="仿宋" w:hAnsi="仿宋" w:eastAsia="仿宋"/>
          <w:b/>
          <w:sz w:val="32"/>
          <w:szCs w:val="32"/>
        </w:rPr>
        <w:t>（二）一般公共预算财政拨款支出决算结构情况</w:t>
      </w:r>
      <w:bookmarkEnd w:id="82"/>
    </w:p>
    <w:p w14:paraId="72DB1775">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21年一般公共预算财政拨款支出1137.48万元，主要用于以下方面</w:t>
      </w:r>
      <w:r>
        <w:t>：</w:t>
      </w:r>
      <w:r>
        <w:rPr>
          <w:rFonts w:hint="eastAsia" w:ascii="仿宋" w:hAnsi="仿宋" w:eastAsia="仿宋"/>
          <w:b/>
          <w:sz w:val="32"/>
          <w:szCs w:val="32"/>
        </w:rPr>
        <w:t>教育支出（类）896.87</w:t>
      </w:r>
      <w:r>
        <w:rPr>
          <w:rFonts w:hint="eastAsia" w:ascii="仿宋" w:hAnsi="仿宋" w:eastAsia="仿宋"/>
          <w:sz w:val="32"/>
          <w:szCs w:val="32"/>
        </w:rPr>
        <w:t>万元，占78.84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支出108.98万元，占9.58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55.89万元，占4.91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1.50万元，占0.13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74.23万元，占比6.54</w:t>
      </w:r>
      <w:r>
        <w:rPr>
          <w:rFonts w:ascii="仿宋" w:hAnsi="仿宋" w:eastAsia="仿宋"/>
          <w:sz w:val="32"/>
          <w:szCs w:val="32"/>
        </w:rPr>
        <w:t>%</w:t>
      </w:r>
      <w:r>
        <w:rPr>
          <w:rFonts w:hint="eastAsia" w:ascii="仿宋" w:hAnsi="仿宋" w:eastAsia="仿宋"/>
          <w:sz w:val="32"/>
          <w:szCs w:val="32"/>
        </w:rPr>
        <w:t>。</w:t>
      </w:r>
    </w:p>
    <w:p w14:paraId="5A1FD77E">
      <w:pPr>
        <w:pStyle w:val="3"/>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080000" cy="3924300"/>
            <wp:effectExtent l="4445" t="4445" r="20955" b="14605"/>
            <wp:docPr id="805" name="_x0000_i29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9ADD82">
      <w:pPr>
        <w:spacing w:line="600" w:lineRule="exact"/>
        <w:ind w:firstLine="640" w:firstLineChars="200"/>
        <w:rPr>
          <w:rFonts w:ascii="仿宋" w:hAnsi="仿宋" w:eastAsia="仿宋"/>
          <w:sz w:val="32"/>
          <w:szCs w:val="32"/>
        </w:rPr>
      </w:pPr>
      <w:r>
        <w:rPr>
          <w:rFonts w:hint="eastAsia" w:ascii="仿宋" w:hAnsi="仿宋" w:eastAsia="仿宋"/>
          <w:sz w:val="32"/>
          <w:szCs w:val="32"/>
        </w:rPr>
        <w:t>（一般公共预算财政拨款支出决算结构）</w:t>
      </w:r>
    </w:p>
    <w:p w14:paraId="5A308ACF">
      <w:pPr>
        <w:spacing w:line="600" w:lineRule="exact"/>
        <w:ind w:firstLine="643" w:firstLineChars="200"/>
        <w:outlineLvl w:val="2"/>
        <w:rPr>
          <w:rFonts w:ascii="仿宋" w:hAnsi="仿宋" w:eastAsia="仿宋"/>
          <w:b/>
          <w:sz w:val="32"/>
          <w:szCs w:val="32"/>
        </w:rPr>
      </w:pPr>
      <w:bookmarkStart w:id="83" w:name="_Toc15377212"/>
      <w:r>
        <w:rPr>
          <w:rFonts w:hint="eastAsia" w:ascii="仿宋" w:hAnsi="仿宋" w:eastAsia="仿宋"/>
          <w:b/>
          <w:sz w:val="32"/>
          <w:szCs w:val="32"/>
        </w:rPr>
        <w:t>（三）一般公共预算财政拨款支出决算具体情况</w:t>
      </w:r>
      <w:bookmarkEnd w:id="83"/>
    </w:p>
    <w:p w14:paraId="134A0516">
      <w:pPr>
        <w:spacing w:line="600" w:lineRule="exact"/>
        <w:ind w:firstLine="643" w:firstLineChars="200"/>
        <w:outlineLvl w:val="2"/>
        <w:rPr>
          <w:rStyle w:val="10"/>
          <w:rFonts w:ascii="仿宋" w:hAnsi="仿宋" w:eastAsia="仿宋"/>
          <w:bCs/>
          <w:sz w:val="32"/>
          <w:szCs w:val="32"/>
        </w:rPr>
      </w:pPr>
      <w:bookmarkStart w:id="84" w:name="_Toc15377444"/>
      <w:bookmarkStart w:id="85" w:name="_Toc15377213"/>
      <w:bookmarkStart w:id="86" w:name="_Toc15378460"/>
      <w:r>
        <w:rPr>
          <w:rFonts w:hint="eastAsia" w:ascii="仿宋" w:hAnsi="仿宋" w:eastAsia="仿宋"/>
          <w:b/>
          <w:sz w:val="32"/>
          <w:szCs w:val="32"/>
        </w:rPr>
        <w:t>2021年一般公共预算支出决算数为1137.48万元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ascii="仿宋" w:hAnsi="仿宋" w:eastAsia="仿宋"/>
          <w:bCs/>
          <w:sz w:val="32"/>
          <w:szCs w:val="32"/>
        </w:rPr>
        <w:t>%</w:t>
      </w:r>
      <w:r>
        <w:rPr>
          <w:rStyle w:val="10"/>
          <w:rFonts w:hint="eastAsia" w:ascii="仿宋" w:hAnsi="仿宋" w:eastAsia="仿宋"/>
          <w:bCs/>
          <w:sz w:val="32"/>
          <w:szCs w:val="32"/>
        </w:rPr>
        <w:t>。</w:t>
      </w:r>
      <w:r>
        <w:rPr>
          <w:rFonts w:hint="eastAsia" w:ascii="仿宋" w:hAnsi="仿宋" w:eastAsia="仿宋"/>
          <w:b/>
          <w:sz w:val="32"/>
          <w:szCs w:val="32"/>
        </w:rPr>
        <w:t>其中：</w:t>
      </w:r>
      <w:bookmarkEnd w:id="84"/>
      <w:bookmarkEnd w:id="85"/>
      <w:bookmarkEnd w:id="86"/>
    </w:p>
    <w:p w14:paraId="19B1E753">
      <w:pPr>
        <w:spacing w:line="600" w:lineRule="exact"/>
        <w:ind w:firstLine="643" w:firstLineChars="200"/>
        <w:outlineLvl w:val="2"/>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w:t>
      </w:r>
      <w:r>
        <w:rPr>
          <w:rStyle w:val="10"/>
          <w:rFonts w:hint="eastAsia" w:ascii="仿宋" w:hAnsi="仿宋" w:eastAsia="仿宋"/>
          <w:bCs/>
          <w:sz w:val="32"/>
          <w:szCs w:val="32"/>
        </w:rPr>
        <w:t>初中教育（项）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896.87万元，完成预算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590415D2">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社会保障和就业（类）</w:t>
      </w:r>
      <w:r>
        <w:rPr>
          <w:rFonts w:hint="eastAsia" w:ascii="仿宋" w:hAnsi="仿宋" w:eastAsia="仿宋"/>
          <w:bCs/>
          <w:sz w:val="32"/>
          <w:szCs w:val="32"/>
        </w:rPr>
        <w:t>行政事业养老支出（款）机关事业单位基本养老保险缴费支出（项）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108.98万元，完成预算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0CC5FBC0">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w:t>
      </w:r>
      <w:r>
        <w:rPr>
          <w:rStyle w:val="10"/>
          <w:rFonts w:hint="eastAsia" w:ascii="仿宋" w:hAnsi="仿宋" w:eastAsia="仿宋"/>
          <w:bCs/>
          <w:sz w:val="32"/>
          <w:szCs w:val="32"/>
          <w:u w:color="46CD7E"/>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55.89万元，完成预算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22579BCA">
      <w:pPr>
        <w:spacing w:line="600" w:lineRule="exact"/>
        <w:ind w:firstLine="643" w:firstLineChars="200"/>
        <w:rPr>
          <w:rStyle w:val="10"/>
          <w:rFonts w:ascii="仿宋" w:hAnsi="仿宋" w:eastAsia="仿宋"/>
          <w:b w:val="0"/>
          <w:bCs/>
          <w:sz w:val="32"/>
          <w:szCs w:val="32"/>
        </w:rPr>
      </w:pPr>
      <w:r>
        <w:rPr>
          <w:rFonts w:hint="eastAsia" w:ascii="仿宋" w:hAnsi="仿宋" w:eastAsia="仿宋"/>
          <w:b/>
          <w:bCs/>
          <w:sz w:val="32"/>
          <w:szCs w:val="32"/>
        </w:rPr>
        <w:t>4.农林水支出（类）扶贫（款</w:t>
      </w:r>
      <w:r>
        <w:t>）</w:t>
      </w:r>
      <w:r>
        <w:rPr>
          <w:rFonts w:hint="eastAsia" w:ascii="仿宋" w:hAnsi="仿宋" w:eastAsia="仿宋"/>
          <w:b/>
          <w:bCs/>
          <w:sz w:val="32"/>
          <w:szCs w:val="32"/>
        </w:rPr>
        <w:t>其他扶贫支出（项）</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决算为1.50万元，完成</w:t>
      </w:r>
      <w:r>
        <w:rPr>
          <w:rStyle w:val="10"/>
          <w:rFonts w:hint="eastAsia" w:ascii="仿宋" w:hAnsi="仿宋" w:eastAsia="仿宋"/>
          <w:b w:val="0"/>
          <w:bCs/>
          <w:sz w:val="32"/>
          <w:szCs w:val="32"/>
        </w:rPr>
        <w:t>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16006037">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5.住房保障支出（类）住房改革支出（款</w:t>
      </w:r>
      <w:r>
        <w:t>）</w:t>
      </w:r>
      <w:r>
        <w:rPr>
          <w:rFonts w:hint="eastAsia" w:ascii="仿宋" w:hAnsi="仿宋" w:eastAsia="仿宋"/>
          <w:b/>
          <w:bCs/>
          <w:sz w:val="32"/>
          <w:szCs w:val="32"/>
        </w:rPr>
        <w:t>住房公积金（项）</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74.23万元，完成预算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2777CA91">
      <w:pPr>
        <w:tabs>
          <w:tab w:val="right" w:pos="8306"/>
        </w:tabs>
        <w:spacing w:line="600" w:lineRule="exact"/>
        <w:ind w:firstLine="640"/>
        <w:outlineLvl w:val="1"/>
        <w:rPr>
          <w:rStyle w:val="31"/>
        </w:rPr>
      </w:pPr>
      <w:bookmarkStart w:id="87" w:name="_Toc11613"/>
      <w:bookmarkStart w:id="88" w:name="_Toc15377214"/>
      <w:bookmarkStart w:id="89" w:name="_Toc25188"/>
      <w:bookmarkStart w:id="9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87"/>
      <w:bookmarkEnd w:id="88"/>
      <w:bookmarkEnd w:id="89"/>
      <w:bookmarkEnd w:id="90"/>
      <w:r>
        <w:rPr>
          <w:rStyle w:val="31"/>
          <w:rFonts w:ascii="黑体" w:hAnsi="黑体" w:eastAsia="黑体"/>
          <w:b w:val="0"/>
        </w:rPr>
        <w:tab/>
      </w:r>
    </w:p>
    <w:p w14:paraId="39A2D313">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21年一般公共预算财政拨款基本支出1060.8万元，其中：</w:t>
      </w:r>
    </w:p>
    <w:p w14:paraId="368854CC">
      <w:pPr>
        <w:spacing w:line="600" w:lineRule="exact"/>
        <w:ind w:firstLine="645"/>
        <w:rPr>
          <w:rFonts w:ascii="仿宋" w:hAnsi="仿宋" w:eastAsia="仿宋"/>
          <w:sz w:val="32"/>
          <w:szCs w:val="32"/>
        </w:rPr>
      </w:pPr>
      <w:r>
        <w:rPr>
          <w:rFonts w:hint="eastAsia" w:ascii="仿宋" w:hAnsi="仿宋" w:eastAsia="仿宋"/>
          <w:sz w:val="32"/>
          <w:szCs w:val="32"/>
        </w:rPr>
        <w:t>人员经费1002.12万元，主要包括：基本工资、津贴补贴、绩效工资、机关事业单位基本养老保险缴费、职业年金缴费、其他社会保障缴费、其他工资福利支出、退休费、抚恤金、生活补助、医疗费补助、奖励金、住房公积金、其他对个人和家庭的补助支出等。</w:t>
      </w:r>
    </w:p>
    <w:p w14:paraId="2729E83C">
      <w:pPr>
        <w:spacing w:line="600" w:lineRule="exact"/>
        <w:ind w:firstLine="645"/>
        <w:rPr>
          <w:rFonts w:ascii="仿宋" w:hAnsi="仿宋" w:eastAsia="仿宋"/>
          <w:b/>
          <w:sz w:val="32"/>
          <w:szCs w:val="32"/>
        </w:rPr>
      </w:pPr>
      <w:r>
        <w:rPr>
          <w:rFonts w:hint="eastAsia" w:ascii="仿宋" w:hAnsi="仿宋" w:eastAsia="仿宋"/>
          <w:sz w:val="32"/>
          <w:szCs w:val="32"/>
        </w:rPr>
        <w:t>公用经费58.68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DBEFC46">
      <w:pPr>
        <w:spacing w:line="600" w:lineRule="exact"/>
        <w:ind w:firstLine="960" w:firstLineChars="300"/>
        <w:outlineLvl w:val="1"/>
        <w:rPr>
          <w:rStyle w:val="31"/>
          <w:rFonts w:ascii="黑体" w:hAnsi="黑体" w:eastAsia="黑体"/>
          <w:b w:val="0"/>
        </w:rPr>
      </w:pPr>
      <w:bookmarkStart w:id="91" w:name="_Toc26374"/>
      <w:bookmarkStart w:id="92" w:name="_Toc8393"/>
      <w:bookmarkStart w:id="93" w:name="_Toc15396609"/>
      <w:bookmarkStart w:id="94" w:name="_Toc15377215"/>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w:t>
      </w:r>
      <w:r>
        <w:rPr>
          <w:rFonts w:hint="eastAsia" w:ascii="黑体" w:hAnsi="黑体" w:eastAsia="黑体"/>
        </w:rPr>
        <w:t>决算情况说明</w:t>
      </w:r>
      <w:bookmarkEnd w:id="91"/>
      <w:bookmarkEnd w:id="92"/>
      <w:bookmarkEnd w:id="93"/>
      <w:bookmarkEnd w:id="94"/>
    </w:p>
    <w:p w14:paraId="72E0BEED">
      <w:pPr>
        <w:spacing w:line="600" w:lineRule="exact"/>
        <w:ind w:firstLine="640"/>
        <w:outlineLvl w:val="2"/>
        <w:rPr>
          <w:rFonts w:ascii="仿宋" w:hAnsi="仿宋" w:eastAsia="仿宋"/>
          <w:b/>
          <w:sz w:val="32"/>
          <w:szCs w:val="32"/>
        </w:rPr>
      </w:pPr>
      <w:bookmarkStart w:id="95" w:name="_Toc15377216"/>
      <w:r>
        <w:rPr>
          <w:rFonts w:hint="eastAsia" w:ascii="仿宋" w:hAnsi="仿宋" w:eastAsia="仿宋"/>
          <w:b/>
          <w:sz w:val="32"/>
          <w:szCs w:val="32"/>
        </w:rPr>
        <w:t>（一）“三公”经费财政拨款支出决算总体情况说明</w:t>
      </w:r>
      <w:bookmarkEnd w:id="95"/>
    </w:p>
    <w:p w14:paraId="33097E7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21年“三公”经费财政拨款支出决算为1.3万元，完成预算的86.6</w:t>
      </w:r>
      <w:r>
        <w:rPr>
          <w:rFonts w:ascii="仿宋" w:hAnsi="仿宋" w:eastAsia="仿宋"/>
          <w:sz w:val="32"/>
          <w:szCs w:val="32"/>
        </w:rPr>
        <w:t>%</w:t>
      </w:r>
      <w:r>
        <w:rPr>
          <w:rFonts w:hint="eastAsia" w:ascii="仿宋" w:hAnsi="仿宋" w:eastAsia="仿宋"/>
          <w:sz w:val="32"/>
          <w:szCs w:val="32"/>
        </w:rPr>
        <w:t>。</w:t>
      </w:r>
    </w:p>
    <w:p w14:paraId="0E455228">
      <w:pPr>
        <w:spacing w:line="600" w:lineRule="exact"/>
        <w:ind w:firstLine="640"/>
        <w:outlineLvl w:val="2"/>
        <w:rPr>
          <w:rFonts w:ascii="仿宋" w:hAnsi="仿宋" w:eastAsia="仿宋"/>
          <w:b/>
          <w:sz w:val="32"/>
          <w:szCs w:val="32"/>
        </w:rPr>
      </w:pPr>
      <w:bookmarkStart w:id="96" w:name="_Toc15377217"/>
      <w:r>
        <w:rPr>
          <w:rFonts w:hint="eastAsia" w:ascii="仿宋" w:hAnsi="仿宋" w:eastAsia="仿宋"/>
          <w:b/>
          <w:sz w:val="32"/>
          <w:szCs w:val="32"/>
        </w:rPr>
        <w:t>（二）“三公”经费财政拨款支出决算具体情况说明</w:t>
      </w:r>
      <w:bookmarkEnd w:id="96"/>
    </w:p>
    <w:p w14:paraId="480D00F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；公务接待费支出决算1.3万元，占比100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u w:color="46CD7E"/>
        </w:rPr>
        <w:t>。</w:t>
      </w:r>
    </w:p>
    <w:p w14:paraId="039B1672">
      <w:pPr>
        <w:tabs>
          <w:tab w:val="left" w:pos="312"/>
        </w:tabs>
        <w:spacing w:line="600" w:lineRule="exact"/>
        <w:ind w:left="640"/>
        <w:rPr>
          <w:rStyle w:val="10"/>
          <w:rFonts w:ascii="仿宋" w:hAnsi="仿宋" w:eastAsia="仿宋"/>
          <w:b w:val="0"/>
          <w:bCs/>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0"/>
          <w:rFonts w:hint="eastAsia" w:ascii="仿宋" w:hAnsi="仿宋" w:eastAsia="仿宋"/>
          <w:b w:val="0"/>
          <w:bCs/>
          <w:sz w:val="32"/>
          <w:szCs w:val="32"/>
        </w:rPr>
        <w:t>本单位未安排因公出</w:t>
      </w:r>
      <w:r>
        <w:rPr>
          <w:rFonts w:hint="eastAsia" w:ascii="仿宋" w:hAnsi="仿宋" w:eastAsia="仿宋"/>
          <w:bCs/>
          <w:sz w:val="32"/>
          <w:szCs w:val="32"/>
        </w:rPr>
        <w:t>国（境</w:t>
      </w:r>
      <w:r>
        <w:rPr>
          <w:rStyle w:val="10"/>
          <w:rFonts w:hint="eastAsia" w:ascii="仿宋" w:hAnsi="仿宋" w:eastAsia="仿宋"/>
          <w:b w:val="0"/>
          <w:bCs/>
          <w:sz w:val="32"/>
          <w:szCs w:val="32"/>
        </w:rPr>
        <w:t>）</w:t>
      </w:r>
      <w:r>
        <w:rPr>
          <w:rFonts w:hint="eastAsia" w:ascii="仿宋" w:hAnsi="仿宋" w:eastAsia="仿宋"/>
          <w:bCs/>
          <w:sz w:val="32"/>
          <w:szCs w:val="32"/>
        </w:rPr>
        <w:t>支出</w:t>
      </w:r>
      <w:r>
        <w:rPr>
          <w:rStyle w:val="10"/>
          <w:rFonts w:hint="eastAsia" w:ascii="仿宋" w:hAnsi="仿宋" w:eastAsia="仿宋"/>
          <w:b w:val="0"/>
          <w:bCs/>
          <w:sz w:val="32"/>
          <w:szCs w:val="32"/>
        </w:rPr>
        <w:t>预算</w:t>
      </w:r>
      <w:r>
        <w:rPr>
          <w:rFonts w:hint="eastAsia" w:ascii="仿宋" w:hAnsi="仿宋" w:eastAsia="仿宋"/>
          <w:bCs/>
          <w:sz w:val="32"/>
          <w:szCs w:val="32"/>
        </w:rPr>
        <w:t>费用。</w:t>
      </w:r>
    </w:p>
    <w:p w14:paraId="6FB8C444">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公务用车购置及运行维护费支出0万元</w:t>
      </w:r>
      <w:r>
        <w:rPr>
          <w:rFonts w:ascii="仿宋_GB2312" w:eastAsia="仿宋_GB2312"/>
          <w:color w:val="000000"/>
          <w:sz w:val="32"/>
          <w:szCs w:val="32"/>
        </w:rPr>
        <w:t>，</w:t>
      </w:r>
      <w:r>
        <w:rPr>
          <w:rFonts w:hint="eastAsia" w:ascii="仿宋_GB2312" w:eastAsia="仿宋_GB2312"/>
          <w:color w:val="000000"/>
          <w:sz w:val="32"/>
          <w:szCs w:val="32"/>
        </w:rPr>
        <w:t>本单位无公务用车，未安排公务用车购置及运行维护费。</w:t>
      </w:r>
    </w:p>
    <w:p w14:paraId="0AAB26D5">
      <w:pPr>
        <w:ind w:firstLine="640" w:firstLineChars="200"/>
        <w:rPr>
          <w:rFonts w:ascii="黑体" w:eastAsia="黑体"/>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公务接待费支出1.3万元，完成预算的86.6</w:t>
      </w:r>
      <w:r>
        <w:rPr>
          <w:rFonts w:ascii="仿宋_GB2312" w:eastAsia="仿宋_GB2312"/>
          <w:color w:val="000000"/>
          <w:sz w:val="32"/>
          <w:szCs w:val="32"/>
        </w:rPr>
        <w:t>%</w:t>
      </w:r>
      <w:r>
        <w:rPr>
          <w:rFonts w:hint="eastAsia" w:ascii="仿宋_GB2312" w:eastAsia="仿宋_GB2312"/>
          <w:color w:val="000000"/>
          <w:sz w:val="32"/>
          <w:szCs w:val="32"/>
        </w:rPr>
        <w:t>。公务</w:t>
      </w:r>
      <w:r>
        <w:rPr>
          <w:rFonts w:hint="eastAsia" w:ascii="仿宋_GB2312" w:eastAsia="仿宋_GB2312"/>
          <w:color w:val="000000"/>
          <w:sz w:val="32"/>
          <w:szCs w:val="32"/>
        </w:rPr>
        <w:t>接待费支出决算比</w:t>
      </w:r>
      <w:r>
        <w:rPr>
          <w:rFonts w:ascii="仿宋_GB2312" w:eastAsia="仿宋_GB2312"/>
          <w:color w:val="000000"/>
          <w:sz w:val="32"/>
          <w:szCs w:val="32"/>
        </w:rPr>
        <w:t>20</w:t>
      </w:r>
      <w:r>
        <w:rPr>
          <w:rFonts w:hint="eastAsia" w:ascii="仿宋_GB2312" w:eastAsia="仿宋_GB2312"/>
          <w:color w:val="000000"/>
          <w:sz w:val="32"/>
          <w:szCs w:val="32"/>
        </w:rPr>
        <w:t>20年减少0.2万元，减少13.3%。其中，国内公务接待支出1.3万元，主要用于开展公务活动开支的交通费</w:t>
      </w:r>
      <w:r>
        <w:rPr>
          <w:rFonts w:hint="eastAsia" w:ascii="仿宋_GB2312" w:eastAsia="仿宋_GB2312"/>
          <w:sz w:val="32"/>
          <w:szCs w:val="32"/>
        </w:rPr>
        <w:t>、住宿费、用餐费等。国内公务接待60批次，260人次（不包括陪同人员），共计支出1.3万元。</w:t>
      </w: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97" w:name="_Toc15396610"/>
      <w:bookmarkStart w:id="98" w:name="_Toc15377218"/>
    </w:p>
    <w:p w14:paraId="62FD62D0">
      <w:pPr>
        <w:spacing w:line="600" w:lineRule="exact"/>
        <w:ind w:firstLine="640"/>
        <w:outlineLvl w:val="1"/>
        <w:rPr>
          <w:rStyle w:val="31"/>
          <w:rFonts w:ascii="黑体" w:hAnsi="黑体" w:eastAsia="黑体"/>
        </w:rPr>
      </w:pPr>
      <w:bookmarkStart w:id="99" w:name="_Toc23212"/>
      <w:bookmarkStart w:id="100" w:name="_Toc6794"/>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rPr>
        <w:t>支出决算情况说明</w:t>
      </w:r>
      <w:bookmarkEnd w:id="97"/>
      <w:bookmarkEnd w:id="98"/>
      <w:bookmarkEnd w:id="99"/>
      <w:bookmarkEnd w:id="100"/>
    </w:p>
    <w:p w14:paraId="2DC4B090">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6DB64679">
      <w:pPr>
        <w:numPr>
          <w:ilvl w:val="0"/>
          <w:numId w:val="2"/>
        </w:numPr>
        <w:spacing w:line="600" w:lineRule="exact"/>
        <w:ind w:firstLine="640"/>
        <w:outlineLvl w:val="1"/>
        <w:rPr>
          <w:rStyle w:val="31"/>
          <w:rFonts w:ascii="黑体" w:hAnsi="黑体" w:eastAsia="黑体"/>
          <w:b w:val="0"/>
        </w:rPr>
      </w:pPr>
      <w:bookmarkStart w:id="101" w:name="_Toc15377219"/>
      <w:bookmarkStart w:id="102" w:name="_Toc15396611"/>
      <w:bookmarkStart w:id="103" w:name="_Toc14347"/>
      <w:bookmarkStart w:id="104" w:name="_Toc14698"/>
      <w:r>
        <w:rPr>
          <w:rStyle w:val="31"/>
          <w:rFonts w:hint="eastAsia" w:ascii="黑体" w:hAnsi="黑体" w:eastAsia="黑体"/>
          <w:b w:val="0"/>
        </w:rPr>
        <w:t>国有资本经营预算</w:t>
      </w:r>
      <w:r>
        <w:rPr>
          <w:rFonts w:hint="eastAsia" w:ascii="黑体" w:hAnsi="黑体" w:eastAsia="黑体"/>
        </w:rPr>
        <w:t>支出决算情况说明</w:t>
      </w:r>
      <w:bookmarkEnd w:id="101"/>
      <w:bookmarkEnd w:id="102"/>
      <w:bookmarkEnd w:id="103"/>
      <w:bookmarkEnd w:id="104"/>
    </w:p>
    <w:p w14:paraId="04BA78B6">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0B58F33">
      <w:pPr>
        <w:numPr>
          <w:ilvl w:val="0"/>
          <w:numId w:val="2"/>
        </w:numPr>
        <w:spacing w:line="600" w:lineRule="exact"/>
        <w:ind w:firstLine="640"/>
        <w:outlineLvl w:val="1"/>
        <w:rPr>
          <w:rStyle w:val="31"/>
          <w:rFonts w:ascii="黑体" w:hAnsi="黑体" w:eastAsia="黑体"/>
          <w:b w:val="0"/>
        </w:rPr>
      </w:pPr>
      <w:bookmarkStart w:id="105" w:name="_Toc15396612"/>
      <w:bookmarkStart w:id="106" w:name="_Toc15377221"/>
      <w:bookmarkStart w:id="107" w:name="_Toc44"/>
      <w:bookmarkStart w:id="108" w:name="_Toc24529"/>
      <w:r>
        <w:rPr>
          <w:rStyle w:val="31"/>
          <w:rFonts w:hint="eastAsia" w:ascii="黑体" w:hAnsi="黑体" w:eastAsia="黑体"/>
          <w:b w:val="0"/>
        </w:rPr>
        <w:t>其他重要事项的情况说明</w:t>
      </w:r>
      <w:bookmarkEnd w:id="105"/>
      <w:bookmarkEnd w:id="106"/>
      <w:bookmarkEnd w:id="107"/>
      <w:bookmarkEnd w:id="108"/>
    </w:p>
    <w:p w14:paraId="50434A07">
      <w:pPr>
        <w:spacing w:line="600" w:lineRule="exact"/>
        <w:ind w:firstLine="643" w:firstLineChars="200"/>
        <w:outlineLvl w:val="2"/>
        <w:rPr>
          <w:rFonts w:ascii="仿宋" w:hAnsi="仿宋" w:eastAsia="仿宋"/>
          <w:sz w:val="32"/>
          <w:szCs w:val="32"/>
        </w:rPr>
      </w:pPr>
      <w:bookmarkStart w:id="109" w:name="_Toc15377222"/>
      <w:r>
        <w:rPr>
          <w:rFonts w:hint="eastAsia" w:ascii="仿宋" w:hAnsi="仿宋" w:eastAsia="仿宋"/>
          <w:b/>
          <w:sz w:val="32"/>
          <w:szCs w:val="32"/>
        </w:rPr>
        <w:t>（一）机关运行经费支出情况</w:t>
      </w:r>
      <w:bookmarkEnd w:id="109"/>
    </w:p>
    <w:p w14:paraId="407BD8B8">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21年，通江县民胜初级中学机关运行经费支出0万元。</w:t>
      </w:r>
    </w:p>
    <w:p w14:paraId="6A35D88B">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0" w:name="_Toc15377223"/>
      <w:r>
        <w:rPr>
          <w:rFonts w:hint="eastAsia" w:ascii="仿宋" w:hAnsi="仿宋" w:eastAsia="仿宋"/>
          <w:b/>
          <w:sz w:val="32"/>
          <w:szCs w:val="32"/>
        </w:rPr>
        <w:t>（二）政府采购支出情况</w:t>
      </w:r>
      <w:bookmarkEnd w:id="110"/>
    </w:p>
    <w:p w14:paraId="2EC13433">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21年，通江县民胜初级中学政府采购支出总额0万元。</w:t>
      </w:r>
    </w:p>
    <w:p w14:paraId="44FC4AFD">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1" w:name="_Toc15377224"/>
      <w:r>
        <w:rPr>
          <w:rFonts w:hint="eastAsia" w:ascii="仿宋" w:hAnsi="仿宋" w:eastAsia="仿宋"/>
          <w:b/>
          <w:sz w:val="32"/>
          <w:szCs w:val="32"/>
        </w:rPr>
        <w:t>（三）国有资产占有使用情况</w:t>
      </w:r>
      <w:bookmarkEnd w:id="111"/>
    </w:p>
    <w:p w14:paraId="1DD5AA2C">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日，通江县民胜初级中学共有车辆0辆。单价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28EE20C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26CD82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生活补助项目、公用经费项目、学生营养餐资金、校舍维修、就业补助、驻村人员差旅费补助等7个项目开展了预算事前绩效评估，对7个项目编制了绩效目标，预算执行过程中，选取6个项目开展绩效监控，年终执行完毕后，对7个项目开展了绩效自评，2021年特定目标类部门预算项目绩效目标自评表见附件（第四部分）。</w:t>
      </w:r>
    </w:p>
    <w:p w14:paraId="34ADF450">
      <w:pPr>
        <w:numPr>
          <w:ilvl w:val="0"/>
          <w:numId w:val="3"/>
        </w:numPr>
        <w:spacing w:line="600" w:lineRule="exact"/>
        <w:ind w:firstLine="660" w:firstLineChars="150"/>
        <w:jc w:val="center"/>
        <w:outlineLvl w:val="0"/>
        <w:rPr>
          <w:rStyle w:val="30"/>
          <w:rFonts w:ascii="黑体" w:hAnsi="黑体" w:eastAsia="黑体"/>
          <w:b w:val="0"/>
        </w:rPr>
      </w:pPr>
      <w:bookmarkStart w:id="112" w:name="_Toc15396613"/>
      <w:bookmarkStart w:id="113" w:name="_Toc11576"/>
      <w:bookmarkStart w:id="114" w:name="_Toc11132"/>
      <w:bookmarkStart w:id="115" w:name="_Toc15377225"/>
      <w:r>
        <w:rPr>
          <w:rFonts w:hint="eastAsia" w:ascii="黑体" w:hAnsi="黑体" w:eastAsia="黑体"/>
          <w:sz w:val="44"/>
          <w:szCs w:val="44"/>
        </w:rPr>
        <w:t>名</w:t>
      </w:r>
      <w:r>
        <w:rPr>
          <w:rStyle w:val="30"/>
          <w:rFonts w:hint="eastAsia" w:ascii="黑体" w:hAnsi="黑体" w:eastAsia="黑体"/>
          <w:b w:val="0"/>
        </w:rPr>
        <w:t>词解释</w:t>
      </w:r>
      <w:bookmarkEnd w:id="112"/>
      <w:bookmarkEnd w:id="113"/>
      <w:bookmarkEnd w:id="114"/>
      <w:bookmarkEnd w:id="115"/>
    </w:p>
    <w:p w14:paraId="10828339">
      <w:pPr>
        <w:spacing w:line="600" w:lineRule="exact"/>
        <w:jc w:val="left"/>
        <w:rPr>
          <w:rFonts w:ascii="宋体"/>
          <w:b/>
          <w:sz w:val="44"/>
          <w:szCs w:val="44"/>
        </w:rPr>
      </w:pPr>
    </w:p>
    <w:p w14:paraId="79F0D33B">
      <w:pPr>
        <w:pStyle w:val="28"/>
        <w:spacing w:line="560" w:lineRule="exact"/>
        <w:ind w:firstLine="640" w:firstLineChars="200"/>
        <w:rPr>
          <w:rFonts w:ascii="仿宋_GB2312" w:eastAsia="仿宋_GB2312"/>
          <w:sz w:val="32"/>
          <w:szCs w:val="32"/>
        </w:rPr>
      </w:pPr>
      <w:bookmarkStart w:id="116" w:name="_Toc15396614"/>
      <w:bookmarkStart w:id="11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6E4811C">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2739E09F">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726AF83E">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0CC2637A">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14:paraId="186F0A07">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u w:color="46CD7E"/>
          <w:lang w:val="en-US" w:eastAsia="zh-CN"/>
        </w:rPr>
        <w:t>按</w:t>
      </w:r>
      <w:r>
        <w:rPr>
          <w:rFonts w:hint="eastAsia" w:ascii="仿宋_GB2312" w:eastAsia="仿宋_GB2312"/>
          <w:sz w:val="32"/>
          <w:szCs w:val="32"/>
        </w:rPr>
        <w:t>有关规定继续使用的资金。</w:t>
      </w:r>
    </w:p>
    <w:p w14:paraId="76E065B0">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19AA0527">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color="46CD7E"/>
        </w:rPr>
        <w:t>.</w:t>
      </w:r>
      <w:r>
        <w:rPr>
          <w:rFonts w:hint="eastAsia" w:ascii="仿宋_GB2312" w:eastAsia="仿宋_GB2312"/>
          <w:sz w:val="32"/>
          <w:szCs w:val="32"/>
        </w:rPr>
        <w:t>年末结转和结余：指单位按有关规定结转到下年或以后年度继续使用的资金。</w:t>
      </w:r>
    </w:p>
    <w:p w14:paraId="2A947885">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教育（类）普通教育（款）初中教育（项）：指反映各部门举办的初中教育支出，政府各部门对社会组织等举办的初中的资助</w:t>
      </w:r>
      <w:r>
        <w:t>，</w:t>
      </w:r>
      <w:r>
        <w:rPr>
          <w:rFonts w:hint="eastAsia" w:ascii="仿宋_GB2312" w:eastAsia="仿宋_GB2312"/>
          <w:color w:val="000000"/>
          <w:sz w:val="32"/>
          <w:szCs w:val="32"/>
        </w:rPr>
        <w:t>如捐赠、补贴等，也在本科目中反映。</w:t>
      </w:r>
    </w:p>
    <w:p w14:paraId="1CE04782">
      <w:pPr>
        <w:ind w:firstLine="640" w:firstLineChars="200"/>
        <w:rPr>
          <w:rFonts w:ascii="仿宋_GB2312" w:eastAsia="仿宋_GB2312"/>
          <w:color w:val="000000"/>
          <w:sz w:val="32"/>
          <w:szCs w:val="32"/>
        </w:rPr>
      </w:pPr>
      <w:bookmarkStart w:id="132" w:name="_GoBack"/>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w:t>
      </w:r>
      <w:bookmarkEnd w:id="132"/>
      <w:r>
        <w:rPr>
          <w:rFonts w:hint="eastAsia" w:ascii="仿宋_GB2312" w:eastAsia="仿宋_GB2312"/>
          <w:color w:val="000000"/>
          <w:sz w:val="32"/>
          <w:szCs w:val="32"/>
        </w:rPr>
        <w:t>务（款）社会保险经办机构（项）：指反映机关事业单位实施养老保险制度由单位缴纳的基本养老保险费支出。</w:t>
      </w:r>
    </w:p>
    <w:p w14:paraId="6323FAC0">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76577E40">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14:paraId="159349AD">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14:paraId="4E7E1F07">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7793DB0">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w:t>
      </w:r>
      <w:r>
        <w:rPr>
          <w:rFonts w:hint="eastAsia" w:ascii="仿宋_GB2312" w:eastAsia="仿宋_GB2312"/>
          <w:color w:val="000000"/>
          <w:sz w:val="32"/>
          <w:szCs w:val="32"/>
        </w:rPr>
        <w:t>发展目标所发生的支出。</w:t>
      </w:r>
    </w:p>
    <w:p w14:paraId="61406339">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E2B7D2F">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14:paraId="656E8176">
      <w:pPr>
        <w:pStyle w:val="28"/>
        <w:spacing w:line="560"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6982C7">
      <w:pPr>
        <w:spacing w:line="600" w:lineRule="exact"/>
        <w:ind w:firstLine="3080" w:firstLineChars="700"/>
        <w:rPr>
          <w:rFonts w:ascii="黑体" w:hAnsi="黑体" w:eastAsia="黑体"/>
          <w:sz w:val="44"/>
          <w:szCs w:val="44"/>
        </w:rPr>
      </w:pPr>
    </w:p>
    <w:p w14:paraId="79CAF03E">
      <w:pPr>
        <w:spacing w:line="600" w:lineRule="exact"/>
        <w:ind w:firstLine="3092" w:firstLineChars="700"/>
        <w:outlineLvl w:val="0"/>
        <w:rPr>
          <w:rStyle w:val="30"/>
          <w:rFonts w:ascii="黑体" w:hAnsi="黑体" w:eastAsia="黑体"/>
        </w:rPr>
      </w:pPr>
      <w:bookmarkStart w:id="118" w:name="_Toc26144"/>
      <w:bookmarkStart w:id="119" w:name="_Toc28958"/>
      <w:r>
        <w:rPr>
          <w:rFonts w:hint="eastAsia" w:ascii="黑体" w:hAnsi="黑体" w:eastAsia="黑体"/>
          <w:b/>
          <w:bCs/>
          <w:sz w:val="44"/>
          <w:szCs w:val="44"/>
        </w:rPr>
        <w:t>第</w:t>
      </w:r>
      <w:r>
        <w:rPr>
          <w:rStyle w:val="30"/>
          <w:rFonts w:hint="eastAsia" w:ascii="黑体" w:hAnsi="黑体" w:eastAsia="黑体"/>
        </w:rPr>
        <w:t>四部分附件</w:t>
      </w:r>
      <w:bookmarkEnd w:id="116"/>
      <w:bookmarkEnd w:id="118"/>
      <w:bookmarkEnd w:id="119"/>
    </w:p>
    <w:p w14:paraId="796F8690">
      <w:pPr>
        <w:widowControl/>
        <w:spacing w:line="580" w:lineRule="exact"/>
        <w:contextualSpacing/>
        <w:rPr>
          <w:rFonts w:ascii="方正小标宋简体" w:hAnsi="宋体" w:eastAsia="方正小标宋简体"/>
          <w:b/>
          <w:sz w:val="44"/>
          <w:szCs w:val="44"/>
          <w:shd w:val="clear" w:color="auto" w:fill="FFFFFF"/>
        </w:rPr>
      </w:pPr>
    </w:p>
    <w:p w14:paraId="468A2EE2">
      <w:pPr>
        <w:widowControl/>
        <w:spacing w:line="580" w:lineRule="exact"/>
        <w:contextualSpacing/>
        <w:jc w:val="center"/>
        <w:outlineLvl w:val="1"/>
        <w:rPr>
          <w:rFonts w:ascii="方正小标宋简体" w:hAnsi="宋体" w:eastAsia="方正小标宋简体"/>
          <w:b/>
          <w:sz w:val="44"/>
          <w:szCs w:val="44"/>
          <w:shd w:val="clear" w:color="auto" w:fill="FFFFFF"/>
        </w:rPr>
      </w:pPr>
      <w:bookmarkStart w:id="120" w:name="_Toc4469"/>
      <w:bookmarkStart w:id="121" w:name="_Toc28483"/>
      <w:r>
        <w:rPr>
          <w:rFonts w:hint="eastAsia" w:ascii="方正小标宋简体" w:hAnsi="宋体" w:eastAsia="方正小标宋简体"/>
          <w:b/>
          <w:sz w:val="44"/>
          <w:szCs w:val="44"/>
          <w:shd w:val="clear" w:color="auto" w:fill="FFFFFF"/>
        </w:rPr>
        <w:t>通江县民胜初级中学</w:t>
      </w:r>
      <w:bookmarkEnd w:id="120"/>
      <w:bookmarkEnd w:id="121"/>
    </w:p>
    <w:p w14:paraId="3E357595">
      <w:pPr>
        <w:widowControl/>
        <w:spacing w:line="580" w:lineRule="exact"/>
        <w:contextualSpacing/>
        <w:jc w:val="center"/>
        <w:outlineLvl w:val="1"/>
        <w:rPr>
          <w:rFonts w:ascii="方正小标宋简体" w:hAnsi="宋体" w:eastAsia="方正小标宋简体"/>
          <w:b/>
          <w:sz w:val="44"/>
          <w:szCs w:val="44"/>
          <w:shd w:val="clear" w:color="auto" w:fill="FFFFFF"/>
        </w:rPr>
      </w:pPr>
      <w:bookmarkStart w:id="122" w:name="_Toc17642"/>
      <w:bookmarkStart w:id="123" w:name="_Toc12982"/>
      <w:r>
        <w:rPr>
          <w:rFonts w:hint="eastAsia" w:ascii="方正小标宋简体" w:hAnsi="宋体" w:eastAsia="方正小标宋简体"/>
          <w:b/>
          <w:sz w:val="44"/>
          <w:szCs w:val="44"/>
          <w:shd w:val="clear" w:color="auto" w:fill="FFFFFF"/>
        </w:rPr>
        <w:t>2021年度部门整体支出绩效评价报告</w:t>
      </w:r>
      <w:bookmarkEnd w:id="122"/>
      <w:bookmarkEnd w:id="123"/>
    </w:p>
    <w:p w14:paraId="23ECBB09">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124" w:name="_Toc29833"/>
    </w:p>
    <w:p w14:paraId="4BCFFCF2">
      <w:pPr>
        <w:widowControl/>
        <w:adjustRightInd w:val="0"/>
        <w:snapToGrid w:val="0"/>
        <w:spacing w:line="560" w:lineRule="exact"/>
        <w:ind w:firstLine="640" w:firstLineChars="200"/>
        <w:contextualSpacing/>
        <w:jc w:val="left"/>
        <w:outlineLvl w:val="1"/>
        <w:rPr>
          <w:rFonts w:ascii="黑体" w:hAnsi="宋体" w:eastAsia="黑体" w:cs="宋体"/>
          <w:color w:val="000000"/>
          <w:kern w:val="0"/>
          <w:sz w:val="32"/>
          <w:szCs w:val="32"/>
          <w:shd w:val="clear" w:color="auto" w:fill="FFFFFF"/>
          <w:lang w:val="zh-CN"/>
        </w:rPr>
      </w:pPr>
      <w:bookmarkStart w:id="125" w:name="_Toc7289"/>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bookmarkEnd w:id="124"/>
      <w:bookmarkEnd w:id="125"/>
    </w:p>
    <w:p w14:paraId="05279DFE">
      <w:pPr>
        <w:adjustRightInd w:val="0"/>
        <w:snapToGrid w:val="0"/>
        <w:spacing w:line="560" w:lineRule="exact"/>
        <w:ind w:firstLine="72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5BE4D717">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我校于2021年12月更名为通江县民胜初级中学，学校下设教务处，教科室，办公室，政教处、安保处、总务处、团委共七个处室。</w:t>
      </w:r>
    </w:p>
    <w:p w14:paraId="751C6192">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14:paraId="5CD82489">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1.全面贯彻党的教育方针政策，依法组织教育教学，全面实施素质教育，培养德智体美劳全面发展的社会主义接班人，努力办好人民满意教育。</w:t>
      </w:r>
    </w:p>
    <w:p w14:paraId="6AFE7768">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2.保障学校的正常教育教学、办公、生活秩序。</w:t>
      </w:r>
    </w:p>
    <w:p w14:paraId="3F37B03E">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3.管好用好国家的教育资金，改善和优化农村办学条件。</w:t>
      </w:r>
    </w:p>
    <w:p w14:paraId="5670FDE2">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4.把教育教学质量放在首位，提高教师从教幸福感，关注留守儿童健康成长，争做“四有”好老师。</w:t>
      </w:r>
    </w:p>
    <w:p w14:paraId="47C8AC41">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78851BB1">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w:t>
      </w:r>
      <w:r>
        <w:rPr>
          <w:rFonts w:ascii="仿宋_GB2312" w:hAnsi="宋体" w:eastAsia="仿宋_GB2312" w:cs="宋体"/>
          <w:color w:val="000000"/>
          <w:kern w:val="0"/>
          <w:sz w:val="32"/>
          <w:szCs w:val="32"/>
          <w:u w:color="46CD7E"/>
          <w:shd w:val="clear" w:color="auto" w:fill="FFFFFF"/>
          <w:lang w:val="zh-CN"/>
        </w:rPr>
        <w:t>.</w:t>
      </w:r>
      <w:r>
        <w:rPr>
          <w:rFonts w:hint="eastAsia" w:ascii="仿宋_GB2312" w:hAnsi="宋体" w:eastAsia="仿宋_GB2312" w:cs="宋体"/>
          <w:color w:val="000000"/>
          <w:kern w:val="0"/>
          <w:sz w:val="32"/>
          <w:szCs w:val="32"/>
          <w:shd w:val="clear" w:color="auto" w:fill="FFFFFF"/>
          <w:lang w:val="zh-CN"/>
        </w:rPr>
        <w:t>通江县民胜初级中学属全额拨款事业单位，年末我校共有编制人数69人，遗属人员7人，退休人员22人，在校学生387人。其中全额拨款事业编制69人，财政供养人员控制率100%，未超过编制。</w:t>
      </w:r>
    </w:p>
    <w:p w14:paraId="25844C97">
      <w:pPr>
        <w:widowControl/>
        <w:adjustRightInd w:val="0"/>
        <w:snapToGrid w:val="0"/>
        <w:spacing w:line="56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126" w:name="_Toc12640"/>
      <w:bookmarkStart w:id="127" w:name="_Toc4303"/>
      <w:r>
        <w:rPr>
          <w:rFonts w:hint="eastAsia" w:ascii="黑体" w:hAnsi="宋体" w:eastAsia="黑体" w:cs="宋体"/>
          <w:color w:val="000000"/>
          <w:kern w:val="0"/>
          <w:sz w:val="32"/>
          <w:szCs w:val="32"/>
          <w:shd w:val="clear" w:color="auto" w:fill="FFFFFF"/>
        </w:rPr>
        <w:t>二、部门财政资金收支情况</w:t>
      </w:r>
      <w:bookmarkEnd w:id="126"/>
      <w:bookmarkEnd w:id="127"/>
    </w:p>
    <w:p w14:paraId="5F7AF6EC">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（一）部门财政资金收入情况：2021年我校财政拨款收入为11374759.5元。</w:t>
      </w:r>
    </w:p>
    <w:p w14:paraId="0B5FB32C">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（二）部门财政资金支出情况：2021年我校共支出11374759.5元，收支持平，无结余。其中工资福利支出9932942元，商品和服务支出</w:t>
      </w:r>
      <w:r>
        <w:rPr>
          <w:rFonts w:ascii="仿宋_GB2312" w:hAnsi="宋体" w:eastAsia="仿宋_GB2312" w:cs="宋体"/>
          <w:color w:val="000000"/>
          <w:kern w:val="0"/>
          <w:sz w:val="32"/>
          <w:szCs w:val="32"/>
          <w:shd w:val="clear" w:color="auto" w:fill="FFFFFF"/>
          <w:lang w:val="zh-CN"/>
        </w:rPr>
        <w:t>816,740.00</w:t>
      </w:r>
      <w:r>
        <w:rPr>
          <w:rFonts w:hint="eastAsia" w:ascii="仿宋_GB2312" w:hAnsi="宋体" w:eastAsia="仿宋_GB2312" w:cs="宋体"/>
          <w:color w:val="000000"/>
          <w:kern w:val="0"/>
          <w:sz w:val="32"/>
          <w:szCs w:val="32"/>
          <w:shd w:val="clear" w:color="auto" w:fill="FFFFFF"/>
          <w:lang w:val="zh-CN"/>
        </w:rPr>
        <w:t>元，对个人和家庭的补助支出</w:t>
      </w:r>
      <w:r>
        <w:rPr>
          <w:rFonts w:ascii="仿宋_GB2312" w:hAnsi="宋体" w:eastAsia="仿宋_GB2312" w:cs="宋体"/>
          <w:color w:val="000000"/>
          <w:kern w:val="0"/>
          <w:sz w:val="32"/>
          <w:szCs w:val="32"/>
          <w:shd w:val="clear" w:color="auto" w:fill="FFFFFF"/>
          <w:lang w:val="zh-CN"/>
        </w:rPr>
        <w:t>545,077.50</w:t>
      </w:r>
      <w:r>
        <w:rPr>
          <w:rFonts w:hint="eastAsia" w:ascii="仿宋_GB2312" w:hAnsi="宋体" w:eastAsia="仿宋_GB2312" w:cs="宋体"/>
          <w:color w:val="000000"/>
          <w:kern w:val="0"/>
          <w:sz w:val="32"/>
          <w:szCs w:val="32"/>
          <w:shd w:val="clear" w:color="auto" w:fill="FFFFFF"/>
          <w:lang w:val="zh-CN"/>
        </w:rPr>
        <w:t>元，其他资本性支出80000.00元。</w:t>
      </w:r>
    </w:p>
    <w:p w14:paraId="716966FD">
      <w:pPr>
        <w:widowControl/>
        <w:adjustRightInd w:val="0"/>
        <w:snapToGrid w:val="0"/>
        <w:spacing w:line="56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128" w:name="_Toc23216"/>
      <w:bookmarkStart w:id="129" w:name="_Toc29983"/>
      <w:r>
        <w:rPr>
          <w:rFonts w:hint="eastAsia" w:ascii="黑体" w:hAnsi="宋体" w:eastAsia="黑体" w:cs="宋体"/>
          <w:color w:val="000000"/>
          <w:kern w:val="0"/>
          <w:sz w:val="32"/>
          <w:szCs w:val="32"/>
          <w:shd w:val="clear" w:color="auto" w:fill="FFFFFF"/>
        </w:rPr>
        <w:t>三、部门整体预算绩效管理情况</w:t>
      </w:r>
      <w:bookmarkEnd w:id="128"/>
      <w:bookmarkEnd w:id="129"/>
    </w:p>
    <w:p w14:paraId="73A0E71A">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（一）部门预算项目绩效管理。</w:t>
      </w:r>
    </w:p>
    <w:p w14:paraId="7ECEBF8F">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截止到2021年12月31日实际支出</w:t>
      </w:r>
      <w:r>
        <w:rPr>
          <w:rFonts w:ascii="仿宋_GB2312" w:hAnsi="宋体" w:eastAsia="仿宋_GB2312" w:cs="宋体"/>
          <w:color w:val="000000"/>
          <w:kern w:val="0"/>
          <w:sz w:val="32"/>
          <w:szCs w:val="32"/>
          <w:shd w:val="clear" w:color="auto" w:fill="FFFFFF"/>
          <w:lang w:val="zh-CN"/>
        </w:rPr>
        <w:t>11,374,759.50</w:t>
      </w:r>
      <w:r>
        <w:rPr>
          <w:rFonts w:hint="eastAsia" w:ascii="仿宋_GB2312" w:hAnsi="宋体" w:eastAsia="仿宋_GB2312" w:cs="宋体"/>
          <w:color w:val="000000"/>
          <w:kern w:val="0"/>
          <w:sz w:val="32"/>
          <w:szCs w:val="32"/>
          <w:shd w:val="clear" w:color="auto" w:fill="FFFFFF"/>
          <w:lang w:val="zh-CN"/>
        </w:rPr>
        <w:t>元，资金开支范围包括：</w:t>
      </w:r>
    </w:p>
    <w:p w14:paraId="5C97DF89">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w:t>
      </w:r>
      <w:r>
        <w:rPr>
          <w:rFonts w:ascii="仿宋_GB2312" w:hAnsi="宋体" w:eastAsia="仿宋_GB2312" w:cs="宋体"/>
          <w:color w:val="000000"/>
          <w:kern w:val="0"/>
          <w:sz w:val="32"/>
          <w:szCs w:val="32"/>
          <w:u w:color="46CD7E"/>
          <w:shd w:val="clear" w:color="auto" w:fill="FFFFFF"/>
          <w:lang w:val="zh-CN"/>
        </w:rPr>
        <w:t>.</w:t>
      </w:r>
      <w:r>
        <w:rPr>
          <w:rFonts w:hint="eastAsia" w:ascii="仿宋_GB2312" w:hAnsi="宋体" w:eastAsia="仿宋_GB2312" w:cs="宋体"/>
          <w:color w:val="000000"/>
          <w:kern w:val="0"/>
          <w:sz w:val="32"/>
          <w:szCs w:val="32"/>
          <w:shd w:val="clear" w:color="auto" w:fill="FFFFFF"/>
          <w:lang w:val="zh-CN"/>
        </w:rPr>
        <w:t>工资福利支出</w:t>
      </w:r>
      <w:r>
        <w:rPr>
          <w:rFonts w:ascii="仿宋_GB2312" w:hAnsi="宋体" w:eastAsia="仿宋_GB2312" w:cs="宋体"/>
          <w:color w:val="000000"/>
          <w:kern w:val="0"/>
          <w:sz w:val="32"/>
          <w:szCs w:val="32"/>
          <w:shd w:val="clear" w:color="auto" w:fill="FFFFFF"/>
          <w:lang w:val="zh-CN"/>
        </w:rPr>
        <w:t>9,932,942.00</w:t>
      </w:r>
      <w:r>
        <w:rPr>
          <w:rFonts w:hint="eastAsia" w:ascii="仿宋_GB2312" w:hAnsi="宋体" w:eastAsia="仿宋_GB2312" w:cs="宋体"/>
          <w:color w:val="000000"/>
          <w:kern w:val="0"/>
          <w:sz w:val="32"/>
          <w:szCs w:val="32"/>
          <w:shd w:val="clear" w:color="auto" w:fill="FFFFFF"/>
          <w:lang w:val="zh-CN"/>
        </w:rPr>
        <w:t>元。其中：基本工资</w:t>
      </w:r>
      <w:r>
        <w:rPr>
          <w:rFonts w:ascii="仿宋_GB2312" w:hAnsi="宋体" w:eastAsia="仿宋_GB2312" w:cs="宋体"/>
          <w:color w:val="000000"/>
          <w:kern w:val="0"/>
          <w:sz w:val="32"/>
          <w:szCs w:val="32"/>
          <w:shd w:val="clear" w:color="auto" w:fill="FFFFFF"/>
          <w:lang w:val="zh-CN"/>
        </w:rPr>
        <w:t>3,871,720.00</w:t>
      </w:r>
      <w:r>
        <w:rPr>
          <w:rFonts w:hint="eastAsia" w:ascii="仿宋_GB2312" w:hAnsi="宋体" w:eastAsia="仿宋_GB2312" w:cs="宋体"/>
          <w:color w:val="000000"/>
          <w:kern w:val="0"/>
          <w:sz w:val="32"/>
          <w:szCs w:val="32"/>
          <w:shd w:val="clear" w:color="auto" w:fill="FFFFFF"/>
          <w:lang w:val="zh-CN"/>
        </w:rPr>
        <w:t>元；津贴补贴</w:t>
      </w:r>
      <w:r>
        <w:rPr>
          <w:rFonts w:ascii="仿宋_GB2312" w:hAnsi="宋体" w:eastAsia="仿宋_GB2312" w:cs="宋体"/>
          <w:color w:val="000000"/>
          <w:kern w:val="0"/>
          <w:sz w:val="32"/>
          <w:szCs w:val="32"/>
          <w:shd w:val="clear" w:color="auto" w:fill="FFFFFF"/>
          <w:lang w:val="zh-CN"/>
        </w:rPr>
        <w:t>745,306.00</w:t>
      </w:r>
      <w:r>
        <w:rPr>
          <w:rFonts w:hint="eastAsia" w:ascii="仿宋_GB2312" w:hAnsi="宋体" w:eastAsia="仿宋_GB2312" w:cs="宋体"/>
          <w:color w:val="000000"/>
          <w:kern w:val="0"/>
          <w:sz w:val="32"/>
          <w:szCs w:val="32"/>
          <w:shd w:val="clear" w:color="auto" w:fill="FFFFFF"/>
          <w:lang w:val="zh-CN"/>
        </w:rPr>
        <w:t>元；绩效工资</w:t>
      </w:r>
      <w:r>
        <w:rPr>
          <w:rFonts w:ascii="仿宋_GB2312" w:hAnsi="宋体" w:eastAsia="仿宋_GB2312" w:cs="宋体"/>
          <w:color w:val="000000"/>
          <w:kern w:val="0"/>
          <w:sz w:val="32"/>
          <w:szCs w:val="32"/>
          <w:shd w:val="clear" w:color="auto" w:fill="FFFFFF"/>
          <w:lang w:val="zh-CN"/>
        </w:rPr>
        <w:t>2,956,845.00</w:t>
      </w:r>
      <w:r>
        <w:rPr>
          <w:rFonts w:hint="eastAsia" w:ascii="仿宋_GB2312" w:hAnsi="宋体" w:eastAsia="仿宋_GB2312" w:cs="宋体"/>
          <w:color w:val="000000"/>
          <w:kern w:val="0"/>
          <w:sz w:val="32"/>
          <w:szCs w:val="32"/>
          <w:shd w:val="clear" w:color="auto" w:fill="FFFFFF"/>
          <w:lang w:val="zh-CN"/>
        </w:rPr>
        <w:t>元；养老保险</w:t>
      </w:r>
      <w:r>
        <w:rPr>
          <w:rFonts w:ascii="仿宋_GB2312" w:hAnsi="宋体" w:eastAsia="仿宋_GB2312" w:cs="宋体"/>
          <w:color w:val="000000"/>
          <w:kern w:val="0"/>
          <w:sz w:val="32"/>
          <w:szCs w:val="32"/>
          <w:shd w:val="clear" w:color="auto" w:fill="FFFFFF"/>
          <w:lang w:val="zh-CN"/>
        </w:rPr>
        <w:t>989,803.00</w:t>
      </w:r>
      <w:r>
        <w:rPr>
          <w:rFonts w:hint="eastAsia" w:ascii="仿宋_GB2312" w:hAnsi="宋体" w:eastAsia="仿宋_GB2312" w:cs="宋体"/>
          <w:color w:val="000000"/>
          <w:kern w:val="0"/>
          <w:sz w:val="32"/>
          <w:szCs w:val="32"/>
          <w:shd w:val="clear" w:color="auto" w:fill="FFFFFF"/>
          <w:lang w:val="zh-CN"/>
        </w:rPr>
        <w:t>元；医疗保险</w:t>
      </w:r>
      <w:r>
        <w:rPr>
          <w:rFonts w:ascii="仿宋_GB2312" w:hAnsi="宋体" w:eastAsia="仿宋_GB2312" w:cs="宋体"/>
          <w:color w:val="000000"/>
          <w:kern w:val="0"/>
          <w:sz w:val="32"/>
          <w:szCs w:val="32"/>
          <w:shd w:val="clear" w:color="auto" w:fill="FFFFFF"/>
          <w:lang w:val="zh-CN"/>
        </w:rPr>
        <w:t>558,875.00</w:t>
      </w:r>
      <w:r>
        <w:rPr>
          <w:rFonts w:hint="eastAsia" w:ascii="仿宋_GB2312" w:hAnsi="宋体" w:eastAsia="仿宋_GB2312" w:cs="宋体"/>
          <w:color w:val="000000"/>
          <w:kern w:val="0"/>
          <w:sz w:val="32"/>
          <w:szCs w:val="32"/>
          <w:shd w:val="clear" w:color="auto" w:fill="FFFFFF"/>
          <w:lang w:val="zh-CN"/>
        </w:rPr>
        <w:t>元；其他社会保障缴费</w:t>
      </w:r>
      <w:r>
        <w:rPr>
          <w:rFonts w:ascii="仿宋_GB2312" w:hAnsi="宋体" w:eastAsia="仿宋_GB2312" w:cs="宋体"/>
          <w:color w:val="000000"/>
          <w:kern w:val="0"/>
          <w:sz w:val="32"/>
          <w:szCs w:val="32"/>
          <w:shd w:val="clear" w:color="auto" w:fill="FFFFFF"/>
          <w:lang w:val="zh-CN"/>
        </w:rPr>
        <w:t>68,050.00</w:t>
      </w:r>
      <w:r>
        <w:rPr>
          <w:rFonts w:hint="eastAsia" w:ascii="仿宋_GB2312" w:hAnsi="宋体" w:eastAsia="仿宋_GB2312" w:cs="宋体"/>
          <w:color w:val="000000"/>
          <w:kern w:val="0"/>
          <w:sz w:val="32"/>
          <w:szCs w:val="32"/>
          <w:shd w:val="clear" w:color="auto" w:fill="FFFFFF"/>
          <w:lang w:val="zh-CN"/>
        </w:rPr>
        <w:t>；住房公积金</w:t>
      </w:r>
      <w:r>
        <w:rPr>
          <w:rFonts w:ascii="仿宋_GB2312" w:hAnsi="宋体" w:eastAsia="仿宋_GB2312" w:cs="宋体"/>
          <w:color w:val="000000"/>
          <w:kern w:val="0"/>
          <w:sz w:val="32"/>
          <w:szCs w:val="32"/>
          <w:shd w:val="clear" w:color="auto" w:fill="FFFFFF"/>
          <w:lang w:val="zh-CN"/>
        </w:rPr>
        <w:t>742,343.00</w:t>
      </w:r>
      <w:r>
        <w:rPr>
          <w:rFonts w:hint="eastAsia" w:ascii="仿宋_GB2312" w:hAnsi="宋体" w:eastAsia="仿宋_GB2312" w:cs="宋体"/>
          <w:color w:val="000000"/>
          <w:kern w:val="0"/>
          <w:sz w:val="32"/>
          <w:szCs w:val="32"/>
          <w:shd w:val="clear" w:color="auto" w:fill="FFFFFF"/>
          <w:lang w:val="zh-CN"/>
        </w:rPr>
        <w:t>元。</w:t>
      </w:r>
    </w:p>
    <w:p w14:paraId="49677E15">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_GB2312" w:hAnsi="宋体" w:eastAsia="仿宋_GB2312" w:cs="宋体"/>
          <w:color w:val="000000"/>
          <w:kern w:val="0"/>
          <w:sz w:val="32"/>
          <w:szCs w:val="32"/>
          <w:shd w:val="clear" w:color="auto" w:fill="FFFFFF"/>
          <w:lang w:val="zh-CN"/>
        </w:rPr>
        <w:t>2.</w:t>
      </w:r>
      <w:r>
        <w:rPr>
          <w:rFonts w:hint="eastAsia" w:ascii="仿宋_GB2312" w:hAnsi="宋体" w:eastAsia="仿宋_GB2312" w:cs="宋体"/>
          <w:color w:val="000000"/>
          <w:kern w:val="0"/>
          <w:sz w:val="32"/>
          <w:szCs w:val="32"/>
          <w:shd w:val="clear" w:color="auto" w:fill="FFFFFF"/>
          <w:lang w:val="zh-CN"/>
        </w:rPr>
        <w:t>商品和服务支出</w:t>
      </w:r>
      <w:r>
        <w:rPr>
          <w:rFonts w:ascii="仿宋_GB2312" w:hAnsi="宋体" w:eastAsia="仿宋_GB2312" w:cs="宋体"/>
          <w:color w:val="000000"/>
          <w:kern w:val="0"/>
          <w:sz w:val="32"/>
          <w:szCs w:val="32"/>
          <w:shd w:val="clear" w:color="auto" w:fill="FFFFFF"/>
          <w:lang w:val="zh-CN"/>
        </w:rPr>
        <w:t>816,740.00</w:t>
      </w:r>
      <w:r>
        <w:rPr>
          <w:rFonts w:hint="eastAsia" w:ascii="仿宋_GB2312" w:hAnsi="宋体" w:eastAsia="仿宋_GB2312" w:cs="宋体"/>
          <w:color w:val="000000"/>
          <w:kern w:val="0"/>
          <w:sz w:val="32"/>
          <w:szCs w:val="32"/>
          <w:shd w:val="clear" w:color="auto" w:fill="FFFFFF"/>
          <w:lang w:val="zh-CN"/>
        </w:rPr>
        <w:t>元。其中：公务接待费</w:t>
      </w:r>
      <w:r>
        <w:rPr>
          <w:rFonts w:ascii="仿宋_GB2312" w:hAnsi="宋体" w:eastAsia="仿宋_GB2312" w:cs="宋体"/>
          <w:color w:val="000000"/>
          <w:kern w:val="0"/>
          <w:sz w:val="32"/>
          <w:szCs w:val="32"/>
          <w:shd w:val="clear" w:color="auto" w:fill="FFFFFF"/>
          <w:lang w:val="zh-CN"/>
        </w:rPr>
        <w:t>13,000.00</w:t>
      </w:r>
      <w:r>
        <w:rPr>
          <w:rFonts w:hint="eastAsia" w:ascii="仿宋_GB2312" w:hAnsi="宋体" w:eastAsia="仿宋_GB2312" w:cs="宋体"/>
          <w:color w:val="000000"/>
          <w:kern w:val="0"/>
          <w:sz w:val="32"/>
          <w:szCs w:val="32"/>
          <w:shd w:val="clear" w:color="auto" w:fill="FFFFFF"/>
          <w:lang w:val="zh-CN"/>
        </w:rPr>
        <w:t>元；工会经费</w:t>
      </w:r>
      <w:r>
        <w:rPr>
          <w:rFonts w:ascii="仿宋_GB2312" w:hAnsi="宋体" w:eastAsia="仿宋_GB2312" w:cs="宋体"/>
          <w:color w:val="000000"/>
          <w:kern w:val="0"/>
          <w:sz w:val="32"/>
          <w:szCs w:val="32"/>
          <w:shd w:val="clear" w:color="auto" w:fill="FFFFFF"/>
          <w:lang w:val="zh-CN"/>
        </w:rPr>
        <w:t>45,333.00</w:t>
      </w:r>
      <w:r>
        <w:rPr>
          <w:rFonts w:hint="eastAsia" w:ascii="仿宋_GB2312" w:hAnsi="宋体" w:eastAsia="仿宋_GB2312" w:cs="宋体"/>
          <w:color w:val="000000"/>
          <w:kern w:val="0"/>
          <w:sz w:val="32"/>
          <w:szCs w:val="32"/>
          <w:shd w:val="clear" w:color="auto" w:fill="FFFFFF"/>
          <w:lang w:val="zh-CN"/>
        </w:rPr>
        <w:t>元；福利费</w:t>
      </w:r>
      <w:r>
        <w:rPr>
          <w:rFonts w:ascii="仿宋_GB2312" w:hAnsi="宋体" w:eastAsia="仿宋_GB2312" w:cs="宋体"/>
          <w:color w:val="000000"/>
          <w:kern w:val="0"/>
          <w:sz w:val="32"/>
          <w:szCs w:val="32"/>
          <w:shd w:val="clear" w:color="auto" w:fill="FFFFFF"/>
          <w:lang w:val="zh-CN"/>
        </w:rPr>
        <w:t>56,664.00</w:t>
      </w:r>
      <w:r>
        <w:rPr>
          <w:rFonts w:hint="eastAsia" w:ascii="仿宋_GB2312" w:hAnsi="宋体" w:eastAsia="仿宋_GB2312" w:cs="宋体"/>
          <w:color w:val="000000"/>
          <w:kern w:val="0"/>
          <w:sz w:val="32"/>
          <w:szCs w:val="32"/>
          <w:shd w:val="clear" w:color="auto" w:fill="FFFFFF"/>
          <w:lang w:val="zh-CN"/>
        </w:rPr>
        <w:t>元。</w:t>
      </w:r>
    </w:p>
    <w:p w14:paraId="225CDA60">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_GB2312" w:hAnsi="宋体" w:eastAsia="仿宋_GB2312" w:cs="宋体"/>
          <w:color w:val="000000"/>
          <w:kern w:val="0"/>
          <w:sz w:val="32"/>
          <w:szCs w:val="32"/>
          <w:shd w:val="clear" w:color="auto" w:fill="FFFFFF"/>
          <w:lang w:val="zh-CN"/>
        </w:rPr>
        <w:t>3.</w:t>
      </w:r>
      <w:r>
        <w:rPr>
          <w:rFonts w:hint="eastAsia" w:ascii="仿宋_GB2312" w:hAnsi="宋体" w:eastAsia="仿宋_GB2312" w:cs="宋体"/>
          <w:color w:val="000000"/>
          <w:kern w:val="0"/>
          <w:sz w:val="32"/>
          <w:szCs w:val="32"/>
          <w:shd w:val="clear" w:color="auto" w:fill="FFFFFF"/>
          <w:lang w:val="zh-CN"/>
        </w:rPr>
        <w:t>对个人和家庭的补助支出</w:t>
      </w:r>
      <w:r>
        <w:rPr>
          <w:rFonts w:ascii="仿宋_GB2312" w:hAnsi="宋体" w:eastAsia="仿宋_GB2312" w:cs="宋体"/>
          <w:color w:val="000000"/>
          <w:kern w:val="0"/>
          <w:sz w:val="32"/>
          <w:szCs w:val="32"/>
          <w:shd w:val="clear" w:color="auto" w:fill="FFFFFF"/>
          <w:lang w:val="zh-CN"/>
        </w:rPr>
        <w:t>545,077.50</w:t>
      </w:r>
      <w:r>
        <w:rPr>
          <w:rFonts w:hint="eastAsia" w:ascii="仿宋_GB2312" w:hAnsi="宋体" w:eastAsia="仿宋_GB2312" w:cs="宋体"/>
          <w:color w:val="000000"/>
          <w:kern w:val="0"/>
          <w:sz w:val="32"/>
          <w:szCs w:val="32"/>
          <w:shd w:val="clear" w:color="auto" w:fill="FFFFFF"/>
          <w:lang w:val="zh-CN"/>
        </w:rPr>
        <w:t>元。其中：生活补助</w:t>
      </w:r>
      <w:r>
        <w:rPr>
          <w:rFonts w:ascii="仿宋_GB2312" w:hAnsi="宋体" w:eastAsia="仿宋_GB2312" w:cs="宋体"/>
          <w:color w:val="000000"/>
          <w:kern w:val="0"/>
          <w:sz w:val="32"/>
          <w:szCs w:val="32"/>
          <w:shd w:val="clear" w:color="auto" w:fill="FFFFFF"/>
          <w:lang w:val="zh-CN"/>
        </w:rPr>
        <w:t>409,140.00</w:t>
      </w:r>
      <w:r>
        <w:rPr>
          <w:rFonts w:hint="eastAsia" w:ascii="仿宋_GB2312" w:hAnsi="宋体" w:eastAsia="仿宋_GB2312" w:cs="宋体"/>
          <w:color w:val="000000"/>
          <w:kern w:val="0"/>
          <w:sz w:val="32"/>
          <w:szCs w:val="32"/>
          <w:shd w:val="clear" w:color="auto" w:fill="FFFFFF"/>
          <w:lang w:val="zh-CN"/>
        </w:rPr>
        <w:t>元；助学金</w:t>
      </w:r>
      <w:r>
        <w:rPr>
          <w:rFonts w:ascii="仿宋_GB2312" w:hAnsi="宋体" w:eastAsia="仿宋_GB2312" w:cs="宋体"/>
          <w:color w:val="000000"/>
          <w:kern w:val="0"/>
          <w:sz w:val="32"/>
          <w:szCs w:val="32"/>
          <w:shd w:val="clear" w:color="auto" w:fill="FFFFFF"/>
          <w:lang w:val="zh-CN"/>
        </w:rPr>
        <w:t>135,937.50</w:t>
      </w:r>
      <w:r>
        <w:rPr>
          <w:rFonts w:hint="eastAsia" w:ascii="仿宋_GB2312" w:hAnsi="宋体" w:eastAsia="仿宋_GB2312" w:cs="宋体"/>
          <w:color w:val="000000"/>
          <w:kern w:val="0"/>
          <w:sz w:val="32"/>
          <w:szCs w:val="32"/>
          <w:shd w:val="clear" w:color="auto" w:fill="FFFFFF"/>
          <w:lang w:val="zh-CN"/>
        </w:rPr>
        <w:t>元。</w:t>
      </w:r>
    </w:p>
    <w:p w14:paraId="5F325A2F">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_GB2312" w:hAnsi="宋体" w:eastAsia="仿宋_GB2312" w:cs="宋体"/>
          <w:color w:val="000000"/>
          <w:kern w:val="0"/>
          <w:sz w:val="32"/>
          <w:szCs w:val="32"/>
          <w:shd w:val="clear" w:color="auto" w:fill="FFFFFF"/>
          <w:lang w:val="zh-CN"/>
        </w:rPr>
        <w:t>4</w:t>
      </w:r>
      <w:r>
        <w:rPr>
          <w:rFonts w:ascii="仿宋_GB2312" w:hAnsi="宋体" w:eastAsia="仿宋_GB2312" w:cs="宋体"/>
          <w:color w:val="000000"/>
          <w:kern w:val="0"/>
          <w:sz w:val="32"/>
          <w:szCs w:val="32"/>
          <w:u w:color="46CD7E"/>
          <w:shd w:val="clear" w:color="auto" w:fill="FFFFFF"/>
          <w:lang w:val="zh-CN"/>
        </w:rPr>
        <w:t>.</w:t>
      </w:r>
      <w:r>
        <w:rPr>
          <w:rFonts w:hint="eastAsia" w:ascii="仿宋_GB2312" w:hAnsi="宋体" w:eastAsia="仿宋_GB2312" w:cs="宋体"/>
          <w:color w:val="000000"/>
          <w:kern w:val="0"/>
          <w:sz w:val="32"/>
          <w:szCs w:val="32"/>
          <w:shd w:val="clear" w:color="auto" w:fill="FFFFFF"/>
          <w:lang w:val="zh-CN"/>
        </w:rPr>
        <w:t>资本性支出80000.00元</w:t>
      </w:r>
      <w:r>
        <w:t>，</w:t>
      </w:r>
      <w:r>
        <w:rPr>
          <w:rFonts w:hint="eastAsia" w:ascii="仿宋_GB2312" w:hAnsi="宋体" w:eastAsia="仿宋_GB2312" w:cs="宋体"/>
          <w:color w:val="000000"/>
          <w:kern w:val="0"/>
          <w:sz w:val="32"/>
          <w:szCs w:val="32"/>
          <w:shd w:val="clear" w:color="auto" w:fill="FFFFFF"/>
          <w:lang w:val="zh-CN"/>
        </w:rPr>
        <w:t>主要用于校舍维修。</w:t>
      </w:r>
    </w:p>
    <w:p w14:paraId="29BA9797">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支付进度为100%，支付依据合法合规，资金支付与年初预算相符。</w:t>
      </w:r>
    </w:p>
    <w:p w14:paraId="76563F83">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65CF859D">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根据2021年度自评结果情况，我校充分运用现有考核机制，办人民满意的教育。</w:t>
      </w:r>
    </w:p>
    <w:p w14:paraId="6545D025">
      <w:pPr>
        <w:widowControl/>
        <w:numPr>
          <w:ilvl w:val="0"/>
          <w:numId w:val="4"/>
        </w:numPr>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自评质量</w:t>
      </w:r>
    </w:p>
    <w:p w14:paraId="424EFBCD">
      <w:pPr>
        <w:widowControl/>
        <w:adjustRightInd w:val="0"/>
        <w:snapToGrid w:val="0"/>
        <w:spacing w:line="56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我单位2021年整体支出自评质量为“优”。</w:t>
      </w:r>
    </w:p>
    <w:p w14:paraId="6B1EB193">
      <w:pPr>
        <w:widowControl/>
        <w:adjustRightInd w:val="0"/>
        <w:snapToGrid w:val="0"/>
        <w:spacing w:line="56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130" w:name="_Toc13942"/>
      <w:bookmarkStart w:id="131" w:name="_Toc16813"/>
      <w:r>
        <w:rPr>
          <w:rFonts w:hint="eastAsia" w:ascii="黑体" w:hAnsi="宋体" w:eastAsia="黑体" w:cs="宋体"/>
          <w:color w:val="000000"/>
          <w:kern w:val="0"/>
          <w:sz w:val="32"/>
          <w:szCs w:val="32"/>
          <w:shd w:val="clear" w:color="auto" w:fill="FFFFFF"/>
        </w:rPr>
        <w:t>四、评价结论及建议</w:t>
      </w:r>
      <w:bookmarkEnd w:id="130"/>
      <w:bookmarkEnd w:id="131"/>
    </w:p>
    <w:p w14:paraId="138F46E5">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7A9F87A5">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我单位支出绩效总体良好，各项目标达到了相应执行进度，各项目经费按预算实施，使财政收支预算执行得到了良好的制度保障和实施效果。</w:t>
      </w:r>
    </w:p>
    <w:p w14:paraId="5523B795">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（二）存在问题。1.目前通江县民胜初级中学只有69个编制，同时临近退休的老教师较多，为了完成目标工作任务，学校人员显得比较紧张。</w:t>
      </w:r>
    </w:p>
    <w:p w14:paraId="5646A5AC">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w:t>
      </w:r>
      <w:r>
        <w:rPr>
          <w:rFonts w:ascii="仿宋_GB2312" w:hAnsi="宋体" w:eastAsia="仿宋_GB2312" w:cs="宋体"/>
          <w:color w:val="000000"/>
          <w:kern w:val="0"/>
          <w:sz w:val="32"/>
          <w:szCs w:val="32"/>
          <w:u w:color="46CD7E"/>
          <w:shd w:val="clear" w:color="auto" w:fill="FFFFFF"/>
          <w:lang w:val="zh-CN"/>
        </w:rPr>
        <w:t>.</w:t>
      </w:r>
      <w:r>
        <w:rPr>
          <w:rFonts w:hint="eastAsia" w:ascii="仿宋_GB2312" w:hAnsi="宋体" w:eastAsia="仿宋_GB2312" w:cs="宋体"/>
          <w:color w:val="000000"/>
          <w:kern w:val="0"/>
          <w:sz w:val="32"/>
          <w:szCs w:val="32"/>
          <w:shd w:val="clear" w:color="auto" w:fill="FFFFFF"/>
          <w:lang w:val="zh-CN"/>
        </w:rPr>
        <w:t>因下乡扶贫次数要求多，差旅经费严重不足。</w:t>
      </w:r>
    </w:p>
    <w:p w14:paraId="6F4E8974">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32FC1C68">
      <w:pPr>
        <w:widowControl/>
        <w:adjustRightInd w:val="0"/>
        <w:snapToGrid w:val="0"/>
        <w:spacing w:line="56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w:t>
      </w:r>
      <w:r>
        <w:rPr>
          <w:rFonts w:ascii="仿宋_GB2312" w:hAnsi="宋体" w:eastAsia="仿宋_GB2312" w:cs="宋体"/>
          <w:color w:val="000000"/>
          <w:kern w:val="0"/>
          <w:sz w:val="32"/>
          <w:szCs w:val="32"/>
          <w:u w:color="46CD7E"/>
          <w:shd w:val="clear" w:color="auto" w:fill="FFFFFF"/>
          <w:lang w:val="zh-CN"/>
        </w:rPr>
        <w:t>.</w:t>
      </w:r>
      <w:r>
        <w:rPr>
          <w:rFonts w:hint="eastAsia" w:ascii="仿宋_GB2312" w:hAnsi="宋体" w:eastAsia="仿宋_GB2312" w:cs="宋体"/>
          <w:color w:val="000000"/>
          <w:kern w:val="0"/>
          <w:sz w:val="32"/>
          <w:szCs w:val="32"/>
          <w:shd w:val="clear" w:color="auto" w:fill="FFFFFF"/>
          <w:lang w:val="zh-CN"/>
        </w:rPr>
        <w:t>补充年轻教师；2</w:t>
      </w:r>
      <w:r>
        <w:rPr>
          <w:rFonts w:ascii="仿宋_GB2312" w:hAnsi="宋体" w:eastAsia="仿宋_GB2312" w:cs="宋体"/>
          <w:color w:val="000000"/>
          <w:kern w:val="0"/>
          <w:sz w:val="32"/>
          <w:szCs w:val="32"/>
          <w:u w:color="46CD7E"/>
          <w:shd w:val="clear" w:color="auto" w:fill="FFFFFF"/>
          <w:lang w:val="zh-CN"/>
        </w:rPr>
        <w:t>.</w:t>
      </w:r>
      <w:r>
        <w:rPr>
          <w:rFonts w:hint="eastAsia" w:ascii="仿宋_GB2312" w:hAnsi="宋体" w:eastAsia="仿宋_GB2312" w:cs="宋体"/>
          <w:color w:val="000000"/>
          <w:kern w:val="0"/>
          <w:sz w:val="32"/>
          <w:szCs w:val="32"/>
          <w:shd w:val="clear" w:color="auto" w:fill="FFFFFF"/>
          <w:lang w:val="zh-CN"/>
        </w:rPr>
        <w:t>科学合理制定绩效目标及考核体系，充分发挥绩效工作效用。</w:t>
      </w:r>
    </w:p>
    <w:p w14:paraId="0CDA7F9A">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p>
    <w:bookmarkEnd w:id="117"/>
    <w:p w14:paraId="051D56D3">
      <w:pPr>
        <w:spacing w:line="640" w:lineRule="exact"/>
        <w:rPr>
          <w:rFonts w:eastAsia="仿宋"/>
          <w:sz w:val="32"/>
          <w:szCs w:val="32"/>
        </w:rPr>
      </w:pP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0B1E8D1">
        <w:pPr>
          <w:pStyle w:val="17"/>
          <w:jc w:val="center"/>
        </w:pPr>
        <w:r>
          <w:fldChar w:fldCharType="begin"/>
        </w:r>
        <w:r>
          <w:instrText xml:space="preserve">PAGE   \* MERGEFORMAT</w:instrText>
        </w:r>
        <w:r>
          <w:fldChar w:fldCharType="separate"/>
        </w:r>
        <w:r>
          <w:rPr>
            <w:lang w:val="zh-CN"/>
          </w:rPr>
          <w:t>17</w:t>
        </w:r>
        <w:r>
          <w:rPr>
            <w:lang w:val="zh-CN"/>
          </w:rPr>
          <w:fldChar w:fldCharType="end"/>
        </w:r>
      </w:p>
    </w:sdtContent>
  </w:sdt>
  <w:p w14:paraId="743D901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061">
    <w:pPr>
      <w:pStyle w:val="17"/>
      <w:ind w:firstLine="3960" w:firstLineChars="2200"/>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A9AF">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03B7E"/>
    <w:multiLevelType w:val="singleLevel"/>
    <w:tmpl w:val="16E03B7E"/>
    <w:lvl w:ilvl="0" w:tentative="0">
      <w:start w:val="3"/>
      <w:numFmt w:val="chineseCounting"/>
      <w:suff w:val="nothing"/>
      <w:lvlText w:val="（%1）"/>
      <w:lvlJc w:val="left"/>
      <w:rPr>
        <w:rFonts w:hint="eastAsia"/>
      </w:rPr>
    </w:lvl>
  </w:abstractNum>
  <w:abstractNum w:abstractNumId="1">
    <w:nsid w:val="20E40DC9"/>
    <w:multiLevelType w:val="singleLevel"/>
    <w:tmpl w:val="20E40DC9"/>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450B7242"/>
    <w:multiLevelType w:val="multilevel"/>
    <w:tmpl w:val="450B7242"/>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49D427C"/>
    <w:multiLevelType w:val="singleLevel"/>
    <w:tmpl w:val="549D427C"/>
    <w:lvl w:ilvl="0" w:tentative="0">
      <w:start w:val="9"/>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1YTljNDkwMTM1ZTlkODQ2YTgwNGUxZDg0YTNhNzUifQ=="/>
  </w:docVars>
  <w:rsids>
    <w:rsidRoot w:val="00C1239A"/>
    <w:rsid w:val="00042089"/>
    <w:rsid w:val="001756DD"/>
    <w:rsid w:val="001F42BD"/>
    <w:rsid w:val="00215C86"/>
    <w:rsid w:val="0023526A"/>
    <w:rsid w:val="003A5308"/>
    <w:rsid w:val="00462BE1"/>
    <w:rsid w:val="006F50DD"/>
    <w:rsid w:val="008872AB"/>
    <w:rsid w:val="00997177"/>
    <w:rsid w:val="00A766CD"/>
    <w:rsid w:val="00BD6B7E"/>
    <w:rsid w:val="00C1239A"/>
    <w:rsid w:val="00C82894"/>
    <w:rsid w:val="00D81299"/>
    <w:rsid w:val="00F50E9B"/>
    <w:rsid w:val="44975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3"/>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5"/>
    <w:qFormat/>
    <w:uiPriority w:val="99"/>
    <w:pPr>
      <w:tabs>
        <w:tab w:val="center" w:pos="4153"/>
        <w:tab w:val="right" w:pos="8306"/>
      </w:tabs>
      <w:snapToGrid w:val="0"/>
      <w:jc w:val="left"/>
    </w:pPr>
    <w:rPr>
      <w:sz w:val="18"/>
      <w:szCs w:val="18"/>
    </w:rPr>
  </w:style>
  <w:style w:type="paragraph" w:styleId="6">
    <w:name w:val="header"/>
    <w:basedOn w:val="1"/>
    <w:link w:val="44"/>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9"/>
    <w:link w:val="13"/>
    <w:qFormat/>
    <w:uiPriority w:val="9"/>
    <w:rPr>
      <w:rFonts w:ascii="Times New Roman" w:hAnsi="Times New Roman"/>
      <w:b/>
      <w:bCs/>
      <w:kern w:val="44"/>
      <w:sz w:val="44"/>
      <w:szCs w:val="44"/>
    </w:rPr>
  </w:style>
  <w:style w:type="character" w:customStyle="1" w:styleId="31">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9"/>
    <w:semiHidden/>
    <w:qFormat/>
    <w:uiPriority w:val="99"/>
    <w:rPr>
      <w:rFonts w:ascii="Times New Roman" w:hAnsi="Times New Roman"/>
      <w:kern w:val="2"/>
      <w:sz w:val="18"/>
      <w:szCs w:val="18"/>
    </w:rPr>
  </w:style>
  <w:style w:type="character" w:customStyle="1" w:styleId="34">
    <w:name w:val="标题 3 Char"/>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character" w:customStyle="1" w:styleId="39">
    <w:name w:val="font41"/>
    <w:basedOn w:val="9"/>
    <w:qFormat/>
    <w:uiPriority w:val="0"/>
    <w:rPr>
      <w:rFonts w:hint="eastAsia" w:ascii="宋体" w:hAnsi="宋体" w:eastAsia="宋体" w:cs="宋体"/>
      <w:color w:val="000000"/>
      <w:sz w:val="32"/>
      <w:szCs w:val="32"/>
      <w:u w:val="none"/>
    </w:rPr>
  </w:style>
  <w:style w:type="character" w:customStyle="1" w:styleId="40">
    <w:name w:val="font51"/>
    <w:basedOn w:val="9"/>
    <w:qFormat/>
    <w:uiPriority w:val="0"/>
    <w:rPr>
      <w:rFonts w:hint="eastAsia" w:ascii="宋体" w:hAnsi="宋体" w:eastAsia="宋体" w:cs="宋体"/>
      <w:color w:val="000000"/>
      <w:sz w:val="20"/>
      <w:szCs w:val="20"/>
      <w:u w:val="none"/>
    </w:rPr>
  </w:style>
  <w:style w:type="paragraph" w:customStyle="1" w:styleId="41">
    <w:name w:val="WPSOffice手动目录 1"/>
    <w:uiPriority w:val="0"/>
    <w:rPr>
      <w:rFonts w:ascii="Times New Roman" w:hAnsi="Times New Roman" w:eastAsia="宋体" w:cs="Times New Roman"/>
      <w:lang w:val="en-US" w:eastAsia="zh-CN" w:bidi="ar-SA"/>
    </w:rPr>
  </w:style>
  <w:style w:type="paragraph" w:customStyle="1" w:styleId="42">
    <w:name w:val="WPSOffice手动目录 2"/>
    <w:uiPriority w:val="0"/>
    <w:pPr>
      <w:ind w:left="200" w:leftChars="200"/>
    </w:pPr>
    <w:rPr>
      <w:rFonts w:ascii="Times New Roman" w:hAnsi="Times New Roman" w:eastAsia="宋体" w:cs="Times New Roman"/>
      <w:lang w:val="en-US" w:eastAsia="zh-CN" w:bidi="ar-SA"/>
    </w:rPr>
  </w:style>
  <w:style w:type="character" w:customStyle="1" w:styleId="43">
    <w:name w:val="批注文字 字符"/>
    <w:basedOn w:val="9"/>
    <w:link w:val="2"/>
    <w:semiHidden/>
    <w:uiPriority w:val="99"/>
    <w:rPr>
      <w:kern w:val="2"/>
      <w:sz w:val="21"/>
      <w:szCs w:val="24"/>
    </w:rPr>
  </w:style>
  <w:style w:type="character" w:customStyle="1" w:styleId="44">
    <w:name w:val="页眉 字符"/>
    <w:basedOn w:val="9"/>
    <w:link w:val="6"/>
    <w:semiHidden/>
    <w:uiPriority w:val="99"/>
    <w:rPr>
      <w:kern w:val="2"/>
      <w:sz w:val="18"/>
      <w:szCs w:val="18"/>
    </w:rPr>
  </w:style>
  <w:style w:type="character" w:customStyle="1" w:styleId="45">
    <w:name w:val="页脚 字符"/>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28724672228844"/>
                      <c:h val="0.13941236068895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1137.48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extLst>
      <c:ext uri="{0b15fc19-7d7d-44ad-8c2d-2c3a37ce22c3}">
        <chartProps xmlns="https://web.wps.cn/et/2018/main" chartId="{916fe800-ca97-4c2e-a911-7e64d9ddb23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2021年支出决算结构图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1060.8</c:v>
                </c:pt>
                <c:pt idx="1">
                  <c:v>76.67</c:v>
                </c:pt>
                <c:pt idx="2">
                  <c:v>0</c:v>
                </c:pt>
                <c:pt idx="3">
                  <c:v>0</c:v>
                </c:pt>
                <c:pt idx="4">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fabd1fc-7bb9-4a3c-b1f0-9d947d9cf2d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1137.48</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1143.1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139640832"/>
        <c:axId val="13964275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139640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642752"/>
        <c:crosses val="autoZero"/>
        <c:auto val="1"/>
        <c:lblAlgn val="ctr"/>
        <c:lblOffset val="100"/>
        <c:noMultiLvlLbl val="0"/>
      </c:catAx>
      <c:valAx>
        <c:axId val="139642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640832"/>
        <c:crosses val="autoZero"/>
        <c:crossBetween val="between"/>
      </c:valAx>
      <c:spPr>
        <a:noFill/>
        <a:ln>
          <a:noFill/>
        </a:ln>
        <a:effectLst/>
      </c:spPr>
    </c:plotArea>
    <c:legend>
      <c:legendPos val="b"/>
      <c:layout>
        <c:manualLayout>
          <c:xMode val="edge"/>
          <c:yMode val="edge"/>
          <c:x val="0.266125"/>
          <c:y val="0.924166666666667"/>
          <c:w val="0.55137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d42b3c4-2173-44b2-b2af-14f353a45ff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896.87</c:v>
                </c:pt>
                <c:pt idx="1">
                  <c:v>108.98</c:v>
                </c:pt>
                <c:pt idx="2">
                  <c:v>55.89</c:v>
                </c:pt>
                <c:pt idx="3">
                  <c:v>1.5</c:v>
                </c:pt>
                <c:pt idx="4">
                  <c:v>74.23</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4cada29-11e3-4e45-b9da-924238c9d03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cp:revision>
  <cp:lastPrinted>2022-08-06T02:23:00Z</cp:lastPrinted>
  <dcterms:created xsi:type="dcterms:W3CDTF">2020-08-05T01:49:00Z</dcterms:created>
  <dcterms:modified xsi:type="dcterms:W3CDTF">2022-11-14T06:48:12Z</dcterms:modified>
</cp:coreProperties>
</file>

<file path=customXml/item4.xml><?xml version="1.0" encoding="utf-8"?>
<Properties xmlns:vt="http://schemas.openxmlformats.org/officeDocument/2006/docPropsVTypes" xmlns="http://schemas.openxmlformats.org/officeDocument/2006/extended-properties">
  <Template>Normal</Template>
  <TotalTime>2</TotalTime>
  <Pages>20</Pages>
  <Words>5752</Words>
  <Characters>7831</Characters>
  <Application>WPS Office_11.1.0.9208_F1E327BC-269C-435d-A152-05C5408002CA</Application>
  <DocSecurity>0</DocSecurity>
  <Lines>57</Lines>
  <Paragraphs>16</Paragraphs>
  <Company>四川省财政厅</Company>
  <CharactersWithSpaces>7856</CharactersWithSpaces>
  <AppVersion>12.0000</AppVersion>
</Properties>
</file>

<file path=customXml/item5.xml><?xml version="1.0" encoding="utf-8"?>
<Properties xmlns="http://schemas.openxmlformats.org/officeDocument/2006/extended-properties" xmlns:vt="http://schemas.openxmlformats.org/officeDocument/2006/docPropsVTypes">
  <Template>Normal</Template>
  <Company>四川省财政厅</Company>
  <Pages>20</Pages>
  <Words>5752</Words>
  <Characters>7831</Characters>
  <Lines>57</Lines>
  <Paragraphs>16</Paragraphs>
  <TotalTime>2</TotalTime>
  <ScaleCrop>false</ScaleCrop>
  <LinksUpToDate>false</LinksUpToDate>
  <CharactersWithSpaces>7856</CharactersWithSpaces>
  <Application>WPS Office_11.1.0.9208_F1E327BC-269C-435d-A152-05C5408002CA</Application>
  <DocSecurity>0</DocSecuri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2022-11-14T06:48:12Z</dcterms:modified>
  <dc:title>四川省***</dc:title>
  <cp:revision>3</cp:revision>
</cp:coreProperties>
</file>

<file path=customXml/itemProps1.xml><?xml version="1.0" encoding="utf-8"?>
<ds:datastoreItem xmlns:ds="http://schemas.openxmlformats.org/officeDocument/2006/customXml" ds:itemID="{16F63C95-1200-46A7-B4F6-889A1BFDDD18}">
  <ds:schemaRefs/>
</ds:datastoreItem>
</file>

<file path=customXml/itemProps2.xml><?xml version="1.0" encoding="utf-8"?>
<ds:datastoreItem xmlns:ds="http://schemas.openxmlformats.org/officeDocument/2006/customXml" ds:itemID="{36A9CD59-7F06-4E23-8B95-F0DAFAD3DD0E}">
  <ds:schemaRefs/>
</ds:datastoreItem>
</file>

<file path=customXml/itemProps3.xml><?xml version="1.0" encoding="utf-8"?>
<ds:datastoreItem xmlns:ds="http://schemas.openxmlformats.org/officeDocument/2006/customXml" ds:itemID="{E1829C7F-8997-4456-BBE6-3AA50D419280}">
  <ds:schemaRefs/>
</ds:datastoreItem>
</file>

<file path=customXml/itemProps4.xml><?xml version="1.0" encoding="utf-8"?>
<ds:datastoreItem xmlns:ds="http://schemas.openxmlformats.org/officeDocument/2006/customXml" ds:itemID="{A8A5A685-CF57-481E-B356-C24CE6C19E89}">
  <ds:schemaRefs/>
</ds:datastoreItem>
</file>

<file path=customXml/itemProps5.xml><?xml version="1.0" encoding="utf-8"?>
<ds:datastoreItem xmlns:ds="http://schemas.openxmlformats.org/officeDocument/2006/customXml" ds:itemID="{15F88020-3D19-4EED-83AF-D17E3C82D198}">
  <ds:schemaRefs/>
</ds:datastoreItem>
</file>

<file path=customXml/itemProps6.xml><?xml version="1.0" encoding="utf-8"?>
<ds:datastoreItem xmlns:ds="http://schemas.openxmlformats.org/officeDocument/2006/customXml" ds:itemID="{C1B98013-A64A-4F61-A527-4B21E087F0E5}">
  <ds:schemaRefs/>
</ds:datastoreItem>
</file>

<file path=customXml/itemProps7.xml><?xml version="1.0" encoding="utf-8"?>
<ds:datastoreItem xmlns:ds="http://schemas.openxmlformats.org/officeDocument/2006/customXml" ds:itemID="{7617FEC6-47D3-427D-A0C2-E0C75E99D7D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5462</Words>
  <Characters>6094</Characters>
  <Lines>55</Lines>
  <Paragraphs>15</Paragraphs>
  <TotalTime>10</TotalTime>
  <ScaleCrop>false</ScaleCrop>
  <LinksUpToDate>false</LinksUpToDate>
  <CharactersWithSpaces>6194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2022-08-06T02:23:00Z</cp:lastPrinted>
  <dcterms:modified xsi:type="dcterms:W3CDTF">2024-12-19T09:19:46Z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53FE8F97FCF64496AD8B8824D9BCC224</vt:lpwstr>
  </property>
</Properties>
</file>