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drawings/drawing1.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0" w:name="_Toc15396475"/>
      <w:bookmarkStart w:id="1" w:name="_Toc15396597"/>
      <w:bookmarkStart w:id="2" w:name="_Toc15378441"/>
      <w:bookmarkStart w:id="3" w:name="_Toc15377193"/>
      <w:bookmarkStart w:id="4" w:name="_Toc15377425"/>
      <w:bookmarkStart w:id="5"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21</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eastAsia="zh-CN"/>
        </w:rPr>
      </w:pPr>
      <w:bookmarkStart w:id="6" w:name="_Toc15377194"/>
      <w:bookmarkStart w:id="7" w:name="_Toc15396476"/>
      <w:bookmarkStart w:id="8" w:name="_Toc15378442"/>
      <w:bookmarkStart w:id="9" w:name="_Toc15377426"/>
      <w:bookmarkStart w:id="10" w:name="_Toc15396598"/>
      <w:r>
        <w:rPr>
          <w:rFonts w:hint="eastAsia" w:ascii="方正小标宋简体" w:hAnsi="方正小标宋简体" w:eastAsia="方正小标宋简体" w:cs="方正小标宋简体"/>
          <w:color w:val="auto"/>
          <w:sz w:val="72"/>
          <w:szCs w:val="72"/>
          <w:highlight w:val="none"/>
        </w:rPr>
        <w:t>四川省</w:t>
      </w:r>
      <w:bookmarkEnd w:id="5"/>
      <w:bookmarkStart w:id="11" w:name="_Toc15306268"/>
      <w:r>
        <w:rPr>
          <w:rFonts w:hint="eastAsia" w:ascii="方正小标宋简体" w:hAnsi="方正小标宋简体" w:eastAsia="方正小标宋简体" w:cs="方正小标宋简体"/>
          <w:color w:val="auto"/>
          <w:sz w:val="72"/>
          <w:szCs w:val="72"/>
          <w:highlight w:val="none"/>
          <w:lang w:eastAsia="zh-CN"/>
        </w:rPr>
        <w:t>通江县板桥口镇</w:t>
      </w: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部门决算</w:t>
      </w:r>
      <w:bookmarkEnd w:id="6"/>
      <w:bookmarkEnd w:id="7"/>
      <w:bookmarkEnd w:id="8"/>
      <w:bookmarkEnd w:id="9"/>
      <w:bookmarkEnd w:id="10"/>
      <w:bookmarkEnd w:id="11"/>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0"/>
        <w:rPr>
          <w:color w:val="auto"/>
          <w:highlight w:val="none"/>
        </w:rPr>
      </w:pPr>
      <w:r>
        <w:rPr>
          <w:rFonts w:hint="eastAsia"/>
          <w:color w:val="auto"/>
          <w:highlight w:val="none"/>
        </w:rPr>
        <w:t>公开时间：20</w:t>
      </w:r>
      <w:r>
        <w:rPr>
          <w:rFonts w:hint="eastAsia"/>
          <w:color w:val="auto"/>
          <w:highlight w:val="none"/>
          <w:lang w:val="en-US" w:eastAsia="zh-CN"/>
        </w:rPr>
        <w:t>22</w:t>
      </w:r>
      <w:r>
        <w:rPr>
          <w:rFonts w:hint="eastAsia"/>
          <w:color w:val="auto"/>
          <w:highlight w:val="none"/>
        </w:rPr>
        <w:t>年</w:t>
      </w:r>
      <w:r>
        <w:rPr>
          <w:rFonts w:hint="eastAsia"/>
          <w:color w:val="auto"/>
          <w:highlight w:val="none"/>
          <w:lang w:val="en-US" w:eastAsia="zh-CN"/>
        </w:rPr>
        <w:t>8</w:t>
      </w:r>
      <w:r>
        <w:rPr>
          <w:rFonts w:hint="eastAsia"/>
          <w:color w:val="auto"/>
          <w:highlight w:val="none"/>
        </w:rPr>
        <w:t>月</w:t>
      </w:r>
      <w:r>
        <w:rPr>
          <w:rFonts w:hint="eastAsia"/>
          <w:color w:val="auto"/>
          <w:highlight w:val="none"/>
          <w:lang w:val="en-US" w:eastAsia="zh-CN"/>
        </w:rPr>
        <w:t>25</w:t>
      </w:r>
      <w:r>
        <w:rPr>
          <w:rFonts w:hint="eastAsia"/>
          <w:color w:val="auto"/>
          <w:highlight w:val="none"/>
        </w:rPr>
        <w:t>日</w:t>
      </w:r>
    </w:p>
    <w:p>
      <w:pPr>
        <w:rPr>
          <w:color w:val="auto"/>
          <w:highlight w:val="none"/>
        </w:rPr>
      </w:pPr>
    </w:p>
    <w:p>
      <w:pPr>
        <w:pStyle w:val="10"/>
        <w:adjustRightInd w:val="0"/>
        <w:snapToGrid w:val="0"/>
        <w:spacing w:before="0" w:line="440" w:lineRule="exact"/>
        <w:jc w:val="left"/>
        <w:rPr>
          <w:rFonts w:hint="eastAsia" w:eastAsia="仿宋" w:cstheme="minorBidi"/>
          <w:color w:val="auto"/>
          <w:sz w:val="24"/>
          <w:szCs w:val="24"/>
          <w:highlight w:val="none"/>
          <w:lang w:val="en-US" w:eastAsia="zh-CN"/>
        </w:rPr>
      </w:pPr>
      <w:r>
        <w:rPr>
          <w:rFonts w:hint="eastAsia"/>
          <w:color w:val="auto"/>
          <w:sz w:val="24"/>
          <w:highlight w:val="none"/>
        </w:rPr>
        <w:t>第一部分</w:t>
      </w:r>
      <w:r>
        <w:rPr>
          <w:color w:val="auto"/>
          <w:sz w:val="24"/>
          <w:highlight w:val="none"/>
        </w:rPr>
        <w:t xml:space="preserve"> </w:t>
      </w:r>
      <w:r>
        <w:rPr>
          <w:rFonts w:hint="eastAsia"/>
          <w:color w:val="auto"/>
          <w:sz w:val="24"/>
          <w:highlight w:val="none"/>
        </w:rPr>
        <w:t>部门概况</w:t>
      </w:r>
      <w:r>
        <w:tab/>
      </w:r>
      <w:r>
        <w:rPr>
          <w:rFonts w:hint="eastAsia"/>
          <w:lang w:val="en-US" w:eastAsia="zh-CN"/>
        </w:rPr>
        <w:t>4</w:t>
      </w:r>
    </w:p>
    <w:p>
      <w:pPr>
        <w:pStyle w:val="11"/>
        <w:adjustRightInd w:val="0"/>
        <w:snapToGrid w:val="0"/>
        <w:spacing w:line="440" w:lineRule="exact"/>
        <w:jc w:val="left"/>
        <w:rPr>
          <w:rFonts w:hint="eastAsia" w:ascii="仿宋" w:hAnsi="仿宋" w:eastAsia="宋体"/>
          <w:color w:val="auto"/>
          <w:sz w:val="24"/>
          <w:highlight w:val="none"/>
          <w:lang w:val="en-US" w:eastAsia="zh-CN"/>
        </w:rPr>
      </w:pPr>
      <w:r>
        <w:rPr>
          <w:rFonts w:hint="eastAsia"/>
          <w:color w:val="auto"/>
          <w:sz w:val="24"/>
          <w:highlight w:val="none"/>
        </w:rPr>
        <w:t>一、基本职能及主要工作</w:t>
      </w:r>
      <w:r>
        <w:tab/>
      </w:r>
      <w:r>
        <w:rPr>
          <w:rFonts w:hint="eastAsia"/>
          <w:lang w:val="en-US" w:eastAsia="zh-CN"/>
        </w:rPr>
        <w:t>4</w:t>
      </w:r>
    </w:p>
    <w:p>
      <w:pPr>
        <w:pStyle w:val="11"/>
        <w:adjustRightInd w:val="0"/>
        <w:snapToGrid w:val="0"/>
        <w:spacing w:line="440" w:lineRule="exact"/>
        <w:jc w:val="left"/>
        <w:rPr>
          <w:rFonts w:hint="eastAsia" w:ascii="仿宋" w:hAnsi="仿宋" w:eastAsia="宋体" w:cstheme="minorBidi"/>
          <w:color w:val="auto"/>
          <w:sz w:val="24"/>
          <w:highlight w:val="none"/>
          <w:lang w:val="en-US" w:eastAsia="zh-CN"/>
        </w:rPr>
      </w:pPr>
      <w:r>
        <w:rPr>
          <w:rFonts w:hint="eastAsia"/>
          <w:color w:val="auto"/>
          <w:sz w:val="24"/>
          <w:highlight w:val="none"/>
        </w:rPr>
        <w:t>二、机构设置</w:t>
      </w:r>
      <w:r>
        <w:tab/>
      </w:r>
      <w:r>
        <w:rPr>
          <w:rFonts w:hint="eastAsia"/>
          <w:lang w:val="en-US" w:eastAsia="zh-CN"/>
        </w:rPr>
        <w:t>6</w:t>
      </w:r>
    </w:p>
    <w:p>
      <w:pPr>
        <w:pStyle w:val="10"/>
        <w:adjustRightInd w:val="0"/>
        <w:snapToGrid w:val="0"/>
        <w:spacing w:before="0" w:line="440" w:lineRule="exact"/>
        <w:jc w:val="left"/>
        <w:rPr>
          <w:rFonts w:hint="eastAsia" w:eastAsia="仿宋"/>
          <w:color w:val="auto"/>
          <w:sz w:val="24"/>
          <w:szCs w:val="24"/>
          <w:highlight w:val="none"/>
          <w:lang w:val="en-US" w:eastAsia="zh-CN"/>
        </w:rPr>
      </w:pPr>
      <w:r>
        <w:rPr>
          <w:rFonts w:hint="eastAsia"/>
          <w:color w:val="auto"/>
          <w:sz w:val="24"/>
          <w:highlight w:val="none"/>
        </w:rPr>
        <w:t>第二部分</w:t>
      </w:r>
      <w:r>
        <w:rPr>
          <w:rFonts w:hint="eastAsia"/>
          <w:color w:val="auto"/>
          <w:sz w:val="24"/>
          <w:highlight w:val="none"/>
          <w:lang w:val="en-US" w:eastAsia="zh-CN"/>
        </w:rPr>
        <w:t xml:space="preserve"> 2021年度</w:t>
      </w:r>
      <w:r>
        <w:rPr>
          <w:rFonts w:hint="eastAsia"/>
          <w:color w:val="auto"/>
          <w:sz w:val="24"/>
          <w:highlight w:val="none"/>
        </w:rPr>
        <w:t>部门决算情况说明</w:t>
      </w:r>
      <w:r>
        <w:tab/>
      </w:r>
      <w:r>
        <w:rPr>
          <w:rFonts w:hint="eastAsia"/>
          <w:lang w:val="en-US" w:eastAsia="zh-CN"/>
        </w:rPr>
        <w:t>7</w:t>
      </w:r>
    </w:p>
    <w:p>
      <w:pPr>
        <w:pStyle w:val="11"/>
        <w:adjustRightInd w:val="0"/>
        <w:snapToGrid w:val="0"/>
        <w:spacing w:line="440" w:lineRule="exact"/>
        <w:jc w:val="left"/>
        <w:rPr>
          <w:rFonts w:hint="eastAsia" w:ascii="仿宋" w:hAnsi="仿宋" w:eastAsia="宋体" w:cstheme="minorBidi"/>
          <w:color w:val="auto"/>
          <w:sz w:val="24"/>
          <w:highlight w:val="none"/>
          <w:lang w:val="en-US" w:eastAsia="zh-CN"/>
        </w:rPr>
      </w:pPr>
      <w:r>
        <w:rPr>
          <w:rFonts w:hint="eastAsia"/>
          <w:color w:val="auto"/>
          <w:sz w:val="24"/>
          <w:highlight w:val="none"/>
        </w:rPr>
        <w:t>一、收入支出决算总体情况说明</w:t>
      </w:r>
      <w:r>
        <w:tab/>
      </w:r>
      <w:r>
        <w:rPr>
          <w:rFonts w:hint="eastAsia"/>
          <w:lang w:val="en-US" w:eastAsia="zh-CN"/>
        </w:rPr>
        <w:t>7</w:t>
      </w:r>
    </w:p>
    <w:p>
      <w:pPr>
        <w:pStyle w:val="11"/>
        <w:adjustRightInd w:val="0"/>
        <w:snapToGrid w:val="0"/>
        <w:spacing w:line="440" w:lineRule="exact"/>
        <w:jc w:val="left"/>
        <w:rPr>
          <w:rFonts w:hint="eastAsia" w:ascii="仿宋" w:hAnsi="仿宋" w:eastAsia="宋体" w:cstheme="minorBidi"/>
          <w:color w:val="auto"/>
          <w:sz w:val="24"/>
          <w:highlight w:val="none"/>
          <w:lang w:val="en-US" w:eastAsia="zh-CN"/>
        </w:rPr>
      </w:pPr>
      <w:r>
        <w:rPr>
          <w:rFonts w:hint="eastAsia"/>
          <w:color w:val="auto"/>
          <w:sz w:val="24"/>
          <w:highlight w:val="none"/>
        </w:rPr>
        <w:t>二、收入决算情况说明</w:t>
      </w:r>
      <w:r>
        <w:tab/>
      </w:r>
      <w:r>
        <w:rPr>
          <w:rFonts w:hint="eastAsia"/>
          <w:lang w:val="en-US" w:eastAsia="zh-CN"/>
        </w:rPr>
        <w:t>7</w:t>
      </w:r>
    </w:p>
    <w:p>
      <w:pPr>
        <w:pStyle w:val="11"/>
        <w:adjustRightInd w:val="0"/>
        <w:snapToGrid w:val="0"/>
        <w:spacing w:line="440" w:lineRule="exact"/>
        <w:jc w:val="left"/>
        <w:rPr>
          <w:rFonts w:hint="eastAsia" w:ascii="仿宋" w:hAnsi="仿宋" w:eastAsia="宋体" w:cstheme="minorBidi"/>
          <w:color w:val="auto"/>
          <w:sz w:val="24"/>
          <w:highlight w:val="none"/>
          <w:lang w:val="en-US" w:eastAsia="zh-CN"/>
        </w:rPr>
      </w:pPr>
      <w:r>
        <w:rPr>
          <w:rFonts w:hint="eastAsia"/>
          <w:color w:val="auto"/>
          <w:sz w:val="24"/>
          <w:highlight w:val="none"/>
        </w:rPr>
        <w:t>三、支出决算情况说明</w:t>
      </w:r>
      <w:r>
        <w:tab/>
      </w:r>
      <w:r>
        <w:rPr>
          <w:rFonts w:hint="eastAsia"/>
          <w:lang w:val="en-US" w:eastAsia="zh-CN"/>
        </w:rPr>
        <w:t>8</w:t>
      </w:r>
    </w:p>
    <w:p>
      <w:pPr>
        <w:pStyle w:val="11"/>
        <w:adjustRightInd w:val="0"/>
        <w:snapToGrid w:val="0"/>
        <w:spacing w:line="440" w:lineRule="exact"/>
        <w:jc w:val="left"/>
        <w:rPr>
          <w:rFonts w:hint="eastAsia" w:ascii="仿宋" w:hAnsi="仿宋" w:eastAsia="宋体" w:cstheme="minorBidi"/>
          <w:color w:val="auto"/>
          <w:sz w:val="24"/>
          <w:highlight w:val="none"/>
          <w:lang w:val="en-US" w:eastAsia="zh-CN"/>
        </w:rPr>
      </w:pPr>
      <w:r>
        <w:rPr>
          <w:rFonts w:hint="eastAsia"/>
          <w:color w:val="auto"/>
          <w:sz w:val="24"/>
          <w:highlight w:val="none"/>
        </w:rPr>
        <w:t>四、财政拨款收入支出决算总体情况说明</w:t>
      </w:r>
      <w:r>
        <w:tab/>
      </w:r>
      <w:r>
        <w:rPr>
          <w:rFonts w:hint="eastAsia"/>
          <w:lang w:val="en-US" w:eastAsia="zh-CN"/>
        </w:rPr>
        <w:t>9</w:t>
      </w:r>
    </w:p>
    <w:p>
      <w:pPr>
        <w:pStyle w:val="11"/>
        <w:adjustRightInd w:val="0"/>
        <w:snapToGrid w:val="0"/>
        <w:spacing w:line="440" w:lineRule="exact"/>
        <w:jc w:val="left"/>
        <w:rPr>
          <w:rFonts w:hint="eastAsia" w:ascii="仿宋" w:hAnsi="仿宋" w:eastAsia="宋体" w:cstheme="minorBidi"/>
          <w:color w:val="auto"/>
          <w:sz w:val="24"/>
          <w:highlight w:val="none"/>
          <w:lang w:val="en-US" w:eastAsia="zh-CN"/>
        </w:rPr>
      </w:pPr>
      <w:r>
        <w:rPr>
          <w:rFonts w:hint="eastAsia"/>
          <w:color w:val="auto"/>
          <w:sz w:val="24"/>
          <w:highlight w:val="none"/>
        </w:rPr>
        <w:t>五、一般公共预算财政拨款支出决算情况说明</w:t>
      </w:r>
      <w:r>
        <w:tab/>
      </w:r>
      <w:r>
        <w:rPr>
          <w:rFonts w:hint="eastAsia"/>
          <w:lang w:val="en-US" w:eastAsia="zh-CN"/>
        </w:rPr>
        <w:t>9</w:t>
      </w:r>
    </w:p>
    <w:p>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六、一般公共预算财政拨款基本支出决算情况说明</w:t>
      </w:r>
      <w:r>
        <w:tab/>
      </w:r>
      <w:r>
        <w:rPr>
          <w:rFonts w:hint="eastAsia"/>
          <w:lang w:val="en-US" w:eastAsia="zh-CN"/>
        </w:rPr>
        <w:t>14</w:t>
      </w:r>
    </w:p>
    <w:p>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七、</w:t>
      </w:r>
      <w:r>
        <w:rPr>
          <w:rFonts w:hint="eastAsia"/>
          <w:color w:val="auto"/>
          <w:sz w:val="24"/>
          <w:highlight w:val="none"/>
          <w:lang w:eastAsia="zh-CN"/>
        </w:rPr>
        <w:t>“</w:t>
      </w:r>
      <w:r>
        <w:rPr>
          <w:rFonts w:hint="eastAsia"/>
          <w:color w:val="auto"/>
          <w:sz w:val="24"/>
          <w:highlight w:val="none"/>
        </w:rPr>
        <w:t>三公”经费财政拨款支出决算情况说明</w:t>
      </w:r>
      <w:r>
        <w:tab/>
      </w:r>
      <w:r>
        <w:rPr>
          <w:rFonts w:hint="eastAsia"/>
          <w:lang w:val="en-US" w:eastAsia="zh-CN"/>
        </w:rPr>
        <w:t>14</w:t>
      </w:r>
    </w:p>
    <w:p>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八、政府性基金预算支出决算情况说明</w:t>
      </w:r>
      <w:r>
        <w:tab/>
      </w:r>
      <w:r>
        <w:rPr>
          <w:rFonts w:hint="eastAsia"/>
          <w:lang w:val="en-US" w:eastAsia="zh-CN"/>
        </w:rPr>
        <w:t>16</w:t>
      </w:r>
    </w:p>
    <w:p>
      <w:pPr>
        <w:pStyle w:val="11"/>
        <w:adjustRightInd w:val="0"/>
        <w:snapToGrid w:val="0"/>
        <w:spacing w:line="440" w:lineRule="exact"/>
        <w:ind w:leftChars="0"/>
        <w:jc w:val="left"/>
        <w:rPr>
          <w:rFonts w:hint="default" w:eastAsia="宋体"/>
          <w:lang w:val="en-US" w:eastAsia="zh-CN"/>
        </w:rPr>
      </w:pPr>
      <w:r>
        <w:rPr>
          <w:rFonts w:hint="eastAsia" w:asciiTheme="minorEastAsia" w:hAnsiTheme="minorEastAsia" w:eastAsiaTheme="minorEastAsia" w:cstheme="minorEastAsia"/>
          <w:color w:val="auto"/>
          <w:sz w:val="24"/>
          <w:highlight w:val="none"/>
        </w:rPr>
        <w:t>九、</w:t>
      </w:r>
      <w:r>
        <w:rPr>
          <w:rFonts w:hint="eastAsia" w:asciiTheme="minorEastAsia" w:hAnsiTheme="minorEastAsia" w:eastAsiaTheme="minorEastAsia" w:cstheme="minorEastAsia"/>
          <w:color w:val="auto"/>
          <w:sz w:val="24"/>
          <w:highlight w:val="none"/>
          <w:lang w:eastAsia="zh-CN"/>
        </w:rPr>
        <w:t>国</w:t>
      </w:r>
      <w:r>
        <w:rPr>
          <w:rFonts w:hint="eastAsia" w:asciiTheme="minorEastAsia" w:hAnsiTheme="minorEastAsia" w:eastAsiaTheme="minorEastAsia" w:cstheme="minorEastAsia"/>
          <w:color w:val="auto"/>
          <w:sz w:val="24"/>
          <w:highlight w:val="none"/>
        </w:rPr>
        <w:t>有资本经营预算支出决算情况说明</w:t>
      </w:r>
      <w:r>
        <w:tab/>
      </w:r>
      <w:r>
        <w:rPr>
          <w:rFonts w:hint="eastAsia"/>
          <w:lang w:val="en-US" w:eastAsia="zh-CN"/>
        </w:rPr>
        <w:t>16</w:t>
      </w:r>
    </w:p>
    <w:p>
      <w:pPr>
        <w:pStyle w:val="11"/>
        <w:adjustRightInd w:val="0"/>
        <w:snapToGrid w:val="0"/>
        <w:spacing w:line="440" w:lineRule="exact"/>
        <w:ind w:leftChars="0"/>
        <w:jc w:val="left"/>
        <w:rPr>
          <w:rFonts w:hint="default" w:eastAsia="宋体"/>
          <w:lang w:val="en-US" w:eastAsia="zh-CN"/>
        </w:rPr>
      </w:pPr>
      <w:r>
        <w:rPr>
          <w:rFonts w:hint="eastAsia" w:asciiTheme="minorEastAsia" w:hAnsiTheme="minorEastAsia" w:eastAsiaTheme="minorEastAsia" w:cstheme="minorEastAsia"/>
          <w:color w:val="auto"/>
          <w:sz w:val="24"/>
          <w:highlight w:val="none"/>
          <w:lang w:eastAsia="zh-CN"/>
        </w:rPr>
        <w:t>十</w:t>
      </w:r>
      <w:r>
        <w:rPr>
          <w:rFonts w:hint="eastAsia" w:asciiTheme="minorEastAsia" w:hAnsiTheme="minorEastAsia" w:eastAsiaTheme="minorEastAsia" w:cstheme="minorEastAsia"/>
          <w:color w:val="auto"/>
          <w:sz w:val="24"/>
          <w:highlight w:val="none"/>
        </w:rPr>
        <w:t>、</w:t>
      </w:r>
      <w:r>
        <w:rPr>
          <w:rFonts w:hint="eastAsia"/>
          <w:color w:val="auto"/>
          <w:sz w:val="24"/>
          <w:highlight w:val="none"/>
        </w:rPr>
        <w:t>其他重要事项的情况说明</w:t>
      </w:r>
      <w:r>
        <w:tab/>
      </w:r>
      <w:r>
        <w:rPr>
          <w:rFonts w:hint="eastAsia"/>
          <w:lang w:val="en-US" w:eastAsia="zh-CN"/>
        </w:rPr>
        <w:t>16</w:t>
      </w:r>
    </w:p>
    <w:p>
      <w:pPr>
        <w:rPr>
          <w:rFonts w:hint="default"/>
          <w:lang w:val="en-US" w:eastAsia="zh-CN"/>
        </w:rPr>
      </w:pPr>
    </w:p>
    <w:p>
      <w:pPr>
        <w:pStyle w:val="10"/>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tab/>
      </w:r>
      <w:r>
        <w:rPr>
          <w:rFonts w:hint="eastAsia"/>
          <w:lang w:val="en-US" w:eastAsia="zh-CN"/>
        </w:rPr>
        <w:t>18</w:t>
      </w:r>
    </w:p>
    <w:p>
      <w:pPr>
        <w:pStyle w:val="10"/>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tab/>
      </w:r>
      <w:r>
        <w:rPr>
          <w:rFonts w:hint="eastAsia"/>
          <w:lang w:val="en-US" w:eastAsia="zh-CN"/>
        </w:rPr>
        <w:t>22</w:t>
      </w:r>
    </w:p>
    <w:p>
      <w:pPr>
        <w:pStyle w:val="10"/>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tab/>
      </w:r>
      <w:r>
        <w:rPr>
          <w:rFonts w:hint="eastAsia"/>
          <w:lang w:val="en-US" w:eastAsia="zh-CN"/>
        </w:rPr>
        <w:t>28</w:t>
      </w:r>
    </w:p>
    <w:p>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ascii="仿宋" w:hAnsi="仿宋" w:eastAsia="仿宋"/>
          <w:color w:val="auto"/>
          <w:sz w:val="24"/>
          <w:highlight w:val="none"/>
        </w:rPr>
        <w:t>一、</w:t>
      </w:r>
      <w:r>
        <w:rPr>
          <w:rFonts w:hint="eastAsia"/>
          <w:color w:val="auto"/>
          <w:sz w:val="24"/>
          <w:highlight w:val="none"/>
        </w:rPr>
        <w:t>收入支出决算总表</w:t>
      </w:r>
      <w:r>
        <w:tab/>
      </w:r>
      <w:r>
        <w:rPr>
          <w:rFonts w:hint="eastAsia"/>
          <w:lang w:val="en-US" w:eastAsia="zh-CN"/>
        </w:rPr>
        <w:t>28</w:t>
      </w:r>
    </w:p>
    <w:p>
      <w:pPr>
        <w:pStyle w:val="11"/>
        <w:adjustRightInd w:val="0"/>
        <w:snapToGrid w:val="0"/>
        <w:spacing w:line="440" w:lineRule="exact"/>
        <w:jc w:val="left"/>
        <w:rPr>
          <w:rFonts w:hint="default" w:eastAsia="宋体" w:asciiTheme="minorEastAsia" w:hAnsi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二、收入决算表</w:t>
      </w:r>
      <w:r>
        <w:tab/>
      </w:r>
      <w:r>
        <w:rPr>
          <w:rFonts w:hint="eastAsia"/>
          <w:lang w:val="en-US" w:eastAsia="zh-CN"/>
        </w:rPr>
        <w:t>28</w:t>
      </w:r>
    </w:p>
    <w:p>
      <w:pPr>
        <w:pStyle w:val="11"/>
        <w:adjustRightInd w:val="0"/>
        <w:snapToGrid w:val="0"/>
        <w:spacing w:line="440" w:lineRule="exact"/>
        <w:jc w:val="left"/>
        <w:rPr>
          <w:rFonts w:hint="default" w:eastAsia="宋体" w:asciiTheme="minorEastAsia" w:hAnsi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三、支出决算表</w:t>
      </w:r>
      <w:r>
        <w:tab/>
      </w:r>
      <w:r>
        <w:rPr>
          <w:rFonts w:hint="eastAsia"/>
          <w:lang w:val="en-US" w:eastAsia="zh-CN"/>
        </w:rPr>
        <w:t>28</w:t>
      </w:r>
    </w:p>
    <w:p>
      <w:pPr>
        <w:pStyle w:val="11"/>
        <w:adjustRightInd w:val="0"/>
        <w:snapToGrid w:val="0"/>
        <w:spacing w:line="440" w:lineRule="exact"/>
        <w:jc w:val="left"/>
        <w:rPr>
          <w:rFonts w:hint="default" w:eastAsia="宋体" w:asciiTheme="minorEastAsia" w:hAnsi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四、财政拨款收入支出决算总表</w:t>
      </w:r>
      <w:r>
        <w:tab/>
      </w:r>
      <w:r>
        <w:rPr>
          <w:rFonts w:hint="eastAsia"/>
          <w:lang w:val="en-US" w:eastAsia="zh-CN"/>
        </w:rPr>
        <w:t>28</w:t>
      </w:r>
    </w:p>
    <w:p>
      <w:pPr>
        <w:pStyle w:val="11"/>
        <w:adjustRightInd w:val="0"/>
        <w:snapToGrid w:val="0"/>
        <w:spacing w:line="440" w:lineRule="exact"/>
        <w:jc w:val="left"/>
        <w:rPr>
          <w:rFonts w:hint="default" w:eastAsia="宋体" w:asciiTheme="minorEastAsia" w:hAnsi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五、财政拨款支出决算明细表</w:t>
      </w:r>
      <w:r>
        <w:tab/>
      </w:r>
      <w:r>
        <w:rPr>
          <w:rFonts w:hint="eastAsia"/>
          <w:lang w:val="en-US" w:eastAsia="zh-CN"/>
        </w:rPr>
        <w:t>28</w:t>
      </w:r>
    </w:p>
    <w:p>
      <w:pPr>
        <w:pStyle w:val="11"/>
        <w:adjustRightInd w:val="0"/>
        <w:snapToGrid w:val="0"/>
        <w:spacing w:line="440" w:lineRule="exact"/>
        <w:jc w:val="left"/>
        <w:rPr>
          <w:rFonts w:hint="default" w:eastAsia="宋体" w:asciiTheme="minorEastAsia" w:hAnsi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六、一般公共预算财政拨款支出决算表</w:t>
      </w:r>
      <w:r>
        <w:tab/>
      </w:r>
      <w:r>
        <w:rPr>
          <w:rFonts w:hint="eastAsia"/>
          <w:lang w:val="en-US" w:eastAsia="zh-CN"/>
        </w:rPr>
        <w:t>28</w:t>
      </w:r>
    </w:p>
    <w:p>
      <w:pPr>
        <w:pStyle w:val="11"/>
        <w:adjustRightInd w:val="0"/>
        <w:snapToGrid w:val="0"/>
        <w:spacing w:line="440" w:lineRule="exact"/>
        <w:jc w:val="left"/>
        <w:rPr>
          <w:rFonts w:hint="default" w:eastAsia="宋体" w:asciiTheme="minorEastAsia" w:hAnsi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七、一般公共预算财政拨款支出决算明细表</w:t>
      </w:r>
      <w:r>
        <w:tab/>
      </w:r>
      <w:r>
        <w:rPr>
          <w:rFonts w:hint="eastAsia"/>
          <w:lang w:val="en-US" w:eastAsia="zh-CN"/>
        </w:rPr>
        <w:t>28</w:t>
      </w:r>
    </w:p>
    <w:p>
      <w:pPr>
        <w:pStyle w:val="11"/>
        <w:adjustRightInd w:val="0"/>
        <w:snapToGrid w:val="0"/>
        <w:spacing w:line="440" w:lineRule="exact"/>
        <w:jc w:val="left"/>
        <w:rPr>
          <w:rFonts w:hint="default" w:eastAsia="宋体" w:asciiTheme="minorEastAsia" w:hAnsi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八、一般公共预算财政拨款基本支出决算表</w:t>
      </w:r>
      <w:r>
        <w:tab/>
      </w:r>
      <w:r>
        <w:rPr>
          <w:rFonts w:hint="eastAsia"/>
          <w:lang w:val="en-US" w:eastAsia="zh-CN"/>
        </w:rPr>
        <w:t>28</w:t>
      </w:r>
    </w:p>
    <w:p>
      <w:pPr>
        <w:pStyle w:val="11"/>
        <w:adjustRightInd w:val="0"/>
        <w:snapToGrid w:val="0"/>
        <w:spacing w:line="440" w:lineRule="exact"/>
        <w:jc w:val="left"/>
        <w:rPr>
          <w:rFonts w:hint="default" w:eastAsia="宋体" w:asciiTheme="minorEastAsia" w:hAnsi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九、一般公共预算财政拨款项目支出决算表</w:t>
      </w:r>
      <w:r>
        <w:tab/>
      </w:r>
      <w:r>
        <w:rPr>
          <w:rFonts w:hint="eastAsia"/>
          <w:lang w:val="en-US" w:eastAsia="zh-CN"/>
        </w:rPr>
        <w:t>28</w:t>
      </w:r>
    </w:p>
    <w:p>
      <w:pPr>
        <w:pStyle w:val="11"/>
        <w:adjustRightInd w:val="0"/>
        <w:snapToGrid w:val="0"/>
        <w:spacing w:line="440" w:lineRule="exact"/>
        <w:jc w:val="left"/>
        <w:rPr>
          <w:rFonts w:hint="default" w:eastAsia="宋体" w:asciiTheme="minorEastAsia" w:hAnsi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十、一般公共预算财政拨款“三公”经费支出决算表</w:t>
      </w:r>
      <w:r>
        <w:tab/>
      </w:r>
      <w:r>
        <w:rPr>
          <w:rFonts w:hint="eastAsia"/>
          <w:lang w:val="en-US" w:eastAsia="zh-CN"/>
        </w:rPr>
        <w:t>28</w:t>
      </w:r>
    </w:p>
    <w:p>
      <w:pPr>
        <w:pStyle w:val="11"/>
        <w:adjustRightInd w:val="0"/>
        <w:snapToGrid w:val="0"/>
        <w:spacing w:line="440" w:lineRule="exact"/>
        <w:jc w:val="left"/>
        <w:rPr>
          <w:rFonts w:hint="default" w:eastAsia="宋体" w:asciiTheme="minorEastAsia" w:hAnsi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十一、政府性基金预算财政拨款收入支出决算表</w:t>
      </w:r>
      <w:r>
        <w:tab/>
      </w:r>
      <w:r>
        <w:rPr>
          <w:rFonts w:hint="eastAsia"/>
          <w:lang w:val="en-US" w:eastAsia="zh-CN"/>
        </w:rPr>
        <w:t>28</w:t>
      </w:r>
    </w:p>
    <w:p>
      <w:pPr>
        <w:pStyle w:val="11"/>
        <w:adjustRightInd w:val="0"/>
        <w:snapToGrid w:val="0"/>
        <w:spacing w:line="440" w:lineRule="exact"/>
        <w:jc w:val="left"/>
        <w:rPr>
          <w:rFonts w:hint="default" w:eastAsia="宋体" w:asciiTheme="minorEastAsia" w:hAnsi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十二、政府性基金预算财政拨款“三公”经费支出决算表</w:t>
      </w:r>
      <w:r>
        <w:tab/>
      </w:r>
      <w:r>
        <w:rPr>
          <w:rFonts w:hint="eastAsia"/>
          <w:lang w:val="en-US" w:eastAsia="zh-CN"/>
        </w:rPr>
        <w:t>28</w:t>
      </w:r>
    </w:p>
    <w:p>
      <w:pPr>
        <w:pStyle w:val="11"/>
        <w:adjustRightInd w:val="0"/>
        <w:snapToGrid w:val="0"/>
        <w:spacing w:line="440" w:lineRule="exact"/>
        <w:jc w:val="left"/>
        <w:rPr>
          <w:rFonts w:hint="default" w:eastAsia="宋体" w:asciiTheme="minorEastAsia" w:hAnsi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十三、国有资本经营预算</w:t>
      </w:r>
      <w:r>
        <w:rPr>
          <w:rFonts w:hint="eastAsia" w:asciiTheme="minorEastAsia" w:hAnsiTheme="minorEastAsia" w:eastAsiaTheme="minorEastAsia" w:cstheme="minorEastAsia"/>
          <w:color w:val="auto"/>
          <w:sz w:val="24"/>
          <w:highlight w:val="none"/>
          <w:lang w:eastAsia="zh-CN"/>
        </w:rPr>
        <w:t>财政拨款收入</w:t>
      </w:r>
      <w:r>
        <w:rPr>
          <w:rFonts w:hint="eastAsia" w:asciiTheme="minorEastAsia" w:hAnsiTheme="minorEastAsia" w:eastAsiaTheme="minorEastAsia" w:cstheme="minorEastAsia"/>
          <w:color w:val="auto"/>
          <w:sz w:val="24"/>
          <w:highlight w:val="none"/>
        </w:rPr>
        <w:t>支出决算表</w:t>
      </w:r>
      <w:r>
        <w:tab/>
      </w:r>
      <w:r>
        <w:rPr>
          <w:rFonts w:hint="eastAsia"/>
          <w:lang w:val="en-US" w:eastAsia="zh-CN"/>
        </w:rPr>
        <w:t>28</w:t>
      </w:r>
    </w:p>
    <w:p>
      <w:pPr>
        <w:pStyle w:val="11"/>
        <w:adjustRightInd w:val="0"/>
        <w:snapToGrid w:val="0"/>
        <w:spacing w:line="440" w:lineRule="exact"/>
        <w:jc w:val="left"/>
        <w:rPr>
          <w:rFonts w:hint="default" w:eastAsia="宋体" w:asciiTheme="minorEastAsia" w:hAnsi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十四、国有资本经营预算财政拨款支出决算表</w:t>
      </w:r>
      <w:r>
        <w:tab/>
      </w:r>
      <w:r>
        <w:rPr>
          <w:rFonts w:hint="eastAsia"/>
          <w:lang w:val="en-US" w:eastAsia="zh-CN"/>
        </w:rPr>
        <w:t>28</w:t>
      </w:r>
    </w:p>
    <w:p>
      <w:pPr>
        <w:widowControl/>
        <w:spacing w:line="440" w:lineRule="exact"/>
        <w:jc w:val="left"/>
        <w:rPr>
          <w:rFonts w:ascii="仿宋" w:hAnsi="仿宋" w:eastAsia="仿宋"/>
          <w:bCs/>
          <w:color w:val="auto"/>
          <w:kern w:val="44"/>
          <w:sz w:val="24"/>
          <w:highlight w:val="none"/>
        </w:rPr>
      </w:pPr>
      <w:bookmarkStart w:id="12" w:name="_Toc15396599"/>
      <w:bookmarkStart w:id="13" w:name="_Toc15377196"/>
      <w:r>
        <w:rPr>
          <w:rFonts w:ascii="仿宋" w:hAnsi="仿宋" w:eastAsia="仿宋"/>
          <w:b/>
          <w:color w:val="auto"/>
          <w:sz w:val="24"/>
          <w:highlight w:val="none"/>
        </w:rPr>
        <w:br w:type="page"/>
      </w:r>
    </w:p>
    <w:p>
      <w:pPr>
        <w:pStyle w:val="3"/>
        <w:jc w:val="center"/>
        <w:rPr>
          <w:rStyle w:val="24"/>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Style w:val="24"/>
          <w:rFonts w:hint="eastAsia" w:ascii="黑体" w:hAnsi="黑体" w:eastAsia="黑体"/>
          <w:b w:val="0"/>
          <w:bCs w:val="0"/>
          <w:color w:val="auto"/>
          <w:highlight w:val="none"/>
        </w:rPr>
        <w:t>部门概况</w:t>
      </w:r>
      <w:bookmarkEnd w:id="12"/>
      <w:bookmarkEnd w:id="13"/>
    </w:p>
    <w:p>
      <w:pPr>
        <w:widowControl/>
        <w:jc w:val="left"/>
        <w:rPr>
          <w:rFonts w:ascii="黑体" w:eastAsia="黑体"/>
          <w:color w:val="auto"/>
          <w:sz w:val="32"/>
          <w:szCs w:val="32"/>
          <w:highlight w:val="none"/>
        </w:rPr>
      </w:pPr>
    </w:p>
    <w:p>
      <w:pPr>
        <w:pStyle w:val="4"/>
        <w:rPr>
          <w:rStyle w:val="25"/>
          <w:rFonts w:ascii="仿宋" w:hAnsi="仿宋" w:eastAsia="仿宋"/>
          <w:b w:val="0"/>
          <w:bCs w:val="0"/>
          <w:color w:val="auto"/>
          <w:highlight w:val="none"/>
        </w:rPr>
      </w:pPr>
      <w:bookmarkStart w:id="14" w:name="_Toc15396600"/>
      <w:bookmarkStart w:id="15" w:name="_Toc15377197"/>
      <w:r>
        <w:rPr>
          <w:rFonts w:hint="eastAsia" w:ascii="黑体" w:hAnsi="黑体" w:eastAsia="黑体"/>
          <w:b w:val="0"/>
          <w:color w:val="auto"/>
          <w:highlight w:val="none"/>
        </w:rPr>
        <w:t>一、基</w:t>
      </w:r>
      <w:r>
        <w:rPr>
          <w:rStyle w:val="25"/>
          <w:rFonts w:hint="eastAsia" w:ascii="黑体" w:hAnsi="黑体" w:eastAsia="黑体"/>
          <w:b w:val="0"/>
          <w:bCs w:val="0"/>
          <w:color w:val="auto"/>
          <w:highlight w:val="none"/>
        </w:rPr>
        <w:t>本职能及主要工作</w:t>
      </w:r>
      <w:bookmarkEnd w:id="14"/>
      <w:bookmarkEnd w:id="15"/>
    </w:p>
    <w:p>
      <w:pPr>
        <w:pStyle w:val="2"/>
        <w:adjustRightInd w:val="0"/>
        <w:snapToGrid w:val="0"/>
        <w:spacing w:before="93" w:line="600" w:lineRule="exact"/>
        <w:ind w:firstLine="672" w:firstLineChars="210"/>
        <w:outlineLvl w:val="2"/>
        <w:rPr>
          <w:rFonts w:hint="eastAsia" w:ascii="仿宋" w:hAnsi="仿宋" w:eastAsia="仿宋"/>
          <w:bCs/>
          <w:color w:val="auto"/>
          <w:sz w:val="32"/>
          <w:szCs w:val="32"/>
          <w:highlight w:val="none"/>
        </w:rPr>
      </w:pPr>
      <w:bookmarkStart w:id="16" w:name="_Toc15378445"/>
      <w:bookmarkStart w:id="17" w:name="_Toc15377198"/>
      <w:r>
        <w:rPr>
          <w:rFonts w:hint="eastAsia" w:ascii="仿宋" w:hAnsi="仿宋" w:eastAsia="仿宋"/>
          <w:bCs/>
          <w:color w:val="auto"/>
          <w:sz w:val="32"/>
          <w:szCs w:val="32"/>
          <w:highlight w:val="none"/>
        </w:rPr>
        <w:t>（一）主要职能。</w:t>
      </w:r>
      <w:bookmarkEnd w:id="16"/>
      <w:bookmarkEnd w:id="17"/>
    </w:p>
    <w:p>
      <w:pPr>
        <w:pStyle w:val="2"/>
        <w:adjustRightInd w:val="0"/>
        <w:snapToGrid w:val="0"/>
        <w:spacing w:before="93" w:line="600" w:lineRule="exact"/>
        <w:ind w:firstLine="672" w:firstLineChars="210"/>
        <w:outlineLvl w:val="2"/>
        <w:rPr>
          <w:rFonts w:hint="eastAsia" w:ascii="仿宋" w:hAnsi="仿宋" w:eastAsia="仿宋"/>
          <w:bCs/>
          <w:color w:val="auto"/>
          <w:sz w:val="32"/>
          <w:szCs w:val="32"/>
          <w:highlight w:val="none"/>
        </w:rPr>
      </w:pPr>
      <w:r>
        <w:rPr>
          <w:rFonts w:hint="eastAsia" w:ascii="仿宋" w:hAnsi="仿宋" w:eastAsia="仿宋"/>
          <w:bCs/>
          <w:color w:val="auto"/>
          <w:sz w:val="32"/>
          <w:szCs w:val="32"/>
          <w:highlight w:val="none"/>
        </w:rPr>
        <w:t>镇党政机构具有党委和政府两种职能，党委领导政府工作，主要是政治思想和方针政策的领导，干部的选拔，考核和监督，经济和行政工作中重大问题的决策。镇政府是基层国家行政机关，行使本行政区的行政职能。</w:t>
      </w:r>
    </w:p>
    <w:p>
      <w:pPr>
        <w:pStyle w:val="2"/>
        <w:adjustRightInd w:val="0"/>
        <w:snapToGrid w:val="0"/>
        <w:spacing w:before="93" w:line="600" w:lineRule="exact"/>
        <w:ind w:firstLine="672" w:firstLineChars="210"/>
        <w:outlineLvl w:val="2"/>
        <w:rPr>
          <w:rFonts w:hint="eastAsia" w:ascii="仿宋" w:hAnsi="仿宋" w:eastAsia="仿宋"/>
          <w:bCs/>
          <w:color w:val="auto"/>
          <w:sz w:val="32"/>
          <w:szCs w:val="32"/>
          <w:highlight w:val="none"/>
        </w:rPr>
      </w:pPr>
      <w:r>
        <w:rPr>
          <w:rFonts w:hint="eastAsia" w:ascii="仿宋" w:hAnsi="仿宋" w:eastAsia="仿宋"/>
          <w:bCs/>
          <w:color w:val="auto"/>
          <w:sz w:val="32"/>
          <w:szCs w:val="32"/>
          <w:highlight w:val="none"/>
        </w:rPr>
        <w:t>（1）党委工作职责：一是保证党的路线、方针、政策的坚决贯彻执行。二是保证监督职能。三是教育和管理职能。四是服从和服务于经济建设的职能。五是负责抓好本镇党建工作、群团工作、精神文明建设工作、新闻宣传工作。六是完成上级组织交给的其他工作任务。</w:t>
      </w:r>
    </w:p>
    <w:p>
      <w:pPr>
        <w:pStyle w:val="2"/>
        <w:adjustRightInd w:val="0"/>
        <w:snapToGrid w:val="0"/>
        <w:spacing w:before="93" w:line="600" w:lineRule="exact"/>
        <w:ind w:firstLine="672" w:firstLineChars="210"/>
        <w:outlineLvl w:val="2"/>
        <w:rPr>
          <w:rFonts w:hint="eastAsia" w:ascii="仿宋" w:hAnsi="仿宋" w:eastAsia="仿宋"/>
          <w:bCs/>
          <w:color w:val="auto"/>
          <w:sz w:val="32"/>
          <w:szCs w:val="32"/>
          <w:highlight w:val="none"/>
        </w:rPr>
      </w:pPr>
      <w:r>
        <w:rPr>
          <w:rFonts w:hint="eastAsia" w:ascii="仿宋" w:hAnsi="仿宋" w:eastAsia="仿宋"/>
          <w:bCs/>
          <w:color w:val="auto"/>
          <w:sz w:val="32"/>
          <w:szCs w:val="32"/>
          <w:highlight w:val="none"/>
        </w:rPr>
        <w:t>（2）政府职能：一是制定和组织实施经济、科技和社会发展计划，制定资源开发技术改造和产业结构调整方案，组织指导好各业生产，搞好商品流通，协调好本镇与外地区的经济交流与合作，抓好招商引资，人才引进项目开发，不断培育市场体系，组织经济运行，促进经济发展。二是制定并组织实施村镇建设规划，部署重点工程建设，地方道路建设及公共设施，水利设施的管理，负责土地、林木、水等自然资源和生态环境的保护，做好护林防火工作。三是负责本行政区域内的民政、计划生育、文化教育、卫生、体育等社会公益事业的综合性工作，维护一切经济单位和个人的正当经济权益，取缔非法经济活动，调解和处理民事纠纷，打击刑事犯罪维护社会稳定。四是按计划组织本级财政收入和地方税的征收，完成国家财政计划，不断培植税源，管好财政资金，增强财政实力。五是抓好精神文明建设，丰富群众文化生活，提倡移风易俗，反对封建迷信，破除陈规陋习，树立社会主义新风尚。六是完成上级政府交办的</w:t>
      </w:r>
      <w:r>
        <w:rPr>
          <w:rFonts w:hint="eastAsia" w:ascii="仿宋" w:hAnsi="仿宋" w:eastAsia="仿宋"/>
          <w:bCs/>
          <w:color w:val="auto"/>
          <w:sz w:val="32"/>
          <w:szCs w:val="32"/>
          <w:highlight w:val="none"/>
          <w:lang w:eastAsia="zh-CN"/>
        </w:rPr>
        <w:t>其他事项</w:t>
      </w:r>
      <w:r>
        <w:rPr>
          <w:rFonts w:hint="eastAsia" w:ascii="仿宋" w:hAnsi="仿宋" w:eastAsia="仿宋"/>
          <w:bCs/>
          <w:color w:val="auto"/>
          <w:sz w:val="32"/>
          <w:szCs w:val="32"/>
          <w:highlight w:val="none"/>
        </w:rPr>
        <w:t>。</w:t>
      </w:r>
    </w:p>
    <w:p>
      <w:pPr>
        <w:pStyle w:val="2"/>
        <w:adjustRightInd w:val="0"/>
        <w:snapToGrid w:val="0"/>
        <w:spacing w:before="93" w:line="600" w:lineRule="exact"/>
        <w:ind w:firstLine="672" w:firstLineChars="210"/>
        <w:outlineLvl w:val="2"/>
        <w:rPr>
          <w:rFonts w:hint="eastAsia" w:ascii="仿宋" w:hAnsi="仿宋" w:eastAsia="仿宋"/>
          <w:bCs/>
          <w:color w:val="auto"/>
          <w:sz w:val="32"/>
          <w:szCs w:val="32"/>
          <w:highlight w:val="none"/>
        </w:rPr>
      </w:pPr>
      <w:bookmarkStart w:id="18" w:name="_Toc15377199"/>
      <w:bookmarkStart w:id="19" w:name="_Toc15378446"/>
      <w:r>
        <w:rPr>
          <w:rFonts w:hint="eastAsia" w:ascii="仿宋" w:hAnsi="仿宋" w:eastAsia="仿宋"/>
          <w:bCs/>
          <w:color w:val="auto"/>
          <w:sz w:val="32"/>
          <w:szCs w:val="32"/>
          <w:highlight w:val="none"/>
        </w:rPr>
        <w:t>（二）</w:t>
      </w:r>
      <w:r>
        <w:rPr>
          <w:rFonts w:ascii="仿宋" w:hAnsi="仿宋" w:eastAsia="仿宋"/>
          <w:bCs/>
          <w:color w:val="auto"/>
          <w:sz w:val="32"/>
          <w:szCs w:val="32"/>
          <w:highlight w:val="none"/>
        </w:rPr>
        <w:t>20</w:t>
      </w:r>
      <w:r>
        <w:rPr>
          <w:rFonts w:hint="eastAsia" w:ascii="仿宋" w:hAnsi="仿宋" w:eastAsia="仿宋"/>
          <w:bCs/>
          <w:color w:val="auto"/>
          <w:sz w:val="32"/>
          <w:szCs w:val="32"/>
          <w:highlight w:val="none"/>
          <w:lang w:val="en-US" w:eastAsia="zh-CN"/>
        </w:rPr>
        <w:t>21</w:t>
      </w:r>
      <w:r>
        <w:rPr>
          <w:rFonts w:hint="eastAsia" w:ascii="仿宋" w:hAnsi="仿宋" w:eastAsia="仿宋"/>
          <w:bCs/>
          <w:color w:val="auto"/>
          <w:sz w:val="32"/>
          <w:szCs w:val="32"/>
          <w:highlight w:val="none"/>
        </w:rPr>
        <w:t>年重点工作完成情况。</w:t>
      </w:r>
      <w:bookmarkEnd w:id="18"/>
      <w:bookmarkEnd w:id="19"/>
    </w:p>
    <w:p>
      <w:pPr>
        <w:pStyle w:val="2"/>
        <w:adjustRightInd w:val="0"/>
        <w:snapToGrid w:val="0"/>
        <w:spacing w:before="93" w:line="600" w:lineRule="exact"/>
        <w:ind w:firstLine="672" w:firstLineChars="210"/>
        <w:outlineLvl w:val="2"/>
        <w:rPr>
          <w:rFonts w:hint="eastAsia" w:ascii="仿宋" w:hAnsi="仿宋" w:eastAsia="仿宋"/>
          <w:bCs/>
          <w:color w:val="auto"/>
          <w:sz w:val="32"/>
          <w:szCs w:val="32"/>
          <w:highlight w:val="none"/>
        </w:rPr>
      </w:pPr>
      <w:r>
        <w:rPr>
          <w:rFonts w:hint="eastAsia" w:ascii="仿宋" w:hAnsi="仿宋" w:eastAsia="仿宋"/>
          <w:bCs/>
          <w:color w:val="auto"/>
          <w:sz w:val="32"/>
          <w:szCs w:val="32"/>
          <w:highlight w:val="none"/>
        </w:rPr>
        <w:t>2021年板桥口镇在县委、县政府的坚强领导下，我镇坚决贯彻落实县委</w:t>
      </w:r>
      <w:r>
        <w:rPr>
          <w:rFonts w:hint="eastAsia" w:ascii="仿宋" w:hAnsi="仿宋" w:eastAsia="仿宋"/>
          <w:bCs/>
          <w:color w:val="auto"/>
          <w:sz w:val="32"/>
          <w:szCs w:val="32"/>
          <w:highlight w:val="none"/>
          <w:lang w:eastAsia="zh-CN"/>
        </w:rPr>
        <w:t>、</w:t>
      </w:r>
      <w:r>
        <w:rPr>
          <w:rFonts w:hint="eastAsia" w:ascii="仿宋" w:hAnsi="仿宋" w:eastAsia="仿宋"/>
          <w:bCs/>
          <w:color w:val="auto"/>
          <w:sz w:val="32"/>
          <w:szCs w:val="32"/>
          <w:highlight w:val="none"/>
        </w:rPr>
        <w:t>县政府的重大决策部署。一是疫情防控坚决有力。着眼于脱贫巩固和抗击新冠肺炎疫情“两手抓、两手硬”，全镇党员干部闻令而动、冲锋在前，医务工作者</w:t>
      </w:r>
      <w:r>
        <w:rPr>
          <w:rFonts w:hint="eastAsia" w:ascii="仿宋" w:hAnsi="仿宋" w:eastAsia="仿宋"/>
          <w:bCs/>
          <w:color w:val="auto"/>
          <w:sz w:val="32"/>
          <w:szCs w:val="32"/>
          <w:highlight w:val="none"/>
          <w:lang w:eastAsia="zh-CN"/>
        </w:rPr>
        <w:t>白衣擐甲</w:t>
      </w:r>
      <w:r>
        <w:rPr>
          <w:rFonts w:hint="eastAsia" w:ascii="仿宋" w:hAnsi="仿宋" w:eastAsia="仿宋"/>
          <w:bCs/>
          <w:color w:val="auto"/>
          <w:sz w:val="32"/>
          <w:szCs w:val="32"/>
          <w:highlight w:val="none"/>
        </w:rPr>
        <w:t>，村（社区）干部日夜值守，人民群众和社会各界群策群力，落实落细“外防输入、内防扩散、人物同防”总体防控措施，全镇常住人口实现新冠疫苗应接尽接，无一例输入型感染病例，构筑起疫情防控的坚固防线；二是产业经济逆势上扬。积极发展特色产业，采取“合作社+基地+农户”的合作模式，让群众在家门口务工，在家门口增收，全镇发展金银花、香菇、核桃等特色产业2000余亩，12个村集体经济收入实现新的增长突破；三是惠民实事持续实施。粮食直补、公益林、公益性岗位等惠农惠民资金按时兑现到户，积极动员群众参加城乡居民医疗保险和城乡居民养老保险，新建硬化道路2.1公里，拓宽6.7公里，城子山村刘家营水厂正常运转，确保板桥口镇等几个场镇供水，麻柳河山洪沟治理和镇农贸市场项目建成投入使用；四是基层治理彰显成效。大力提升镇容镇貌、激发治理活力，强化农村人居环境整治，城乡环境得到持续改善；防范化解重大风险制度机制不断健全，突发公共事件应急能力显著增强，自然灾害防御水平明显提升。</w:t>
      </w:r>
    </w:p>
    <w:p>
      <w:pPr>
        <w:pStyle w:val="4"/>
        <w:rPr>
          <w:rStyle w:val="25"/>
          <w:b w:val="0"/>
          <w:bCs w:val="0"/>
          <w:color w:val="auto"/>
          <w:highlight w:val="none"/>
        </w:rPr>
      </w:pPr>
      <w:bookmarkStart w:id="20" w:name="_Toc15396601"/>
      <w:bookmarkStart w:id="21" w:name="_Toc15377200"/>
      <w:r>
        <w:rPr>
          <w:rFonts w:hint="eastAsia" w:ascii="黑体" w:eastAsia="黑体"/>
          <w:b w:val="0"/>
          <w:color w:val="auto"/>
          <w:highlight w:val="none"/>
        </w:rPr>
        <w:t>二、</w:t>
      </w:r>
      <w:r>
        <w:rPr>
          <w:rFonts w:hint="eastAsia" w:ascii="黑体" w:hAnsi="黑体" w:eastAsia="黑体"/>
          <w:b w:val="0"/>
          <w:color w:val="auto"/>
          <w:highlight w:val="none"/>
        </w:rPr>
        <w:t>机</w:t>
      </w:r>
      <w:r>
        <w:rPr>
          <w:rStyle w:val="25"/>
          <w:rFonts w:hint="eastAsia" w:ascii="黑体" w:hAnsi="黑体" w:eastAsia="黑体"/>
          <w:b w:val="0"/>
          <w:bCs w:val="0"/>
          <w:color w:val="auto"/>
          <w:highlight w:val="none"/>
        </w:rPr>
        <w:t>构设置</w:t>
      </w:r>
      <w:bookmarkEnd w:id="20"/>
      <w:bookmarkEnd w:id="21"/>
    </w:p>
    <w:p>
      <w:pPr>
        <w:ind w:firstLine="800" w:firstLineChars="25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板桥口镇行政单位1个，下属二级单位3个，其中：参照公务员法管理的事业单位无，其他事业单位3个。</w:t>
      </w:r>
    </w:p>
    <w:p>
      <w:pPr>
        <w:ind w:firstLine="800" w:firstLineChars="25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纳入20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年度部门决算编制范围的二级预算单位包括：</w:t>
      </w:r>
    </w:p>
    <w:p>
      <w:pPr>
        <w:ind w:firstLine="800" w:firstLineChars="25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1.砥坝小学</w:t>
      </w:r>
    </w:p>
    <w:p>
      <w:pPr>
        <w:ind w:firstLine="800" w:firstLineChars="25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2.正文小学</w:t>
      </w:r>
    </w:p>
    <w:p>
      <w:pPr>
        <w:ind w:firstLine="800" w:firstLineChars="250"/>
        <w:rPr>
          <w:rFonts w:ascii="仿宋" w:hAnsi="仿宋" w:eastAsia="仿宋"/>
          <w:color w:val="auto"/>
          <w:sz w:val="32"/>
          <w:szCs w:val="32"/>
          <w:highlight w:val="none"/>
        </w:rPr>
      </w:pPr>
      <w:r>
        <w:rPr>
          <w:rFonts w:hint="eastAsia" w:ascii="仿宋" w:hAnsi="仿宋" w:eastAsia="仿宋"/>
          <w:color w:val="auto"/>
          <w:sz w:val="32"/>
          <w:szCs w:val="32"/>
          <w:highlight w:val="none"/>
        </w:rPr>
        <w:t>3.卫生院</w:t>
      </w:r>
    </w:p>
    <w:p>
      <w:pPr>
        <w:pStyle w:val="3"/>
        <w:ind w:right="440"/>
        <w:jc w:val="center"/>
        <w:rPr>
          <w:rFonts w:hint="eastAsia" w:ascii="黑体" w:hAnsi="黑体" w:eastAsia="黑体"/>
          <w:b w:val="0"/>
          <w:bCs/>
          <w:color w:val="auto"/>
          <w:highlight w:val="none"/>
        </w:rPr>
      </w:pPr>
      <w:bookmarkStart w:id="22" w:name="_Toc15396602"/>
      <w:bookmarkStart w:id="23" w:name="_Toc15377204"/>
    </w:p>
    <w:p>
      <w:pPr>
        <w:pStyle w:val="3"/>
        <w:ind w:right="440"/>
        <w:jc w:val="both"/>
        <w:rPr>
          <w:rFonts w:hint="eastAsia" w:ascii="黑体" w:hAnsi="黑体" w:eastAsia="黑体"/>
          <w:b w:val="0"/>
          <w:bCs/>
          <w:color w:val="auto"/>
          <w:highlight w:val="none"/>
        </w:rPr>
      </w:pPr>
    </w:p>
    <w:p>
      <w:pPr>
        <w:rPr>
          <w:rFonts w:hint="eastAsia"/>
        </w:rPr>
      </w:pPr>
    </w:p>
    <w:p>
      <w:pPr>
        <w:pStyle w:val="3"/>
        <w:ind w:right="440"/>
        <w:jc w:val="center"/>
        <w:rPr>
          <w:rStyle w:val="24"/>
          <w:rFonts w:ascii="黑体" w:hAnsi="黑体" w:eastAsia="黑体"/>
          <w:b w:val="0"/>
          <w:bCs/>
          <w:color w:val="auto"/>
          <w:highlight w:val="none"/>
        </w:rPr>
      </w:pPr>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2021年度</w:t>
      </w:r>
      <w:r>
        <w:rPr>
          <w:rStyle w:val="24"/>
          <w:rFonts w:hint="eastAsia" w:ascii="黑体" w:hAnsi="黑体" w:eastAsia="黑体"/>
          <w:b w:val="0"/>
          <w:bCs/>
          <w:color w:val="auto"/>
          <w:highlight w:val="none"/>
        </w:rPr>
        <w:t>部门决算情况说明</w:t>
      </w:r>
      <w:bookmarkEnd w:id="22"/>
      <w:bookmarkEnd w:id="23"/>
    </w:p>
    <w:p>
      <w:pPr>
        <w:rPr>
          <w:color w:val="auto"/>
          <w:highlight w:val="none"/>
        </w:rPr>
      </w:pPr>
    </w:p>
    <w:p>
      <w:pPr>
        <w:pStyle w:val="23"/>
        <w:numPr>
          <w:ilvl w:val="0"/>
          <w:numId w:val="1"/>
        </w:numPr>
        <w:spacing w:line="600" w:lineRule="exact"/>
        <w:ind w:firstLineChars="0"/>
        <w:outlineLvl w:val="1"/>
        <w:rPr>
          <w:rStyle w:val="25"/>
          <w:rFonts w:ascii="黑体" w:hAnsi="黑体" w:eastAsia="黑体"/>
          <w:b w:val="0"/>
          <w:color w:val="auto"/>
          <w:highlight w:val="none"/>
        </w:rPr>
      </w:pPr>
      <w:bookmarkStart w:id="24" w:name="_Toc15377205"/>
      <w:bookmarkStart w:id="25" w:name="_Toc15396603"/>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入支出决算总体情况说明</w:t>
      </w:r>
      <w:bookmarkEnd w:id="24"/>
      <w:bookmarkEnd w:id="25"/>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3616.85</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年相比，收、支总计各增加826.13万元，下降</w:t>
      </w:r>
      <w:r>
        <w:rPr>
          <w:rFonts w:hint="eastAsia" w:ascii="仿宋" w:hAnsi="仿宋" w:eastAsia="仿宋"/>
          <w:color w:val="auto"/>
          <w:sz w:val="32"/>
          <w:szCs w:val="32"/>
          <w:highlight w:val="none"/>
          <w:lang w:val="en-US" w:eastAsia="zh-CN"/>
        </w:rPr>
        <w:t>29.6</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。主要变动原因是脱贫攻坚和乡村振兴有效衔接资金增加。</w:t>
      </w:r>
    </w:p>
    <w:p>
      <w:pPr>
        <w:pStyle w:val="2"/>
      </w:pPr>
      <w:r>
        <w:drawing>
          <wp:inline distT="0" distB="0" distL="114300" distR="114300">
            <wp:extent cx="4848225" cy="2743200"/>
            <wp:effectExtent l="4445" t="4445" r="5080" b="14605"/>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640" w:firstLineChars="200"/>
        <w:rPr>
          <w:rFonts w:ascii="仿宋_GB2312" w:eastAsia="仿宋_GB2312"/>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pStyle w:val="23"/>
        <w:numPr>
          <w:ilvl w:val="0"/>
          <w:numId w:val="1"/>
        </w:numPr>
        <w:spacing w:line="600" w:lineRule="exact"/>
        <w:ind w:firstLineChars="0"/>
        <w:outlineLvl w:val="1"/>
        <w:rPr>
          <w:rStyle w:val="25"/>
          <w:rFonts w:ascii="黑体" w:hAnsi="黑体" w:eastAsia="黑体"/>
          <w:b w:val="0"/>
          <w:color w:val="auto"/>
          <w:highlight w:val="none"/>
        </w:rPr>
      </w:pPr>
      <w:bookmarkStart w:id="26" w:name="_Toc15396604"/>
      <w:bookmarkStart w:id="27" w:name="_Toc15377206"/>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入决算情况说明</w:t>
      </w:r>
      <w:bookmarkEnd w:id="26"/>
      <w:bookmarkEnd w:id="27"/>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3616.85</w:t>
      </w:r>
      <w:r>
        <w:rPr>
          <w:rFonts w:hint="eastAsia" w:ascii="仿宋" w:hAnsi="仿宋" w:eastAsia="仿宋"/>
          <w:color w:val="auto"/>
          <w:sz w:val="32"/>
          <w:szCs w:val="32"/>
          <w:highlight w:val="none"/>
        </w:rPr>
        <w:t>万元，其中：一般公共预算财政拨款收入3460.35万元</w:t>
      </w:r>
      <w:r>
        <w:rPr>
          <w:rFonts w:hint="eastAsia" w:ascii="仿宋" w:hAnsi="仿宋" w:eastAsia="仿宋"/>
          <w:color w:val="auto"/>
          <w:sz w:val="32"/>
          <w:szCs w:val="32"/>
          <w:highlight w:val="none"/>
          <w:lang w:eastAsia="zh-CN"/>
        </w:rPr>
        <w:t>（含上年结转</w:t>
      </w:r>
      <w:r>
        <w:rPr>
          <w:rFonts w:hint="eastAsia" w:ascii="仿宋" w:hAnsi="仿宋" w:eastAsia="仿宋"/>
          <w:color w:val="auto"/>
          <w:sz w:val="32"/>
          <w:szCs w:val="32"/>
          <w:highlight w:val="none"/>
          <w:lang w:val="en-US" w:eastAsia="zh-CN"/>
        </w:rPr>
        <w:t>9.25万元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，占</w:t>
      </w:r>
      <w:r>
        <w:rPr>
          <w:rFonts w:hint="eastAsia" w:ascii="仿宋" w:hAnsi="仿宋" w:eastAsia="仿宋"/>
          <w:color w:val="auto"/>
          <w:sz w:val="32"/>
          <w:szCs w:val="32"/>
          <w:highlight w:val="none"/>
          <w:lang w:val="en-US" w:eastAsia="zh-CN"/>
        </w:rPr>
        <w:t>95.67</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国有资本经营预算财政拨款收入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万元；上级补助收入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万元；事业收入</w:t>
      </w:r>
      <w:r>
        <w:rPr>
          <w:rFonts w:hint="eastAsia" w:ascii="仿宋" w:hAnsi="仿宋" w:eastAsia="仿宋"/>
          <w:color w:val="auto"/>
          <w:sz w:val="32"/>
          <w:szCs w:val="32"/>
          <w:highlight w:val="none"/>
          <w:lang w:val="en-US" w:eastAsia="zh-CN"/>
        </w:rPr>
        <w:t>156.51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4.33</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万元；附属单位上缴收入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万元；其他收入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w:t>
      </w:r>
    </w:p>
    <w:p>
      <w:pPr>
        <w:spacing w:line="240" w:lineRule="auto"/>
        <w:outlineLvl w:val="1"/>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4584065" cy="2755265"/>
            <wp:effectExtent l="0" t="0" r="6985" b="6985"/>
            <wp:docPr id="1" name="图片 1"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4"/>
                    <pic:cNvPicPr>
                      <a:picLocks noChangeAspect="1"/>
                    </pic:cNvPicPr>
                  </pic:nvPicPr>
                  <pic:blipFill>
                    <a:blip r:embed="rId7"/>
                    <a:stretch>
                      <a:fillRect/>
                    </a:stretch>
                  </pic:blipFill>
                  <pic:spPr>
                    <a:xfrm>
                      <a:off x="0" y="0"/>
                      <a:ext cx="4584065" cy="2755265"/>
                    </a:xfrm>
                    <a:prstGeom prst="rect">
                      <a:avLst/>
                    </a:prstGeom>
                  </pic:spPr>
                </pic:pic>
              </a:graphicData>
            </a:graphic>
          </wp:inline>
        </w:drawing>
      </w:r>
    </w:p>
    <w:p>
      <w:pPr>
        <w:spacing w:line="600" w:lineRule="exact"/>
        <w:ind w:firstLine="640" w:firstLineChars="200"/>
        <w:rPr>
          <w:rFonts w:ascii="仿宋_GB2312" w:eastAsia="仿宋_GB2312"/>
          <w:color w:val="auto"/>
          <w:sz w:val="32"/>
          <w:szCs w:val="32"/>
          <w:highlight w:val="none"/>
        </w:rPr>
      </w:pPr>
      <w:r>
        <w:rPr>
          <w:rFonts w:hint="eastAsia" w:ascii="仿宋" w:hAnsi="仿宋" w:eastAsia="仿宋"/>
          <w:color w:val="auto"/>
          <w:sz w:val="32"/>
          <w:szCs w:val="32"/>
          <w:highlight w:val="none"/>
        </w:rPr>
        <w:t>（图2：收入决算结构图）（饼状图）</w:t>
      </w:r>
    </w:p>
    <w:p>
      <w:pPr>
        <w:pStyle w:val="23"/>
        <w:numPr>
          <w:ilvl w:val="0"/>
          <w:numId w:val="1"/>
        </w:numPr>
        <w:spacing w:line="600" w:lineRule="exact"/>
        <w:ind w:firstLineChars="0"/>
        <w:outlineLvl w:val="1"/>
        <w:rPr>
          <w:rStyle w:val="25"/>
          <w:rFonts w:ascii="黑体" w:hAnsi="黑体" w:eastAsia="黑体"/>
          <w:b w:val="0"/>
          <w:color w:val="auto"/>
          <w:highlight w:val="none"/>
        </w:rPr>
      </w:pPr>
      <w:bookmarkStart w:id="28" w:name="_Toc15377207"/>
      <w:bookmarkStart w:id="29" w:name="_Toc15396605"/>
      <w:r>
        <w:rPr>
          <w:rFonts w:hint="eastAsia" w:ascii="黑体" w:hAnsi="黑体" w:eastAsia="黑体"/>
          <w:color w:val="auto"/>
          <w:sz w:val="32"/>
          <w:szCs w:val="32"/>
          <w:highlight w:val="none"/>
        </w:rPr>
        <w:t>支</w:t>
      </w:r>
      <w:r>
        <w:rPr>
          <w:rStyle w:val="25"/>
          <w:rFonts w:hint="eastAsia" w:ascii="黑体" w:hAnsi="黑体" w:eastAsia="黑体"/>
          <w:b w:val="0"/>
          <w:color w:val="auto"/>
          <w:highlight w:val="none"/>
        </w:rPr>
        <w:t>出决算情况说明</w:t>
      </w:r>
      <w:bookmarkEnd w:id="28"/>
      <w:bookmarkEnd w:id="29"/>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年本年支出合计3616.85万元，其中：基本支出2174.1万元，占60.11</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；项目支出1442.75万元，占39.89%；上缴上级支出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万元；经营支出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万元；对附属单位补助支出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w:t>
      </w:r>
    </w:p>
    <w:p>
      <w:pPr>
        <w:spacing w:line="240" w:lineRule="auto"/>
        <w:rPr>
          <w:rFonts w:ascii="仿宋" w:hAnsi="仿宋" w:eastAsia="仿宋"/>
          <w:color w:val="auto"/>
          <w:sz w:val="32"/>
          <w:szCs w:val="32"/>
          <w:highlight w:val="none"/>
          <w:shd w:val="pct10" w:color="auto" w:fill="FFFFFF"/>
        </w:rPr>
      </w:pPr>
      <w:r>
        <w:rPr>
          <w:rFonts w:hint="eastAsia" w:ascii="仿宋" w:hAnsi="仿宋" w:eastAsia="仿宋"/>
          <w:color w:val="auto"/>
          <w:sz w:val="32"/>
          <w:szCs w:val="32"/>
          <w:highlight w:val="none"/>
          <w:shd w:val="pct10" w:color="auto" w:fill="FFFFFF"/>
          <w:lang w:eastAsia="zh-CN"/>
        </w:rPr>
        <w:drawing>
          <wp:inline distT="0" distB="0" distL="114300" distR="114300">
            <wp:extent cx="4584065" cy="2755265"/>
            <wp:effectExtent l="0" t="0" r="6985" b="6985"/>
            <wp:docPr id="2" name="图片 2"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5"/>
                    <pic:cNvPicPr>
                      <a:picLocks noChangeAspect="1"/>
                    </pic:cNvPicPr>
                  </pic:nvPicPr>
                  <pic:blipFill>
                    <a:blip r:embed="rId8"/>
                    <a:stretch>
                      <a:fillRect/>
                    </a:stretch>
                  </pic:blipFill>
                  <pic:spPr>
                    <a:xfrm>
                      <a:off x="0" y="0"/>
                      <a:ext cx="4584065" cy="2755265"/>
                    </a:xfrm>
                    <a:prstGeom prst="rect">
                      <a:avLst/>
                    </a:prstGeom>
                  </pic:spPr>
                </pic:pic>
              </a:graphicData>
            </a:graphic>
          </wp:inline>
        </w:drawing>
      </w: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（图3：支出决算结构图）（饼状图）</w:t>
      </w:r>
    </w:p>
    <w:p>
      <w:pPr>
        <w:pStyle w:val="2"/>
      </w:pPr>
    </w:p>
    <w:p>
      <w:pPr>
        <w:spacing w:line="600" w:lineRule="exact"/>
        <w:ind w:firstLine="640" w:firstLineChars="200"/>
        <w:outlineLvl w:val="1"/>
        <w:rPr>
          <w:rStyle w:val="25"/>
          <w:rFonts w:ascii="黑体" w:hAnsi="黑体" w:eastAsia="黑体"/>
          <w:b w:val="0"/>
          <w:color w:val="auto"/>
          <w:highlight w:val="none"/>
        </w:rPr>
      </w:pPr>
      <w:bookmarkStart w:id="30" w:name="_Toc15396606"/>
      <w:bookmarkStart w:id="31" w:name="_Toc15377208"/>
      <w:r>
        <w:rPr>
          <w:rFonts w:hint="eastAsia" w:ascii="黑体" w:hAnsi="黑体" w:eastAsia="黑体"/>
          <w:color w:val="auto"/>
          <w:sz w:val="32"/>
          <w:szCs w:val="32"/>
          <w:highlight w:val="none"/>
        </w:rPr>
        <w:t>四、财</w:t>
      </w:r>
      <w:r>
        <w:rPr>
          <w:rStyle w:val="25"/>
          <w:rFonts w:hint="eastAsia" w:ascii="黑体" w:hAnsi="黑体" w:eastAsia="黑体"/>
          <w:b w:val="0"/>
          <w:color w:val="auto"/>
          <w:highlight w:val="none"/>
        </w:rPr>
        <w:t>政拨款收入支出决算总体情况说明</w:t>
      </w:r>
      <w:bookmarkEnd w:id="30"/>
      <w:bookmarkEnd w:id="31"/>
    </w:p>
    <w:p>
      <w:pPr>
        <w:spacing w:line="600" w:lineRule="exact"/>
        <w:ind w:firstLine="640"/>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年财政拨款收、支总计3460.35万元。与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年相比，财政拨款收、支总计各增加</w:t>
      </w:r>
      <w:r>
        <w:rPr>
          <w:rFonts w:hint="eastAsia" w:ascii="仿宋" w:hAnsi="仿宋" w:eastAsia="仿宋"/>
          <w:color w:val="auto"/>
          <w:sz w:val="32"/>
          <w:szCs w:val="32"/>
          <w:highlight w:val="none"/>
          <w:lang w:val="en-US" w:eastAsia="zh-CN"/>
        </w:rPr>
        <w:t>669.63</w:t>
      </w:r>
      <w:r>
        <w:rPr>
          <w:rFonts w:hint="eastAsia" w:ascii="仿宋" w:hAnsi="仿宋" w:eastAsia="仿宋"/>
          <w:color w:val="auto"/>
          <w:sz w:val="32"/>
          <w:szCs w:val="32"/>
          <w:highlight w:val="none"/>
        </w:rPr>
        <w:t>万元，增长23.99</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。主要变动原因是脱贫攻坚和乡村振兴有效衔接资金增加</w:t>
      </w:r>
      <w:r>
        <w:rPr>
          <w:rFonts w:hint="eastAsia" w:ascii="仿宋" w:hAnsi="仿宋" w:eastAsia="仿宋"/>
          <w:color w:val="auto"/>
          <w:sz w:val="32"/>
          <w:szCs w:val="32"/>
          <w:highlight w:val="none"/>
          <w:lang w:eastAsia="zh-CN"/>
        </w:rPr>
        <w:t>。</w:t>
      </w:r>
    </w:p>
    <w:p>
      <w:pPr>
        <w:spacing w:line="240" w:lineRule="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4584065" cy="2755265"/>
            <wp:effectExtent l="0" t="0" r="6985" b="6985"/>
            <wp:docPr id="3" name="图片 3" descr="图片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6"/>
                    <pic:cNvPicPr>
                      <a:picLocks noChangeAspect="1"/>
                    </pic:cNvPicPr>
                  </pic:nvPicPr>
                  <pic:blipFill>
                    <a:blip r:embed="rId9"/>
                    <a:stretch>
                      <a:fillRect/>
                    </a:stretch>
                  </pic:blipFill>
                  <pic:spPr>
                    <a:xfrm>
                      <a:off x="0" y="0"/>
                      <a:ext cx="4584065" cy="2755265"/>
                    </a:xfrm>
                    <a:prstGeom prst="rect">
                      <a:avLst/>
                    </a:prstGeom>
                  </pic:spPr>
                </pic:pic>
              </a:graphicData>
            </a:graphic>
          </wp:inline>
        </w:drawing>
      </w:r>
    </w:p>
    <w:p>
      <w:pPr>
        <w:spacing w:line="600" w:lineRule="exact"/>
        <w:ind w:firstLine="640" w:firstLineChars="200"/>
        <w:rPr>
          <w:rFonts w:ascii="仿宋" w:hAnsi="仿宋" w:eastAsia="仿宋"/>
          <w:b/>
          <w:color w:val="auto"/>
          <w:sz w:val="32"/>
          <w:szCs w:val="32"/>
          <w:highlight w:val="none"/>
        </w:rPr>
      </w:pPr>
      <w:r>
        <w:rPr>
          <w:rFonts w:hint="eastAsia" w:ascii="仿宋" w:hAnsi="仿宋" w:eastAsia="仿宋"/>
          <w:color w:val="auto"/>
          <w:sz w:val="32"/>
          <w:szCs w:val="32"/>
          <w:highlight w:val="none"/>
        </w:rPr>
        <w:t>（图4：财政拨款收、支决算总计变动情况）（柱状图）</w:t>
      </w:r>
    </w:p>
    <w:p>
      <w:pPr>
        <w:spacing w:line="600" w:lineRule="exact"/>
        <w:ind w:firstLine="640" w:firstLineChars="200"/>
        <w:outlineLvl w:val="1"/>
        <w:rPr>
          <w:rStyle w:val="25"/>
          <w:rFonts w:ascii="黑体" w:hAnsi="黑体" w:eastAsia="黑体"/>
          <w:b w:val="0"/>
          <w:color w:val="auto"/>
          <w:highlight w:val="none"/>
        </w:rPr>
      </w:pPr>
      <w:bookmarkStart w:id="32" w:name="_Toc15377209"/>
      <w:bookmarkStart w:id="33"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般公共预算财政拨款支出决算情况说明</w:t>
      </w:r>
      <w:bookmarkEnd w:id="32"/>
      <w:bookmarkEnd w:id="33"/>
    </w:p>
    <w:p>
      <w:pPr>
        <w:spacing w:line="600" w:lineRule="exact"/>
        <w:ind w:firstLine="643" w:firstLineChars="200"/>
        <w:outlineLvl w:val="2"/>
        <w:rPr>
          <w:rFonts w:ascii="仿宋" w:hAnsi="仿宋" w:eastAsia="仿宋"/>
          <w:b/>
          <w:color w:val="auto"/>
          <w:sz w:val="32"/>
          <w:szCs w:val="32"/>
          <w:highlight w:val="none"/>
        </w:rPr>
      </w:pPr>
      <w:bookmarkStart w:id="34" w:name="_Toc15377210"/>
      <w:r>
        <w:rPr>
          <w:rFonts w:hint="eastAsia" w:ascii="仿宋" w:hAnsi="仿宋" w:eastAsia="仿宋"/>
          <w:b/>
          <w:color w:val="auto"/>
          <w:sz w:val="32"/>
          <w:szCs w:val="32"/>
          <w:highlight w:val="none"/>
        </w:rPr>
        <w:t>（一）一般公共预算财政拨款支出决算总体情况</w:t>
      </w:r>
      <w:bookmarkEnd w:id="34"/>
    </w:p>
    <w:p>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3460.35</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84.6</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增加678.88万元，增长</w:t>
      </w:r>
      <w:r>
        <w:rPr>
          <w:rFonts w:hint="eastAsia" w:ascii="仿宋" w:hAnsi="仿宋" w:eastAsia="仿宋"/>
          <w:color w:val="auto"/>
          <w:sz w:val="32"/>
          <w:szCs w:val="32"/>
          <w:highlight w:val="none"/>
          <w:lang w:val="en-US" w:eastAsia="zh-CN"/>
        </w:rPr>
        <w:t>24.4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240" w:lineRule="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4353560" cy="2990215"/>
            <wp:effectExtent l="0" t="0" r="8890" b="635"/>
            <wp:docPr id="4" name="图片 4" descr="图片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7"/>
                    <pic:cNvPicPr>
                      <a:picLocks noChangeAspect="1"/>
                    </pic:cNvPicPr>
                  </pic:nvPicPr>
                  <pic:blipFill>
                    <a:blip r:embed="rId10"/>
                    <a:stretch>
                      <a:fillRect/>
                    </a:stretch>
                  </pic:blipFill>
                  <pic:spPr>
                    <a:xfrm>
                      <a:off x="0" y="0"/>
                      <a:ext cx="4353560" cy="2990215"/>
                    </a:xfrm>
                    <a:prstGeom prst="rect">
                      <a:avLst/>
                    </a:prstGeom>
                  </pic:spPr>
                </pic:pic>
              </a:graphicData>
            </a:graphic>
          </wp:inline>
        </w:drawing>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（图5：一般公共预算财政拨款支出决算变动情况）（柱状图）</w:t>
      </w:r>
    </w:p>
    <w:p>
      <w:pPr>
        <w:spacing w:line="600" w:lineRule="exact"/>
        <w:ind w:firstLine="643" w:firstLineChars="200"/>
        <w:outlineLvl w:val="2"/>
        <w:rPr>
          <w:rFonts w:ascii="仿宋" w:hAnsi="仿宋" w:eastAsia="仿宋"/>
          <w:b/>
          <w:color w:val="auto"/>
          <w:sz w:val="32"/>
          <w:szCs w:val="32"/>
          <w:highlight w:val="none"/>
        </w:rPr>
      </w:pPr>
      <w:bookmarkStart w:id="35" w:name="_Toc15377211"/>
      <w:r>
        <w:rPr>
          <w:rFonts w:hint="eastAsia" w:ascii="仿宋" w:hAnsi="仿宋" w:eastAsia="仿宋"/>
          <w:b/>
          <w:color w:val="auto"/>
          <w:sz w:val="32"/>
          <w:szCs w:val="32"/>
          <w:highlight w:val="none"/>
        </w:rPr>
        <w:t>（二）一般公共预算财政拨款支出决算结构情况</w:t>
      </w:r>
      <w:bookmarkEnd w:id="35"/>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3460.35</w:t>
      </w:r>
      <w:r>
        <w:rPr>
          <w:rFonts w:hint="eastAsia" w:ascii="仿宋" w:hAnsi="仿宋" w:eastAsia="仿宋"/>
          <w:color w:val="auto"/>
          <w:sz w:val="32"/>
          <w:szCs w:val="32"/>
          <w:highlight w:val="none"/>
        </w:rPr>
        <w:t>万元，主要用于以下方面</w:t>
      </w:r>
      <w:r>
        <w:rPr>
          <w:rFonts w:hint="eastAsia" w:ascii="仿宋" w:hAnsi="仿宋" w:eastAsia="仿宋"/>
          <w:color w:val="auto"/>
          <w:sz w:val="32"/>
          <w:szCs w:val="32"/>
          <w:highlight w:val="none"/>
          <w:lang w:eastAsia="zh-CN"/>
        </w:rPr>
        <w:t>：</w:t>
      </w:r>
      <w:r>
        <w:rPr>
          <w:rFonts w:hint="eastAsia" w:ascii="仿宋" w:hAnsi="仿宋" w:eastAsia="仿宋"/>
          <w:b/>
          <w:color w:val="auto"/>
          <w:sz w:val="32"/>
          <w:szCs w:val="32"/>
          <w:highlight w:val="none"/>
        </w:rPr>
        <w:t>一般公共服务（类）</w:t>
      </w:r>
      <w:r>
        <w:rPr>
          <w:rFonts w:hint="eastAsia" w:ascii="仿宋" w:hAnsi="仿宋" w:eastAsia="仿宋"/>
          <w:color w:val="auto"/>
          <w:sz w:val="32"/>
          <w:szCs w:val="32"/>
          <w:highlight w:val="none"/>
        </w:rPr>
        <w:t>支出534.38万元，占15.44%；</w:t>
      </w:r>
      <w:r>
        <w:rPr>
          <w:rFonts w:hint="eastAsia" w:ascii="仿宋" w:hAnsi="仿宋" w:eastAsia="仿宋"/>
          <w:b/>
          <w:color w:val="auto"/>
          <w:sz w:val="32"/>
          <w:szCs w:val="32"/>
          <w:highlight w:val="none"/>
        </w:rPr>
        <w:t>教育支出（类）</w:t>
      </w:r>
      <w:r>
        <w:rPr>
          <w:rFonts w:hint="eastAsia" w:ascii="仿宋" w:hAnsi="仿宋" w:eastAsia="仿宋"/>
          <w:color w:val="auto"/>
          <w:sz w:val="32"/>
          <w:szCs w:val="32"/>
          <w:highlight w:val="none"/>
        </w:rPr>
        <w:t>1059.14万元，占30.61%；</w:t>
      </w:r>
      <w:r>
        <w:rPr>
          <w:rFonts w:hint="eastAsia" w:ascii="仿宋" w:hAnsi="仿宋" w:eastAsia="仿宋"/>
          <w:b/>
          <w:bCs/>
          <w:color w:val="auto"/>
          <w:sz w:val="32"/>
          <w:szCs w:val="32"/>
          <w:highlight w:val="none"/>
        </w:rPr>
        <w:t>文化旅游体育与传媒（类）支出4万元，占</w:t>
      </w:r>
      <w:r>
        <w:rPr>
          <w:rFonts w:hint="eastAsia" w:ascii="仿宋" w:hAnsi="仿宋" w:eastAsia="仿宋"/>
          <w:b w:val="0"/>
          <w:bCs w:val="0"/>
          <w:color w:val="auto"/>
          <w:sz w:val="32"/>
          <w:szCs w:val="32"/>
          <w:highlight w:val="none"/>
        </w:rPr>
        <w:t>0.12</w:t>
      </w:r>
      <w:r>
        <w:rPr>
          <w:rFonts w:ascii="仿宋" w:hAnsi="仿宋" w:eastAsia="仿宋"/>
          <w:b w:val="0"/>
          <w:bCs w:val="0"/>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社会保障和就业（类）</w:t>
      </w:r>
      <w:r>
        <w:rPr>
          <w:rFonts w:hint="eastAsia" w:ascii="仿宋" w:hAnsi="仿宋" w:eastAsia="仿宋"/>
          <w:color w:val="auto"/>
          <w:sz w:val="32"/>
          <w:szCs w:val="32"/>
          <w:highlight w:val="none"/>
        </w:rPr>
        <w:t>支出198.27万元，占5.73%；</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rPr>
        <w:t>288.82万元，占8.35%；</w:t>
      </w:r>
      <w:r>
        <w:rPr>
          <w:rFonts w:hint="eastAsia" w:ascii="仿宋" w:hAnsi="仿宋" w:eastAsia="仿宋"/>
          <w:b/>
          <w:bCs/>
          <w:color w:val="auto"/>
          <w:sz w:val="32"/>
          <w:szCs w:val="32"/>
          <w:highlight w:val="none"/>
        </w:rPr>
        <w:t>农林水支出</w:t>
      </w:r>
      <w:r>
        <w:rPr>
          <w:rFonts w:hint="eastAsia" w:ascii="仿宋" w:hAnsi="仿宋" w:eastAsia="仿宋"/>
          <w:color w:val="auto"/>
          <w:sz w:val="32"/>
          <w:szCs w:val="32"/>
          <w:highlight w:val="none"/>
        </w:rPr>
        <w:t>1078.9</w:t>
      </w:r>
      <w:r>
        <w:rPr>
          <w:rFonts w:hint="eastAsia" w:ascii="仿宋" w:hAnsi="仿宋" w:eastAsia="仿宋"/>
          <w:color w:val="auto"/>
          <w:sz w:val="32"/>
          <w:szCs w:val="32"/>
          <w:highlight w:val="none"/>
          <w:lang w:eastAsia="zh-CN"/>
        </w:rPr>
        <w:t>万元，占31.18%；</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rPr>
        <w:t>296.84万元，占8.58%。</w:t>
      </w:r>
    </w:p>
    <w:p>
      <w:pPr>
        <w:spacing w:line="240" w:lineRule="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4584065" cy="2755265"/>
            <wp:effectExtent l="0" t="0" r="6985" b="6985"/>
            <wp:docPr id="5" name="图片 5" descr="图片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8"/>
                    <pic:cNvPicPr>
                      <a:picLocks noChangeAspect="1"/>
                    </pic:cNvPicPr>
                  </pic:nvPicPr>
                  <pic:blipFill>
                    <a:blip r:embed="rId11"/>
                    <a:stretch>
                      <a:fillRect/>
                    </a:stretch>
                  </pic:blipFill>
                  <pic:spPr>
                    <a:xfrm>
                      <a:off x="0" y="0"/>
                      <a:ext cx="4584065" cy="2755265"/>
                    </a:xfrm>
                    <a:prstGeom prst="rect">
                      <a:avLst/>
                    </a:prstGeom>
                  </pic:spPr>
                </pic:pic>
              </a:graphicData>
            </a:graphic>
          </wp:inline>
        </w:drawing>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pPr>
        <w:spacing w:line="600" w:lineRule="exact"/>
        <w:ind w:firstLine="643" w:firstLineChars="200"/>
        <w:outlineLvl w:val="2"/>
        <w:rPr>
          <w:rFonts w:ascii="仿宋" w:hAnsi="仿宋" w:eastAsia="仿宋"/>
          <w:b/>
          <w:color w:val="auto"/>
          <w:sz w:val="32"/>
          <w:szCs w:val="32"/>
          <w:highlight w:val="none"/>
        </w:rPr>
      </w:pPr>
      <w:bookmarkStart w:id="36" w:name="_Toc15377212"/>
      <w:r>
        <w:rPr>
          <w:rFonts w:hint="eastAsia" w:ascii="仿宋" w:hAnsi="仿宋" w:eastAsia="仿宋"/>
          <w:b/>
          <w:color w:val="auto"/>
          <w:sz w:val="32"/>
          <w:szCs w:val="32"/>
          <w:highlight w:val="none"/>
        </w:rPr>
        <w:t>（三）一般公共预算财政拨款支出决算具体情况</w:t>
      </w:r>
      <w:bookmarkEnd w:id="36"/>
    </w:p>
    <w:p>
      <w:pPr>
        <w:spacing w:line="600" w:lineRule="exact"/>
        <w:ind w:firstLine="643" w:firstLineChars="200"/>
        <w:outlineLvl w:val="2"/>
        <w:rPr>
          <w:rFonts w:ascii="仿宋" w:hAnsi="仿宋" w:eastAsia="仿宋"/>
          <w:color w:val="auto"/>
          <w:sz w:val="32"/>
          <w:szCs w:val="32"/>
          <w:highlight w:val="none"/>
        </w:rPr>
      </w:pPr>
      <w:bookmarkStart w:id="37" w:name="_Toc15377444"/>
      <w:bookmarkStart w:id="38" w:name="_Toc15378460"/>
      <w:bookmarkStart w:id="39" w:name="_Toc15377213"/>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般公共预算支出决算数为3460.35</w:t>
      </w:r>
      <w:r>
        <w:rPr>
          <w:rFonts w:hint="eastAsia" w:ascii="仿宋" w:hAnsi="仿宋" w:eastAsia="仿宋"/>
          <w:color w:val="auto"/>
          <w:sz w:val="32"/>
          <w:szCs w:val="32"/>
          <w:highlight w:val="none"/>
        </w:rPr>
        <w:t>，</w:t>
      </w:r>
      <w:r>
        <w:rPr>
          <w:rStyle w:val="14"/>
          <w:rFonts w:hint="eastAsia" w:ascii="仿宋" w:hAnsi="仿宋" w:eastAsia="仿宋"/>
          <w:bCs/>
          <w:color w:val="auto"/>
          <w:sz w:val="32"/>
          <w:szCs w:val="32"/>
          <w:highlight w:val="none"/>
        </w:rPr>
        <w:t>完成预算</w:t>
      </w:r>
      <w:r>
        <w:rPr>
          <w:rStyle w:val="14"/>
          <w:rFonts w:hint="eastAsia" w:ascii="仿宋" w:hAnsi="仿宋" w:eastAsia="仿宋"/>
          <w:bCs/>
          <w:color w:val="auto"/>
          <w:sz w:val="32"/>
          <w:szCs w:val="32"/>
          <w:highlight w:val="none"/>
          <w:lang w:val="en-US" w:eastAsia="zh-CN"/>
        </w:rPr>
        <w:t>100</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。其中：</w:t>
      </w:r>
      <w:bookmarkEnd w:id="37"/>
      <w:bookmarkEnd w:id="38"/>
      <w:bookmarkEnd w:id="39"/>
    </w:p>
    <w:p>
      <w:pPr>
        <w:spacing w:line="600" w:lineRule="exact"/>
        <w:ind w:firstLine="643" w:firstLineChars="200"/>
        <w:rPr>
          <w:rStyle w:val="14"/>
          <w:rFonts w:hint="eastAsia" w:ascii="仿宋" w:hAnsi="仿宋" w:eastAsia="仿宋"/>
          <w:b w:val="0"/>
          <w:bCs/>
          <w:color w:val="auto"/>
          <w:sz w:val="32"/>
          <w:szCs w:val="32"/>
          <w:highlight w:val="none"/>
        </w:rPr>
      </w:pPr>
      <w:r>
        <w:rPr>
          <w:rStyle w:val="14"/>
          <w:rFonts w:ascii="仿宋" w:hAnsi="仿宋" w:eastAsia="仿宋"/>
          <w:bCs/>
          <w:color w:val="auto"/>
          <w:sz w:val="32"/>
          <w:szCs w:val="32"/>
          <w:highlight w:val="none"/>
        </w:rPr>
        <w:t>1.</w:t>
      </w:r>
      <w:r>
        <w:rPr>
          <w:rStyle w:val="14"/>
          <w:rFonts w:hint="eastAsia" w:ascii="仿宋" w:hAnsi="仿宋" w:eastAsia="仿宋"/>
          <w:bCs/>
          <w:color w:val="auto"/>
          <w:sz w:val="32"/>
          <w:szCs w:val="32"/>
          <w:highlight w:val="none"/>
        </w:rPr>
        <w:t>一般公共服务（类）政府办公厅（室）及相关机构事务（款）</w:t>
      </w:r>
      <w:r>
        <w:rPr>
          <w:rStyle w:val="14"/>
          <w:rFonts w:hint="eastAsia" w:ascii="仿宋" w:hAnsi="仿宋" w:eastAsia="仿宋"/>
          <w:bCs/>
          <w:color w:val="000000"/>
          <w:sz w:val="32"/>
          <w:szCs w:val="32"/>
        </w:rPr>
        <w:t>行政运行</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340.62</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4"/>
          <w:rFonts w:hint="eastAsia" w:ascii="仿宋" w:hAnsi="仿宋" w:eastAsia="仿宋"/>
          <w:bCs/>
          <w:color w:val="auto"/>
          <w:sz w:val="32"/>
          <w:szCs w:val="32"/>
          <w:highlight w:val="none"/>
          <w:lang w:val="en-US" w:eastAsia="zh-CN"/>
        </w:rPr>
        <w:t>2</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一般公共服务（类）政府办公厅（室）及相关机构事务（款）</w:t>
      </w:r>
      <w:r>
        <w:rPr>
          <w:rStyle w:val="14"/>
          <w:rFonts w:hint="eastAsia" w:ascii="仿宋" w:hAnsi="仿宋" w:eastAsia="仿宋"/>
          <w:bCs/>
          <w:color w:val="000000"/>
          <w:sz w:val="32"/>
          <w:szCs w:val="32"/>
          <w:lang w:eastAsia="zh-CN"/>
        </w:rPr>
        <w:t>一般行政管理事务</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14.5</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4"/>
          <w:rFonts w:hint="eastAsia" w:ascii="仿宋" w:hAnsi="仿宋" w:eastAsia="仿宋"/>
          <w:bCs/>
          <w:color w:val="auto"/>
          <w:sz w:val="32"/>
          <w:szCs w:val="32"/>
          <w:highlight w:val="none"/>
          <w:lang w:val="en-US" w:eastAsia="zh-CN"/>
        </w:rPr>
        <w:t>3</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一般公共服务（类）政府办公厅（室）及相关机构事务（款）</w:t>
      </w:r>
      <w:r>
        <w:rPr>
          <w:rStyle w:val="14"/>
          <w:rFonts w:hint="eastAsia" w:ascii="仿宋" w:hAnsi="仿宋" w:eastAsia="仿宋"/>
          <w:bCs/>
          <w:color w:val="000000"/>
          <w:sz w:val="32"/>
          <w:szCs w:val="32"/>
          <w:lang w:eastAsia="zh-CN"/>
        </w:rPr>
        <w:t>事业运行</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176.26</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3" w:firstLineChars="200"/>
        <w:rPr>
          <w:rStyle w:val="14"/>
          <w:rFonts w:hint="eastAsia" w:ascii="仿宋" w:hAnsi="仿宋" w:eastAsia="仿宋"/>
          <w:b w:val="0"/>
          <w:bCs/>
          <w:color w:val="auto"/>
          <w:sz w:val="32"/>
          <w:szCs w:val="32"/>
          <w:highlight w:val="none"/>
        </w:rPr>
      </w:pPr>
      <w:r>
        <w:rPr>
          <w:rStyle w:val="14"/>
          <w:rFonts w:hint="eastAsia" w:ascii="仿宋" w:hAnsi="仿宋" w:eastAsia="仿宋"/>
          <w:bCs/>
          <w:color w:val="auto"/>
          <w:sz w:val="32"/>
          <w:szCs w:val="32"/>
          <w:highlight w:val="none"/>
          <w:lang w:val="en-US" w:eastAsia="zh-CN"/>
        </w:rPr>
        <w:t>4</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一般公共服务（类）</w:t>
      </w:r>
      <w:r>
        <w:rPr>
          <w:rStyle w:val="14"/>
          <w:rFonts w:hint="eastAsia" w:ascii="仿宋" w:hAnsi="仿宋" w:eastAsia="仿宋"/>
          <w:bCs/>
          <w:color w:val="auto"/>
          <w:sz w:val="32"/>
          <w:szCs w:val="32"/>
          <w:highlight w:val="none"/>
          <w:lang w:eastAsia="zh-CN"/>
        </w:rPr>
        <w:t>其他一般公共服务支出</w:t>
      </w:r>
      <w:r>
        <w:rPr>
          <w:rStyle w:val="14"/>
          <w:rFonts w:hint="eastAsia" w:ascii="仿宋" w:hAnsi="仿宋" w:eastAsia="仿宋"/>
          <w:bCs/>
          <w:color w:val="auto"/>
          <w:sz w:val="32"/>
          <w:szCs w:val="32"/>
          <w:highlight w:val="none"/>
        </w:rPr>
        <w:t>（款）</w:t>
      </w:r>
      <w:r>
        <w:rPr>
          <w:rStyle w:val="14"/>
          <w:rFonts w:hint="eastAsia" w:ascii="仿宋" w:hAnsi="仿宋" w:eastAsia="仿宋"/>
          <w:bCs/>
          <w:color w:val="auto"/>
          <w:sz w:val="32"/>
          <w:szCs w:val="32"/>
          <w:highlight w:val="none"/>
          <w:lang w:eastAsia="zh-CN"/>
        </w:rPr>
        <w:t>其他一般公共服务支出</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3</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3" w:firstLineChars="200"/>
        <w:rPr>
          <w:rStyle w:val="14"/>
          <w:rFonts w:hint="eastAsia" w:ascii="仿宋" w:hAnsi="仿宋" w:eastAsia="仿宋"/>
          <w:b w:val="0"/>
          <w:bCs/>
          <w:color w:val="auto"/>
          <w:sz w:val="32"/>
          <w:szCs w:val="32"/>
          <w:highlight w:val="none"/>
        </w:rPr>
      </w:pPr>
      <w:r>
        <w:rPr>
          <w:rStyle w:val="14"/>
          <w:rFonts w:hint="eastAsia" w:ascii="仿宋" w:hAnsi="仿宋" w:eastAsia="仿宋"/>
          <w:bCs/>
          <w:color w:val="auto"/>
          <w:sz w:val="32"/>
          <w:szCs w:val="32"/>
          <w:highlight w:val="none"/>
          <w:lang w:val="en-US" w:eastAsia="zh-CN"/>
        </w:rPr>
        <w:t>5</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eastAsia="zh-CN"/>
        </w:rPr>
        <w:t>教育支出</w:t>
      </w:r>
      <w:r>
        <w:rPr>
          <w:rStyle w:val="14"/>
          <w:rFonts w:hint="eastAsia" w:ascii="仿宋" w:hAnsi="仿宋" w:eastAsia="仿宋"/>
          <w:bCs/>
          <w:color w:val="auto"/>
          <w:sz w:val="32"/>
          <w:szCs w:val="32"/>
          <w:highlight w:val="none"/>
        </w:rPr>
        <w:t>（类）</w:t>
      </w:r>
      <w:r>
        <w:rPr>
          <w:rStyle w:val="14"/>
          <w:rFonts w:hint="eastAsia" w:ascii="仿宋" w:hAnsi="仿宋" w:eastAsia="仿宋"/>
          <w:bCs/>
          <w:color w:val="auto"/>
          <w:sz w:val="32"/>
          <w:szCs w:val="32"/>
          <w:highlight w:val="none"/>
          <w:lang w:eastAsia="zh-CN"/>
        </w:rPr>
        <w:t>普通教育</w:t>
      </w:r>
      <w:r>
        <w:rPr>
          <w:rStyle w:val="14"/>
          <w:rFonts w:hint="eastAsia" w:ascii="仿宋" w:hAnsi="仿宋" w:eastAsia="仿宋"/>
          <w:bCs/>
          <w:color w:val="auto"/>
          <w:sz w:val="32"/>
          <w:szCs w:val="32"/>
          <w:highlight w:val="none"/>
        </w:rPr>
        <w:t>（款）</w:t>
      </w:r>
      <w:r>
        <w:rPr>
          <w:rStyle w:val="14"/>
          <w:rFonts w:hint="eastAsia" w:ascii="仿宋" w:hAnsi="仿宋" w:eastAsia="仿宋"/>
          <w:bCs/>
          <w:color w:val="auto"/>
          <w:sz w:val="32"/>
          <w:szCs w:val="32"/>
          <w:highlight w:val="none"/>
          <w:lang w:eastAsia="zh-CN"/>
        </w:rPr>
        <w:t>学前教育</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15.61</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3" w:firstLineChars="200"/>
        <w:rPr>
          <w:rStyle w:val="14"/>
          <w:rFonts w:hint="eastAsia" w:ascii="仿宋" w:hAnsi="仿宋" w:eastAsia="仿宋"/>
          <w:b w:val="0"/>
          <w:bCs/>
          <w:color w:val="auto"/>
          <w:sz w:val="32"/>
          <w:szCs w:val="32"/>
          <w:highlight w:val="none"/>
        </w:rPr>
      </w:pPr>
      <w:r>
        <w:rPr>
          <w:rStyle w:val="14"/>
          <w:rFonts w:hint="eastAsia" w:ascii="仿宋" w:hAnsi="仿宋" w:eastAsia="仿宋"/>
          <w:bCs/>
          <w:color w:val="auto"/>
          <w:sz w:val="32"/>
          <w:szCs w:val="32"/>
          <w:highlight w:val="none"/>
          <w:lang w:val="en-US" w:eastAsia="zh-CN"/>
        </w:rPr>
        <w:t>6</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eastAsia="zh-CN"/>
        </w:rPr>
        <w:t>教育支出</w:t>
      </w:r>
      <w:r>
        <w:rPr>
          <w:rStyle w:val="14"/>
          <w:rFonts w:hint="eastAsia" w:ascii="仿宋" w:hAnsi="仿宋" w:eastAsia="仿宋"/>
          <w:bCs/>
          <w:color w:val="auto"/>
          <w:sz w:val="32"/>
          <w:szCs w:val="32"/>
          <w:highlight w:val="none"/>
        </w:rPr>
        <w:t>（类）</w:t>
      </w:r>
      <w:r>
        <w:rPr>
          <w:rStyle w:val="14"/>
          <w:rFonts w:hint="eastAsia" w:ascii="仿宋" w:hAnsi="仿宋" w:eastAsia="仿宋"/>
          <w:bCs/>
          <w:color w:val="auto"/>
          <w:sz w:val="32"/>
          <w:szCs w:val="32"/>
          <w:highlight w:val="none"/>
          <w:lang w:eastAsia="zh-CN"/>
        </w:rPr>
        <w:t>普通教育</w:t>
      </w:r>
      <w:r>
        <w:rPr>
          <w:rStyle w:val="14"/>
          <w:rFonts w:hint="eastAsia" w:ascii="仿宋" w:hAnsi="仿宋" w:eastAsia="仿宋"/>
          <w:bCs/>
          <w:color w:val="auto"/>
          <w:sz w:val="32"/>
          <w:szCs w:val="32"/>
          <w:highlight w:val="none"/>
        </w:rPr>
        <w:t>（款）</w:t>
      </w:r>
      <w:r>
        <w:rPr>
          <w:rStyle w:val="14"/>
          <w:rFonts w:hint="eastAsia" w:ascii="仿宋" w:hAnsi="仿宋" w:eastAsia="仿宋"/>
          <w:bCs/>
          <w:color w:val="auto"/>
          <w:sz w:val="32"/>
          <w:szCs w:val="32"/>
          <w:highlight w:val="none"/>
          <w:lang w:eastAsia="zh-CN"/>
        </w:rPr>
        <w:t>小学教育</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917.33</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3" w:firstLineChars="200"/>
        <w:rPr>
          <w:rFonts w:hint="eastAsia"/>
        </w:rPr>
      </w:pPr>
      <w:r>
        <w:rPr>
          <w:rStyle w:val="14"/>
          <w:rFonts w:hint="eastAsia" w:ascii="仿宋" w:hAnsi="仿宋" w:eastAsia="仿宋"/>
          <w:bCs/>
          <w:color w:val="auto"/>
          <w:sz w:val="32"/>
          <w:szCs w:val="32"/>
          <w:highlight w:val="none"/>
          <w:lang w:val="en-US" w:eastAsia="zh-CN"/>
        </w:rPr>
        <w:t>7</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eastAsia="zh-CN"/>
        </w:rPr>
        <w:t>教育支出</w:t>
      </w:r>
      <w:r>
        <w:rPr>
          <w:rStyle w:val="14"/>
          <w:rFonts w:hint="eastAsia" w:ascii="仿宋" w:hAnsi="仿宋" w:eastAsia="仿宋"/>
          <w:bCs/>
          <w:color w:val="auto"/>
          <w:sz w:val="32"/>
          <w:szCs w:val="32"/>
          <w:highlight w:val="none"/>
        </w:rPr>
        <w:t>（类）</w:t>
      </w:r>
      <w:r>
        <w:rPr>
          <w:rStyle w:val="14"/>
          <w:rFonts w:hint="eastAsia" w:ascii="仿宋" w:hAnsi="仿宋" w:eastAsia="仿宋"/>
          <w:bCs/>
          <w:color w:val="auto"/>
          <w:sz w:val="32"/>
          <w:szCs w:val="32"/>
          <w:highlight w:val="none"/>
          <w:lang w:eastAsia="zh-CN"/>
        </w:rPr>
        <w:t>普通教育</w:t>
      </w:r>
      <w:r>
        <w:rPr>
          <w:rStyle w:val="14"/>
          <w:rFonts w:hint="eastAsia" w:ascii="仿宋" w:hAnsi="仿宋" w:eastAsia="仿宋"/>
          <w:bCs/>
          <w:color w:val="auto"/>
          <w:sz w:val="32"/>
          <w:szCs w:val="32"/>
          <w:highlight w:val="none"/>
        </w:rPr>
        <w:t>（款）</w:t>
      </w:r>
      <w:r>
        <w:rPr>
          <w:rStyle w:val="14"/>
          <w:rFonts w:hint="eastAsia" w:ascii="仿宋" w:hAnsi="仿宋" w:eastAsia="仿宋"/>
          <w:bCs/>
          <w:color w:val="auto"/>
          <w:sz w:val="32"/>
          <w:szCs w:val="32"/>
          <w:highlight w:val="none"/>
          <w:lang w:eastAsia="zh-CN"/>
        </w:rPr>
        <w:t>其他普通教育支出</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126.2</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3" w:firstLineChars="200"/>
        <w:rPr>
          <w:rStyle w:val="14"/>
          <w:rFonts w:hint="eastAsia" w:ascii="仿宋" w:hAnsi="仿宋" w:eastAsia="仿宋"/>
          <w:b w:val="0"/>
          <w:bCs/>
          <w:color w:val="auto"/>
          <w:sz w:val="32"/>
          <w:szCs w:val="32"/>
          <w:highlight w:val="none"/>
        </w:rPr>
      </w:pPr>
      <w:r>
        <w:rPr>
          <w:rStyle w:val="14"/>
          <w:rFonts w:hint="eastAsia" w:ascii="仿宋" w:hAnsi="仿宋" w:eastAsia="仿宋"/>
          <w:bCs/>
          <w:color w:val="auto"/>
          <w:sz w:val="32"/>
          <w:szCs w:val="32"/>
          <w:highlight w:val="none"/>
          <w:lang w:val="en-US" w:eastAsia="zh-CN"/>
        </w:rPr>
        <w:t>8</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eastAsia="zh-CN"/>
        </w:rPr>
        <w:t>文化旅游体育与传媒支出</w:t>
      </w:r>
      <w:r>
        <w:rPr>
          <w:rStyle w:val="14"/>
          <w:rFonts w:hint="eastAsia" w:ascii="仿宋" w:hAnsi="仿宋" w:eastAsia="仿宋"/>
          <w:bCs/>
          <w:color w:val="auto"/>
          <w:sz w:val="32"/>
          <w:szCs w:val="32"/>
          <w:highlight w:val="none"/>
        </w:rPr>
        <w:t>（类）</w:t>
      </w:r>
      <w:r>
        <w:rPr>
          <w:rStyle w:val="14"/>
          <w:rFonts w:hint="eastAsia" w:ascii="仿宋" w:hAnsi="仿宋" w:eastAsia="仿宋"/>
          <w:bCs/>
          <w:color w:val="auto"/>
          <w:sz w:val="32"/>
          <w:szCs w:val="32"/>
          <w:highlight w:val="none"/>
          <w:lang w:eastAsia="zh-CN"/>
        </w:rPr>
        <w:t>文化和旅游</w:t>
      </w:r>
      <w:r>
        <w:rPr>
          <w:rStyle w:val="14"/>
          <w:rFonts w:hint="eastAsia" w:ascii="仿宋" w:hAnsi="仿宋" w:eastAsia="仿宋"/>
          <w:bCs/>
          <w:color w:val="auto"/>
          <w:sz w:val="32"/>
          <w:szCs w:val="32"/>
          <w:highlight w:val="none"/>
        </w:rPr>
        <w:t>（款）</w:t>
      </w:r>
      <w:r>
        <w:rPr>
          <w:rStyle w:val="14"/>
          <w:rFonts w:hint="eastAsia" w:ascii="仿宋" w:hAnsi="仿宋" w:eastAsia="仿宋"/>
          <w:bCs/>
          <w:color w:val="auto"/>
          <w:sz w:val="32"/>
          <w:szCs w:val="32"/>
          <w:highlight w:val="none"/>
          <w:lang w:eastAsia="zh-CN"/>
        </w:rPr>
        <w:t>其他文化和旅游支出</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4</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3" w:firstLineChars="200"/>
        <w:rPr>
          <w:rStyle w:val="14"/>
          <w:rFonts w:hint="eastAsia" w:ascii="仿宋" w:hAnsi="仿宋" w:eastAsia="仿宋"/>
          <w:b w:val="0"/>
          <w:bCs/>
          <w:color w:val="auto"/>
          <w:sz w:val="32"/>
          <w:szCs w:val="32"/>
          <w:highlight w:val="none"/>
        </w:rPr>
      </w:pPr>
      <w:r>
        <w:rPr>
          <w:rStyle w:val="14"/>
          <w:rFonts w:hint="eastAsia" w:ascii="仿宋" w:hAnsi="仿宋" w:eastAsia="仿宋"/>
          <w:bCs/>
          <w:color w:val="auto"/>
          <w:sz w:val="32"/>
          <w:szCs w:val="32"/>
          <w:highlight w:val="none"/>
          <w:lang w:val="en-US" w:eastAsia="zh-CN"/>
        </w:rPr>
        <w:t>9</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社会保障和就业（类）</w:t>
      </w:r>
      <w:r>
        <w:rPr>
          <w:rStyle w:val="14"/>
          <w:rFonts w:hint="eastAsia" w:ascii="仿宋" w:hAnsi="仿宋" w:eastAsia="仿宋"/>
          <w:bCs/>
          <w:color w:val="auto"/>
          <w:sz w:val="32"/>
          <w:szCs w:val="32"/>
          <w:highlight w:val="none"/>
          <w:lang w:eastAsia="zh-CN"/>
        </w:rPr>
        <w:t>行政事业单位养老支出</w:t>
      </w:r>
      <w:r>
        <w:rPr>
          <w:rStyle w:val="14"/>
          <w:rFonts w:hint="eastAsia" w:ascii="仿宋" w:hAnsi="仿宋" w:eastAsia="仿宋"/>
          <w:bCs/>
          <w:color w:val="auto"/>
          <w:sz w:val="32"/>
          <w:szCs w:val="32"/>
          <w:highlight w:val="none"/>
        </w:rPr>
        <w:t>（款）</w:t>
      </w:r>
      <w:r>
        <w:rPr>
          <w:rStyle w:val="14"/>
          <w:rFonts w:hint="eastAsia" w:ascii="仿宋" w:hAnsi="仿宋" w:eastAsia="仿宋"/>
          <w:bCs/>
          <w:color w:val="auto"/>
          <w:sz w:val="32"/>
          <w:szCs w:val="32"/>
          <w:highlight w:val="none"/>
          <w:lang w:eastAsia="zh-CN"/>
        </w:rPr>
        <w:t>机关事业单位基本养老保险缴费支出</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130.64</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3" w:firstLineChars="200"/>
        <w:rPr>
          <w:rFonts w:hint="eastAsia"/>
        </w:rPr>
      </w:pPr>
      <w:r>
        <w:rPr>
          <w:rStyle w:val="14"/>
          <w:rFonts w:hint="eastAsia" w:ascii="仿宋" w:hAnsi="仿宋" w:eastAsia="仿宋"/>
          <w:bCs/>
          <w:color w:val="auto"/>
          <w:sz w:val="32"/>
          <w:szCs w:val="32"/>
          <w:highlight w:val="none"/>
          <w:lang w:val="en-US" w:eastAsia="zh-CN"/>
        </w:rPr>
        <w:t>10</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社会保障和就业（类）</w:t>
      </w:r>
      <w:r>
        <w:rPr>
          <w:rStyle w:val="14"/>
          <w:rFonts w:hint="eastAsia" w:ascii="仿宋" w:hAnsi="仿宋" w:eastAsia="仿宋"/>
          <w:bCs/>
          <w:color w:val="auto"/>
          <w:sz w:val="32"/>
          <w:szCs w:val="32"/>
          <w:highlight w:val="none"/>
          <w:lang w:eastAsia="zh-CN"/>
        </w:rPr>
        <w:t>行政事业单位养老支出</w:t>
      </w:r>
      <w:r>
        <w:rPr>
          <w:rStyle w:val="14"/>
          <w:rFonts w:hint="eastAsia" w:ascii="仿宋" w:hAnsi="仿宋" w:eastAsia="仿宋"/>
          <w:bCs/>
          <w:color w:val="auto"/>
          <w:sz w:val="32"/>
          <w:szCs w:val="32"/>
          <w:highlight w:val="none"/>
        </w:rPr>
        <w:t>（款）</w:t>
      </w:r>
      <w:r>
        <w:rPr>
          <w:rStyle w:val="14"/>
          <w:rFonts w:hint="eastAsia" w:ascii="仿宋" w:hAnsi="仿宋" w:eastAsia="仿宋"/>
          <w:bCs/>
          <w:color w:val="auto"/>
          <w:sz w:val="32"/>
          <w:szCs w:val="32"/>
          <w:highlight w:val="none"/>
          <w:lang w:eastAsia="zh-CN"/>
        </w:rPr>
        <w:t>机关事业单位职业年金缴费支出</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19.21</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3" w:firstLineChars="200"/>
        <w:rPr>
          <w:rStyle w:val="14"/>
          <w:rFonts w:hint="eastAsia" w:ascii="仿宋" w:hAnsi="仿宋" w:eastAsia="仿宋"/>
          <w:b w:val="0"/>
          <w:bCs/>
          <w:color w:val="auto"/>
          <w:sz w:val="32"/>
          <w:szCs w:val="32"/>
          <w:highlight w:val="none"/>
        </w:rPr>
      </w:pPr>
      <w:r>
        <w:rPr>
          <w:rStyle w:val="14"/>
          <w:rFonts w:hint="eastAsia" w:ascii="仿宋" w:hAnsi="仿宋" w:eastAsia="仿宋"/>
          <w:bCs/>
          <w:color w:val="auto"/>
          <w:sz w:val="32"/>
          <w:szCs w:val="32"/>
          <w:highlight w:val="none"/>
          <w:lang w:val="en-US" w:eastAsia="zh-CN"/>
        </w:rPr>
        <w:t>11</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社会保障和就业（类）</w:t>
      </w:r>
      <w:r>
        <w:rPr>
          <w:rStyle w:val="14"/>
          <w:rFonts w:hint="eastAsia" w:ascii="仿宋" w:hAnsi="仿宋" w:eastAsia="仿宋"/>
          <w:bCs/>
          <w:color w:val="auto"/>
          <w:sz w:val="32"/>
          <w:szCs w:val="32"/>
          <w:highlight w:val="none"/>
          <w:lang w:eastAsia="zh-CN"/>
        </w:rPr>
        <w:t>就业补助</w:t>
      </w:r>
      <w:r>
        <w:rPr>
          <w:rStyle w:val="14"/>
          <w:rFonts w:hint="eastAsia" w:ascii="仿宋" w:hAnsi="仿宋" w:eastAsia="仿宋"/>
          <w:bCs/>
          <w:color w:val="auto"/>
          <w:sz w:val="32"/>
          <w:szCs w:val="32"/>
          <w:highlight w:val="none"/>
        </w:rPr>
        <w:t>（款）</w:t>
      </w:r>
      <w:r>
        <w:rPr>
          <w:rStyle w:val="14"/>
          <w:rFonts w:hint="eastAsia" w:ascii="仿宋" w:hAnsi="仿宋" w:eastAsia="仿宋"/>
          <w:bCs/>
          <w:color w:val="auto"/>
          <w:sz w:val="32"/>
          <w:szCs w:val="32"/>
          <w:highlight w:val="none"/>
          <w:lang w:eastAsia="zh-CN"/>
        </w:rPr>
        <w:t>公益性岗位补贴</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39.42</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3" w:firstLineChars="200"/>
        <w:rPr>
          <w:rStyle w:val="14"/>
          <w:rFonts w:hint="eastAsia" w:ascii="仿宋" w:hAnsi="仿宋" w:eastAsia="仿宋"/>
          <w:b w:val="0"/>
          <w:bCs/>
          <w:color w:val="auto"/>
          <w:sz w:val="32"/>
          <w:szCs w:val="32"/>
          <w:highlight w:val="none"/>
        </w:rPr>
      </w:pPr>
      <w:r>
        <w:rPr>
          <w:rStyle w:val="14"/>
          <w:rFonts w:hint="eastAsia" w:ascii="仿宋" w:hAnsi="仿宋" w:eastAsia="仿宋"/>
          <w:bCs/>
          <w:color w:val="auto"/>
          <w:sz w:val="32"/>
          <w:szCs w:val="32"/>
          <w:highlight w:val="none"/>
          <w:lang w:val="en-US" w:eastAsia="zh-CN"/>
        </w:rPr>
        <w:t>12</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社会保障和就业（类）</w:t>
      </w:r>
      <w:r>
        <w:rPr>
          <w:rStyle w:val="14"/>
          <w:rFonts w:hint="eastAsia" w:ascii="仿宋" w:hAnsi="仿宋" w:eastAsia="仿宋"/>
          <w:bCs/>
          <w:color w:val="auto"/>
          <w:sz w:val="32"/>
          <w:szCs w:val="32"/>
          <w:highlight w:val="none"/>
          <w:lang w:eastAsia="zh-CN"/>
        </w:rPr>
        <w:t>就业补助</w:t>
      </w:r>
      <w:r>
        <w:rPr>
          <w:rStyle w:val="14"/>
          <w:rFonts w:hint="eastAsia" w:ascii="仿宋" w:hAnsi="仿宋" w:eastAsia="仿宋"/>
          <w:bCs/>
          <w:color w:val="auto"/>
          <w:sz w:val="32"/>
          <w:szCs w:val="32"/>
          <w:highlight w:val="none"/>
        </w:rPr>
        <w:t>（款）</w:t>
      </w:r>
      <w:r>
        <w:rPr>
          <w:rStyle w:val="14"/>
          <w:rFonts w:hint="eastAsia" w:ascii="仿宋" w:hAnsi="仿宋" w:eastAsia="仿宋"/>
          <w:bCs/>
          <w:color w:val="auto"/>
          <w:sz w:val="32"/>
          <w:szCs w:val="32"/>
          <w:highlight w:val="none"/>
          <w:lang w:eastAsia="zh-CN"/>
        </w:rPr>
        <w:t>其他就业补助支出</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9</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3" w:firstLineChars="200"/>
        <w:rPr>
          <w:rStyle w:val="14"/>
          <w:rFonts w:hint="eastAsia" w:ascii="仿宋" w:hAnsi="仿宋" w:eastAsia="仿宋"/>
          <w:b w:val="0"/>
          <w:bCs/>
          <w:color w:val="auto"/>
          <w:sz w:val="32"/>
          <w:szCs w:val="32"/>
          <w:highlight w:val="none"/>
        </w:rPr>
      </w:pPr>
      <w:r>
        <w:rPr>
          <w:rStyle w:val="14"/>
          <w:rFonts w:hint="eastAsia" w:ascii="仿宋" w:hAnsi="仿宋" w:eastAsia="仿宋"/>
          <w:bCs/>
          <w:color w:val="auto"/>
          <w:sz w:val="32"/>
          <w:szCs w:val="32"/>
          <w:highlight w:val="none"/>
          <w:lang w:val="en-US" w:eastAsia="zh-CN"/>
        </w:rPr>
        <w:t>13</w:t>
      </w:r>
      <w:r>
        <w:rPr>
          <w:rStyle w:val="14"/>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4"/>
          <w:rFonts w:hint="eastAsia" w:ascii="仿宋" w:hAnsi="仿宋" w:eastAsia="仿宋"/>
          <w:bCs/>
          <w:color w:val="auto"/>
          <w:sz w:val="32"/>
          <w:szCs w:val="32"/>
          <w:highlight w:val="none"/>
        </w:rPr>
        <w:t>（类）</w:t>
      </w:r>
      <w:r>
        <w:rPr>
          <w:rStyle w:val="14"/>
          <w:rFonts w:hint="eastAsia" w:ascii="仿宋" w:hAnsi="仿宋" w:eastAsia="仿宋"/>
          <w:bCs/>
          <w:color w:val="auto"/>
          <w:sz w:val="32"/>
          <w:szCs w:val="32"/>
          <w:highlight w:val="none"/>
          <w:lang w:eastAsia="zh-CN"/>
        </w:rPr>
        <w:t>基层医疗卫生机构</w:t>
      </w:r>
      <w:r>
        <w:rPr>
          <w:rStyle w:val="14"/>
          <w:rFonts w:hint="eastAsia" w:ascii="仿宋" w:hAnsi="仿宋" w:eastAsia="仿宋"/>
          <w:bCs/>
          <w:color w:val="auto"/>
          <w:sz w:val="32"/>
          <w:szCs w:val="32"/>
          <w:highlight w:val="none"/>
        </w:rPr>
        <w:t>（款）</w:t>
      </w:r>
      <w:r>
        <w:rPr>
          <w:rStyle w:val="14"/>
          <w:rFonts w:hint="eastAsia" w:ascii="仿宋" w:hAnsi="仿宋" w:eastAsia="仿宋"/>
          <w:bCs/>
          <w:color w:val="auto"/>
          <w:sz w:val="32"/>
          <w:szCs w:val="32"/>
          <w:highlight w:val="none"/>
          <w:lang w:eastAsia="zh-CN"/>
        </w:rPr>
        <w:t>乡镇卫生院</w:t>
      </w:r>
      <w:r>
        <w:rPr>
          <w:rStyle w:val="14"/>
          <w:rFonts w:hint="eastAsia" w:ascii="仿宋" w:hAnsi="仿宋" w:eastAsia="仿宋"/>
          <w:bCs/>
          <w:color w:val="auto"/>
          <w:sz w:val="32"/>
          <w:szCs w:val="32"/>
          <w:highlight w:val="none"/>
        </w:rPr>
        <w:t>（项）</w:t>
      </w:r>
      <w:r>
        <w:rPr>
          <w:rStyle w:val="14"/>
          <w:rFonts w:hint="eastAsia" w:ascii="仿宋" w:hAnsi="仿宋" w:eastAsia="仿宋"/>
          <w:bCs/>
          <w:color w:val="auto"/>
          <w:sz w:val="32"/>
          <w:szCs w:val="32"/>
          <w:highlight w:val="none"/>
          <w:lang w:eastAsia="zh-CN"/>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79.59</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3" w:firstLineChars="200"/>
        <w:rPr>
          <w:rStyle w:val="14"/>
          <w:rFonts w:hint="eastAsia" w:ascii="仿宋" w:hAnsi="仿宋" w:eastAsia="仿宋"/>
          <w:b w:val="0"/>
          <w:bCs/>
          <w:color w:val="auto"/>
          <w:sz w:val="32"/>
          <w:szCs w:val="32"/>
          <w:highlight w:val="none"/>
        </w:rPr>
      </w:pPr>
      <w:r>
        <w:rPr>
          <w:rStyle w:val="14"/>
          <w:rFonts w:hint="eastAsia" w:ascii="仿宋" w:hAnsi="仿宋" w:eastAsia="仿宋"/>
          <w:bCs/>
          <w:color w:val="auto"/>
          <w:sz w:val="32"/>
          <w:szCs w:val="32"/>
          <w:highlight w:val="none"/>
          <w:lang w:val="en-US" w:eastAsia="zh-CN"/>
        </w:rPr>
        <w:t>14</w:t>
      </w:r>
      <w:r>
        <w:rPr>
          <w:rStyle w:val="14"/>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4"/>
          <w:rFonts w:hint="eastAsia" w:ascii="仿宋" w:hAnsi="仿宋" w:eastAsia="仿宋"/>
          <w:bCs/>
          <w:color w:val="auto"/>
          <w:sz w:val="32"/>
          <w:szCs w:val="32"/>
          <w:highlight w:val="none"/>
        </w:rPr>
        <w:t>（类）</w:t>
      </w:r>
      <w:r>
        <w:rPr>
          <w:rStyle w:val="14"/>
          <w:rFonts w:hint="eastAsia" w:ascii="仿宋" w:hAnsi="仿宋" w:eastAsia="仿宋"/>
          <w:bCs/>
          <w:color w:val="auto"/>
          <w:sz w:val="32"/>
          <w:szCs w:val="32"/>
          <w:highlight w:val="none"/>
          <w:lang w:eastAsia="zh-CN"/>
        </w:rPr>
        <w:t>基层医疗卫生机构</w:t>
      </w:r>
      <w:r>
        <w:rPr>
          <w:rStyle w:val="14"/>
          <w:rFonts w:hint="eastAsia" w:ascii="仿宋" w:hAnsi="仿宋" w:eastAsia="仿宋"/>
          <w:bCs/>
          <w:color w:val="auto"/>
          <w:sz w:val="32"/>
          <w:szCs w:val="32"/>
          <w:highlight w:val="none"/>
        </w:rPr>
        <w:t>（款）</w:t>
      </w:r>
      <w:r>
        <w:rPr>
          <w:rStyle w:val="14"/>
          <w:rFonts w:hint="eastAsia" w:ascii="仿宋" w:hAnsi="仿宋" w:eastAsia="仿宋"/>
          <w:bCs/>
          <w:color w:val="auto"/>
          <w:sz w:val="32"/>
          <w:szCs w:val="32"/>
          <w:highlight w:val="none"/>
          <w:lang w:eastAsia="zh-CN"/>
        </w:rPr>
        <w:t>其他基层医疗卫生机构支出</w:t>
      </w:r>
      <w:r>
        <w:rPr>
          <w:rStyle w:val="14"/>
          <w:rFonts w:hint="eastAsia" w:ascii="仿宋" w:hAnsi="仿宋" w:eastAsia="仿宋"/>
          <w:bCs/>
          <w:color w:val="auto"/>
          <w:sz w:val="32"/>
          <w:szCs w:val="32"/>
          <w:highlight w:val="none"/>
        </w:rPr>
        <w:t>（项）</w:t>
      </w:r>
      <w:r>
        <w:rPr>
          <w:rStyle w:val="14"/>
          <w:rFonts w:hint="eastAsia" w:ascii="仿宋" w:hAnsi="仿宋" w:eastAsia="仿宋"/>
          <w:bCs/>
          <w:color w:val="auto"/>
          <w:sz w:val="32"/>
          <w:szCs w:val="32"/>
          <w:highlight w:val="none"/>
          <w:lang w:eastAsia="zh-CN"/>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25.97</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3" w:firstLineChars="200"/>
      </w:pPr>
      <w:r>
        <w:rPr>
          <w:rStyle w:val="14"/>
          <w:rFonts w:hint="eastAsia" w:ascii="仿宋" w:hAnsi="仿宋" w:eastAsia="仿宋"/>
          <w:bCs/>
          <w:color w:val="auto"/>
          <w:sz w:val="32"/>
          <w:szCs w:val="32"/>
          <w:highlight w:val="none"/>
          <w:lang w:val="en-US" w:eastAsia="zh-CN"/>
        </w:rPr>
        <w:t>15</w:t>
      </w:r>
      <w:r>
        <w:rPr>
          <w:rStyle w:val="14"/>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4"/>
          <w:rFonts w:hint="eastAsia" w:ascii="仿宋" w:hAnsi="仿宋" w:eastAsia="仿宋"/>
          <w:bCs/>
          <w:color w:val="auto"/>
          <w:sz w:val="32"/>
          <w:szCs w:val="32"/>
          <w:highlight w:val="none"/>
        </w:rPr>
        <w:t>（类）</w:t>
      </w:r>
      <w:r>
        <w:rPr>
          <w:rStyle w:val="14"/>
          <w:rFonts w:hint="eastAsia" w:ascii="仿宋" w:hAnsi="仿宋" w:eastAsia="仿宋"/>
          <w:bCs/>
          <w:color w:val="auto"/>
          <w:sz w:val="32"/>
          <w:szCs w:val="32"/>
          <w:highlight w:val="none"/>
          <w:lang w:eastAsia="zh-CN"/>
        </w:rPr>
        <w:t>公共卫生</w:t>
      </w:r>
      <w:r>
        <w:rPr>
          <w:rStyle w:val="14"/>
          <w:rFonts w:hint="eastAsia" w:ascii="仿宋" w:hAnsi="仿宋" w:eastAsia="仿宋"/>
          <w:bCs/>
          <w:color w:val="auto"/>
          <w:sz w:val="32"/>
          <w:szCs w:val="32"/>
          <w:highlight w:val="none"/>
        </w:rPr>
        <w:t>（款）</w:t>
      </w:r>
      <w:r>
        <w:rPr>
          <w:rStyle w:val="14"/>
          <w:rFonts w:hint="eastAsia" w:ascii="仿宋" w:hAnsi="仿宋" w:eastAsia="仿宋"/>
          <w:bCs/>
          <w:color w:val="auto"/>
          <w:sz w:val="32"/>
          <w:szCs w:val="32"/>
          <w:highlight w:val="none"/>
          <w:lang w:eastAsia="zh-CN"/>
        </w:rPr>
        <w:t>基本公共卫生服务</w:t>
      </w:r>
      <w:r>
        <w:rPr>
          <w:rStyle w:val="14"/>
          <w:rFonts w:hint="eastAsia" w:ascii="仿宋" w:hAnsi="仿宋" w:eastAsia="仿宋"/>
          <w:bCs/>
          <w:color w:val="auto"/>
          <w:sz w:val="32"/>
          <w:szCs w:val="32"/>
          <w:highlight w:val="none"/>
        </w:rPr>
        <w:t>（项）</w:t>
      </w:r>
      <w:r>
        <w:rPr>
          <w:rStyle w:val="14"/>
          <w:rFonts w:hint="eastAsia" w:ascii="仿宋" w:hAnsi="仿宋" w:eastAsia="仿宋"/>
          <w:bCs/>
          <w:color w:val="auto"/>
          <w:sz w:val="32"/>
          <w:szCs w:val="32"/>
          <w:highlight w:val="none"/>
          <w:lang w:eastAsia="zh-CN"/>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101.78</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3" w:firstLineChars="200"/>
        <w:rPr>
          <w:rStyle w:val="14"/>
          <w:rFonts w:hint="eastAsia" w:ascii="仿宋" w:hAnsi="仿宋" w:eastAsia="仿宋"/>
          <w:b w:val="0"/>
          <w:bCs/>
          <w:color w:val="auto"/>
          <w:sz w:val="32"/>
          <w:szCs w:val="32"/>
          <w:highlight w:val="none"/>
        </w:rPr>
      </w:pPr>
      <w:r>
        <w:rPr>
          <w:rStyle w:val="14"/>
          <w:rFonts w:hint="eastAsia" w:ascii="仿宋" w:hAnsi="仿宋" w:eastAsia="仿宋"/>
          <w:bCs/>
          <w:color w:val="auto"/>
          <w:sz w:val="32"/>
          <w:szCs w:val="32"/>
          <w:highlight w:val="none"/>
          <w:lang w:val="en-US" w:eastAsia="zh-CN"/>
        </w:rPr>
        <w:t>16</w:t>
      </w:r>
      <w:r>
        <w:rPr>
          <w:rStyle w:val="14"/>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4"/>
          <w:rFonts w:hint="eastAsia" w:ascii="仿宋" w:hAnsi="仿宋" w:eastAsia="仿宋"/>
          <w:bCs/>
          <w:color w:val="auto"/>
          <w:sz w:val="32"/>
          <w:szCs w:val="32"/>
          <w:highlight w:val="none"/>
        </w:rPr>
        <w:t>（类）</w:t>
      </w:r>
      <w:r>
        <w:rPr>
          <w:rStyle w:val="14"/>
          <w:rFonts w:hint="eastAsia" w:ascii="仿宋" w:hAnsi="仿宋" w:eastAsia="仿宋"/>
          <w:bCs/>
          <w:color w:val="auto"/>
          <w:sz w:val="32"/>
          <w:szCs w:val="32"/>
          <w:highlight w:val="none"/>
          <w:lang w:eastAsia="zh-CN"/>
        </w:rPr>
        <w:t>行政事业单位医疗</w:t>
      </w:r>
      <w:r>
        <w:rPr>
          <w:rStyle w:val="14"/>
          <w:rFonts w:hint="eastAsia" w:ascii="仿宋" w:hAnsi="仿宋" w:eastAsia="仿宋"/>
          <w:bCs/>
          <w:color w:val="auto"/>
          <w:sz w:val="32"/>
          <w:szCs w:val="32"/>
          <w:highlight w:val="none"/>
        </w:rPr>
        <w:t>（款）</w:t>
      </w:r>
      <w:r>
        <w:rPr>
          <w:rStyle w:val="14"/>
          <w:rFonts w:hint="eastAsia" w:ascii="仿宋" w:hAnsi="仿宋" w:eastAsia="仿宋"/>
          <w:bCs/>
          <w:color w:val="auto"/>
          <w:sz w:val="32"/>
          <w:szCs w:val="32"/>
          <w:highlight w:val="none"/>
          <w:lang w:eastAsia="zh-CN"/>
        </w:rPr>
        <w:t>行政单位医疗</w:t>
      </w:r>
      <w:r>
        <w:rPr>
          <w:rStyle w:val="14"/>
          <w:rFonts w:hint="eastAsia" w:ascii="仿宋" w:hAnsi="仿宋" w:eastAsia="仿宋"/>
          <w:bCs/>
          <w:color w:val="auto"/>
          <w:sz w:val="32"/>
          <w:szCs w:val="32"/>
          <w:highlight w:val="none"/>
        </w:rPr>
        <w:t>（项）</w:t>
      </w:r>
      <w:r>
        <w:rPr>
          <w:rStyle w:val="14"/>
          <w:rFonts w:hint="eastAsia" w:ascii="仿宋" w:hAnsi="仿宋" w:eastAsia="仿宋"/>
          <w:bCs/>
          <w:color w:val="auto"/>
          <w:sz w:val="32"/>
          <w:szCs w:val="32"/>
          <w:highlight w:val="none"/>
          <w:lang w:eastAsia="zh-CN"/>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13.23</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3" w:firstLineChars="200"/>
        <w:rPr>
          <w:rStyle w:val="14"/>
          <w:rFonts w:hint="eastAsia" w:ascii="仿宋" w:hAnsi="仿宋" w:eastAsia="仿宋"/>
          <w:b w:val="0"/>
          <w:bCs/>
          <w:color w:val="auto"/>
          <w:sz w:val="32"/>
          <w:szCs w:val="32"/>
          <w:highlight w:val="none"/>
        </w:rPr>
      </w:pPr>
      <w:r>
        <w:rPr>
          <w:rStyle w:val="14"/>
          <w:rFonts w:hint="eastAsia" w:ascii="仿宋" w:hAnsi="仿宋" w:eastAsia="仿宋"/>
          <w:bCs/>
          <w:color w:val="auto"/>
          <w:sz w:val="32"/>
          <w:szCs w:val="32"/>
          <w:highlight w:val="none"/>
          <w:lang w:val="en-US" w:eastAsia="zh-CN"/>
        </w:rPr>
        <w:t>17</w:t>
      </w:r>
      <w:r>
        <w:rPr>
          <w:rStyle w:val="14"/>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4"/>
          <w:rFonts w:hint="eastAsia" w:ascii="仿宋" w:hAnsi="仿宋" w:eastAsia="仿宋"/>
          <w:bCs/>
          <w:color w:val="auto"/>
          <w:sz w:val="32"/>
          <w:szCs w:val="32"/>
          <w:highlight w:val="none"/>
        </w:rPr>
        <w:t>（类）</w:t>
      </w:r>
      <w:r>
        <w:rPr>
          <w:rStyle w:val="14"/>
          <w:rFonts w:hint="eastAsia" w:ascii="仿宋" w:hAnsi="仿宋" w:eastAsia="仿宋"/>
          <w:bCs/>
          <w:color w:val="auto"/>
          <w:sz w:val="32"/>
          <w:szCs w:val="32"/>
          <w:highlight w:val="none"/>
          <w:lang w:eastAsia="zh-CN"/>
        </w:rPr>
        <w:t>行政事业单位医疗</w:t>
      </w:r>
      <w:r>
        <w:rPr>
          <w:rStyle w:val="14"/>
          <w:rFonts w:hint="eastAsia" w:ascii="仿宋" w:hAnsi="仿宋" w:eastAsia="仿宋"/>
          <w:bCs/>
          <w:color w:val="auto"/>
          <w:sz w:val="32"/>
          <w:szCs w:val="32"/>
          <w:highlight w:val="none"/>
        </w:rPr>
        <w:t>（款）</w:t>
      </w:r>
      <w:r>
        <w:rPr>
          <w:rStyle w:val="14"/>
          <w:rFonts w:hint="eastAsia" w:ascii="仿宋" w:hAnsi="仿宋" w:eastAsia="仿宋"/>
          <w:bCs/>
          <w:color w:val="auto"/>
          <w:sz w:val="32"/>
          <w:szCs w:val="32"/>
          <w:highlight w:val="none"/>
          <w:lang w:eastAsia="zh-CN"/>
        </w:rPr>
        <w:t>事业单位医疗</w:t>
      </w:r>
      <w:r>
        <w:rPr>
          <w:rStyle w:val="14"/>
          <w:rFonts w:hint="eastAsia" w:ascii="仿宋" w:hAnsi="仿宋" w:eastAsia="仿宋"/>
          <w:bCs/>
          <w:color w:val="auto"/>
          <w:sz w:val="32"/>
          <w:szCs w:val="32"/>
          <w:highlight w:val="none"/>
        </w:rPr>
        <w:t>（项）</w:t>
      </w:r>
      <w:r>
        <w:rPr>
          <w:rStyle w:val="14"/>
          <w:rFonts w:hint="eastAsia" w:ascii="仿宋" w:hAnsi="仿宋" w:eastAsia="仿宋"/>
          <w:bCs/>
          <w:color w:val="auto"/>
          <w:sz w:val="32"/>
          <w:szCs w:val="32"/>
          <w:highlight w:val="none"/>
          <w:lang w:eastAsia="zh-CN"/>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65.6</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3" w:firstLineChars="200"/>
        <w:rPr>
          <w:rStyle w:val="14"/>
          <w:rFonts w:hint="eastAsia" w:ascii="仿宋" w:hAnsi="仿宋" w:eastAsia="仿宋"/>
          <w:b w:val="0"/>
          <w:bCs/>
          <w:color w:val="auto"/>
          <w:sz w:val="32"/>
          <w:szCs w:val="32"/>
          <w:highlight w:val="none"/>
        </w:rPr>
      </w:pPr>
      <w:r>
        <w:rPr>
          <w:rStyle w:val="14"/>
          <w:rFonts w:hint="eastAsia" w:ascii="仿宋" w:hAnsi="仿宋" w:eastAsia="仿宋"/>
          <w:bCs/>
          <w:color w:val="auto"/>
          <w:sz w:val="32"/>
          <w:szCs w:val="32"/>
          <w:highlight w:val="none"/>
          <w:lang w:val="en-US" w:eastAsia="zh-CN"/>
        </w:rPr>
        <w:t>18</w:t>
      </w:r>
      <w:r>
        <w:rPr>
          <w:rStyle w:val="14"/>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4"/>
          <w:rFonts w:hint="eastAsia" w:ascii="仿宋" w:hAnsi="仿宋" w:eastAsia="仿宋"/>
          <w:bCs/>
          <w:color w:val="auto"/>
          <w:sz w:val="32"/>
          <w:szCs w:val="32"/>
          <w:highlight w:val="none"/>
        </w:rPr>
        <w:t>（类）</w:t>
      </w:r>
      <w:r>
        <w:rPr>
          <w:rStyle w:val="14"/>
          <w:rFonts w:hint="eastAsia" w:ascii="仿宋" w:hAnsi="仿宋" w:eastAsia="仿宋"/>
          <w:bCs/>
          <w:color w:val="auto"/>
          <w:sz w:val="32"/>
          <w:szCs w:val="32"/>
          <w:highlight w:val="none"/>
          <w:lang w:eastAsia="zh-CN"/>
        </w:rPr>
        <w:t>行政事业单位医疗</w:t>
      </w:r>
      <w:r>
        <w:rPr>
          <w:rStyle w:val="14"/>
          <w:rFonts w:hint="eastAsia" w:ascii="仿宋" w:hAnsi="仿宋" w:eastAsia="仿宋"/>
          <w:bCs/>
          <w:color w:val="auto"/>
          <w:sz w:val="32"/>
          <w:szCs w:val="32"/>
          <w:highlight w:val="none"/>
        </w:rPr>
        <w:t>（款）</w:t>
      </w:r>
      <w:r>
        <w:rPr>
          <w:rStyle w:val="14"/>
          <w:rFonts w:hint="eastAsia" w:ascii="仿宋" w:hAnsi="仿宋" w:eastAsia="仿宋"/>
          <w:bCs/>
          <w:color w:val="auto"/>
          <w:sz w:val="32"/>
          <w:szCs w:val="32"/>
          <w:highlight w:val="none"/>
          <w:lang w:eastAsia="zh-CN"/>
        </w:rPr>
        <w:t>公务员医疗补助</w:t>
      </w:r>
      <w:r>
        <w:rPr>
          <w:rStyle w:val="14"/>
          <w:rFonts w:hint="eastAsia" w:ascii="仿宋" w:hAnsi="仿宋" w:eastAsia="仿宋"/>
          <w:bCs/>
          <w:color w:val="auto"/>
          <w:sz w:val="32"/>
          <w:szCs w:val="32"/>
          <w:highlight w:val="none"/>
        </w:rPr>
        <w:t>（项）</w:t>
      </w:r>
      <w:r>
        <w:rPr>
          <w:rStyle w:val="14"/>
          <w:rFonts w:hint="eastAsia" w:ascii="仿宋" w:hAnsi="仿宋" w:eastAsia="仿宋"/>
          <w:bCs/>
          <w:color w:val="auto"/>
          <w:sz w:val="32"/>
          <w:szCs w:val="32"/>
          <w:highlight w:val="none"/>
          <w:lang w:eastAsia="zh-CN"/>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2.64</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3" w:firstLineChars="200"/>
        <w:rPr>
          <w:rStyle w:val="14"/>
          <w:rFonts w:hint="eastAsia" w:ascii="仿宋" w:hAnsi="仿宋" w:eastAsia="仿宋"/>
          <w:b w:val="0"/>
          <w:bCs/>
          <w:color w:val="auto"/>
          <w:sz w:val="32"/>
          <w:szCs w:val="32"/>
          <w:highlight w:val="none"/>
        </w:rPr>
      </w:pPr>
      <w:r>
        <w:rPr>
          <w:rStyle w:val="14"/>
          <w:rFonts w:hint="eastAsia" w:ascii="仿宋" w:hAnsi="仿宋" w:eastAsia="仿宋"/>
          <w:bCs/>
          <w:color w:val="auto"/>
          <w:sz w:val="32"/>
          <w:szCs w:val="32"/>
          <w:highlight w:val="none"/>
          <w:lang w:val="en-US" w:eastAsia="zh-CN"/>
        </w:rPr>
        <w:t>19</w:t>
      </w:r>
      <w:r>
        <w:rPr>
          <w:rStyle w:val="14"/>
          <w:rFonts w:ascii="仿宋" w:hAnsi="仿宋" w:eastAsia="仿宋"/>
          <w:bCs/>
          <w:color w:val="auto"/>
          <w:sz w:val="32"/>
          <w:szCs w:val="32"/>
          <w:highlight w:val="none"/>
        </w:rPr>
        <w:t>.</w:t>
      </w:r>
      <w:r>
        <w:rPr>
          <w:rFonts w:hint="eastAsia" w:ascii="仿宋" w:hAnsi="仿宋" w:eastAsia="仿宋"/>
          <w:b/>
          <w:bCs/>
          <w:color w:val="auto"/>
          <w:sz w:val="32"/>
          <w:szCs w:val="32"/>
          <w:highlight w:val="none"/>
          <w:lang w:eastAsia="zh-CN"/>
        </w:rPr>
        <w:t>农林水支出</w:t>
      </w:r>
      <w:r>
        <w:rPr>
          <w:rStyle w:val="14"/>
          <w:rFonts w:hint="eastAsia" w:ascii="仿宋" w:hAnsi="仿宋" w:eastAsia="仿宋"/>
          <w:bCs/>
          <w:color w:val="auto"/>
          <w:sz w:val="32"/>
          <w:szCs w:val="32"/>
          <w:highlight w:val="none"/>
        </w:rPr>
        <w:t>（类）</w:t>
      </w:r>
      <w:r>
        <w:rPr>
          <w:rStyle w:val="14"/>
          <w:rFonts w:hint="eastAsia" w:ascii="仿宋" w:hAnsi="仿宋" w:eastAsia="仿宋"/>
          <w:bCs/>
          <w:color w:val="auto"/>
          <w:sz w:val="32"/>
          <w:szCs w:val="32"/>
          <w:highlight w:val="none"/>
          <w:lang w:eastAsia="zh-CN"/>
        </w:rPr>
        <w:t>农业农村</w:t>
      </w:r>
      <w:r>
        <w:rPr>
          <w:rStyle w:val="14"/>
          <w:rFonts w:hint="eastAsia" w:ascii="仿宋" w:hAnsi="仿宋" w:eastAsia="仿宋"/>
          <w:bCs/>
          <w:color w:val="auto"/>
          <w:sz w:val="32"/>
          <w:szCs w:val="32"/>
          <w:highlight w:val="none"/>
        </w:rPr>
        <w:t>（款）</w:t>
      </w:r>
      <w:r>
        <w:rPr>
          <w:rStyle w:val="14"/>
          <w:rFonts w:hint="eastAsia" w:ascii="仿宋" w:hAnsi="仿宋" w:eastAsia="仿宋"/>
          <w:bCs/>
          <w:color w:val="auto"/>
          <w:sz w:val="32"/>
          <w:szCs w:val="32"/>
          <w:highlight w:val="none"/>
          <w:lang w:eastAsia="zh-CN"/>
        </w:rPr>
        <w:t>其他农业农村支出</w:t>
      </w:r>
      <w:r>
        <w:rPr>
          <w:rStyle w:val="14"/>
          <w:rFonts w:hint="eastAsia" w:ascii="仿宋" w:hAnsi="仿宋" w:eastAsia="仿宋"/>
          <w:bCs/>
          <w:color w:val="auto"/>
          <w:sz w:val="32"/>
          <w:szCs w:val="32"/>
          <w:highlight w:val="none"/>
        </w:rPr>
        <w:t>（项）</w:t>
      </w:r>
      <w:r>
        <w:rPr>
          <w:rStyle w:val="14"/>
          <w:rFonts w:hint="eastAsia" w:ascii="仿宋" w:hAnsi="仿宋" w:eastAsia="仿宋"/>
          <w:bCs/>
          <w:color w:val="auto"/>
          <w:sz w:val="32"/>
          <w:szCs w:val="32"/>
          <w:highlight w:val="none"/>
          <w:lang w:eastAsia="zh-CN"/>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60</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3" w:firstLineChars="200"/>
        <w:rPr>
          <w:rStyle w:val="14"/>
          <w:rFonts w:hint="eastAsia" w:ascii="仿宋" w:hAnsi="仿宋" w:eastAsia="仿宋"/>
          <w:b w:val="0"/>
          <w:bCs/>
          <w:color w:val="auto"/>
          <w:sz w:val="32"/>
          <w:szCs w:val="32"/>
          <w:highlight w:val="none"/>
        </w:rPr>
      </w:pPr>
      <w:r>
        <w:rPr>
          <w:rStyle w:val="14"/>
          <w:rFonts w:hint="eastAsia" w:ascii="仿宋" w:hAnsi="仿宋" w:eastAsia="仿宋"/>
          <w:bCs/>
          <w:color w:val="auto"/>
          <w:sz w:val="32"/>
          <w:szCs w:val="32"/>
          <w:highlight w:val="none"/>
          <w:lang w:val="en-US" w:eastAsia="zh-CN"/>
        </w:rPr>
        <w:t>20</w:t>
      </w:r>
      <w:r>
        <w:rPr>
          <w:rStyle w:val="14"/>
          <w:rFonts w:ascii="仿宋" w:hAnsi="仿宋" w:eastAsia="仿宋"/>
          <w:bCs/>
          <w:color w:val="auto"/>
          <w:sz w:val="32"/>
          <w:szCs w:val="32"/>
          <w:highlight w:val="none"/>
        </w:rPr>
        <w:t>.</w:t>
      </w:r>
      <w:r>
        <w:rPr>
          <w:rFonts w:hint="eastAsia" w:ascii="仿宋" w:hAnsi="仿宋" w:eastAsia="仿宋"/>
          <w:b/>
          <w:bCs/>
          <w:color w:val="auto"/>
          <w:sz w:val="32"/>
          <w:szCs w:val="32"/>
          <w:highlight w:val="none"/>
          <w:lang w:eastAsia="zh-CN"/>
        </w:rPr>
        <w:t>农林水支出</w:t>
      </w:r>
      <w:r>
        <w:rPr>
          <w:rStyle w:val="14"/>
          <w:rFonts w:hint="eastAsia" w:ascii="仿宋" w:hAnsi="仿宋" w:eastAsia="仿宋"/>
          <w:bCs/>
          <w:color w:val="auto"/>
          <w:sz w:val="32"/>
          <w:szCs w:val="32"/>
          <w:highlight w:val="none"/>
        </w:rPr>
        <w:t>（类）</w:t>
      </w:r>
      <w:r>
        <w:rPr>
          <w:rStyle w:val="14"/>
          <w:rFonts w:hint="eastAsia" w:ascii="仿宋" w:hAnsi="仿宋" w:eastAsia="仿宋"/>
          <w:bCs/>
          <w:color w:val="auto"/>
          <w:sz w:val="32"/>
          <w:szCs w:val="32"/>
          <w:highlight w:val="none"/>
          <w:lang w:eastAsia="zh-CN"/>
        </w:rPr>
        <w:t>扶贫</w:t>
      </w:r>
      <w:r>
        <w:rPr>
          <w:rStyle w:val="14"/>
          <w:rFonts w:hint="eastAsia" w:ascii="仿宋" w:hAnsi="仿宋" w:eastAsia="仿宋"/>
          <w:bCs/>
          <w:color w:val="auto"/>
          <w:sz w:val="32"/>
          <w:szCs w:val="32"/>
          <w:highlight w:val="none"/>
        </w:rPr>
        <w:t>（款）</w:t>
      </w:r>
      <w:r>
        <w:rPr>
          <w:rStyle w:val="14"/>
          <w:rFonts w:hint="eastAsia" w:ascii="仿宋" w:hAnsi="仿宋" w:eastAsia="仿宋"/>
          <w:bCs/>
          <w:color w:val="auto"/>
          <w:sz w:val="32"/>
          <w:szCs w:val="32"/>
          <w:highlight w:val="none"/>
          <w:lang w:eastAsia="zh-CN"/>
        </w:rPr>
        <w:t>农村基础设施建设</w:t>
      </w:r>
      <w:r>
        <w:rPr>
          <w:rStyle w:val="14"/>
          <w:rFonts w:hint="eastAsia" w:ascii="仿宋" w:hAnsi="仿宋" w:eastAsia="仿宋"/>
          <w:bCs/>
          <w:color w:val="auto"/>
          <w:sz w:val="32"/>
          <w:szCs w:val="32"/>
          <w:highlight w:val="none"/>
        </w:rPr>
        <w:t>（项）</w:t>
      </w:r>
      <w:r>
        <w:rPr>
          <w:rStyle w:val="14"/>
          <w:rFonts w:hint="eastAsia" w:ascii="仿宋" w:hAnsi="仿宋" w:eastAsia="仿宋"/>
          <w:bCs/>
          <w:color w:val="auto"/>
          <w:sz w:val="32"/>
          <w:szCs w:val="32"/>
          <w:highlight w:val="none"/>
          <w:lang w:eastAsia="zh-CN"/>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513</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3" w:firstLineChars="200"/>
        <w:rPr>
          <w:rStyle w:val="14"/>
          <w:rFonts w:hint="eastAsia" w:ascii="仿宋" w:hAnsi="仿宋" w:eastAsia="仿宋"/>
          <w:b w:val="0"/>
          <w:bCs/>
          <w:color w:val="auto"/>
          <w:sz w:val="32"/>
          <w:szCs w:val="32"/>
          <w:highlight w:val="none"/>
        </w:rPr>
      </w:pPr>
      <w:r>
        <w:rPr>
          <w:rStyle w:val="14"/>
          <w:rFonts w:hint="eastAsia" w:ascii="仿宋" w:hAnsi="仿宋" w:eastAsia="仿宋"/>
          <w:bCs/>
          <w:color w:val="auto"/>
          <w:sz w:val="32"/>
          <w:szCs w:val="32"/>
          <w:highlight w:val="none"/>
          <w:lang w:val="en-US" w:eastAsia="zh-CN"/>
        </w:rPr>
        <w:t>21</w:t>
      </w:r>
      <w:r>
        <w:rPr>
          <w:rStyle w:val="14"/>
          <w:rFonts w:ascii="仿宋" w:hAnsi="仿宋" w:eastAsia="仿宋"/>
          <w:bCs/>
          <w:color w:val="auto"/>
          <w:sz w:val="32"/>
          <w:szCs w:val="32"/>
          <w:highlight w:val="none"/>
        </w:rPr>
        <w:t>.</w:t>
      </w:r>
      <w:r>
        <w:rPr>
          <w:rFonts w:hint="eastAsia" w:ascii="仿宋" w:hAnsi="仿宋" w:eastAsia="仿宋"/>
          <w:b/>
          <w:bCs/>
          <w:color w:val="auto"/>
          <w:sz w:val="32"/>
          <w:szCs w:val="32"/>
          <w:highlight w:val="none"/>
          <w:lang w:eastAsia="zh-CN"/>
        </w:rPr>
        <w:t>农林水支出</w:t>
      </w:r>
      <w:r>
        <w:rPr>
          <w:rStyle w:val="14"/>
          <w:rFonts w:hint="eastAsia" w:ascii="仿宋" w:hAnsi="仿宋" w:eastAsia="仿宋"/>
          <w:bCs/>
          <w:color w:val="auto"/>
          <w:sz w:val="32"/>
          <w:szCs w:val="32"/>
          <w:highlight w:val="none"/>
        </w:rPr>
        <w:t>（类）</w:t>
      </w:r>
      <w:r>
        <w:rPr>
          <w:rStyle w:val="14"/>
          <w:rFonts w:hint="eastAsia" w:ascii="仿宋" w:hAnsi="仿宋" w:eastAsia="仿宋"/>
          <w:bCs/>
          <w:color w:val="auto"/>
          <w:sz w:val="32"/>
          <w:szCs w:val="32"/>
          <w:highlight w:val="none"/>
          <w:lang w:eastAsia="zh-CN"/>
        </w:rPr>
        <w:t>扶贫</w:t>
      </w:r>
      <w:r>
        <w:rPr>
          <w:rStyle w:val="14"/>
          <w:rFonts w:hint="eastAsia" w:ascii="仿宋" w:hAnsi="仿宋" w:eastAsia="仿宋"/>
          <w:bCs/>
          <w:color w:val="auto"/>
          <w:sz w:val="32"/>
          <w:szCs w:val="32"/>
          <w:highlight w:val="none"/>
        </w:rPr>
        <w:t>（款）</w:t>
      </w:r>
      <w:r>
        <w:rPr>
          <w:rStyle w:val="14"/>
          <w:rFonts w:hint="eastAsia" w:ascii="仿宋" w:hAnsi="仿宋" w:eastAsia="仿宋"/>
          <w:bCs/>
          <w:color w:val="auto"/>
          <w:sz w:val="32"/>
          <w:szCs w:val="32"/>
          <w:highlight w:val="none"/>
          <w:lang w:eastAsia="zh-CN"/>
        </w:rPr>
        <w:t>生产发展</w:t>
      </w:r>
      <w:r>
        <w:rPr>
          <w:rStyle w:val="14"/>
          <w:rFonts w:hint="eastAsia" w:ascii="仿宋" w:hAnsi="仿宋" w:eastAsia="仿宋"/>
          <w:bCs/>
          <w:color w:val="auto"/>
          <w:sz w:val="32"/>
          <w:szCs w:val="32"/>
          <w:highlight w:val="none"/>
        </w:rPr>
        <w:t>（项）</w:t>
      </w:r>
      <w:r>
        <w:rPr>
          <w:rStyle w:val="14"/>
          <w:rFonts w:hint="eastAsia" w:ascii="仿宋" w:hAnsi="仿宋" w:eastAsia="仿宋"/>
          <w:bCs/>
          <w:color w:val="auto"/>
          <w:sz w:val="32"/>
          <w:szCs w:val="32"/>
          <w:highlight w:val="none"/>
          <w:lang w:eastAsia="zh-CN"/>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151.02</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3" w:firstLineChars="200"/>
        <w:rPr>
          <w:rStyle w:val="14"/>
          <w:rFonts w:hint="eastAsia" w:ascii="仿宋" w:hAnsi="仿宋" w:eastAsia="仿宋"/>
          <w:b w:val="0"/>
          <w:bCs/>
          <w:color w:val="auto"/>
          <w:sz w:val="32"/>
          <w:szCs w:val="32"/>
          <w:highlight w:val="none"/>
        </w:rPr>
      </w:pPr>
      <w:r>
        <w:rPr>
          <w:rStyle w:val="14"/>
          <w:rFonts w:hint="eastAsia" w:ascii="仿宋" w:hAnsi="仿宋" w:eastAsia="仿宋"/>
          <w:bCs/>
          <w:color w:val="auto"/>
          <w:sz w:val="32"/>
          <w:szCs w:val="32"/>
          <w:highlight w:val="none"/>
          <w:lang w:val="en-US" w:eastAsia="zh-CN"/>
        </w:rPr>
        <w:t>22</w:t>
      </w:r>
      <w:r>
        <w:rPr>
          <w:rStyle w:val="14"/>
          <w:rFonts w:ascii="仿宋" w:hAnsi="仿宋" w:eastAsia="仿宋"/>
          <w:bCs/>
          <w:color w:val="auto"/>
          <w:sz w:val="32"/>
          <w:szCs w:val="32"/>
          <w:highlight w:val="none"/>
        </w:rPr>
        <w:t>.</w:t>
      </w:r>
      <w:r>
        <w:rPr>
          <w:rFonts w:hint="eastAsia" w:ascii="仿宋" w:hAnsi="仿宋" w:eastAsia="仿宋"/>
          <w:b/>
          <w:bCs/>
          <w:color w:val="auto"/>
          <w:sz w:val="32"/>
          <w:szCs w:val="32"/>
          <w:highlight w:val="none"/>
          <w:lang w:eastAsia="zh-CN"/>
        </w:rPr>
        <w:t>农林水支出</w:t>
      </w:r>
      <w:r>
        <w:rPr>
          <w:rStyle w:val="14"/>
          <w:rFonts w:hint="eastAsia" w:ascii="仿宋" w:hAnsi="仿宋" w:eastAsia="仿宋"/>
          <w:bCs/>
          <w:color w:val="auto"/>
          <w:sz w:val="32"/>
          <w:szCs w:val="32"/>
          <w:highlight w:val="none"/>
        </w:rPr>
        <w:t>（类）</w:t>
      </w:r>
      <w:r>
        <w:rPr>
          <w:rStyle w:val="14"/>
          <w:rFonts w:hint="eastAsia" w:ascii="仿宋" w:hAnsi="仿宋" w:eastAsia="仿宋"/>
          <w:bCs/>
          <w:color w:val="auto"/>
          <w:sz w:val="32"/>
          <w:szCs w:val="32"/>
          <w:highlight w:val="none"/>
          <w:lang w:eastAsia="zh-CN"/>
        </w:rPr>
        <w:t>扶贫</w:t>
      </w:r>
      <w:r>
        <w:rPr>
          <w:rStyle w:val="14"/>
          <w:rFonts w:hint="eastAsia" w:ascii="仿宋" w:hAnsi="仿宋" w:eastAsia="仿宋"/>
          <w:bCs/>
          <w:color w:val="auto"/>
          <w:sz w:val="32"/>
          <w:szCs w:val="32"/>
          <w:highlight w:val="none"/>
        </w:rPr>
        <w:t>（款）</w:t>
      </w:r>
      <w:r>
        <w:rPr>
          <w:rStyle w:val="14"/>
          <w:rFonts w:hint="eastAsia" w:ascii="仿宋" w:hAnsi="仿宋" w:eastAsia="仿宋"/>
          <w:bCs/>
          <w:color w:val="auto"/>
          <w:sz w:val="32"/>
          <w:szCs w:val="32"/>
          <w:highlight w:val="none"/>
          <w:lang w:eastAsia="zh-CN"/>
        </w:rPr>
        <w:t>其他扶贫支出</w:t>
      </w:r>
      <w:r>
        <w:rPr>
          <w:rStyle w:val="14"/>
          <w:rFonts w:hint="eastAsia" w:ascii="仿宋" w:hAnsi="仿宋" w:eastAsia="仿宋"/>
          <w:bCs/>
          <w:color w:val="auto"/>
          <w:sz w:val="32"/>
          <w:szCs w:val="32"/>
          <w:highlight w:val="none"/>
        </w:rPr>
        <w:t>（项）</w:t>
      </w:r>
      <w:r>
        <w:rPr>
          <w:rStyle w:val="14"/>
          <w:rFonts w:hint="eastAsia" w:ascii="仿宋" w:hAnsi="仿宋" w:eastAsia="仿宋"/>
          <w:bCs/>
          <w:color w:val="auto"/>
          <w:sz w:val="32"/>
          <w:szCs w:val="32"/>
          <w:highlight w:val="none"/>
          <w:lang w:eastAsia="zh-CN"/>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33.44</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3" w:firstLineChars="200"/>
        <w:rPr>
          <w:rStyle w:val="14"/>
          <w:rFonts w:hint="eastAsia" w:ascii="仿宋" w:hAnsi="仿宋" w:eastAsia="仿宋"/>
          <w:b w:val="0"/>
          <w:bCs/>
          <w:color w:val="auto"/>
          <w:sz w:val="32"/>
          <w:szCs w:val="32"/>
          <w:highlight w:val="none"/>
        </w:rPr>
      </w:pPr>
      <w:r>
        <w:rPr>
          <w:rStyle w:val="14"/>
          <w:rFonts w:hint="eastAsia" w:ascii="仿宋" w:hAnsi="仿宋" w:eastAsia="仿宋"/>
          <w:bCs/>
          <w:color w:val="auto"/>
          <w:sz w:val="32"/>
          <w:szCs w:val="32"/>
          <w:highlight w:val="none"/>
          <w:lang w:val="en-US" w:eastAsia="zh-CN"/>
        </w:rPr>
        <w:t>23.</w:t>
      </w:r>
      <w:r>
        <w:rPr>
          <w:rFonts w:hint="eastAsia" w:ascii="仿宋" w:hAnsi="仿宋" w:eastAsia="仿宋"/>
          <w:b/>
          <w:bCs/>
          <w:color w:val="auto"/>
          <w:sz w:val="32"/>
          <w:szCs w:val="32"/>
          <w:highlight w:val="none"/>
          <w:lang w:eastAsia="zh-CN"/>
        </w:rPr>
        <w:t>农林水支出</w:t>
      </w:r>
      <w:r>
        <w:rPr>
          <w:rStyle w:val="14"/>
          <w:rFonts w:hint="eastAsia" w:ascii="仿宋" w:hAnsi="仿宋" w:eastAsia="仿宋"/>
          <w:bCs/>
          <w:color w:val="auto"/>
          <w:sz w:val="32"/>
          <w:szCs w:val="32"/>
          <w:highlight w:val="none"/>
        </w:rPr>
        <w:t>（类）</w:t>
      </w:r>
      <w:r>
        <w:rPr>
          <w:rStyle w:val="14"/>
          <w:rFonts w:hint="eastAsia" w:ascii="仿宋" w:hAnsi="仿宋" w:eastAsia="仿宋"/>
          <w:bCs/>
          <w:color w:val="auto"/>
          <w:sz w:val="32"/>
          <w:szCs w:val="32"/>
          <w:highlight w:val="none"/>
          <w:lang w:eastAsia="zh-CN"/>
        </w:rPr>
        <w:t>农村综合改革</w:t>
      </w:r>
      <w:r>
        <w:rPr>
          <w:rStyle w:val="14"/>
          <w:rFonts w:hint="eastAsia" w:ascii="仿宋" w:hAnsi="仿宋" w:eastAsia="仿宋"/>
          <w:bCs/>
          <w:color w:val="auto"/>
          <w:sz w:val="32"/>
          <w:szCs w:val="32"/>
          <w:highlight w:val="none"/>
        </w:rPr>
        <w:t>（款）</w:t>
      </w:r>
      <w:r>
        <w:rPr>
          <w:rStyle w:val="14"/>
          <w:rFonts w:hint="eastAsia" w:ascii="仿宋" w:hAnsi="仿宋" w:eastAsia="仿宋"/>
          <w:bCs/>
          <w:color w:val="auto"/>
          <w:sz w:val="32"/>
          <w:szCs w:val="32"/>
          <w:highlight w:val="none"/>
          <w:lang w:eastAsia="zh-CN"/>
        </w:rPr>
        <w:t>对村民委员会和村党支部的补助</w:t>
      </w:r>
      <w:r>
        <w:rPr>
          <w:rStyle w:val="14"/>
          <w:rFonts w:hint="eastAsia" w:ascii="仿宋" w:hAnsi="仿宋" w:eastAsia="仿宋"/>
          <w:bCs/>
          <w:color w:val="auto"/>
          <w:sz w:val="32"/>
          <w:szCs w:val="32"/>
          <w:highlight w:val="none"/>
        </w:rPr>
        <w:t>（项）</w:t>
      </w:r>
      <w:r>
        <w:rPr>
          <w:rStyle w:val="14"/>
          <w:rFonts w:hint="eastAsia" w:ascii="仿宋" w:hAnsi="仿宋" w:eastAsia="仿宋"/>
          <w:bCs/>
          <w:color w:val="auto"/>
          <w:sz w:val="32"/>
          <w:szCs w:val="32"/>
          <w:highlight w:val="none"/>
          <w:lang w:eastAsia="zh-CN"/>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321.44</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3" w:firstLineChars="200"/>
        <w:rPr>
          <w:rStyle w:val="14"/>
          <w:rFonts w:hint="eastAsia" w:ascii="仿宋" w:hAnsi="仿宋" w:eastAsia="仿宋"/>
          <w:b w:val="0"/>
          <w:bCs/>
          <w:color w:val="auto"/>
          <w:sz w:val="32"/>
          <w:szCs w:val="32"/>
          <w:highlight w:val="none"/>
        </w:rPr>
      </w:pPr>
      <w:r>
        <w:rPr>
          <w:rStyle w:val="14"/>
          <w:rFonts w:hint="eastAsia" w:ascii="仿宋" w:hAnsi="仿宋" w:eastAsia="仿宋"/>
          <w:bCs/>
          <w:color w:val="auto"/>
          <w:sz w:val="32"/>
          <w:szCs w:val="32"/>
          <w:highlight w:val="none"/>
          <w:lang w:val="en-US" w:eastAsia="zh-CN"/>
        </w:rPr>
        <w:t>24</w:t>
      </w:r>
      <w:r>
        <w:rPr>
          <w:rStyle w:val="14"/>
          <w:rFonts w:ascii="仿宋" w:hAnsi="仿宋" w:eastAsia="仿宋"/>
          <w:bCs/>
          <w:color w:val="auto"/>
          <w:sz w:val="32"/>
          <w:szCs w:val="32"/>
          <w:highlight w:val="none"/>
        </w:rPr>
        <w:t>.</w:t>
      </w:r>
      <w:r>
        <w:rPr>
          <w:rFonts w:hint="eastAsia" w:ascii="仿宋" w:hAnsi="仿宋" w:eastAsia="仿宋"/>
          <w:b/>
          <w:bCs/>
          <w:color w:val="auto"/>
          <w:sz w:val="32"/>
          <w:szCs w:val="32"/>
          <w:highlight w:val="none"/>
          <w:lang w:eastAsia="zh-CN"/>
        </w:rPr>
        <w:t>住房保障支出</w:t>
      </w:r>
      <w:r>
        <w:rPr>
          <w:rStyle w:val="14"/>
          <w:rFonts w:hint="eastAsia" w:ascii="仿宋" w:hAnsi="仿宋" w:eastAsia="仿宋"/>
          <w:bCs/>
          <w:color w:val="auto"/>
          <w:sz w:val="32"/>
          <w:szCs w:val="32"/>
          <w:highlight w:val="none"/>
        </w:rPr>
        <w:t>（类）</w:t>
      </w:r>
      <w:r>
        <w:rPr>
          <w:rStyle w:val="14"/>
          <w:rFonts w:hint="eastAsia" w:ascii="仿宋" w:hAnsi="仿宋" w:eastAsia="仿宋"/>
          <w:bCs/>
          <w:color w:val="auto"/>
          <w:sz w:val="32"/>
          <w:szCs w:val="32"/>
          <w:highlight w:val="none"/>
          <w:lang w:eastAsia="zh-CN"/>
        </w:rPr>
        <w:t>保障性安居工程支出</w:t>
      </w:r>
      <w:r>
        <w:rPr>
          <w:rStyle w:val="14"/>
          <w:rFonts w:hint="eastAsia" w:ascii="仿宋" w:hAnsi="仿宋" w:eastAsia="仿宋"/>
          <w:bCs/>
          <w:color w:val="auto"/>
          <w:sz w:val="32"/>
          <w:szCs w:val="32"/>
          <w:highlight w:val="none"/>
        </w:rPr>
        <w:t>（款）</w:t>
      </w:r>
      <w:r>
        <w:rPr>
          <w:rStyle w:val="14"/>
          <w:rFonts w:hint="eastAsia" w:ascii="仿宋" w:hAnsi="仿宋" w:eastAsia="仿宋"/>
          <w:bCs/>
          <w:color w:val="auto"/>
          <w:sz w:val="32"/>
          <w:szCs w:val="32"/>
          <w:highlight w:val="none"/>
          <w:lang w:eastAsia="zh-CN"/>
        </w:rPr>
        <w:t>农村危房改造</w:t>
      </w:r>
      <w:r>
        <w:rPr>
          <w:rStyle w:val="14"/>
          <w:rFonts w:hint="eastAsia" w:ascii="仿宋" w:hAnsi="仿宋" w:eastAsia="仿宋"/>
          <w:bCs/>
          <w:color w:val="auto"/>
          <w:sz w:val="32"/>
          <w:szCs w:val="32"/>
          <w:highlight w:val="none"/>
        </w:rPr>
        <w:t>（项）</w:t>
      </w:r>
      <w:r>
        <w:rPr>
          <w:rStyle w:val="14"/>
          <w:rFonts w:hint="eastAsia" w:ascii="仿宋" w:hAnsi="仿宋" w:eastAsia="仿宋"/>
          <w:bCs/>
          <w:color w:val="auto"/>
          <w:sz w:val="32"/>
          <w:szCs w:val="32"/>
          <w:highlight w:val="none"/>
          <w:lang w:eastAsia="zh-CN"/>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198.86</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4"/>
          <w:rFonts w:hint="eastAsia" w:ascii="仿宋" w:hAnsi="仿宋" w:eastAsia="仿宋"/>
          <w:bCs/>
          <w:color w:val="auto"/>
          <w:sz w:val="32"/>
          <w:szCs w:val="32"/>
          <w:highlight w:val="none"/>
          <w:lang w:val="en-US" w:eastAsia="zh-CN"/>
        </w:rPr>
        <w:t>25</w:t>
      </w:r>
      <w:r>
        <w:rPr>
          <w:rStyle w:val="14"/>
          <w:rFonts w:ascii="仿宋" w:hAnsi="仿宋" w:eastAsia="仿宋"/>
          <w:bCs/>
          <w:color w:val="auto"/>
          <w:sz w:val="32"/>
          <w:szCs w:val="32"/>
          <w:highlight w:val="none"/>
        </w:rPr>
        <w:t>.</w:t>
      </w:r>
      <w:r>
        <w:rPr>
          <w:rFonts w:hint="eastAsia" w:ascii="仿宋" w:hAnsi="仿宋" w:eastAsia="仿宋"/>
          <w:b/>
          <w:bCs/>
          <w:color w:val="auto"/>
          <w:sz w:val="32"/>
          <w:szCs w:val="32"/>
          <w:highlight w:val="none"/>
          <w:lang w:eastAsia="zh-CN"/>
        </w:rPr>
        <w:t>住房保障支出</w:t>
      </w:r>
      <w:r>
        <w:rPr>
          <w:rStyle w:val="14"/>
          <w:rFonts w:hint="eastAsia" w:ascii="仿宋" w:hAnsi="仿宋" w:eastAsia="仿宋"/>
          <w:bCs/>
          <w:color w:val="auto"/>
          <w:sz w:val="32"/>
          <w:szCs w:val="32"/>
          <w:highlight w:val="none"/>
        </w:rPr>
        <w:t>（类）</w:t>
      </w:r>
      <w:r>
        <w:rPr>
          <w:rStyle w:val="14"/>
          <w:rFonts w:hint="eastAsia" w:ascii="仿宋" w:hAnsi="仿宋" w:eastAsia="仿宋"/>
          <w:bCs/>
          <w:color w:val="auto"/>
          <w:sz w:val="32"/>
          <w:szCs w:val="32"/>
          <w:highlight w:val="none"/>
          <w:lang w:eastAsia="zh-CN"/>
        </w:rPr>
        <w:t>住房改革支出</w:t>
      </w:r>
      <w:r>
        <w:rPr>
          <w:rStyle w:val="14"/>
          <w:rFonts w:hint="eastAsia" w:ascii="仿宋" w:hAnsi="仿宋" w:eastAsia="仿宋"/>
          <w:bCs/>
          <w:color w:val="auto"/>
          <w:sz w:val="32"/>
          <w:szCs w:val="32"/>
          <w:highlight w:val="none"/>
        </w:rPr>
        <w:t>（款）</w:t>
      </w:r>
      <w:r>
        <w:rPr>
          <w:rStyle w:val="14"/>
          <w:rFonts w:hint="eastAsia" w:ascii="仿宋" w:hAnsi="仿宋" w:eastAsia="仿宋"/>
          <w:bCs/>
          <w:color w:val="auto"/>
          <w:sz w:val="32"/>
          <w:szCs w:val="32"/>
          <w:highlight w:val="none"/>
          <w:lang w:eastAsia="zh-CN"/>
        </w:rPr>
        <w:t>住房公积金</w:t>
      </w:r>
      <w:r>
        <w:rPr>
          <w:rStyle w:val="14"/>
          <w:rFonts w:hint="eastAsia" w:ascii="仿宋" w:hAnsi="仿宋" w:eastAsia="仿宋"/>
          <w:bCs/>
          <w:color w:val="auto"/>
          <w:sz w:val="32"/>
          <w:szCs w:val="32"/>
          <w:highlight w:val="none"/>
        </w:rPr>
        <w:t>（项）</w:t>
      </w:r>
      <w:r>
        <w:rPr>
          <w:rStyle w:val="14"/>
          <w:rFonts w:hint="eastAsia" w:ascii="仿宋" w:hAnsi="仿宋" w:eastAsia="仿宋"/>
          <w:bCs/>
          <w:color w:val="auto"/>
          <w:sz w:val="32"/>
          <w:szCs w:val="32"/>
          <w:highlight w:val="none"/>
          <w:lang w:eastAsia="zh-CN"/>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97.98</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tabs>
          <w:tab w:val="right" w:pos="8306"/>
        </w:tabs>
        <w:spacing w:line="600" w:lineRule="exact"/>
        <w:ind w:firstLine="640"/>
        <w:outlineLvl w:val="1"/>
        <w:rPr>
          <w:rStyle w:val="25"/>
          <w:color w:val="auto"/>
          <w:highlight w:val="none"/>
        </w:rPr>
      </w:pPr>
      <w:bookmarkStart w:id="40" w:name="_Toc15396608"/>
      <w:bookmarkStart w:id="41"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般公共预算财政拨款基本支出决算情况说明</w:t>
      </w:r>
      <w:bookmarkEnd w:id="40"/>
      <w:bookmarkEnd w:id="41"/>
      <w:r>
        <w:rPr>
          <w:rStyle w:val="25"/>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年一般公共预算财政拨款基本支出2017.60万元，其中：</w:t>
      </w:r>
    </w:p>
    <w:p>
      <w:pPr>
        <w:spacing w:line="600" w:lineRule="exact"/>
        <w:ind w:firstLine="645"/>
        <w:rPr>
          <w:rFonts w:ascii="仿宋" w:hAnsi="仿宋" w:eastAsia="仿宋"/>
          <w:b/>
          <w:color w:val="auto"/>
          <w:sz w:val="32"/>
          <w:szCs w:val="32"/>
          <w:highlight w:val="none"/>
        </w:rPr>
      </w:pPr>
      <w:r>
        <w:rPr>
          <w:rFonts w:hint="eastAsia" w:ascii="仿宋" w:hAnsi="仿宋" w:eastAsia="仿宋"/>
          <w:color w:val="auto"/>
          <w:sz w:val="32"/>
          <w:szCs w:val="32"/>
          <w:highlight w:val="none"/>
        </w:rPr>
        <w:t>人员经费1750.99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rPr>
        <w:t>　　公用经费266.61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color w:val="auto"/>
          <w:highlight w:val="none"/>
        </w:rPr>
      </w:pPr>
      <w:bookmarkStart w:id="42" w:name="_Toc15377215"/>
      <w:bookmarkStart w:id="43" w:name="_Toc15396609"/>
      <w:r>
        <w:rPr>
          <w:rFonts w:hint="eastAsia" w:ascii="黑体" w:eastAsia="黑体"/>
          <w:color w:val="auto"/>
          <w:sz w:val="32"/>
          <w:szCs w:val="32"/>
          <w:highlight w:val="none"/>
        </w:rPr>
        <w:t>七、</w:t>
      </w:r>
      <w:r>
        <w:rPr>
          <w:rStyle w:val="25"/>
          <w:rFonts w:hint="eastAsia" w:ascii="黑体" w:hAnsi="黑体" w:eastAsia="黑体"/>
          <w:color w:val="auto"/>
          <w:highlight w:val="none"/>
        </w:rPr>
        <w:t>“</w:t>
      </w:r>
      <w:r>
        <w:rPr>
          <w:rStyle w:val="25"/>
          <w:rFonts w:hint="eastAsia" w:ascii="黑体" w:hAnsi="黑体" w:eastAsia="黑体"/>
          <w:b w:val="0"/>
          <w:color w:val="auto"/>
          <w:highlight w:val="none"/>
        </w:rPr>
        <w:t>三公”经费财政拨款支出决算情况说明</w:t>
      </w:r>
      <w:bookmarkEnd w:id="42"/>
      <w:bookmarkEnd w:id="43"/>
    </w:p>
    <w:p>
      <w:pPr>
        <w:spacing w:line="600" w:lineRule="exact"/>
        <w:ind w:firstLine="640"/>
        <w:outlineLvl w:val="2"/>
        <w:rPr>
          <w:rFonts w:ascii="仿宋" w:hAnsi="仿宋" w:eastAsia="仿宋"/>
          <w:b/>
          <w:color w:val="auto"/>
          <w:sz w:val="32"/>
          <w:szCs w:val="32"/>
          <w:highlight w:val="none"/>
        </w:rPr>
      </w:pPr>
      <w:bookmarkStart w:id="44" w:name="_Toc15377216"/>
      <w:r>
        <w:rPr>
          <w:rFonts w:hint="eastAsia" w:ascii="仿宋" w:hAnsi="仿宋" w:eastAsia="仿宋"/>
          <w:b/>
          <w:color w:val="auto"/>
          <w:sz w:val="32"/>
          <w:szCs w:val="32"/>
          <w:highlight w:val="none"/>
        </w:rPr>
        <w:t>（一）“三公”经费财政拨款支出决算总体情况说明</w:t>
      </w:r>
      <w:bookmarkEnd w:id="44"/>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2.38</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，决算数小于预算数（或与预算数持平）的主要原因是我镇落实厉行节约有关规定，进一步规范“三公”经费管理，从严控制“三公”经费开支。</w:t>
      </w:r>
    </w:p>
    <w:p>
      <w:pPr>
        <w:spacing w:line="600" w:lineRule="exact"/>
        <w:ind w:firstLine="640"/>
        <w:outlineLvl w:val="2"/>
        <w:rPr>
          <w:rFonts w:ascii="仿宋" w:hAnsi="仿宋" w:eastAsia="仿宋"/>
          <w:b/>
          <w:color w:val="auto"/>
          <w:sz w:val="32"/>
          <w:szCs w:val="32"/>
          <w:highlight w:val="none"/>
        </w:rPr>
      </w:pPr>
      <w:bookmarkStart w:id="45" w:name="_Toc15377217"/>
      <w:r>
        <w:rPr>
          <w:rFonts w:hint="eastAsia" w:ascii="仿宋" w:hAnsi="仿宋" w:eastAsia="仿宋"/>
          <w:b/>
          <w:color w:val="auto"/>
          <w:sz w:val="32"/>
          <w:szCs w:val="32"/>
          <w:highlight w:val="none"/>
        </w:rPr>
        <w:t>（二）“三公”经费财政拨款支出决算具体情况说明</w:t>
      </w:r>
      <w:bookmarkEnd w:id="45"/>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万元；公务接待费支出决算</w:t>
      </w:r>
      <w:r>
        <w:rPr>
          <w:rFonts w:hint="eastAsia" w:ascii="仿宋" w:hAnsi="仿宋" w:eastAsia="仿宋"/>
          <w:color w:val="auto"/>
          <w:sz w:val="32"/>
          <w:szCs w:val="32"/>
          <w:highlight w:val="none"/>
          <w:lang w:val="en-US" w:eastAsia="zh-CN"/>
        </w:rPr>
        <w:t>2.38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pStyle w:val="2"/>
        <w:rPr>
          <w:rFonts w:hint="eastAsia" w:eastAsia="仿宋"/>
          <w:lang w:eastAsia="zh-CN"/>
        </w:rPr>
      </w:pPr>
      <w:r>
        <w:rPr>
          <w:rFonts w:hint="eastAsia" w:eastAsia="仿宋"/>
          <w:lang w:eastAsia="zh-CN"/>
        </w:rPr>
        <w:drawing>
          <wp:inline distT="0" distB="0" distL="114300" distR="114300">
            <wp:extent cx="4243070" cy="2517775"/>
            <wp:effectExtent l="0" t="0" r="5080" b="15875"/>
            <wp:docPr id="6" name="图片 6" descr="图片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9"/>
                    <pic:cNvPicPr>
                      <a:picLocks noChangeAspect="1"/>
                    </pic:cNvPicPr>
                  </pic:nvPicPr>
                  <pic:blipFill>
                    <a:blip r:embed="rId12"/>
                    <a:stretch>
                      <a:fillRect/>
                    </a:stretch>
                  </pic:blipFill>
                  <pic:spPr>
                    <a:xfrm>
                      <a:off x="0" y="0"/>
                      <a:ext cx="4243070" cy="2517775"/>
                    </a:xfrm>
                    <a:prstGeom prst="rect">
                      <a:avLst/>
                    </a:prstGeom>
                  </pic:spPr>
                </pic:pic>
              </a:graphicData>
            </a:graphic>
          </wp:inline>
        </w:drawing>
      </w:r>
    </w:p>
    <w:p>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（图7：“三公”经费财政拨款支出结构）（饼状图）</w:t>
      </w:r>
    </w:p>
    <w:p>
      <w:pPr>
        <w:spacing w:line="600" w:lineRule="exact"/>
        <w:ind w:firstLine="640"/>
        <w:rPr>
          <w:rFonts w:ascii="仿宋_GB2312" w:eastAsia="仿宋_GB2312"/>
          <w:b/>
          <w:bCs w:val="0"/>
          <w:color w:val="auto"/>
          <w:sz w:val="32"/>
          <w:szCs w:val="32"/>
          <w:highlight w:val="none"/>
        </w:rPr>
      </w:pPr>
      <w:r>
        <w:rPr>
          <w:rFonts w:ascii="仿宋_GB2312" w:eastAsia="仿宋_GB2312"/>
          <w:b/>
          <w:bCs w:val="0"/>
          <w:color w:val="auto"/>
          <w:sz w:val="32"/>
          <w:szCs w:val="32"/>
          <w:highlight w:val="none"/>
        </w:rPr>
        <w:t>1.</w:t>
      </w:r>
      <w:r>
        <w:rPr>
          <w:rFonts w:hint="eastAsia" w:ascii="仿宋_GB2312" w:eastAsia="仿宋_GB2312"/>
          <w:b/>
          <w:bCs w:val="0"/>
          <w:color w:val="auto"/>
          <w:sz w:val="32"/>
          <w:szCs w:val="32"/>
          <w:highlight w:val="none"/>
        </w:rPr>
        <w:t>因公出国（境）经费支出</w:t>
      </w:r>
      <w:r>
        <w:rPr>
          <w:rFonts w:hint="eastAsia" w:ascii="仿宋_GB2312" w:eastAsia="仿宋_GB2312"/>
          <w:b/>
          <w:bCs w:val="0"/>
          <w:color w:val="auto"/>
          <w:sz w:val="32"/>
          <w:szCs w:val="32"/>
          <w:highlight w:val="none"/>
          <w:lang w:eastAsia="zh-CN"/>
        </w:rPr>
        <w:t>无</w:t>
      </w:r>
      <w:r>
        <w:rPr>
          <w:rFonts w:hint="eastAsia" w:ascii="仿宋_GB2312" w:eastAsia="仿宋_GB2312"/>
          <w:b/>
          <w:bCs w:val="0"/>
          <w:color w:val="auto"/>
          <w:sz w:val="32"/>
          <w:szCs w:val="32"/>
          <w:highlight w:val="none"/>
        </w:rPr>
        <w:t>。</w:t>
      </w:r>
    </w:p>
    <w:p>
      <w:pPr>
        <w:spacing w:line="600" w:lineRule="exact"/>
        <w:ind w:firstLine="640"/>
        <w:rPr>
          <w:rFonts w:ascii="仿宋_GB2312" w:eastAsia="仿宋_GB2312"/>
          <w:b/>
          <w:bCs w:val="0"/>
          <w:color w:val="auto"/>
          <w:sz w:val="32"/>
          <w:szCs w:val="32"/>
          <w:highlight w:val="none"/>
        </w:rPr>
      </w:pPr>
      <w:r>
        <w:rPr>
          <w:rFonts w:ascii="仿宋_GB2312" w:eastAsia="仿宋_GB2312"/>
          <w:b/>
          <w:bCs w:val="0"/>
          <w:color w:val="auto"/>
          <w:sz w:val="32"/>
          <w:szCs w:val="32"/>
          <w:highlight w:val="none"/>
        </w:rPr>
        <w:t>2.</w:t>
      </w:r>
      <w:r>
        <w:rPr>
          <w:rFonts w:hint="eastAsia" w:ascii="仿宋_GB2312" w:eastAsia="仿宋_GB2312"/>
          <w:b/>
          <w:bCs w:val="0"/>
          <w:color w:val="auto"/>
          <w:sz w:val="32"/>
          <w:szCs w:val="32"/>
          <w:highlight w:val="none"/>
        </w:rPr>
        <w:t>公务用车购置及运行维护费支出</w:t>
      </w:r>
      <w:r>
        <w:rPr>
          <w:rFonts w:hint="eastAsia" w:ascii="仿宋_GB2312" w:eastAsia="仿宋_GB2312"/>
          <w:b/>
          <w:bCs w:val="0"/>
          <w:color w:val="auto"/>
          <w:sz w:val="32"/>
          <w:szCs w:val="32"/>
          <w:highlight w:val="none"/>
          <w:lang w:eastAsia="zh-CN"/>
        </w:rPr>
        <w:t>无</w:t>
      </w:r>
      <w:r>
        <w:rPr>
          <w:rFonts w:hint="eastAsia" w:ascii="仿宋_GB2312" w:eastAsia="仿宋_GB2312"/>
          <w:b/>
          <w:bCs w:val="0"/>
          <w:color w:val="auto"/>
          <w:sz w:val="32"/>
          <w:szCs w:val="32"/>
          <w:highlight w:val="none"/>
        </w:rPr>
        <w:t>。</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2.38</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0.08</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3.18</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。主要原因是贯彻落实中央八项规定，厉行节约，从严控制“三公”经费支出。其中：</w:t>
      </w:r>
    </w:p>
    <w:p>
      <w:pPr>
        <w:spacing w:line="600" w:lineRule="exact"/>
        <w:ind w:firstLine="640"/>
        <w:rPr>
          <w:rFonts w:ascii="黑体" w:eastAsia="黑体"/>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2.38</w:t>
      </w:r>
      <w:r>
        <w:rPr>
          <w:rFonts w:hint="eastAsia" w:ascii="仿宋_GB2312" w:eastAsia="仿宋_GB2312"/>
          <w:color w:val="auto"/>
          <w:sz w:val="32"/>
          <w:szCs w:val="32"/>
          <w:highlight w:val="none"/>
        </w:rPr>
        <w:t>万元，主要用于执行公务、开展业务活动开支的交通费、住宿费、用餐费等。国内公务接待</w:t>
      </w:r>
      <w:r>
        <w:rPr>
          <w:rFonts w:hint="eastAsia" w:ascii="仿宋_GB2312" w:eastAsia="仿宋_GB2312"/>
          <w:color w:val="auto"/>
          <w:sz w:val="32"/>
          <w:szCs w:val="32"/>
          <w:highlight w:val="none"/>
          <w:lang w:val="en-US" w:eastAsia="zh-CN"/>
        </w:rPr>
        <w:t>89</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674</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2.38</w:t>
      </w:r>
      <w:r>
        <w:rPr>
          <w:rFonts w:hint="eastAsia" w:ascii="仿宋_GB2312" w:eastAsia="仿宋_GB2312"/>
          <w:color w:val="auto"/>
          <w:sz w:val="32"/>
          <w:szCs w:val="32"/>
          <w:highlight w:val="none"/>
        </w:rPr>
        <w:t>万元，具体内容包括：信访维稳、疫情防控、</w:t>
      </w:r>
      <w:r>
        <w:rPr>
          <w:rFonts w:hint="eastAsia" w:ascii="仿宋_GB2312" w:eastAsia="仿宋_GB2312"/>
          <w:color w:val="auto"/>
          <w:sz w:val="32"/>
          <w:szCs w:val="32"/>
          <w:highlight w:val="none"/>
          <w:lang w:eastAsia="zh-CN"/>
        </w:rPr>
        <w:t>校园安全</w:t>
      </w:r>
      <w:r>
        <w:rPr>
          <w:rFonts w:hint="eastAsia" w:ascii="仿宋_GB2312" w:eastAsia="仿宋_GB2312"/>
          <w:color w:val="auto"/>
          <w:sz w:val="32"/>
          <w:szCs w:val="32"/>
          <w:highlight w:val="none"/>
        </w:rPr>
        <w:t>等相关部门检查指导工作发生的接待支出。</w:t>
      </w:r>
      <w:bookmarkStart w:id="46" w:name="_Toc15377218"/>
      <w:bookmarkStart w:id="47" w:name="_Toc15396610"/>
    </w:p>
    <w:p>
      <w:pPr>
        <w:spacing w:line="600" w:lineRule="exact"/>
        <w:ind w:firstLine="640"/>
        <w:outlineLvl w:val="1"/>
        <w:rPr>
          <w:rStyle w:val="25"/>
          <w:rFonts w:ascii="黑体" w:hAnsi="黑体" w:eastAsia="黑体"/>
          <w:color w:val="auto"/>
          <w:highlight w:val="none"/>
        </w:rPr>
      </w:pPr>
      <w:r>
        <w:rPr>
          <w:rFonts w:hint="eastAsia" w:ascii="黑体" w:eastAsia="黑体"/>
          <w:color w:val="auto"/>
          <w:sz w:val="32"/>
          <w:szCs w:val="32"/>
          <w:highlight w:val="none"/>
        </w:rPr>
        <w:t>八、</w:t>
      </w:r>
      <w:r>
        <w:rPr>
          <w:rStyle w:val="25"/>
          <w:rFonts w:hint="eastAsia" w:ascii="黑体" w:hAnsi="黑体" w:eastAsia="黑体"/>
          <w:b w:val="0"/>
          <w:color w:val="auto"/>
          <w:highlight w:val="none"/>
        </w:rPr>
        <w:t>政府性基金预算支出决算情况说明</w:t>
      </w:r>
      <w:bookmarkEnd w:id="46"/>
      <w:bookmarkEnd w:id="47"/>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无</w:t>
      </w:r>
      <w:r>
        <w:rPr>
          <w:rFonts w:hint="eastAsia" w:ascii="仿宋_GB2312" w:eastAsia="仿宋_GB2312"/>
          <w:color w:val="auto"/>
          <w:sz w:val="32"/>
          <w:szCs w:val="32"/>
          <w:highlight w:val="none"/>
        </w:rPr>
        <w:t>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p>
    <w:p>
      <w:pPr>
        <w:numPr>
          <w:ilvl w:val="0"/>
          <w:numId w:val="2"/>
        </w:numPr>
        <w:spacing w:line="600" w:lineRule="exact"/>
        <w:ind w:firstLine="640"/>
        <w:outlineLvl w:val="1"/>
        <w:rPr>
          <w:rStyle w:val="25"/>
          <w:rFonts w:ascii="黑体" w:hAnsi="黑体" w:eastAsia="黑体"/>
          <w:b w:val="0"/>
          <w:color w:val="auto"/>
          <w:highlight w:val="none"/>
        </w:rPr>
      </w:pPr>
      <w:bookmarkStart w:id="48" w:name="_Toc15377219"/>
      <w:bookmarkStart w:id="49" w:name="_Toc15396611"/>
      <w:r>
        <w:rPr>
          <w:rStyle w:val="25"/>
          <w:rFonts w:hint="eastAsia" w:ascii="黑体" w:hAnsi="黑体" w:eastAsia="黑体"/>
          <w:b w:val="0"/>
          <w:color w:val="auto"/>
          <w:highlight w:val="none"/>
        </w:rPr>
        <w:t>国有资本经营预算支出决算情况说明</w:t>
      </w:r>
      <w:bookmarkEnd w:id="48"/>
      <w:bookmarkEnd w:id="49"/>
    </w:p>
    <w:p>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无</w:t>
      </w:r>
      <w:r>
        <w:rPr>
          <w:rFonts w:hint="eastAsia" w:ascii="仿宋_GB2312" w:eastAsia="仿宋_GB2312"/>
          <w:color w:val="auto"/>
          <w:sz w:val="32"/>
          <w:szCs w:val="32"/>
          <w:highlight w:val="none"/>
        </w:rPr>
        <w:t>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p>
    <w:p>
      <w:pPr>
        <w:numPr>
          <w:ilvl w:val="0"/>
          <w:numId w:val="2"/>
        </w:numPr>
        <w:spacing w:line="600" w:lineRule="exact"/>
        <w:ind w:firstLine="640"/>
        <w:outlineLvl w:val="1"/>
        <w:rPr>
          <w:rStyle w:val="25"/>
          <w:rFonts w:hint="eastAsia" w:ascii="黑体" w:hAnsi="黑体" w:eastAsia="黑体"/>
          <w:b w:val="0"/>
          <w:color w:val="auto"/>
          <w:highlight w:val="none"/>
        </w:rPr>
      </w:pPr>
      <w:bookmarkStart w:id="50" w:name="_Toc15396612"/>
      <w:bookmarkStart w:id="51" w:name="_Toc15377221"/>
      <w:r>
        <w:rPr>
          <w:rStyle w:val="25"/>
          <w:rFonts w:hint="eastAsia" w:ascii="黑体" w:hAnsi="黑体" w:eastAsia="黑体"/>
          <w:b w:val="0"/>
          <w:color w:val="auto"/>
          <w:highlight w:val="none"/>
        </w:rPr>
        <w:t>其他重要事项的情况说明</w:t>
      </w:r>
      <w:bookmarkEnd w:id="50"/>
      <w:bookmarkEnd w:id="51"/>
    </w:p>
    <w:p>
      <w:pPr>
        <w:spacing w:line="600" w:lineRule="exact"/>
        <w:ind w:firstLine="643" w:firstLineChars="200"/>
        <w:outlineLvl w:val="2"/>
        <w:rPr>
          <w:rFonts w:ascii="仿宋" w:hAnsi="仿宋" w:eastAsia="仿宋"/>
          <w:color w:val="auto"/>
          <w:sz w:val="32"/>
          <w:szCs w:val="32"/>
          <w:highlight w:val="none"/>
        </w:rPr>
      </w:pPr>
      <w:bookmarkStart w:id="52" w:name="_Toc15377222"/>
      <w:r>
        <w:rPr>
          <w:rFonts w:hint="eastAsia" w:ascii="仿宋" w:hAnsi="仿宋" w:eastAsia="仿宋"/>
          <w:b/>
          <w:color w:val="auto"/>
          <w:sz w:val="32"/>
          <w:szCs w:val="32"/>
          <w:highlight w:val="none"/>
        </w:rPr>
        <w:t>（一）机关运行经费支出情况</w:t>
      </w:r>
      <w:bookmarkEnd w:id="52"/>
    </w:p>
    <w:p>
      <w:pPr>
        <w:spacing w:line="60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年，机关运行经费支出450.65万元，比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212.1</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88.9</w:t>
      </w:r>
      <w:r>
        <w:rPr>
          <w:rFonts w:ascii="仿宋_GB2312" w:eastAsia="仿宋_GB2312"/>
          <w:color w:val="auto"/>
          <w:sz w:val="32"/>
          <w:szCs w:val="32"/>
          <w:highlight w:val="none"/>
        </w:rPr>
        <w:t>%</w:t>
      </w:r>
      <w:r>
        <w:rPr>
          <w:rFonts w:hint="eastAsia" w:ascii="仿宋_GB2312" w:eastAsia="仿宋_GB2312"/>
          <w:color w:val="auto"/>
          <w:sz w:val="32"/>
          <w:szCs w:val="32"/>
          <w:highlight w:val="none"/>
        </w:rPr>
        <w:t>（或与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年决算数持平）。主要原因是机构改革行政区划调整。</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53" w:name="_Toc15377223"/>
      <w:r>
        <w:rPr>
          <w:rFonts w:hint="eastAsia" w:ascii="仿宋" w:hAnsi="仿宋" w:eastAsia="仿宋"/>
          <w:b/>
          <w:color w:val="auto"/>
          <w:sz w:val="32"/>
          <w:szCs w:val="32"/>
          <w:highlight w:val="none"/>
        </w:rPr>
        <w:t>（二）政府采购支出情况</w:t>
      </w:r>
      <w:bookmarkEnd w:id="53"/>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年，政府采购支出总额</w:t>
      </w:r>
      <w:r>
        <w:rPr>
          <w:rFonts w:hint="eastAsia" w:ascii="仿宋_GB2312" w:eastAsia="仿宋_GB2312"/>
          <w:color w:val="auto"/>
          <w:sz w:val="32"/>
          <w:szCs w:val="32"/>
          <w:highlight w:val="none"/>
          <w:lang w:val="en-US" w:eastAsia="zh-CN"/>
        </w:rPr>
        <w:t>45.32</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10.32</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35</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2.04</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4.5</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2.14</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4.5</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54" w:name="_Toc15377224"/>
      <w:r>
        <w:rPr>
          <w:rFonts w:hint="eastAsia" w:ascii="仿宋" w:hAnsi="仿宋" w:eastAsia="仿宋"/>
          <w:b/>
          <w:color w:val="auto"/>
          <w:sz w:val="32"/>
          <w:szCs w:val="32"/>
          <w:highlight w:val="none"/>
        </w:rPr>
        <w:t>（三）国有资产占有使用情况</w:t>
      </w:r>
      <w:bookmarkEnd w:id="54"/>
    </w:p>
    <w:p>
      <w:pPr>
        <w:autoSpaceDE w:val="0"/>
        <w:autoSpaceDN w:val="0"/>
        <w:adjustRightInd w:val="0"/>
        <w:spacing w:line="600" w:lineRule="exact"/>
        <w:ind w:firstLine="640" w:firstLineChars="200"/>
        <w:jc w:val="left"/>
        <w:rPr>
          <w:rFonts w:ascii="仿宋" w:hAnsi="仿宋" w:eastAsia="仿宋"/>
          <w:b/>
          <w:color w:val="auto"/>
          <w:sz w:val="32"/>
          <w:szCs w:val="32"/>
          <w:highlight w:val="none"/>
        </w:rPr>
      </w:pPr>
      <w:r>
        <w:rPr>
          <w:rFonts w:hint="eastAsia" w:ascii="仿宋_GB2312" w:eastAsia="仿宋_GB2312"/>
          <w:color w:val="auto"/>
          <w:sz w:val="32"/>
          <w:szCs w:val="32"/>
          <w:highlight w:val="none"/>
        </w:rPr>
        <w:t>2021年度，我镇政府采购支出总额0元，其中：政府采购货物支出0元、政府采购服务支出0元。主要是新的政府采购制度</w:t>
      </w:r>
      <w:r>
        <w:rPr>
          <w:rFonts w:hint="eastAsia" w:ascii="仿宋_GB2312" w:eastAsia="仿宋_GB2312"/>
          <w:color w:val="auto"/>
          <w:sz w:val="32"/>
          <w:szCs w:val="32"/>
          <w:highlight w:val="none"/>
          <w:lang w:eastAsia="zh-CN"/>
        </w:rPr>
        <w:t>将</w:t>
      </w:r>
      <w:r>
        <w:rPr>
          <w:rFonts w:hint="eastAsia" w:ascii="仿宋_GB2312" w:eastAsia="仿宋_GB2312"/>
          <w:color w:val="auto"/>
          <w:sz w:val="32"/>
          <w:szCs w:val="32"/>
          <w:highlight w:val="none"/>
        </w:rPr>
        <w:t>一次性购买5万元以下的货物不纳入政府采购范围。</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（四）预算绩效管理情况</w:t>
      </w:r>
    </w:p>
    <w:p>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根据预算绩效管理要求，本部门在</w:t>
      </w:r>
      <w:r>
        <w:rPr>
          <w:rFonts w:hint="eastAsia" w:ascii="仿宋_GB2312" w:hAnsi="仿宋_GB2312" w:eastAsia="仿宋_GB2312" w:cs="仿宋_GB2312"/>
          <w:color w:val="auto"/>
          <w:sz w:val="32"/>
          <w:szCs w:val="32"/>
          <w:highlight w:val="none"/>
          <w:lang w:val="en-US" w:eastAsia="zh-CN"/>
        </w:rPr>
        <w:t>2021年度</w:t>
      </w:r>
      <w:r>
        <w:rPr>
          <w:rFonts w:hint="eastAsia" w:ascii="仿宋_GB2312" w:hAnsi="仿宋_GB2312" w:eastAsia="仿宋_GB2312" w:cs="仿宋_GB2312"/>
          <w:color w:val="auto"/>
          <w:sz w:val="32"/>
          <w:szCs w:val="32"/>
          <w:highlight w:val="none"/>
        </w:rPr>
        <w:t>预算编制阶段，组织对一般行政管理事务资金</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lang w:val="en-US" w:eastAsia="zh-CN"/>
        </w:rPr>
        <w:t>24个项目</w:t>
      </w:r>
      <w:r>
        <w:rPr>
          <w:rFonts w:hint="eastAsia" w:ascii="仿宋_GB2312" w:hAnsi="仿宋_GB2312" w:eastAsia="仿宋_GB2312" w:cs="仿宋_GB2312"/>
          <w:color w:val="auto"/>
          <w:sz w:val="32"/>
          <w:szCs w:val="32"/>
          <w:highlight w:val="none"/>
        </w:rPr>
        <w:t>开展了预算事前绩效评估，对</w:t>
      </w:r>
      <w:r>
        <w:rPr>
          <w:rFonts w:hint="eastAsia" w:ascii="仿宋_GB2312" w:hAnsi="仿宋_GB2312" w:eastAsia="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rPr>
        <w:t>个项目开展绩效监控，年终执行完毕后，对</w:t>
      </w:r>
      <w:r>
        <w:rPr>
          <w:rFonts w:hint="eastAsia" w:ascii="仿宋_GB2312" w:hAnsi="仿宋_GB2312" w:eastAsia="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rPr>
        <w:t>个项目开展了绩效自评</w:t>
      </w:r>
      <w:r>
        <w:rPr>
          <w:rFonts w:hint="eastAsia" w:ascii="仿宋_GB2312" w:hAnsi="仿宋_GB2312" w:eastAsia="仿宋_GB2312" w:cs="仿宋_GB2312"/>
          <w:color w:val="auto"/>
          <w:sz w:val="32"/>
          <w:szCs w:val="32"/>
          <w:highlight w:val="none"/>
          <w:lang w:eastAsia="zh-CN"/>
        </w:rPr>
        <w:t>。同时，</w:t>
      </w:r>
      <w:r>
        <w:rPr>
          <w:rFonts w:hint="eastAsia" w:ascii="仿宋_GB2312" w:hAnsi="仿宋_GB2312" w:eastAsia="仿宋_GB2312" w:cs="仿宋_GB2312"/>
          <w:color w:val="auto"/>
          <w:sz w:val="32"/>
          <w:szCs w:val="32"/>
          <w:highlight w:val="none"/>
        </w:rPr>
        <w:t>本部门对20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年部门整体开展绩效自评，《202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板桥口镇</w:t>
      </w:r>
      <w:r>
        <w:rPr>
          <w:rFonts w:hint="eastAsia" w:ascii="仿宋_GB2312" w:hAnsi="仿宋_GB2312" w:eastAsia="仿宋_GB2312" w:cs="仿宋_GB2312"/>
          <w:color w:val="auto"/>
          <w:sz w:val="32"/>
          <w:szCs w:val="32"/>
          <w:highlight w:val="none"/>
        </w:rPr>
        <w:t>部门整体绩效评价报告》见附件（</w:t>
      </w:r>
      <w:r>
        <w:rPr>
          <w:rFonts w:hint="eastAsia" w:ascii="仿宋_GB2312" w:hAnsi="仿宋_GB2312" w:eastAsia="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w:t>
      </w: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3"/>
        </w:numPr>
        <w:spacing w:line="600" w:lineRule="exact"/>
        <w:ind w:firstLine="660" w:firstLineChars="150"/>
        <w:jc w:val="center"/>
        <w:outlineLvl w:val="0"/>
        <w:rPr>
          <w:rStyle w:val="24"/>
          <w:rFonts w:ascii="黑体" w:hAnsi="黑体" w:eastAsia="黑体"/>
          <w:b w:val="0"/>
          <w:color w:val="auto"/>
          <w:highlight w:val="none"/>
        </w:rPr>
      </w:pPr>
      <w:bookmarkStart w:id="55" w:name="_Toc15396613"/>
      <w:bookmarkStart w:id="56" w:name="_Toc15377225"/>
      <w:r>
        <w:rPr>
          <w:rFonts w:hint="eastAsia" w:ascii="黑体" w:hAnsi="黑体" w:eastAsia="黑体"/>
          <w:color w:val="auto"/>
          <w:sz w:val="44"/>
          <w:szCs w:val="44"/>
          <w:highlight w:val="none"/>
        </w:rPr>
        <w:t>名</w:t>
      </w:r>
      <w:r>
        <w:rPr>
          <w:rStyle w:val="24"/>
          <w:rFonts w:hint="eastAsia" w:ascii="黑体" w:hAnsi="黑体" w:eastAsia="黑体"/>
          <w:b w:val="0"/>
          <w:color w:val="auto"/>
          <w:highlight w:val="none"/>
        </w:rPr>
        <w:t>词解释</w:t>
      </w:r>
      <w:bookmarkEnd w:id="55"/>
      <w:bookmarkEnd w:id="56"/>
    </w:p>
    <w:p>
      <w:pPr>
        <w:spacing w:line="600" w:lineRule="exact"/>
        <w:jc w:val="left"/>
        <w:rPr>
          <w:rFonts w:ascii="宋体"/>
          <w:b/>
          <w:color w:val="auto"/>
          <w:sz w:val="44"/>
          <w:szCs w:val="44"/>
          <w:highlight w:val="none"/>
        </w:rPr>
      </w:pPr>
    </w:p>
    <w:p>
      <w:pPr>
        <w:spacing w:line="600" w:lineRule="exact"/>
        <w:ind w:firstLine="640" w:firstLineChars="200"/>
        <w:jc w:val="both"/>
        <w:outlineLvl w:val="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1．财政拨款收入：指省级财政当年拨付的资金。　</w:t>
      </w:r>
    </w:p>
    <w:p>
      <w:pPr>
        <w:spacing w:line="600" w:lineRule="exact"/>
        <w:ind w:firstLine="640" w:firstLineChars="200"/>
        <w:jc w:val="both"/>
        <w:outlineLvl w:val="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2．事业收入：指事业单位开展专业业务活动及辅助活动所取得的收入。</w:t>
      </w:r>
    </w:p>
    <w:p>
      <w:pPr>
        <w:spacing w:line="600" w:lineRule="exact"/>
        <w:ind w:firstLine="640" w:firstLineChars="200"/>
        <w:jc w:val="both"/>
        <w:outlineLvl w:val="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3．经营收入：指事业单位在专业业务活动及其辅助活动之外开展非独立核算经营活动取得的收入。</w:t>
      </w:r>
    </w:p>
    <w:p>
      <w:pPr>
        <w:spacing w:line="600" w:lineRule="exact"/>
        <w:ind w:firstLine="640" w:firstLineChars="200"/>
        <w:jc w:val="both"/>
        <w:outlineLvl w:val="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4．其他收入：指除上述“财政拨款收入”“事业收入”“经营收入”等以外的收入。主要是银行存款利息收入等。　</w:t>
      </w:r>
    </w:p>
    <w:p>
      <w:pPr>
        <w:spacing w:line="600" w:lineRule="exact"/>
        <w:ind w:firstLine="640" w:firstLineChars="200"/>
        <w:jc w:val="both"/>
        <w:outlineLvl w:val="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5．年初结转和结余：指以前年度尚未完成、结转到本年按有关规定继续使用的资金。　</w:t>
      </w:r>
    </w:p>
    <w:p>
      <w:pPr>
        <w:spacing w:line="600" w:lineRule="exact"/>
        <w:ind w:firstLine="640" w:firstLineChars="200"/>
        <w:jc w:val="both"/>
        <w:outlineLvl w:val="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6．一般公共服务（类）政府办公厅〔室〕及相关机构事务（款）行政运行（项）：指用于保障省政府办公厅机关、厅属各行政单位正常运转，用于行政运行方面的经费支出。</w:t>
      </w:r>
    </w:p>
    <w:p>
      <w:pPr>
        <w:spacing w:line="600" w:lineRule="exact"/>
        <w:ind w:firstLine="640" w:firstLineChars="200"/>
        <w:jc w:val="both"/>
        <w:outlineLvl w:val="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7．一般公共服务（类）政府办公厅〔室〕及相关机构事务（款）一般行政管理事务（项）：指用于保障省政府办公厅机关、厅属各行政事业单位正常运转，为完成特定的工作任务，用于一般行政管理事务方面的经费支出。</w:t>
      </w:r>
    </w:p>
    <w:p>
      <w:pPr>
        <w:spacing w:line="600" w:lineRule="exact"/>
        <w:ind w:firstLine="640" w:firstLineChars="200"/>
        <w:jc w:val="both"/>
        <w:outlineLvl w:val="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8．一般公共服务（类）政府办公厅〔室〕及相关机构事务（款）机关服务（项）：指用于保障省政府办公厅正常运转，用于机关服务方面的经费支出。</w:t>
      </w:r>
    </w:p>
    <w:p>
      <w:pPr>
        <w:spacing w:line="600" w:lineRule="exact"/>
        <w:ind w:firstLine="640" w:firstLineChars="200"/>
        <w:jc w:val="both"/>
        <w:outlineLvl w:val="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9．一般公共服务（类）政府办公厅〔室〕及相关机构事务（款）政务公开审批（项）：指用于为完成特定的工作任务，用于政务公开审批方面的经费支出。</w:t>
      </w:r>
    </w:p>
    <w:p>
      <w:pPr>
        <w:spacing w:line="600" w:lineRule="exact"/>
        <w:ind w:firstLine="640" w:firstLineChars="200"/>
        <w:jc w:val="both"/>
        <w:outlineLvl w:val="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10．一般公共服务（类）政府办公厅〔室〕及相关机构事务（款）参事事务（项）：指用于为完成特定的工作任务，用于参事事务方面的经费支出。</w:t>
      </w:r>
    </w:p>
    <w:p>
      <w:pPr>
        <w:spacing w:line="600" w:lineRule="exact"/>
        <w:ind w:firstLine="640" w:firstLineChars="200"/>
        <w:jc w:val="both"/>
        <w:outlineLvl w:val="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11．一般公共服务（类）政府办公厅〔室〕及相关机构事务（款）事业运行（项）：指用于保障事业单位正常运转，用于事业运行方面的经费支出。</w:t>
      </w:r>
    </w:p>
    <w:p>
      <w:pPr>
        <w:spacing w:line="600" w:lineRule="exact"/>
        <w:ind w:firstLine="640" w:firstLineChars="200"/>
        <w:jc w:val="both"/>
        <w:outlineLvl w:val="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12．一般公共服务（类）政府办公厅〔室〕及相关机构事务（款）其他政府办公厅〔室〕及相关机构事务支出（项）：指用于保障省政府办公厅机关、厅属各行政事业单位正常运转，为完成特定的工作任务，用于其他方面的经费支出。</w:t>
      </w:r>
    </w:p>
    <w:p>
      <w:pPr>
        <w:spacing w:line="600" w:lineRule="exact"/>
        <w:ind w:firstLine="640" w:firstLineChars="200"/>
        <w:jc w:val="both"/>
        <w:outlineLvl w:val="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13．一般公共服务（类）商贸事务（款）其他商贸事务（项）：指用于为完成特定的工作任务，用于商贸事务方面的经费支出.</w:t>
      </w:r>
    </w:p>
    <w:p>
      <w:pPr>
        <w:spacing w:line="600" w:lineRule="exact"/>
        <w:ind w:firstLine="640" w:firstLineChars="200"/>
        <w:jc w:val="both"/>
        <w:outlineLvl w:val="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14.教育支出（类）进修及培训（款）培训支出（项）：指用于培训方面的经费支出。</w:t>
      </w:r>
    </w:p>
    <w:p>
      <w:pPr>
        <w:spacing w:line="600" w:lineRule="exact"/>
        <w:ind w:firstLine="640" w:firstLineChars="200"/>
        <w:jc w:val="both"/>
        <w:outlineLvl w:val="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15.社会保障和</w:t>
      </w:r>
      <w:r>
        <w:rPr>
          <w:rFonts w:hint="eastAsia" w:ascii="仿宋_GB2312" w:eastAsia="仿宋_GB2312"/>
          <w:color w:val="auto"/>
          <w:sz w:val="32"/>
          <w:szCs w:val="32"/>
          <w:highlight w:val="none"/>
          <w:lang w:eastAsia="zh-CN"/>
        </w:rPr>
        <w:t>就业</w:t>
      </w:r>
      <w:r>
        <w:rPr>
          <w:rFonts w:hint="eastAsia" w:ascii="仿宋_GB2312" w:eastAsia="仿宋_GB2312"/>
          <w:color w:val="auto"/>
          <w:sz w:val="32"/>
          <w:szCs w:val="32"/>
          <w:highlight w:val="none"/>
        </w:rPr>
        <w:t>支出（类）行政单位离退休（款）事业单位离退休（项）：指用于事业单位离退休人员支出。</w:t>
      </w:r>
    </w:p>
    <w:p>
      <w:pPr>
        <w:spacing w:line="600" w:lineRule="exact"/>
        <w:ind w:firstLine="640" w:firstLineChars="200"/>
        <w:jc w:val="both"/>
        <w:outlineLvl w:val="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16．社会保障和</w:t>
      </w:r>
      <w:r>
        <w:rPr>
          <w:rFonts w:hint="eastAsia" w:ascii="仿宋_GB2312" w:eastAsia="仿宋_GB2312"/>
          <w:color w:val="auto"/>
          <w:sz w:val="32"/>
          <w:szCs w:val="32"/>
          <w:highlight w:val="none"/>
          <w:lang w:eastAsia="zh-CN"/>
        </w:rPr>
        <w:t>就业</w:t>
      </w:r>
      <w:r>
        <w:rPr>
          <w:rFonts w:hint="eastAsia" w:ascii="仿宋_GB2312" w:eastAsia="仿宋_GB2312"/>
          <w:color w:val="auto"/>
          <w:sz w:val="32"/>
          <w:szCs w:val="32"/>
          <w:highlight w:val="none"/>
        </w:rPr>
        <w:t>支出（类）行政单位离退休（款）未归口管理的行政事业单位离退休（项）：指用于行政单位离休人员支出。</w:t>
      </w:r>
    </w:p>
    <w:p>
      <w:pPr>
        <w:spacing w:line="600" w:lineRule="exact"/>
        <w:ind w:firstLine="640" w:firstLineChars="200"/>
        <w:jc w:val="both"/>
        <w:outlineLvl w:val="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17．社会保障和</w:t>
      </w:r>
      <w:r>
        <w:rPr>
          <w:rFonts w:hint="eastAsia" w:ascii="仿宋_GB2312" w:eastAsia="仿宋_GB2312"/>
          <w:color w:val="auto"/>
          <w:sz w:val="32"/>
          <w:szCs w:val="32"/>
          <w:highlight w:val="none"/>
          <w:lang w:eastAsia="zh-CN"/>
        </w:rPr>
        <w:t>就业</w:t>
      </w:r>
      <w:r>
        <w:rPr>
          <w:rFonts w:hint="eastAsia" w:ascii="仿宋_GB2312" w:eastAsia="仿宋_GB2312"/>
          <w:color w:val="auto"/>
          <w:sz w:val="32"/>
          <w:szCs w:val="32"/>
          <w:highlight w:val="none"/>
        </w:rPr>
        <w:t>支出（类）行政单位离退休（款）机关事业单位基本养老保险缴费支出（项）：指用于机关事业单位基本养老保险缴费支出。</w:t>
      </w:r>
    </w:p>
    <w:p>
      <w:pPr>
        <w:spacing w:line="600" w:lineRule="exact"/>
        <w:ind w:firstLine="640" w:firstLineChars="200"/>
        <w:jc w:val="both"/>
        <w:outlineLvl w:val="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18．社会保障和</w:t>
      </w:r>
      <w:r>
        <w:rPr>
          <w:rFonts w:hint="eastAsia" w:ascii="仿宋_GB2312" w:eastAsia="仿宋_GB2312"/>
          <w:color w:val="auto"/>
          <w:sz w:val="32"/>
          <w:szCs w:val="32"/>
          <w:highlight w:val="none"/>
          <w:lang w:eastAsia="zh-CN"/>
        </w:rPr>
        <w:t>就业</w:t>
      </w:r>
      <w:r>
        <w:rPr>
          <w:rFonts w:hint="eastAsia" w:ascii="仿宋_GB2312" w:eastAsia="仿宋_GB2312"/>
          <w:color w:val="auto"/>
          <w:sz w:val="32"/>
          <w:szCs w:val="32"/>
          <w:highlight w:val="none"/>
        </w:rPr>
        <w:t>支出（类）行政单位离退休（款）机关事业单位职业年金缴费支出（项）：指用于事业单位职业年金缴费支出。</w:t>
      </w:r>
    </w:p>
    <w:p>
      <w:pPr>
        <w:spacing w:line="600" w:lineRule="exact"/>
        <w:ind w:firstLine="640" w:firstLineChars="200"/>
        <w:jc w:val="both"/>
        <w:outlineLvl w:val="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19．社会保障和就业（类）抚恤（款）死亡抚恤（项）：指用于病故人员家属的一次性抚恤金和丧葬费支出。</w:t>
      </w:r>
    </w:p>
    <w:p>
      <w:pPr>
        <w:spacing w:line="600" w:lineRule="exact"/>
        <w:ind w:firstLine="640" w:firstLineChars="200"/>
        <w:jc w:val="both"/>
        <w:outlineLvl w:val="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20．医疗卫生与计划生育支出（类）行政事业单位医疗（款）行政单位医疗（项）：指用于按政策规定为行政单位职工缴纳医疗保险金等支出。</w:t>
      </w:r>
    </w:p>
    <w:p>
      <w:pPr>
        <w:spacing w:line="600" w:lineRule="exact"/>
        <w:ind w:firstLine="640" w:firstLineChars="200"/>
        <w:jc w:val="both"/>
        <w:outlineLvl w:val="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21．医疗卫生与计划生育支出（类）行政事业单位医疗（款）事业单位医疗（项）：指用于按政策规定为事业单位职工缴纳医疗保险金等支出。</w:t>
      </w:r>
    </w:p>
    <w:p>
      <w:pPr>
        <w:spacing w:line="600" w:lineRule="exact"/>
        <w:ind w:firstLine="640" w:firstLineChars="200"/>
        <w:jc w:val="both"/>
        <w:outlineLvl w:val="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22．医疗卫生与计划生育支出（类）行政事业单位医疗（款）公务员医疗补助（项）：指用于按政策规定为职工缴纳公务员医疗补助等支出。</w:t>
      </w:r>
    </w:p>
    <w:p>
      <w:pPr>
        <w:spacing w:line="600" w:lineRule="exact"/>
        <w:ind w:firstLine="640" w:firstLineChars="200"/>
        <w:jc w:val="both"/>
        <w:outlineLvl w:val="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23．住房保障支出（类）住房改革支出（款）住房公积金（项）：指用于按政策规定为职工缴纳的住房公积金支出。</w:t>
      </w:r>
    </w:p>
    <w:p>
      <w:pPr>
        <w:spacing w:line="600" w:lineRule="exact"/>
        <w:ind w:firstLine="640" w:firstLineChars="200"/>
        <w:jc w:val="both"/>
        <w:outlineLvl w:val="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24．住房保障支出（类）住房改革支出（款）购房补贴（项）：指用于按政策规定发给无房职工的购房补贴支出。</w:t>
      </w:r>
    </w:p>
    <w:p>
      <w:pPr>
        <w:spacing w:line="600" w:lineRule="exact"/>
        <w:ind w:firstLine="640" w:firstLineChars="200"/>
        <w:jc w:val="both"/>
        <w:outlineLvl w:val="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25．年末结转和结余：指本年度或以前年度预算安排、因客观条件发生变化无法按原计划实施，需延迟到以后年度按有关规定继续使用的资金。</w:t>
      </w:r>
    </w:p>
    <w:p>
      <w:pPr>
        <w:spacing w:line="600" w:lineRule="exact"/>
        <w:ind w:firstLine="640" w:firstLineChars="200"/>
        <w:jc w:val="both"/>
        <w:outlineLvl w:val="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26．基本支出：指为保障机构正常运转、完成日常工作任务而发生的人员支出和公用支出。</w:t>
      </w:r>
    </w:p>
    <w:p>
      <w:pPr>
        <w:spacing w:line="600" w:lineRule="exact"/>
        <w:ind w:firstLine="640" w:firstLineChars="200"/>
        <w:jc w:val="both"/>
        <w:outlineLvl w:val="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27．项目支出：指在基本支出之外为完成特定行政任务和事业发展目标所发生的支出。　</w:t>
      </w:r>
    </w:p>
    <w:p>
      <w:pPr>
        <w:spacing w:line="600" w:lineRule="exact"/>
        <w:ind w:firstLine="640" w:firstLineChars="200"/>
        <w:jc w:val="both"/>
        <w:outlineLvl w:val="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28．“三公”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firstLineChars="200"/>
        <w:jc w:val="center"/>
        <w:rPr>
          <w:rStyle w:val="24"/>
          <w:rFonts w:hint="eastAsia" w:ascii="黑体" w:hAnsi="黑体" w:eastAsia="黑体"/>
          <w:b w:val="0"/>
          <w:color w:val="auto"/>
          <w:highlight w:val="none"/>
          <w:lang w:eastAsia="zh-CN"/>
        </w:rPr>
      </w:pPr>
      <w:r>
        <w:rPr>
          <w:rFonts w:hint="eastAsia" w:ascii="仿宋_GB2312" w:eastAsia="仿宋_GB2312"/>
          <w:color w:val="auto"/>
          <w:sz w:val="32"/>
          <w:szCs w:val="32"/>
          <w:highlight w:val="none"/>
        </w:rPr>
        <w:t>29．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57" w:name="_Toc15377226"/>
      <w:r>
        <w:rPr>
          <w:rFonts w:ascii="宋体"/>
          <w:b/>
          <w:color w:val="auto"/>
          <w:sz w:val="44"/>
          <w:szCs w:val="44"/>
          <w:highlight w:val="none"/>
        </w:rPr>
        <w:br w:type="page"/>
      </w:r>
      <w:bookmarkStart w:id="58" w:name="_Toc15396614"/>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四部分 附件</w:t>
      </w:r>
      <w:bookmarkEnd w:id="58"/>
    </w:p>
    <w:p>
      <w:pPr>
        <w:keepNext w:val="0"/>
        <w:keepLines w:val="0"/>
        <w:pageBreakBefore w:val="0"/>
        <w:kinsoku/>
        <w:wordWrap/>
        <w:overflowPunct/>
        <w:topLinePunct w:val="0"/>
        <w:autoSpaceDE/>
        <w:autoSpaceDN/>
        <w:bidi w:val="0"/>
        <w:spacing w:line="572" w:lineRule="exact"/>
        <w:jc w:val="left"/>
        <w:textAlignment w:val="auto"/>
        <w:outlineLvl w:val="0"/>
        <w:rPr>
          <w:rFonts w:ascii="方正小标宋简体" w:hAnsi="方正小标宋简体" w:eastAsia="方正小标宋简体" w:cs="方正小标宋简体"/>
          <w:color w:val="auto"/>
          <w:sz w:val="44"/>
          <w:szCs w:val="44"/>
          <w:highlight w:val="none"/>
        </w:rPr>
      </w:pPr>
      <w:r>
        <w:rPr>
          <w:rFonts w:hint="eastAsia" w:ascii="黑体" w:hAnsi="黑体" w:eastAsia="黑体" w:cs="黑体"/>
          <w:color w:val="auto"/>
          <w:sz w:val="32"/>
          <w:szCs w:val="32"/>
          <w:highlight w:val="none"/>
        </w:rPr>
        <w:t>附件</w:t>
      </w:r>
    </w:p>
    <w:p>
      <w:pPr>
        <w:keepNext w:val="0"/>
        <w:keepLines w:val="0"/>
        <w:pageBreakBefore w:val="0"/>
        <w:kinsoku/>
        <w:wordWrap/>
        <w:overflowPunct/>
        <w:topLinePunct w:val="0"/>
        <w:autoSpaceDE/>
        <w:autoSpaceDN/>
        <w:bidi w:val="0"/>
        <w:spacing w:line="572" w:lineRule="exact"/>
        <w:jc w:val="center"/>
        <w:textAlignment w:val="auto"/>
        <w:rPr>
          <w:rFonts w:ascii="方正小标宋简体" w:hAnsi="宋体" w:eastAsia="方正小标宋简体"/>
          <w:color w:val="auto"/>
          <w:kern w:val="0"/>
          <w:sz w:val="40"/>
          <w:szCs w:val="44"/>
          <w:highlight w:val="none"/>
          <w:lang w:val="zh-CN"/>
        </w:rPr>
      </w:pPr>
      <w:r>
        <w:rPr>
          <w:rFonts w:hint="eastAsia" w:ascii="方正小标宋简体" w:hAnsi="宋体" w:eastAsia="方正小标宋简体"/>
          <w:color w:val="auto"/>
          <w:kern w:val="0"/>
          <w:sz w:val="40"/>
          <w:szCs w:val="44"/>
          <w:highlight w:val="none"/>
        </w:rPr>
        <w:t>202</w:t>
      </w:r>
      <w:r>
        <w:rPr>
          <w:rFonts w:hint="eastAsia" w:ascii="方正小标宋简体" w:hAnsi="宋体" w:eastAsia="方正小标宋简体"/>
          <w:color w:val="auto"/>
          <w:kern w:val="0"/>
          <w:sz w:val="40"/>
          <w:szCs w:val="44"/>
          <w:highlight w:val="none"/>
          <w:lang w:val="en-US" w:eastAsia="zh-CN"/>
        </w:rPr>
        <w:t>1</w:t>
      </w:r>
      <w:r>
        <w:rPr>
          <w:rFonts w:hint="eastAsia" w:ascii="方正小标宋简体" w:hAnsi="宋体" w:eastAsia="方正小标宋简体"/>
          <w:color w:val="auto"/>
          <w:kern w:val="0"/>
          <w:sz w:val="40"/>
          <w:szCs w:val="44"/>
          <w:highlight w:val="none"/>
        </w:rPr>
        <w:t>年</w:t>
      </w:r>
      <w:r>
        <w:rPr>
          <w:rFonts w:hint="eastAsia" w:ascii="方正小标宋简体" w:hAnsi="宋体" w:eastAsia="方正小标宋简体"/>
          <w:color w:val="auto"/>
          <w:kern w:val="0"/>
          <w:sz w:val="40"/>
          <w:szCs w:val="44"/>
          <w:highlight w:val="none"/>
          <w:lang w:eastAsia="zh-CN"/>
        </w:rPr>
        <w:t>板桥口镇</w:t>
      </w:r>
      <w:r>
        <w:rPr>
          <w:rFonts w:hint="eastAsia" w:ascii="方正小标宋简体" w:hAnsi="宋体" w:eastAsia="方正小标宋简体"/>
          <w:color w:val="auto"/>
          <w:kern w:val="0"/>
          <w:sz w:val="40"/>
          <w:szCs w:val="44"/>
          <w:highlight w:val="none"/>
        </w:rPr>
        <w:t>部门整体绩效评价报告</w:t>
      </w:r>
    </w:p>
    <w:p>
      <w:pPr>
        <w:keepNext w:val="0"/>
        <w:keepLines w:val="0"/>
        <w:pageBreakBefore w:val="0"/>
        <w:widowControl/>
        <w:kinsoku/>
        <w:wordWrap/>
        <w:overflowPunct/>
        <w:topLinePunct w:val="0"/>
        <w:autoSpaceDE/>
        <w:autoSpaceDN/>
        <w:bidi w:val="0"/>
        <w:adjustRightInd w:val="0"/>
        <w:snapToGrid w:val="0"/>
        <w:spacing w:line="572" w:lineRule="exact"/>
        <w:contextualSpacing/>
        <w:jc w:val="left"/>
        <w:textAlignment w:val="auto"/>
        <w:rPr>
          <w:rFonts w:ascii="黑体" w:hAnsi="宋体" w:eastAsia="黑体" w:cs="宋体"/>
          <w:color w:val="auto"/>
          <w:kern w:val="0"/>
          <w:sz w:val="24"/>
          <w:szCs w:val="32"/>
          <w:highlight w:val="none"/>
          <w:shd w:val="clear" w:color="auto" w:fill="FFFFFF"/>
        </w:rPr>
      </w:pP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lang w:val="zh-CN"/>
        </w:rPr>
      </w:pPr>
      <w:r>
        <w:rPr>
          <w:rFonts w:hint="eastAsia" w:ascii="黑体" w:hAnsi="宋体" w:eastAsia="黑体" w:cs="宋体"/>
          <w:color w:val="auto"/>
          <w:kern w:val="0"/>
          <w:sz w:val="32"/>
          <w:szCs w:val="32"/>
          <w:highlight w:val="none"/>
          <w:shd w:val="clear" w:color="auto" w:fill="FFFFFF"/>
        </w:rPr>
        <w:t>一、</w:t>
      </w:r>
      <w:r>
        <w:rPr>
          <w:rFonts w:hint="eastAsia" w:ascii="黑体" w:hAnsi="宋体" w:eastAsia="黑体" w:cs="宋体"/>
          <w:color w:val="auto"/>
          <w:kern w:val="0"/>
          <w:sz w:val="32"/>
          <w:szCs w:val="32"/>
          <w:highlight w:val="none"/>
          <w:shd w:val="clear" w:color="auto" w:fill="FFFFFF"/>
          <w:lang w:val="zh-CN"/>
        </w:rPr>
        <w:t>部门（单位）概况</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（一）机构组成</w:t>
      </w:r>
    </w:p>
    <w:p>
      <w:pPr>
        <w:pStyle w:val="2"/>
        <w:ind w:firstLine="640" w:firstLineChars="200"/>
        <w:rPr>
          <w:rFonts w:hint="eastAsia" w:ascii="仿宋_GB2312" w:hAnsi="宋体" w:eastAsia="仿宋_GB2312" w:cs="宋体"/>
          <w:color w:val="auto"/>
          <w:kern w:val="0"/>
          <w:sz w:val="32"/>
          <w:szCs w:val="32"/>
          <w:highlight w:val="none"/>
          <w:shd w:val="clear" w:color="auto" w:fill="FFFFFF"/>
          <w:lang w:val="zh-CN" w:eastAsia="zh-CN" w:bidi="ar-SA"/>
        </w:rPr>
      </w:pPr>
      <w:r>
        <w:rPr>
          <w:rFonts w:hint="eastAsia" w:ascii="仿宋_GB2312" w:hAnsi="宋体" w:eastAsia="仿宋_GB2312" w:cs="宋体"/>
          <w:color w:val="auto"/>
          <w:kern w:val="0"/>
          <w:sz w:val="32"/>
          <w:szCs w:val="32"/>
          <w:highlight w:val="none"/>
          <w:shd w:val="clear" w:color="auto" w:fill="FFFFFF"/>
          <w:lang w:val="zh-CN" w:eastAsia="zh-CN" w:bidi="ar-SA"/>
        </w:rPr>
        <w:t>全镇所辖</w:t>
      </w:r>
      <w:r>
        <w:rPr>
          <w:rFonts w:hint="eastAsia" w:ascii="仿宋_GB2312" w:hAnsi="宋体" w:eastAsia="仿宋_GB2312" w:cs="宋体"/>
          <w:color w:val="auto"/>
          <w:kern w:val="0"/>
          <w:sz w:val="32"/>
          <w:szCs w:val="32"/>
          <w:highlight w:val="none"/>
          <w:shd w:val="clear" w:color="auto" w:fill="FFFFFF"/>
          <w:lang w:val="en-US" w:eastAsia="zh-CN" w:bidi="ar-SA"/>
        </w:rPr>
        <w:t>4</w:t>
      </w:r>
      <w:r>
        <w:rPr>
          <w:rFonts w:hint="eastAsia" w:ascii="仿宋_GB2312" w:hAnsi="宋体" w:eastAsia="仿宋_GB2312" w:cs="宋体"/>
          <w:color w:val="auto"/>
          <w:kern w:val="0"/>
          <w:sz w:val="32"/>
          <w:szCs w:val="32"/>
          <w:highlight w:val="none"/>
          <w:shd w:val="clear" w:color="auto" w:fill="FFFFFF"/>
          <w:lang w:val="zh-CN" w:eastAsia="zh-CN" w:bidi="ar-SA"/>
        </w:rPr>
        <w:t>个预算单位：通江县诺江镇人民政府（本级）、通江县板桥口镇正文小学、通江县板桥口镇砥坝中心小学、通江县板桥口镇卫生院。</w:t>
      </w:r>
    </w:p>
    <w:p>
      <w:pPr>
        <w:pStyle w:val="2"/>
        <w:ind w:firstLine="640" w:firstLineChars="200"/>
        <w:rPr>
          <w:rFonts w:hint="eastAsia" w:ascii="仿宋_GB2312" w:hAnsi="宋体" w:eastAsia="仿宋_GB2312" w:cs="宋体"/>
          <w:color w:val="auto"/>
          <w:kern w:val="0"/>
          <w:sz w:val="32"/>
          <w:szCs w:val="32"/>
          <w:highlight w:val="none"/>
          <w:shd w:val="clear" w:color="auto" w:fill="FFFFFF"/>
          <w:lang w:val="zh-CN" w:eastAsia="zh-CN" w:bidi="ar-SA"/>
        </w:rPr>
      </w:pPr>
      <w:r>
        <w:rPr>
          <w:rFonts w:hint="eastAsia" w:ascii="仿宋_GB2312" w:hAnsi="宋体" w:eastAsia="仿宋_GB2312" w:cs="宋体"/>
          <w:color w:val="auto"/>
          <w:kern w:val="0"/>
          <w:sz w:val="32"/>
          <w:szCs w:val="32"/>
          <w:highlight w:val="none"/>
          <w:shd w:val="clear" w:color="auto" w:fill="FFFFFF"/>
          <w:lang w:val="zh-CN" w:eastAsia="zh-CN" w:bidi="ar-SA"/>
        </w:rPr>
        <w:t>独立编制机构数</w:t>
      </w:r>
      <w:r>
        <w:rPr>
          <w:rFonts w:hint="eastAsia" w:ascii="仿宋_GB2312" w:hAnsi="宋体" w:eastAsia="仿宋_GB2312" w:cs="宋体"/>
          <w:color w:val="auto"/>
          <w:kern w:val="0"/>
          <w:sz w:val="32"/>
          <w:szCs w:val="32"/>
          <w:highlight w:val="none"/>
          <w:shd w:val="clear" w:color="auto" w:fill="FFFFFF"/>
          <w:lang w:val="en-US" w:eastAsia="zh-CN" w:bidi="ar-SA"/>
        </w:rPr>
        <w:t>13</w:t>
      </w:r>
      <w:r>
        <w:rPr>
          <w:rFonts w:hint="eastAsia" w:ascii="仿宋_GB2312" w:hAnsi="宋体" w:eastAsia="仿宋_GB2312" w:cs="宋体"/>
          <w:color w:val="auto"/>
          <w:kern w:val="0"/>
          <w:sz w:val="32"/>
          <w:szCs w:val="32"/>
          <w:highlight w:val="none"/>
          <w:shd w:val="clear" w:color="auto" w:fill="FFFFFF"/>
          <w:lang w:val="zh-CN" w:eastAsia="zh-CN" w:bidi="ar-SA"/>
        </w:rPr>
        <w:t>个，其中：政府办公厅（室）及相关机构事务</w:t>
      </w:r>
      <w:r>
        <w:rPr>
          <w:rFonts w:hint="eastAsia" w:ascii="仿宋_GB2312" w:hAnsi="宋体" w:eastAsia="仿宋_GB2312" w:cs="宋体"/>
          <w:color w:val="auto"/>
          <w:kern w:val="0"/>
          <w:sz w:val="32"/>
          <w:szCs w:val="32"/>
          <w:highlight w:val="none"/>
          <w:shd w:val="clear" w:color="auto" w:fill="FFFFFF"/>
          <w:lang w:val="en-US" w:eastAsia="zh-CN" w:bidi="ar-SA"/>
        </w:rPr>
        <w:t>10</w:t>
      </w:r>
      <w:r>
        <w:rPr>
          <w:rFonts w:hint="eastAsia" w:ascii="仿宋_GB2312" w:hAnsi="宋体" w:eastAsia="仿宋_GB2312" w:cs="宋体"/>
          <w:color w:val="auto"/>
          <w:kern w:val="0"/>
          <w:sz w:val="32"/>
          <w:szCs w:val="32"/>
          <w:highlight w:val="none"/>
          <w:shd w:val="clear" w:color="auto" w:fill="FFFFFF"/>
          <w:lang w:val="zh-CN" w:eastAsia="zh-CN" w:bidi="ar-SA"/>
        </w:rPr>
        <w:t>个，教育支出</w:t>
      </w:r>
      <w:r>
        <w:rPr>
          <w:rFonts w:hint="eastAsia" w:ascii="仿宋_GB2312" w:hAnsi="宋体" w:eastAsia="仿宋_GB2312" w:cs="宋体"/>
          <w:color w:val="auto"/>
          <w:kern w:val="0"/>
          <w:sz w:val="32"/>
          <w:szCs w:val="32"/>
          <w:highlight w:val="none"/>
          <w:shd w:val="clear" w:color="auto" w:fill="FFFFFF"/>
          <w:lang w:val="en-US" w:eastAsia="zh-CN" w:bidi="ar-SA"/>
        </w:rPr>
        <w:t>2</w:t>
      </w:r>
      <w:r>
        <w:rPr>
          <w:rFonts w:hint="eastAsia" w:ascii="仿宋_GB2312" w:hAnsi="宋体" w:eastAsia="仿宋_GB2312" w:cs="宋体"/>
          <w:color w:val="auto"/>
          <w:kern w:val="0"/>
          <w:sz w:val="32"/>
          <w:szCs w:val="32"/>
          <w:highlight w:val="none"/>
          <w:shd w:val="clear" w:color="auto" w:fill="FFFFFF"/>
          <w:lang w:val="zh-CN" w:eastAsia="zh-CN" w:bidi="ar-SA"/>
        </w:rPr>
        <w:t>个，卫生健康支出1个。</w:t>
      </w:r>
    </w:p>
    <w:p>
      <w:pPr>
        <w:pStyle w:val="2"/>
        <w:ind w:firstLine="640" w:firstLineChars="200"/>
        <w:rPr>
          <w:rFonts w:hint="eastAsia" w:ascii="仿宋_GB2312" w:hAnsi="宋体" w:eastAsia="仿宋_GB2312" w:cs="宋体"/>
          <w:color w:val="auto"/>
          <w:kern w:val="0"/>
          <w:sz w:val="32"/>
          <w:szCs w:val="32"/>
          <w:highlight w:val="none"/>
          <w:shd w:val="clear" w:color="auto" w:fill="FFFFFF"/>
          <w:lang w:val="zh-CN" w:eastAsia="zh-CN" w:bidi="ar-SA"/>
        </w:rPr>
      </w:pPr>
      <w:r>
        <w:rPr>
          <w:rFonts w:hint="eastAsia" w:ascii="仿宋_GB2312" w:hAnsi="宋体" w:eastAsia="仿宋_GB2312" w:cs="宋体"/>
          <w:color w:val="auto"/>
          <w:kern w:val="0"/>
          <w:sz w:val="32"/>
          <w:szCs w:val="32"/>
          <w:highlight w:val="none"/>
          <w:shd w:val="clear" w:color="auto" w:fill="FFFFFF"/>
          <w:lang w:val="zh-CN" w:eastAsia="zh-CN" w:bidi="ar-SA"/>
        </w:rPr>
        <w:t>独立核算单位</w:t>
      </w:r>
      <w:r>
        <w:rPr>
          <w:rFonts w:hint="eastAsia" w:hAnsi="宋体" w:cs="宋体"/>
          <w:color w:val="auto"/>
          <w:kern w:val="0"/>
          <w:sz w:val="32"/>
          <w:szCs w:val="32"/>
          <w:highlight w:val="none"/>
          <w:shd w:val="clear" w:color="auto" w:fill="FFFFFF"/>
          <w:lang w:val="en-US" w:eastAsia="zh-CN" w:bidi="ar-SA"/>
        </w:rPr>
        <w:t>5</w:t>
      </w:r>
      <w:r>
        <w:rPr>
          <w:rFonts w:hint="eastAsia" w:ascii="仿宋_GB2312" w:hAnsi="宋体" w:eastAsia="仿宋_GB2312" w:cs="宋体"/>
          <w:color w:val="auto"/>
          <w:kern w:val="0"/>
          <w:sz w:val="32"/>
          <w:szCs w:val="32"/>
          <w:highlight w:val="none"/>
          <w:shd w:val="clear" w:color="auto" w:fill="FFFFFF"/>
          <w:lang w:val="zh-CN" w:eastAsia="zh-CN" w:bidi="ar-SA"/>
        </w:rPr>
        <w:t>个，其中：政府办公厅（室）及相关机构事务2个，教育支出</w:t>
      </w:r>
      <w:r>
        <w:rPr>
          <w:rFonts w:hint="eastAsia" w:hAnsi="宋体" w:cs="宋体"/>
          <w:color w:val="auto"/>
          <w:kern w:val="0"/>
          <w:sz w:val="32"/>
          <w:szCs w:val="32"/>
          <w:highlight w:val="none"/>
          <w:shd w:val="clear" w:color="auto" w:fill="FFFFFF"/>
          <w:lang w:val="en-US" w:eastAsia="zh-CN" w:bidi="ar-SA"/>
        </w:rPr>
        <w:t>1</w:t>
      </w:r>
      <w:r>
        <w:rPr>
          <w:rFonts w:hint="eastAsia" w:ascii="仿宋_GB2312" w:hAnsi="宋体" w:eastAsia="仿宋_GB2312" w:cs="宋体"/>
          <w:color w:val="auto"/>
          <w:kern w:val="0"/>
          <w:sz w:val="32"/>
          <w:szCs w:val="32"/>
          <w:highlight w:val="none"/>
          <w:shd w:val="clear" w:color="auto" w:fill="FFFFFF"/>
          <w:lang w:val="zh-CN" w:eastAsia="zh-CN" w:bidi="ar-SA"/>
        </w:rPr>
        <w:t>个，卫生健康支出1个。</w:t>
      </w:r>
    </w:p>
    <w:p>
      <w:pPr>
        <w:keepNext w:val="0"/>
        <w:keepLines w:val="0"/>
        <w:pageBreakBefore w:val="0"/>
        <w:widowControl/>
        <w:numPr>
          <w:ilvl w:val="0"/>
          <w:numId w:val="4"/>
        </w:numPr>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机构职能</w:t>
      </w:r>
    </w:p>
    <w:p>
      <w:pPr>
        <w:pStyle w:val="2"/>
        <w:ind w:firstLine="640" w:firstLineChars="200"/>
        <w:rPr>
          <w:rFonts w:hint="eastAsia" w:ascii="仿宋_GB2312" w:hAnsi="宋体" w:eastAsia="仿宋_GB2312" w:cs="宋体"/>
          <w:color w:val="auto"/>
          <w:kern w:val="0"/>
          <w:sz w:val="32"/>
          <w:szCs w:val="32"/>
          <w:highlight w:val="none"/>
          <w:shd w:val="clear" w:color="auto" w:fill="FFFFFF"/>
          <w:lang w:val="zh-CN" w:eastAsia="zh-CN" w:bidi="ar-SA"/>
        </w:rPr>
      </w:pPr>
      <w:r>
        <w:rPr>
          <w:rFonts w:hint="eastAsia" w:ascii="仿宋_GB2312" w:hAnsi="宋体" w:eastAsia="仿宋_GB2312" w:cs="宋体"/>
          <w:color w:val="auto"/>
          <w:kern w:val="0"/>
          <w:sz w:val="32"/>
          <w:szCs w:val="32"/>
          <w:highlight w:val="none"/>
          <w:shd w:val="clear" w:color="auto" w:fill="FFFFFF"/>
          <w:lang w:val="zh-CN" w:eastAsia="zh-CN" w:bidi="ar-SA"/>
        </w:rPr>
        <w:t>1、执行上级国家行政机关的决定、命令和国家制定的法令、法规，接受同级党委的领导，执行本级人民代表大会的各项决议，并报告执行决议、决定和命令的情况。 </w:t>
      </w:r>
    </w:p>
    <w:p>
      <w:pPr>
        <w:pStyle w:val="2"/>
        <w:ind w:firstLine="640" w:firstLineChars="200"/>
        <w:rPr>
          <w:rFonts w:hint="eastAsia" w:ascii="仿宋_GB2312" w:hAnsi="宋体" w:eastAsia="仿宋_GB2312" w:cs="宋体"/>
          <w:color w:val="auto"/>
          <w:kern w:val="0"/>
          <w:sz w:val="32"/>
          <w:szCs w:val="32"/>
          <w:highlight w:val="none"/>
          <w:shd w:val="clear" w:color="auto" w:fill="FFFFFF"/>
          <w:lang w:val="zh-CN" w:eastAsia="zh-CN" w:bidi="ar-SA"/>
        </w:rPr>
      </w:pPr>
      <w:r>
        <w:rPr>
          <w:rFonts w:hint="eastAsia" w:ascii="仿宋_GB2312" w:hAnsi="宋体" w:eastAsia="仿宋_GB2312" w:cs="宋体"/>
          <w:color w:val="auto"/>
          <w:kern w:val="0"/>
          <w:sz w:val="32"/>
          <w:szCs w:val="32"/>
          <w:highlight w:val="none"/>
          <w:shd w:val="clear" w:color="auto" w:fill="FFFFFF"/>
          <w:lang w:val="zh-CN" w:eastAsia="zh-CN" w:bidi="ar-SA"/>
        </w:rPr>
        <w:t>2、制定并落实本行政区域的经济计划和措施，促进产业结构调整及其他经济保持平衡协调发展，抓好招商引资，人才引进</w:t>
      </w:r>
      <w:r>
        <w:rPr>
          <w:rFonts w:hint="eastAsia" w:hAnsi="宋体" w:cs="宋体"/>
          <w:color w:val="auto"/>
          <w:kern w:val="0"/>
          <w:sz w:val="32"/>
          <w:szCs w:val="32"/>
          <w:highlight w:val="none"/>
          <w:shd w:val="clear" w:color="auto" w:fill="FFFFFF"/>
          <w:lang w:val="zh-CN" w:eastAsia="zh-CN" w:bidi="ar-SA"/>
        </w:rPr>
        <w:t>和</w:t>
      </w:r>
      <w:r>
        <w:rPr>
          <w:rFonts w:hint="eastAsia" w:ascii="仿宋_GB2312" w:hAnsi="宋体" w:eastAsia="仿宋_GB2312" w:cs="宋体"/>
          <w:color w:val="auto"/>
          <w:kern w:val="0"/>
          <w:sz w:val="32"/>
          <w:szCs w:val="32"/>
          <w:highlight w:val="none"/>
          <w:shd w:val="clear" w:color="auto" w:fill="FFFFFF"/>
          <w:lang w:val="zh-CN" w:eastAsia="zh-CN" w:bidi="ar-SA"/>
        </w:rPr>
        <w:t>项目开发，不断培育市场体系，组织经济运行，促进经济发展，全面提高人民群众的生活水平和生活质量。</w:t>
      </w:r>
    </w:p>
    <w:p>
      <w:pPr>
        <w:pStyle w:val="2"/>
        <w:ind w:firstLine="640" w:firstLineChars="200"/>
        <w:rPr>
          <w:rFonts w:hint="eastAsia" w:ascii="仿宋_GB2312" w:hAnsi="宋体" w:eastAsia="仿宋_GB2312" w:cs="宋体"/>
          <w:color w:val="auto"/>
          <w:kern w:val="0"/>
          <w:sz w:val="32"/>
          <w:szCs w:val="32"/>
          <w:highlight w:val="none"/>
          <w:shd w:val="clear" w:color="auto" w:fill="FFFFFF"/>
          <w:lang w:val="zh-CN" w:eastAsia="zh-CN" w:bidi="ar-SA"/>
        </w:rPr>
      </w:pPr>
      <w:r>
        <w:rPr>
          <w:rFonts w:hint="eastAsia" w:ascii="仿宋_GB2312" w:hAnsi="宋体" w:eastAsia="仿宋_GB2312" w:cs="宋体"/>
          <w:color w:val="auto"/>
          <w:kern w:val="0"/>
          <w:sz w:val="32"/>
          <w:szCs w:val="32"/>
          <w:highlight w:val="none"/>
          <w:shd w:val="clear" w:color="auto" w:fill="FFFFFF"/>
          <w:lang w:val="zh-CN" w:eastAsia="zh-CN" w:bidi="ar-SA"/>
        </w:rPr>
        <w:t>3、制定并组织实施村镇建设规划，部署重点工程建设，地方道路建设及公共设施，水利设施的管理，负责土地、林木、水等自然资源和生态环境的保护，做好护林防火工作。 </w:t>
      </w:r>
    </w:p>
    <w:p>
      <w:pPr>
        <w:pStyle w:val="2"/>
        <w:ind w:firstLine="640" w:firstLineChars="200"/>
        <w:rPr>
          <w:rFonts w:hint="eastAsia" w:ascii="仿宋_GB2312" w:hAnsi="宋体" w:eastAsia="仿宋_GB2312" w:cs="宋体"/>
          <w:color w:val="auto"/>
          <w:kern w:val="0"/>
          <w:sz w:val="32"/>
          <w:szCs w:val="32"/>
          <w:highlight w:val="none"/>
          <w:shd w:val="clear" w:color="auto" w:fill="FFFFFF"/>
          <w:lang w:val="zh-CN" w:eastAsia="zh-CN" w:bidi="ar-SA"/>
        </w:rPr>
      </w:pPr>
      <w:r>
        <w:rPr>
          <w:rFonts w:hint="eastAsia" w:ascii="仿宋_GB2312" w:hAnsi="宋体" w:eastAsia="仿宋_GB2312" w:cs="宋体"/>
          <w:color w:val="auto"/>
          <w:kern w:val="0"/>
          <w:sz w:val="32"/>
          <w:szCs w:val="32"/>
          <w:highlight w:val="none"/>
          <w:shd w:val="clear" w:color="auto" w:fill="FFFFFF"/>
          <w:lang w:val="zh-CN" w:eastAsia="zh-CN" w:bidi="ar-SA"/>
        </w:rPr>
        <w:t>4、承担国有资产、集体资产管理、监督及增值保值责任</w:t>
      </w:r>
      <w:r>
        <w:rPr>
          <w:rFonts w:hint="eastAsia" w:hAnsi="宋体" w:cs="宋体"/>
          <w:color w:val="auto"/>
          <w:kern w:val="0"/>
          <w:sz w:val="32"/>
          <w:szCs w:val="32"/>
          <w:highlight w:val="none"/>
          <w:shd w:val="clear" w:color="auto" w:fill="FFFFFF"/>
          <w:lang w:val="zh-CN" w:eastAsia="zh-CN" w:bidi="ar-SA"/>
        </w:rPr>
        <w:t>；</w:t>
      </w:r>
      <w:r>
        <w:rPr>
          <w:rFonts w:hint="eastAsia" w:ascii="仿宋_GB2312" w:hAnsi="宋体" w:eastAsia="仿宋_GB2312" w:cs="宋体"/>
          <w:color w:val="auto"/>
          <w:kern w:val="0"/>
          <w:sz w:val="32"/>
          <w:szCs w:val="32"/>
          <w:highlight w:val="none"/>
          <w:shd w:val="clear" w:color="auto" w:fill="FFFFFF"/>
          <w:lang w:val="zh-CN" w:eastAsia="zh-CN" w:bidi="ar-SA"/>
        </w:rPr>
        <w:t>保护公民私人所有合法财产，保障集体经济组织应有的自主权</w:t>
      </w:r>
      <w:r>
        <w:rPr>
          <w:rFonts w:hint="eastAsia" w:hAnsi="宋体" w:cs="宋体"/>
          <w:color w:val="auto"/>
          <w:kern w:val="0"/>
          <w:sz w:val="32"/>
          <w:szCs w:val="32"/>
          <w:highlight w:val="none"/>
          <w:shd w:val="clear" w:color="auto" w:fill="FFFFFF"/>
          <w:lang w:val="zh-CN" w:eastAsia="zh-CN" w:bidi="ar-SA"/>
        </w:rPr>
        <w:t>；</w:t>
      </w:r>
      <w:r>
        <w:rPr>
          <w:rFonts w:hint="eastAsia" w:ascii="仿宋_GB2312" w:hAnsi="宋体" w:eastAsia="仿宋_GB2312" w:cs="宋体"/>
          <w:color w:val="auto"/>
          <w:kern w:val="0"/>
          <w:sz w:val="32"/>
          <w:szCs w:val="32"/>
          <w:highlight w:val="none"/>
          <w:shd w:val="clear" w:color="auto" w:fill="FFFFFF"/>
          <w:lang w:val="zh-CN" w:eastAsia="zh-CN" w:bidi="ar-SA"/>
        </w:rPr>
        <w:t>监督企业和各种经济联合体、个体户认真执行国家的法律、法令和政策，履行经济合同。 </w:t>
      </w:r>
    </w:p>
    <w:p>
      <w:pPr>
        <w:pStyle w:val="2"/>
        <w:ind w:firstLine="640" w:firstLineChars="200"/>
        <w:rPr>
          <w:rFonts w:hint="eastAsia" w:ascii="仿宋_GB2312" w:hAnsi="宋体" w:eastAsia="仿宋_GB2312" w:cs="宋体"/>
          <w:color w:val="auto"/>
          <w:kern w:val="0"/>
          <w:sz w:val="32"/>
          <w:szCs w:val="32"/>
          <w:highlight w:val="none"/>
          <w:shd w:val="clear" w:color="auto" w:fill="FFFFFF"/>
          <w:lang w:val="zh-CN" w:eastAsia="zh-CN" w:bidi="ar-SA"/>
        </w:rPr>
      </w:pPr>
      <w:r>
        <w:rPr>
          <w:rFonts w:hint="eastAsia" w:ascii="仿宋_GB2312" w:hAnsi="宋体" w:eastAsia="仿宋_GB2312" w:cs="宋体"/>
          <w:color w:val="auto"/>
          <w:kern w:val="0"/>
          <w:sz w:val="32"/>
          <w:szCs w:val="32"/>
          <w:highlight w:val="none"/>
          <w:shd w:val="clear" w:color="auto" w:fill="FFFFFF"/>
          <w:lang w:val="zh-CN" w:eastAsia="zh-CN" w:bidi="ar-SA"/>
        </w:rPr>
        <w:t xml:space="preserve"> 5、开展社会主义民主和法制的宣传教育，保障公民的权利</w:t>
      </w:r>
      <w:r>
        <w:rPr>
          <w:rFonts w:hint="eastAsia" w:hAnsi="宋体" w:cs="宋体"/>
          <w:color w:val="auto"/>
          <w:kern w:val="0"/>
          <w:sz w:val="32"/>
          <w:szCs w:val="32"/>
          <w:highlight w:val="none"/>
          <w:shd w:val="clear" w:color="auto" w:fill="FFFFFF"/>
          <w:lang w:val="zh-CN" w:eastAsia="zh-CN" w:bidi="ar-SA"/>
        </w:rPr>
        <w:t>；</w:t>
      </w:r>
      <w:r>
        <w:rPr>
          <w:rFonts w:hint="eastAsia" w:ascii="仿宋_GB2312" w:hAnsi="宋体" w:eastAsia="仿宋_GB2312" w:cs="宋体"/>
          <w:color w:val="auto"/>
          <w:kern w:val="0"/>
          <w:sz w:val="32"/>
          <w:szCs w:val="32"/>
          <w:highlight w:val="none"/>
          <w:shd w:val="clear" w:color="auto" w:fill="FFFFFF"/>
          <w:lang w:val="zh-CN" w:eastAsia="zh-CN" w:bidi="ar-SA"/>
        </w:rPr>
        <w:t>制定社会治安综合治理工作规划并组织实施</w:t>
      </w:r>
      <w:r>
        <w:rPr>
          <w:rFonts w:hint="eastAsia" w:hAnsi="宋体" w:cs="宋体"/>
          <w:color w:val="auto"/>
          <w:kern w:val="0"/>
          <w:sz w:val="32"/>
          <w:szCs w:val="32"/>
          <w:highlight w:val="none"/>
          <w:shd w:val="clear" w:color="auto" w:fill="FFFFFF"/>
          <w:lang w:val="zh-CN" w:eastAsia="zh-CN" w:bidi="ar-SA"/>
        </w:rPr>
        <w:t>；</w:t>
      </w:r>
      <w:r>
        <w:rPr>
          <w:rFonts w:hint="eastAsia" w:ascii="仿宋_GB2312" w:hAnsi="宋体" w:eastAsia="仿宋_GB2312" w:cs="宋体"/>
          <w:color w:val="auto"/>
          <w:kern w:val="0"/>
          <w:sz w:val="32"/>
          <w:szCs w:val="32"/>
          <w:highlight w:val="none"/>
          <w:shd w:val="clear" w:color="auto" w:fill="FFFFFF"/>
          <w:lang w:val="zh-CN" w:eastAsia="zh-CN" w:bidi="ar-SA"/>
        </w:rPr>
        <w:t>加强社区管理工作，依法管理外来流动人口，处理人民来信来访，调解民间纠纷，打击违法犯罪，维护社会稳定。 </w:t>
      </w:r>
    </w:p>
    <w:p>
      <w:pPr>
        <w:pStyle w:val="2"/>
        <w:ind w:firstLine="640" w:firstLineChars="200"/>
        <w:rPr>
          <w:rFonts w:hint="eastAsia" w:ascii="仿宋_GB2312" w:hAnsi="宋体" w:eastAsia="仿宋_GB2312" w:cs="宋体"/>
          <w:color w:val="auto"/>
          <w:kern w:val="0"/>
          <w:sz w:val="32"/>
          <w:szCs w:val="32"/>
          <w:highlight w:val="none"/>
          <w:shd w:val="clear" w:color="auto" w:fill="FFFFFF"/>
          <w:lang w:val="zh-CN" w:eastAsia="zh-CN" w:bidi="ar-SA"/>
        </w:rPr>
      </w:pPr>
      <w:r>
        <w:rPr>
          <w:rFonts w:hint="eastAsia" w:ascii="仿宋_GB2312" w:hAnsi="宋体" w:eastAsia="仿宋_GB2312" w:cs="宋体"/>
          <w:color w:val="auto"/>
          <w:kern w:val="0"/>
          <w:sz w:val="32"/>
          <w:szCs w:val="32"/>
          <w:highlight w:val="none"/>
          <w:shd w:val="clear" w:color="auto" w:fill="FFFFFF"/>
          <w:lang w:val="zh-CN" w:eastAsia="zh-CN" w:bidi="ar-SA"/>
        </w:rPr>
        <w:t xml:space="preserve"> 6、制定社会各项事业发展计划，发展教育、卫生、科技、民政、广播电视、文化、体育事业</w:t>
      </w:r>
      <w:r>
        <w:rPr>
          <w:rFonts w:hint="eastAsia" w:hAnsi="宋体" w:cs="宋体"/>
          <w:color w:val="auto"/>
          <w:kern w:val="0"/>
          <w:sz w:val="32"/>
          <w:szCs w:val="32"/>
          <w:highlight w:val="none"/>
          <w:shd w:val="clear" w:color="auto" w:fill="FFFFFF"/>
          <w:lang w:val="zh-CN" w:eastAsia="zh-CN" w:bidi="ar-SA"/>
        </w:rPr>
        <w:t>；</w:t>
      </w:r>
      <w:r>
        <w:rPr>
          <w:rFonts w:hint="eastAsia" w:ascii="仿宋_GB2312" w:hAnsi="宋体" w:eastAsia="仿宋_GB2312" w:cs="宋体"/>
          <w:color w:val="auto"/>
          <w:kern w:val="0"/>
          <w:sz w:val="32"/>
          <w:szCs w:val="32"/>
          <w:highlight w:val="none"/>
          <w:shd w:val="clear" w:color="auto" w:fill="FFFFFF"/>
          <w:lang w:val="zh-CN" w:eastAsia="zh-CN" w:bidi="ar-SA"/>
        </w:rPr>
        <w:t>组织实施义务教育和其他各类教育</w:t>
      </w:r>
      <w:r>
        <w:rPr>
          <w:rFonts w:hint="eastAsia" w:hAnsi="宋体" w:cs="宋体"/>
          <w:color w:val="auto"/>
          <w:kern w:val="0"/>
          <w:sz w:val="32"/>
          <w:szCs w:val="32"/>
          <w:highlight w:val="none"/>
          <w:shd w:val="clear" w:color="auto" w:fill="FFFFFF"/>
          <w:lang w:val="zh-CN" w:eastAsia="zh-CN" w:bidi="ar-SA"/>
        </w:rPr>
        <w:t>；</w:t>
      </w:r>
      <w:r>
        <w:rPr>
          <w:rFonts w:hint="eastAsia" w:ascii="仿宋_GB2312" w:hAnsi="宋体" w:eastAsia="仿宋_GB2312" w:cs="宋体"/>
          <w:color w:val="auto"/>
          <w:kern w:val="0"/>
          <w:sz w:val="32"/>
          <w:szCs w:val="32"/>
          <w:highlight w:val="none"/>
          <w:shd w:val="clear" w:color="auto" w:fill="FFFFFF"/>
          <w:lang w:val="zh-CN" w:eastAsia="zh-CN" w:bidi="ar-SA"/>
        </w:rPr>
        <w:t>加强计划生育工作</w:t>
      </w:r>
      <w:r>
        <w:rPr>
          <w:rFonts w:hint="eastAsia" w:hAnsi="宋体" w:cs="宋体"/>
          <w:color w:val="auto"/>
          <w:kern w:val="0"/>
          <w:sz w:val="32"/>
          <w:szCs w:val="32"/>
          <w:highlight w:val="none"/>
          <w:shd w:val="clear" w:color="auto" w:fill="FFFFFF"/>
          <w:lang w:val="zh-CN" w:eastAsia="zh-CN" w:bidi="ar-SA"/>
        </w:rPr>
        <w:t>；</w:t>
      </w:r>
      <w:r>
        <w:rPr>
          <w:rFonts w:hint="eastAsia" w:ascii="仿宋_GB2312" w:hAnsi="宋体" w:eastAsia="仿宋_GB2312" w:cs="宋体"/>
          <w:color w:val="auto"/>
          <w:kern w:val="0"/>
          <w:sz w:val="32"/>
          <w:szCs w:val="32"/>
          <w:highlight w:val="none"/>
          <w:shd w:val="clear" w:color="auto" w:fill="FFFFFF"/>
          <w:lang w:val="zh-CN" w:eastAsia="zh-CN" w:bidi="ar-SA"/>
        </w:rPr>
        <w:t>推进社会保障、社会福利事业和养老保险工作</w:t>
      </w:r>
      <w:r>
        <w:rPr>
          <w:rFonts w:hint="eastAsia" w:hAnsi="宋体" w:cs="宋体"/>
          <w:color w:val="auto"/>
          <w:kern w:val="0"/>
          <w:sz w:val="32"/>
          <w:szCs w:val="32"/>
          <w:highlight w:val="none"/>
          <w:shd w:val="clear" w:color="auto" w:fill="FFFFFF"/>
          <w:lang w:val="zh-CN" w:eastAsia="zh-CN" w:bidi="ar-SA"/>
        </w:rPr>
        <w:t>；</w:t>
      </w:r>
      <w:r>
        <w:rPr>
          <w:rFonts w:hint="eastAsia" w:ascii="仿宋_GB2312" w:hAnsi="宋体" w:eastAsia="仿宋_GB2312" w:cs="宋体"/>
          <w:color w:val="auto"/>
          <w:kern w:val="0"/>
          <w:sz w:val="32"/>
          <w:szCs w:val="32"/>
          <w:highlight w:val="none"/>
          <w:shd w:val="clear" w:color="auto" w:fill="FFFFFF"/>
          <w:lang w:val="zh-CN" w:eastAsia="zh-CN" w:bidi="ar-SA"/>
        </w:rPr>
        <w:t>做好劳动管理、科普、老龄及宗教、侨务等工作。 </w:t>
      </w:r>
    </w:p>
    <w:p>
      <w:pPr>
        <w:pStyle w:val="2"/>
        <w:ind w:firstLine="640" w:firstLineChars="200"/>
        <w:rPr>
          <w:rFonts w:hint="eastAsia" w:ascii="仿宋_GB2312" w:hAnsi="宋体" w:eastAsia="仿宋_GB2312" w:cs="宋体"/>
          <w:color w:val="auto"/>
          <w:kern w:val="0"/>
          <w:sz w:val="32"/>
          <w:szCs w:val="32"/>
          <w:highlight w:val="none"/>
          <w:shd w:val="clear" w:color="auto" w:fill="FFFFFF"/>
          <w:lang w:val="zh-CN" w:eastAsia="zh-CN" w:bidi="ar-SA"/>
        </w:rPr>
      </w:pPr>
      <w:r>
        <w:rPr>
          <w:rFonts w:hint="eastAsia" w:ascii="仿宋_GB2312" w:hAnsi="宋体" w:eastAsia="仿宋_GB2312" w:cs="宋体"/>
          <w:color w:val="auto"/>
          <w:kern w:val="0"/>
          <w:sz w:val="32"/>
          <w:szCs w:val="32"/>
          <w:highlight w:val="none"/>
          <w:shd w:val="clear" w:color="auto" w:fill="FFFFFF"/>
          <w:lang w:val="zh-CN" w:eastAsia="zh-CN" w:bidi="ar-SA"/>
        </w:rPr>
        <w:t xml:space="preserve"> 7、加强镇级财政的监督和管理，按计划组织、管理镇财政收入和支出，执行国家有关财经纪律和政策，保证国家财政收入的完成</w:t>
      </w:r>
      <w:r>
        <w:rPr>
          <w:rFonts w:hint="eastAsia" w:hAnsi="宋体" w:cs="宋体"/>
          <w:color w:val="auto"/>
          <w:kern w:val="0"/>
          <w:sz w:val="32"/>
          <w:szCs w:val="32"/>
          <w:highlight w:val="none"/>
          <w:shd w:val="clear" w:color="auto" w:fill="FFFFFF"/>
          <w:lang w:val="zh-CN" w:eastAsia="zh-CN" w:bidi="ar-SA"/>
        </w:rPr>
        <w:t>；</w:t>
      </w:r>
      <w:r>
        <w:rPr>
          <w:rFonts w:hint="eastAsia" w:ascii="仿宋_GB2312" w:hAnsi="宋体" w:eastAsia="仿宋_GB2312" w:cs="宋体"/>
          <w:color w:val="auto"/>
          <w:kern w:val="0"/>
          <w:sz w:val="32"/>
          <w:szCs w:val="32"/>
          <w:highlight w:val="none"/>
          <w:shd w:val="clear" w:color="auto" w:fill="FFFFFF"/>
          <w:lang w:val="zh-CN" w:eastAsia="zh-CN" w:bidi="ar-SA"/>
        </w:rPr>
        <w:t>做好统计工作。 </w:t>
      </w:r>
    </w:p>
    <w:p>
      <w:pPr>
        <w:pStyle w:val="2"/>
        <w:ind w:firstLine="640" w:firstLineChars="200"/>
        <w:rPr>
          <w:rFonts w:hint="eastAsia" w:ascii="仿宋_GB2312" w:hAnsi="宋体" w:eastAsia="仿宋_GB2312" w:cs="宋体"/>
          <w:color w:val="auto"/>
          <w:kern w:val="0"/>
          <w:sz w:val="32"/>
          <w:szCs w:val="32"/>
          <w:highlight w:val="none"/>
          <w:shd w:val="clear" w:color="auto" w:fill="FFFFFF"/>
          <w:lang w:val="zh-CN" w:eastAsia="zh-CN" w:bidi="ar-SA"/>
        </w:rPr>
      </w:pPr>
      <w:r>
        <w:rPr>
          <w:rFonts w:hint="eastAsia" w:ascii="仿宋_GB2312" w:hAnsi="宋体" w:eastAsia="仿宋_GB2312" w:cs="宋体"/>
          <w:color w:val="auto"/>
          <w:kern w:val="0"/>
          <w:sz w:val="32"/>
          <w:szCs w:val="32"/>
          <w:highlight w:val="none"/>
          <w:shd w:val="clear" w:color="auto" w:fill="FFFFFF"/>
          <w:lang w:val="zh-CN" w:eastAsia="zh-CN" w:bidi="ar-SA"/>
        </w:rPr>
        <w:t xml:space="preserve"> 8、指导、支持、帮助村</w:t>
      </w:r>
      <w:r>
        <w:rPr>
          <w:rFonts w:hint="eastAsia" w:hAnsi="宋体" w:cs="宋体"/>
          <w:color w:val="auto"/>
          <w:kern w:val="0"/>
          <w:sz w:val="32"/>
          <w:szCs w:val="32"/>
          <w:highlight w:val="none"/>
          <w:shd w:val="clear" w:color="auto" w:fill="FFFFFF"/>
          <w:lang w:val="zh-CN" w:eastAsia="zh-CN" w:bidi="ar-SA"/>
        </w:rPr>
        <w:t>（</w:t>
      </w:r>
      <w:r>
        <w:rPr>
          <w:rFonts w:hint="eastAsia" w:ascii="仿宋_GB2312" w:hAnsi="宋体" w:eastAsia="仿宋_GB2312" w:cs="宋体"/>
          <w:color w:val="auto"/>
          <w:kern w:val="0"/>
          <w:sz w:val="32"/>
          <w:szCs w:val="32"/>
          <w:highlight w:val="none"/>
          <w:shd w:val="clear" w:color="auto" w:fill="FFFFFF"/>
          <w:lang w:val="zh-CN" w:eastAsia="zh-CN" w:bidi="ar-SA"/>
        </w:rPr>
        <w:t>居</w:t>
      </w:r>
      <w:r>
        <w:rPr>
          <w:rFonts w:hint="eastAsia" w:hAnsi="宋体" w:cs="宋体"/>
          <w:color w:val="auto"/>
          <w:kern w:val="0"/>
          <w:sz w:val="32"/>
          <w:szCs w:val="32"/>
          <w:highlight w:val="none"/>
          <w:shd w:val="clear" w:color="auto" w:fill="FFFFFF"/>
          <w:lang w:val="zh-CN" w:eastAsia="zh-CN" w:bidi="ar-SA"/>
        </w:rPr>
        <w:t>）</w:t>
      </w:r>
      <w:r>
        <w:rPr>
          <w:rFonts w:hint="eastAsia" w:ascii="仿宋_GB2312" w:hAnsi="宋体" w:eastAsia="仿宋_GB2312" w:cs="宋体"/>
          <w:color w:val="auto"/>
          <w:kern w:val="0"/>
          <w:sz w:val="32"/>
          <w:szCs w:val="32"/>
          <w:highlight w:val="none"/>
          <w:shd w:val="clear" w:color="auto" w:fill="FFFFFF"/>
          <w:lang w:val="zh-CN" w:eastAsia="zh-CN" w:bidi="ar-SA"/>
        </w:rPr>
        <w:t>民委员会的组织制度建设和业务建设，促进村</w:t>
      </w:r>
      <w:r>
        <w:rPr>
          <w:rFonts w:hint="eastAsia" w:hAnsi="宋体" w:cs="宋体"/>
          <w:color w:val="auto"/>
          <w:kern w:val="0"/>
          <w:sz w:val="32"/>
          <w:szCs w:val="32"/>
          <w:highlight w:val="none"/>
          <w:shd w:val="clear" w:color="auto" w:fill="FFFFFF"/>
          <w:lang w:val="zh-CN" w:eastAsia="zh-CN" w:bidi="ar-SA"/>
        </w:rPr>
        <w:t>（</w:t>
      </w:r>
      <w:r>
        <w:rPr>
          <w:rFonts w:hint="eastAsia" w:ascii="仿宋_GB2312" w:hAnsi="宋体" w:eastAsia="仿宋_GB2312" w:cs="宋体"/>
          <w:color w:val="auto"/>
          <w:kern w:val="0"/>
          <w:sz w:val="32"/>
          <w:szCs w:val="32"/>
          <w:highlight w:val="none"/>
          <w:shd w:val="clear" w:color="auto" w:fill="FFFFFF"/>
          <w:lang w:val="zh-CN" w:eastAsia="zh-CN" w:bidi="ar-SA"/>
        </w:rPr>
        <w:t>居</w:t>
      </w:r>
      <w:r>
        <w:rPr>
          <w:rFonts w:hint="eastAsia" w:hAnsi="宋体" w:cs="宋体"/>
          <w:color w:val="auto"/>
          <w:kern w:val="0"/>
          <w:sz w:val="32"/>
          <w:szCs w:val="32"/>
          <w:highlight w:val="none"/>
          <w:shd w:val="clear" w:color="auto" w:fill="FFFFFF"/>
          <w:lang w:val="zh-CN" w:eastAsia="zh-CN" w:bidi="ar-SA"/>
        </w:rPr>
        <w:t>）</w:t>
      </w:r>
      <w:r>
        <w:rPr>
          <w:rFonts w:hint="eastAsia" w:ascii="仿宋_GB2312" w:hAnsi="宋体" w:eastAsia="仿宋_GB2312" w:cs="宋体"/>
          <w:color w:val="auto"/>
          <w:kern w:val="0"/>
          <w:sz w:val="32"/>
          <w:szCs w:val="32"/>
          <w:highlight w:val="none"/>
          <w:shd w:val="clear" w:color="auto" w:fill="FFFFFF"/>
          <w:lang w:val="zh-CN" w:eastAsia="zh-CN" w:bidi="ar-SA"/>
        </w:rPr>
        <w:t>民委员会民主自治。 </w:t>
      </w:r>
    </w:p>
    <w:p>
      <w:pPr>
        <w:pStyle w:val="2"/>
        <w:ind w:firstLine="640" w:firstLineChars="200"/>
        <w:rPr>
          <w:rFonts w:hint="eastAsia" w:ascii="仿宋_GB2312" w:hAnsi="宋体" w:eastAsia="仿宋_GB2312" w:cs="宋体"/>
          <w:color w:val="auto"/>
          <w:kern w:val="0"/>
          <w:sz w:val="32"/>
          <w:szCs w:val="32"/>
          <w:highlight w:val="none"/>
          <w:shd w:val="clear" w:color="auto" w:fill="FFFFFF"/>
          <w:lang w:val="zh-CN" w:eastAsia="zh-CN" w:bidi="ar-SA"/>
        </w:rPr>
      </w:pPr>
      <w:r>
        <w:rPr>
          <w:rFonts w:hint="eastAsia" w:ascii="仿宋_GB2312" w:hAnsi="宋体" w:eastAsia="仿宋_GB2312" w:cs="宋体"/>
          <w:color w:val="auto"/>
          <w:kern w:val="0"/>
          <w:sz w:val="32"/>
          <w:szCs w:val="32"/>
          <w:highlight w:val="none"/>
          <w:shd w:val="clear" w:color="auto" w:fill="FFFFFF"/>
          <w:lang w:val="zh-CN" w:eastAsia="zh-CN" w:bidi="ar-SA"/>
        </w:rPr>
        <w:t xml:space="preserve"> 9、协助和支持设置在本行政区域内不隶属于镇的国家机关和企事业单位工作，监督其遵守和执行国家的法律、法规和政策。</w:t>
      </w:r>
    </w:p>
    <w:p>
      <w:pPr>
        <w:pStyle w:val="2"/>
        <w:ind w:firstLine="640" w:firstLineChars="200"/>
        <w:rPr>
          <w:rFonts w:hint="eastAsia" w:ascii="仿宋_GB2312" w:hAnsi="宋体" w:eastAsia="仿宋_GB2312" w:cs="宋体"/>
          <w:color w:val="auto"/>
          <w:kern w:val="0"/>
          <w:sz w:val="32"/>
          <w:szCs w:val="32"/>
          <w:highlight w:val="none"/>
          <w:shd w:val="clear" w:color="auto" w:fill="FFFFFF"/>
          <w:lang w:val="zh-CN" w:eastAsia="zh-CN" w:bidi="ar-SA"/>
        </w:rPr>
      </w:pPr>
      <w:r>
        <w:rPr>
          <w:rFonts w:hint="eastAsia" w:ascii="仿宋_GB2312" w:hAnsi="宋体" w:eastAsia="仿宋_GB2312" w:cs="宋体"/>
          <w:color w:val="auto"/>
          <w:kern w:val="0"/>
          <w:sz w:val="32"/>
          <w:szCs w:val="32"/>
          <w:highlight w:val="none"/>
          <w:shd w:val="clear" w:color="auto" w:fill="FFFFFF"/>
          <w:lang w:val="zh-CN" w:eastAsia="zh-CN" w:bidi="ar-SA"/>
        </w:rPr>
        <w:t>10、完成县委、县政府交办的其他工作。</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（三）人员概况</w:t>
      </w:r>
    </w:p>
    <w:p>
      <w:pPr>
        <w:pageBreakBefore w:val="0"/>
        <w:widowControl w:val="0"/>
        <w:kinsoku/>
        <w:wordWrap/>
        <w:overflowPunct/>
        <w:topLinePunct w:val="0"/>
        <w:autoSpaceDE/>
        <w:autoSpaceDN/>
        <w:bidi w:val="0"/>
        <w:spacing w:line="576" w:lineRule="exact"/>
        <w:ind w:firstLine="640" w:firstLineChars="200"/>
        <w:textAlignment w:val="auto"/>
        <w:rPr>
          <w:lang w:val="zh-CN"/>
        </w:rPr>
      </w:pPr>
      <w:r>
        <w:rPr>
          <w:rFonts w:hint="eastAsia" w:ascii="仿宋_GB2312" w:hAnsi="仿宋_GB2312" w:eastAsia="仿宋_GB2312" w:cs="仿宋_GB2312"/>
          <w:bCs/>
          <w:sz w:val="32"/>
          <w:szCs w:val="32"/>
          <w:highlight w:val="none"/>
          <w:lang w:eastAsia="zh-CN"/>
        </w:rPr>
        <w:t>一般公共预算财政拨款人数</w:t>
      </w:r>
      <w:r>
        <w:rPr>
          <w:rFonts w:hint="eastAsia" w:ascii="仿宋_GB2312" w:hAnsi="仿宋_GB2312" w:eastAsia="仿宋_GB2312" w:cs="仿宋_GB2312"/>
          <w:bCs/>
          <w:sz w:val="32"/>
          <w:szCs w:val="32"/>
          <w:highlight w:val="none"/>
          <w:lang w:val="en-US" w:eastAsia="zh-CN"/>
        </w:rPr>
        <w:t>154人，其中：行政人员26人、非参公事业人员128人。在职人员154人，其中：政府办公厅（室）及相关机构事务53个，教育支出81个，卫生健康支出20个。</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二、部门财政资金收支情况</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（一）部门财政资金收入情况</w:t>
      </w:r>
    </w:p>
    <w:p>
      <w:pPr>
        <w:pStyle w:val="2"/>
        <w:ind w:firstLine="640" w:firstLineChars="200"/>
        <w:rPr>
          <w:rFonts w:hint="default" w:eastAsia="仿宋_GB2312"/>
          <w:lang w:val="en-US" w:eastAsia="zh-CN"/>
        </w:rPr>
      </w:pPr>
      <w:r>
        <w:rPr>
          <w:rFonts w:hint="eastAsia" w:hAnsi="宋体" w:cs="宋体"/>
          <w:color w:val="auto"/>
          <w:kern w:val="0"/>
          <w:sz w:val="32"/>
          <w:szCs w:val="32"/>
          <w:highlight w:val="none"/>
          <w:shd w:val="clear" w:color="auto" w:fill="FFFFFF"/>
          <w:lang w:val="en-US" w:eastAsia="zh-CN"/>
        </w:rPr>
        <w:t>2021年部门财政资金收入3616.85万元，其中包括2020年项目支出结转和结余9.25万元。</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（二）部门财政资金支出情况</w:t>
      </w:r>
    </w:p>
    <w:p>
      <w:pPr>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sz w:val="32"/>
          <w:szCs w:val="32"/>
          <w:lang w:eastAsia="zh-CN"/>
        </w:rPr>
        <w:t>板桥口</w:t>
      </w:r>
      <w:r>
        <w:rPr>
          <w:rFonts w:hint="eastAsia" w:ascii="仿宋_GB2312" w:hAnsi="仿宋_GB2312" w:eastAsia="仿宋_GB2312" w:cs="仿宋_GB2312"/>
          <w:bCs/>
          <w:sz w:val="32"/>
          <w:szCs w:val="32"/>
        </w:rPr>
        <w:t>镇20</w:t>
      </w:r>
      <w:r>
        <w:rPr>
          <w:rFonts w:hint="eastAsia" w:ascii="仿宋_GB2312" w:hAnsi="仿宋_GB2312" w:eastAsia="仿宋_GB2312" w:cs="仿宋_GB2312"/>
          <w:bCs/>
          <w:sz w:val="32"/>
          <w:szCs w:val="32"/>
          <w:lang w:val="en-US" w:eastAsia="zh-CN"/>
        </w:rPr>
        <w:t>21</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eastAsia="zh-CN"/>
        </w:rPr>
        <w:t>部门财政资金</w:t>
      </w:r>
      <w:r>
        <w:rPr>
          <w:rFonts w:hint="eastAsia" w:ascii="仿宋_GB2312" w:hAnsi="仿宋_GB2312" w:eastAsia="仿宋_GB2312" w:cs="仿宋_GB2312"/>
          <w:bCs/>
          <w:sz w:val="32"/>
          <w:szCs w:val="32"/>
          <w:lang w:val="en-US" w:eastAsia="zh-CN"/>
        </w:rPr>
        <w:t>3616.85</w:t>
      </w:r>
      <w:r>
        <w:rPr>
          <w:rFonts w:hint="eastAsia" w:ascii="仿宋_GB2312" w:hAnsi="仿宋_GB2312" w:eastAsia="仿宋_GB2312" w:cs="仿宋_GB2312"/>
          <w:sz w:val="32"/>
          <w:szCs w:val="32"/>
        </w:rPr>
        <w:t>万</w:t>
      </w:r>
      <w:r>
        <w:rPr>
          <w:rFonts w:hint="eastAsia" w:ascii="仿宋_GB2312" w:hAnsi="仿宋_GB2312" w:eastAsia="仿宋_GB2312" w:cs="仿宋_GB2312"/>
          <w:bCs/>
          <w:sz w:val="32"/>
          <w:szCs w:val="32"/>
        </w:rPr>
        <w:t>元全额支出到位，没有结余。其中：</w:t>
      </w:r>
      <w:r>
        <w:rPr>
          <w:rFonts w:hint="eastAsia" w:ascii="仿宋_GB2312" w:hAnsi="仿宋_GB2312" w:eastAsia="仿宋_GB2312" w:cs="仿宋_GB2312"/>
          <w:bCs/>
          <w:sz w:val="32"/>
          <w:szCs w:val="32"/>
          <w:lang w:eastAsia="zh-CN"/>
        </w:rPr>
        <w:t>一般公共服务项目支出</w:t>
      </w:r>
      <w:r>
        <w:rPr>
          <w:rFonts w:hint="eastAsia" w:ascii="仿宋_GB2312" w:hAnsi="仿宋_GB2312" w:eastAsia="仿宋_GB2312" w:cs="仿宋_GB2312"/>
          <w:bCs/>
          <w:sz w:val="32"/>
          <w:szCs w:val="32"/>
          <w:lang w:val="en-US" w:eastAsia="zh-CN"/>
        </w:rPr>
        <w:t>534.38万元；教育支出1059.14万元；</w:t>
      </w:r>
      <w:r>
        <w:rPr>
          <w:rFonts w:hint="eastAsia" w:ascii="仿宋_GB2312" w:hAnsi="仿宋_GB2312" w:eastAsia="仿宋_GB2312" w:cs="仿宋_GB2312"/>
          <w:bCs/>
          <w:color w:val="auto"/>
          <w:sz w:val="32"/>
          <w:szCs w:val="32"/>
          <w:lang w:eastAsia="zh-CN"/>
        </w:rPr>
        <w:t>文化体育与传媒项目支出</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万元</w:t>
      </w:r>
      <w:r>
        <w:rPr>
          <w:rFonts w:hint="eastAsia" w:ascii="仿宋_GB2312" w:hAnsi="仿宋_GB2312" w:eastAsia="仿宋_GB2312" w:cs="仿宋_GB2312"/>
          <w:bCs/>
          <w:color w:val="auto"/>
          <w:sz w:val="32"/>
          <w:szCs w:val="32"/>
          <w:lang w:eastAsia="zh-CN"/>
        </w:rPr>
        <w:t>；社会保障和就业支出</w:t>
      </w:r>
      <w:r>
        <w:rPr>
          <w:rFonts w:hint="eastAsia" w:ascii="仿宋_GB2312" w:hAnsi="仿宋_GB2312" w:eastAsia="仿宋_GB2312" w:cs="仿宋_GB2312"/>
          <w:bCs/>
          <w:color w:val="auto"/>
          <w:sz w:val="32"/>
          <w:szCs w:val="32"/>
          <w:lang w:val="en-US" w:eastAsia="zh-CN"/>
        </w:rPr>
        <w:t>198.27万元；</w:t>
      </w:r>
      <w:r>
        <w:rPr>
          <w:rFonts w:hint="eastAsia" w:ascii="仿宋_GB2312" w:hAnsi="仿宋_GB2312" w:eastAsia="仿宋_GB2312" w:cs="仿宋_GB2312"/>
          <w:bCs/>
          <w:color w:val="auto"/>
          <w:sz w:val="32"/>
          <w:szCs w:val="32"/>
          <w:highlight w:val="none"/>
          <w:lang w:val="en-US" w:eastAsia="zh-CN"/>
        </w:rPr>
        <w:t>卫生健康项目支出445.32万元；农林水项目支出1078.9</w:t>
      </w:r>
      <w:r>
        <w:rPr>
          <w:rFonts w:hint="eastAsia" w:ascii="仿宋_GB2312" w:hAnsi="仿宋_GB2312" w:eastAsia="仿宋_GB2312" w:cs="仿宋_GB2312"/>
          <w:bCs/>
          <w:color w:val="auto"/>
          <w:sz w:val="32"/>
          <w:szCs w:val="32"/>
          <w:lang w:val="en-US" w:eastAsia="zh-CN"/>
        </w:rPr>
        <w:t>万元；住房保障支出296.84万元。</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（三）组织实施情况</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eastAsia="zh-CN"/>
        </w:rPr>
        <w:t>为将有限的资金发挥最大作用，在严格执行县委、县政府下发的有关财务制度的情况下，我镇出台了一系列的资金管理制度和措施，例如：严格出差管理、办公费用管理、政府采购管理，完善接待制度，坚持财务会审制度和单位财务公开制度。</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三、</w:t>
      </w:r>
      <w:r>
        <w:rPr>
          <w:rFonts w:hint="eastAsia" w:ascii="黑体" w:hAnsi="宋体" w:eastAsia="黑体" w:cs="宋体"/>
          <w:color w:val="auto"/>
          <w:kern w:val="0"/>
          <w:sz w:val="32"/>
          <w:szCs w:val="32"/>
          <w:highlight w:val="none"/>
          <w:u w:val="none"/>
          <w:shd w:val="clear" w:color="auto" w:fill="FFFFFF"/>
        </w:rPr>
        <w:t>部门整体预算绩效管理情况</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（一）部门预算项目绩效管理。</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2021年全年，辖区各单位保障单位职工的工资福利支出，做到足额及时发放；工资福利、运转、民生保障率达到100%；辖区单位严格控制“三公”经费，推行节能环保措施，改善场镇生活环境；合力打造雷竹、金银花等特色产业，多举措提升基层群众对政府工作的满意度。</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（二）结果应用情况。</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2021年政府整体财政支出严格执行相关规定，及时考核目标任务执行进度情况，促使目标进度及时完成。一是保障了工资福利的足额兑现，严格控制“三公”经费，压缩公业务经费；二是宣传落实好惠民政策，严格“一卡通”管理制度，涉农惠民资金兑现率100%；三是搞好脱贫攻坚工作，脱贫攻坚项目资金按项目进度划拨率100%；四是积极推动城市经济建设发展，提高城市文化生活水平，按质按量完成好政府各项工作任务。</w:t>
      </w:r>
      <w:bookmarkStart w:id="73" w:name="_GoBack"/>
      <w:bookmarkEnd w:id="73"/>
    </w:p>
    <w:p>
      <w:pPr>
        <w:widowControl/>
        <w:numPr>
          <w:ilvl w:val="0"/>
          <w:numId w:val="5"/>
        </w:numPr>
        <w:adjustRightInd w:val="0"/>
        <w:snapToGrid w:val="0"/>
        <w:spacing w:line="580" w:lineRule="exact"/>
        <w:ind w:firstLine="640" w:firstLineChars="200"/>
        <w:contextualSpacing/>
        <w:jc w:val="left"/>
        <w:rPr>
          <w:rFonts w:hint="eastAsia" w:ascii="仿宋_GB2312" w:hAnsi="宋体" w:eastAsia="仿宋_GB2312" w:cs="宋体"/>
          <w:color w:val="auto"/>
          <w:kern w:val="0"/>
          <w:sz w:val="32"/>
          <w:szCs w:val="32"/>
          <w:highlight w:val="none"/>
          <w:u w:val="none"/>
          <w:shd w:val="clear" w:color="auto" w:fill="FFFFFF"/>
          <w:lang w:val="zh-CN"/>
        </w:rPr>
      </w:pPr>
      <w:r>
        <w:rPr>
          <w:rFonts w:hint="eastAsia" w:ascii="仿宋_GB2312" w:hAnsi="宋体" w:eastAsia="仿宋_GB2312" w:cs="宋体"/>
          <w:color w:val="auto"/>
          <w:kern w:val="0"/>
          <w:sz w:val="32"/>
          <w:szCs w:val="32"/>
          <w:highlight w:val="none"/>
          <w:u w:val="none"/>
          <w:shd w:val="clear" w:color="auto" w:fill="FFFFFF"/>
          <w:lang w:val="zh-CN"/>
        </w:rPr>
        <w:t>自评质量</w:t>
      </w:r>
    </w:p>
    <w:p>
      <w:pPr>
        <w:keepNext w:val="0"/>
        <w:keepLines w:val="0"/>
        <w:pageBreakBefore w:val="0"/>
        <w:widowControl/>
        <w:numPr>
          <w:ilvl w:val="0"/>
          <w:numId w:val="0"/>
        </w:numPr>
        <w:kinsoku/>
        <w:wordWrap/>
        <w:overflowPunct/>
        <w:topLinePunct w:val="0"/>
        <w:autoSpaceDE/>
        <w:autoSpaceDN/>
        <w:bidi w:val="0"/>
        <w:adjustRightInd w:val="0"/>
        <w:snapToGrid w:val="0"/>
        <w:spacing w:line="576" w:lineRule="exact"/>
        <w:contextualSpacing/>
        <w:jc w:val="left"/>
        <w:textAlignment w:val="auto"/>
        <w:rPr>
          <w:rFonts w:hint="eastAsia" w:ascii="仿宋_GB2312" w:hAnsi="宋体" w:eastAsia="仿宋_GB2312" w:cs="宋体"/>
          <w:color w:val="auto"/>
          <w:kern w:val="0"/>
          <w:sz w:val="32"/>
          <w:szCs w:val="32"/>
          <w:highlight w:val="none"/>
          <w:shd w:val="clear" w:color="auto" w:fill="FFFFFF"/>
          <w:lang w:val="en-US" w:eastAsia="zh-CN"/>
        </w:rPr>
      </w:pPr>
      <w:r>
        <w:rPr>
          <w:rFonts w:hint="eastAsia" w:ascii="仿宋_GB2312" w:hAnsi="宋体" w:eastAsia="仿宋_GB2312" w:cs="宋体"/>
          <w:color w:val="auto"/>
          <w:kern w:val="0"/>
          <w:sz w:val="32"/>
          <w:szCs w:val="32"/>
          <w:highlight w:val="none"/>
          <w:shd w:val="clear" w:color="auto" w:fill="FFFFFF"/>
          <w:lang w:val="en-US" w:eastAsia="zh-CN"/>
        </w:rPr>
        <w:t xml:space="preserve">    2021年政府整体财政支出始终是按年初有预算，年终有决算，按年初预算逐步推进实施，各项工作都有序高效完成，2021年政府各项财政工作都得到了各级部门的高度认可，政府整体财政支出绩效目标考核目标质量指标完成较好。</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四、评价结论及建议</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（一）评价结论</w:t>
      </w:r>
    </w:p>
    <w:p>
      <w:pPr>
        <w:pStyle w:val="2"/>
        <w:ind w:firstLine="640" w:firstLineChars="200"/>
        <w:rPr>
          <w:rFonts w:hint="eastAsia" w:ascii="仿宋_GB2312" w:hAnsi="宋体" w:eastAsia="仿宋_GB2312" w:cs="宋体"/>
          <w:color w:val="auto"/>
          <w:kern w:val="0"/>
          <w:sz w:val="32"/>
          <w:szCs w:val="32"/>
          <w:highlight w:val="none"/>
          <w:shd w:val="clear" w:color="auto" w:fill="FFFFFF"/>
          <w:lang w:val="zh-CN" w:eastAsia="zh-CN" w:bidi="ar-SA"/>
        </w:rPr>
      </w:pPr>
      <w:r>
        <w:rPr>
          <w:rFonts w:hint="eastAsia" w:ascii="仿宋_GB2312" w:hAnsi="宋体" w:eastAsia="仿宋_GB2312" w:cs="宋体"/>
          <w:color w:val="auto"/>
          <w:kern w:val="0"/>
          <w:sz w:val="32"/>
          <w:szCs w:val="32"/>
          <w:highlight w:val="none"/>
          <w:shd w:val="clear" w:color="auto" w:fill="FFFFFF"/>
          <w:lang w:val="zh-CN" w:eastAsia="zh-CN" w:bidi="ar-SA"/>
        </w:rPr>
        <w:t>政府各级部门认真履职履责，为了完成各项工作任务，不断创新学习，加强为民服务意识，改进工作作风；全镇完成了财政收支目标任务，保工资、保政府运转、保民生工程；确保了预算资金全方位、全过程、全覆盖绩效管理。总之</w:t>
      </w:r>
      <w:r>
        <w:rPr>
          <w:rFonts w:hint="eastAsia" w:hAnsi="宋体" w:cs="宋体"/>
          <w:color w:val="auto"/>
          <w:kern w:val="0"/>
          <w:sz w:val="32"/>
          <w:szCs w:val="32"/>
          <w:highlight w:val="none"/>
          <w:shd w:val="clear" w:color="auto" w:fill="FFFFFF"/>
          <w:lang w:val="zh-CN" w:eastAsia="zh-CN" w:bidi="ar-SA"/>
        </w:rPr>
        <w:t>，</w:t>
      </w:r>
      <w:r>
        <w:rPr>
          <w:rFonts w:hint="eastAsia" w:ascii="仿宋_GB2312" w:hAnsi="宋体" w:eastAsia="仿宋_GB2312" w:cs="宋体"/>
          <w:color w:val="auto"/>
          <w:kern w:val="0"/>
          <w:sz w:val="32"/>
          <w:szCs w:val="32"/>
          <w:highlight w:val="none"/>
          <w:shd w:val="clear" w:color="auto" w:fill="FFFFFF"/>
          <w:lang w:val="zh-CN" w:eastAsia="zh-CN" w:bidi="ar-SA"/>
        </w:rPr>
        <w:t>2021年政府整体财政支出绩效目标考核指标不论是经济效益、社会效益、经济持续发展效益都持续稳步增长。</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（二）存在问题</w:t>
      </w:r>
    </w:p>
    <w:p>
      <w:pPr>
        <w:pStyle w:val="2"/>
        <w:ind w:firstLine="640" w:firstLineChars="200"/>
        <w:rPr>
          <w:rFonts w:hint="eastAsia" w:ascii="仿宋_GB2312" w:hAnsi="宋体" w:eastAsia="仿宋_GB2312" w:cs="宋体"/>
          <w:color w:val="auto"/>
          <w:kern w:val="0"/>
          <w:sz w:val="32"/>
          <w:szCs w:val="32"/>
          <w:highlight w:val="none"/>
          <w:shd w:val="clear" w:color="auto" w:fill="FFFFFF"/>
          <w:lang w:val="zh-CN" w:eastAsia="zh-CN" w:bidi="ar-SA"/>
        </w:rPr>
      </w:pPr>
      <w:r>
        <w:rPr>
          <w:rFonts w:hint="eastAsia" w:ascii="仿宋_GB2312" w:hAnsi="宋体" w:eastAsia="仿宋_GB2312" w:cs="宋体"/>
          <w:color w:val="auto"/>
          <w:kern w:val="0"/>
          <w:sz w:val="32"/>
          <w:szCs w:val="32"/>
          <w:highlight w:val="none"/>
          <w:shd w:val="clear" w:color="auto" w:fill="FFFFFF"/>
          <w:lang w:val="zh-CN" w:eastAsia="zh-CN" w:bidi="ar-SA"/>
        </w:rPr>
        <w:t>1.项目预算的准确性还不够高，如环境综合治理长效管理经费年初按照分类固定标准进行预算，实际使用中存在较大缺口，支出责任与资金预算不成正比。</w:t>
      </w:r>
    </w:p>
    <w:p>
      <w:pPr>
        <w:pStyle w:val="2"/>
        <w:ind w:firstLine="640" w:firstLineChars="200"/>
        <w:rPr>
          <w:rFonts w:hint="eastAsia" w:ascii="仿宋_GB2312" w:hAnsi="宋体" w:eastAsia="仿宋_GB2312" w:cs="宋体"/>
          <w:color w:val="auto"/>
          <w:kern w:val="0"/>
          <w:sz w:val="32"/>
          <w:szCs w:val="32"/>
          <w:highlight w:val="none"/>
          <w:shd w:val="clear" w:color="auto" w:fill="FFFFFF"/>
          <w:lang w:val="zh-CN" w:eastAsia="zh-CN" w:bidi="ar-SA"/>
        </w:rPr>
      </w:pPr>
      <w:r>
        <w:rPr>
          <w:rFonts w:hint="eastAsia" w:ascii="仿宋_GB2312" w:hAnsi="宋体" w:eastAsia="仿宋_GB2312" w:cs="宋体"/>
          <w:color w:val="auto"/>
          <w:kern w:val="0"/>
          <w:sz w:val="32"/>
          <w:szCs w:val="32"/>
          <w:highlight w:val="none"/>
          <w:shd w:val="clear" w:color="auto" w:fill="FFFFFF"/>
          <w:lang w:val="zh-CN" w:eastAsia="zh-CN" w:bidi="ar-SA"/>
        </w:rPr>
        <w:t>2.项目管理不到位。如惠民惠农政策由于收集的基础资料和信息不完整、不准确，导致对部分受益人的补贴多次直发失败。</w:t>
      </w:r>
    </w:p>
    <w:p>
      <w:pPr>
        <w:pStyle w:val="2"/>
        <w:ind w:firstLine="640" w:firstLineChars="200"/>
        <w:rPr>
          <w:rFonts w:hint="eastAsia" w:ascii="仿宋_GB2312" w:hAnsi="宋体" w:eastAsia="仿宋_GB2312" w:cs="宋体"/>
          <w:color w:val="auto"/>
          <w:kern w:val="0"/>
          <w:sz w:val="32"/>
          <w:szCs w:val="32"/>
          <w:highlight w:val="none"/>
          <w:shd w:val="clear" w:color="auto" w:fill="FFFFFF"/>
          <w:lang w:val="zh-CN" w:eastAsia="zh-CN" w:bidi="ar-SA"/>
        </w:rPr>
      </w:pPr>
      <w:r>
        <w:rPr>
          <w:rFonts w:hint="eastAsia" w:ascii="仿宋_GB2312" w:hAnsi="宋体" w:eastAsia="仿宋_GB2312" w:cs="宋体"/>
          <w:color w:val="auto"/>
          <w:kern w:val="0"/>
          <w:sz w:val="32"/>
          <w:szCs w:val="32"/>
          <w:highlight w:val="none"/>
          <w:shd w:val="clear" w:color="auto" w:fill="FFFFFF"/>
          <w:lang w:val="zh-CN" w:eastAsia="zh-CN" w:bidi="ar-SA"/>
        </w:rPr>
        <w:t>3.项目实施进度偏慢、固定资产合账未及时与账面资产金额对账，</w:t>
      </w:r>
      <w:r>
        <w:rPr>
          <w:rFonts w:hint="eastAsia" w:hAnsi="宋体" w:cs="宋体"/>
          <w:color w:val="auto"/>
          <w:kern w:val="0"/>
          <w:sz w:val="32"/>
          <w:szCs w:val="32"/>
          <w:highlight w:val="none"/>
          <w:shd w:val="clear" w:color="auto" w:fill="FFFFFF"/>
          <w:lang w:val="zh-CN" w:eastAsia="zh-CN" w:bidi="ar-SA"/>
        </w:rPr>
        <w:t>未</w:t>
      </w:r>
      <w:r>
        <w:rPr>
          <w:rFonts w:hint="eastAsia" w:ascii="仿宋_GB2312" w:hAnsi="宋体" w:eastAsia="仿宋_GB2312" w:cs="宋体"/>
          <w:color w:val="auto"/>
          <w:kern w:val="0"/>
          <w:sz w:val="32"/>
          <w:szCs w:val="32"/>
          <w:highlight w:val="none"/>
          <w:shd w:val="clear" w:color="auto" w:fill="FFFFFF"/>
          <w:lang w:val="zh-CN" w:eastAsia="zh-CN" w:bidi="ar-SA"/>
        </w:rPr>
        <w:t>与实物进行清点，导致年</w:t>
      </w:r>
      <w:r>
        <w:rPr>
          <w:rFonts w:hint="eastAsia" w:hAnsi="宋体" w:cs="宋体"/>
          <w:color w:val="auto"/>
          <w:kern w:val="0"/>
          <w:sz w:val="32"/>
          <w:szCs w:val="32"/>
          <w:highlight w:val="none"/>
          <w:shd w:val="clear" w:color="auto" w:fill="FFFFFF"/>
          <w:lang w:val="zh-CN" w:eastAsia="zh-CN" w:bidi="ar-SA"/>
        </w:rPr>
        <w:t>末</w:t>
      </w:r>
      <w:r>
        <w:rPr>
          <w:rFonts w:hint="eastAsia" w:ascii="仿宋_GB2312" w:hAnsi="宋体" w:eastAsia="仿宋_GB2312" w:cs="宋体"/>
          <w:color w:val="auto"/>
          <w:kern w:val="0"/>
          <w:sz w:val="32"/>
          <w:szCs w:val="32"/>
          <w:highlight w:val="none"/>
          <w:shd w:val="clear" w:color="auto" w:fill="FFFFFF"/>
          <w:lang w:val="zh-CN" w:eastAsia="zh-CN" w:bidi="ar-SA"/>
        </w:rPr>
        <w:t>资产合账与账面资产金额存在差异，固定资产管理有待加强。</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（三）改进建议</w:t>
      </w:r>
    </w:p>
    <w:p>
      <w:pPr>
        <w:pStyle w:val="2"/>
        <w:ind w:firstLine="640" w:firstLineChars="200"/>
        <w:rPr>
          <w:rFonts w:hint="eastAsia" w:ascii="仿宋_GB2312" w:hAnsi="宋体" w:eastAsia="仿宋_GB2312" w:cs="宋体"/>
          <w:color w:val="auto"/>
          <w:kern w:val="0"/>
          <w:sz w:val="32"/>
          <w:szCs w:val="32"/>
          <w:highlight w:val="none"/>
          <w:shd w:val="clear" w:color="auto" w:fill="FFFFFF"/>
          <w:lang w:val="zh-CN" w:eastAsia="zh-CN" w:bidi="ar-SA"/>
        </w:rPr>
      </w:pPr>
      <w:r>
        <w:rPr>
          <w:rFonts w:hint="eastAsia" w:ascii="仿宋_GB2312" w:hAnsi="宋体" w:eastAsia="仿宋_GB2312" w:cs="宋体"/>
          <w:color w:val="auto"/>
          <w:kern w:val="0"/>
          <w:sz w:val="32"/>
          <w:szCs w:val="32"/>
          <w:highlight w:val="none"/>
          <w:shd w:val="clear" w:color="auto" w:fill="FFFFFF"/>
          <w:lang w:val="zh-CN" w:eastAsia="zh-CN" w:bidi="ar-SA"/>
        </w:rPr>
        <w:t>1、强化绩效理念，深入推进评价工作。将“要我评价”的被动认识转化为“我要评价”的主动实践，把财政绩效评价作为转变政府职能、深化财政改革、促进科学理财的重要工作来抓，健全完善制度办法，切实加强组织领导，深入推进评价工作，提升整体绩效管理水平。</w:t>
      </w:r>
    </w:p>
    <w:p>
      <w:pPr>
        <w:pStyle w:val="2"/>
        <w:ind w:firstLine="640" w:firstLineChars="200"/>
        <w:rPr>
          <w:rFonts w:hint="eastAsia" w:ascii="仿宋_GB2312" w:hAnsi="宋体" w:eastAsia="仿宋_GB2312" w:cs="宋体"/>
          <w:color w:val="auto"/>
          <w:kern w:val="0"/>
          <w:sz w:val="32"/>
          <w:szCs w:val="32"/>
          <w:highlight w:val="none"/>
          <w:shd w:val="clear" w:color="auto" w:fill="FFFFFF"/>
          <w:lang w:val="zh-CN" w:eastAsia="zh-CN" w:bidi="ar-SA"/>
        </w:rPr>
      </w:pPr>
      <w:r>
        <w:rPr>
          <w:rFonts w:hint="eastAsia" w:ascii="仿宋_GB2312" w:hAnsi="宋体" w:eastAsia="仿宋_GB2312" w:cs="宋体"/>
          <w:color w:val="auto"/>
          <w:kern w:val="0"/>
          <w:sz w:val="32"/>
          <w:szCs w:val="32"/>
          <w:highlight w:val="none"/>
          <w:shd w:val="clear" w:color="auto" w:fill="FFFFFF"/>
          <w:lang w:val="zh-CN" w:eastAsia="zh-CN" w:bidi="ar-SA"/>
        </w:rPr>
        <w:t>2、强化事前准备，提升评价质量。落实预算执行分析，及时了解预算执行差异，及时预算调整，切实提高部门预算收支管理水平。</w:t>
      </w:r>
    </w:p>
    <w:p>
      <w:pPr>
        <w:pStyle w:val="2"/>
        <w:ind w:firstLine="640" w:firstLineChars="200"/>
        <w:rPr>
          <w:rFonts w:hint="eastAsia" w:ascii="仿宋_GB2312" w:hAnsi="宋体" w:eastAsia="仿宋_GB2312" w:cs="宋体"/>
          <w:color w:val="auto"/>
          <w:kern w:val="0"/>
          <w:sz w:val="32"/>
          <w:szCs w:val="32"/>
          <w:highlight w:val="none"/>
          <w:shd w:val="clear" w:color="auto" w:fill="FFFFFF"/>
          <w:lang w:val="zh-CN" w:eastAsia="zh-CN" w:bidi="ar-SA"/>
        </w:rPr>
      </w:pPr>
      <w:r>
        <w:rPr>
          <w:rFonts w:hint="eastAsia" w:ascii="仿宋_GB2312" w:hAnsi="宋体" w:eastAsia="仿宋_GB2312" w:cs="宋体"/>
          <w:color w:val="auto"/>
          <w:kern w:val="0"/>
          <w:sz w:val="32"/>
          <w:szCs w:val="32"/>
          <w:highlight w:val="none"/>
          <w:shd w:val="clear" w:color="auto" w:fill="FFFFFF"/>
          <w:lang w:val="zh-CN" w:eastAsia="zh-CN" w:bidi="ar-SA"/>
        </w:rPr>
        <w:t>3、强化结果应用，巩固评价成效。在进一步严格问题整改落实，加强评价结果与县级预算安排挂钩的工作力度的基础上，试点评价结果公开。由主管部门将部门自评报告向社会公开，接受公众监督。</w:t>
      </w: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spacing w:line="600" w:lineRule="exact"/>
        <w:jc w:val="center"/>
        <w:outlineLvl w:val="0"/>
        <w:rPr>
          <w:rFonts w:hint="eastAsia" w:ascii="仿宋" w:hAnsi="仿宋" w:eastAsia="仿宋"/>
          <w:b w:val="0"/>
          <w:color w:val="auto"/>
          <w:highlight w:val="none"/>
        </w:rPr>
      </w:pPr>
      <w:bookmarkStart w:id="59" w:name="_Toc15396618"/>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五部分 附表</w:t>
      </w:r>
      <w:bookmarkEnd w:id="57"/>
      <w:bookmarkEnd w:id="59"/>
      <w:bookmarkStart w:id="60" w:name="_Toc15396619"/>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25"/>
          <w:rFonts w:hint="eastAsia" w:ascii="仿宋" w:hAnsi="仿宋" w:eastAsia="仿宋"/>
          <w:b w:val="0"/>
          <w:bCs w:val="0"/>
          <w:color w:val="auto"/>
          <w:highlight w:val="none"/>
        </w:rPr>
        <w:t>入支出决算总表</w:t>
      </w:r>
      <w:bookmarkEnd w:id="60"/>
    </w:p>
    <w:p>
      <w:pPr>
        <w:pStyle w:val="4"/>
        <w:rPr>
          <w:rFonts w:ascii="仿宋" w:hAnsi="仿宋" w:eastAsia="仿宋"/>
          <w:color w:val="auto"/>
          <w:highlight w:val="none"/>
        </w:rPr>
      </w:pPr>
      <w:bookmarkStart w:id="61" w:name="_Toc15396620"/>
      <w:r>
        <w:rPr>
          <w:rFonts w:hint="eastAsia" w:ascii="仿宋" w:hAnsi="仿宋" w:eastAsia="仿宋"/>
          <w:b w:val="0"/>
          <w:color w:val="auto"/>
          <w:highlight w:val="none"/>
        </w:rPr>
        <w:t>二、收</w:t>
      </w:r>
      <w:r>
        <w:rPr>
          <w:rStyle w:val="25"/>
          <w:rFonts w:hint="eastAsia" w:ascii="仿宋" w:hAnsi="仿宋" w:eastAsia="仿宋"/>
          <w:b w:val="0"/>
          <w:bCs w:val="0"/>
          <w:color w:val="auto"/>
          <w:highlight w:val="none"/>
        </w:rPr>
        <w:t>入决算表</w:t>
      </w:r>
      <w:bookmarkEnd w:id="61"/>
    </w:p>
    <w:p>
      <w:pPr>
        <w:pStyle w:val="4"/>
        <w:rPr>
          <w:rFonts w:ascii="仿宋" w:hAnsi="仿宋" w:eastAsia="仿宋"/>
          <w:color w:val="auto"/>
          <w:highlight w:val="none"/>
        </w:rPr>
      </w:pPr>
      <w:bookmarkStart w:id="62" w:name="_Toc15396621"/>
      <w:r>
        <w:rPr>
          <w:rStyle w:val="25"/>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5"/>
          <w:rFonts w:hint="eastAsia" w:ascii="仿宋" w:hAnsi="仿宋" w:eastAsia="仿宋"/>
          <w:b w:val="0"/>
          <w:bCs w:val="0"/>
          <w:color w:val="auto"/>
          <w:highlight w:val="none"/>
        </w:rPr>
        <w:t>出决算表</w:t>
      </w:r>
      <w:bookmarkEnd w:id="62"/>
    </w:p>
    <w:p>
      <w:pPr>
        <w:pStyle w:val="4"/>
        <w:rPr>
          <w:rFonts w:ascii="仿宋" w:hAnsi="仿宋" w:eastAsia="仿宋"/>
          <w:b w:val="0"/>
          <w:color w:val="auto"/>
          <w:highlight w:val="none"/>
        </w:rPr>
      </w:pPr>
      <w:bookmarkStart w:id="63" w:name="_Toc15396622"/>
      <w:r>
        <w:rPr>
          <w:rStyle w:val="25"/>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政拨款收入支出决算总表</w:t>
      </w:r>
      <w:bookmarkEnd w:id="63"/>
    </w:p>
    <w:p>
      <w:pPr>
        <w:pStyle w:val="4"/>
        <w:rPr>
          <w:rStyle w:val="25"/>
          <w:rFonts w:ascii="仿宋" w:hAnsi="仿宋" w:eastAsia="仿宋"/>
          <w:b w:val="0"/>
          <w:bCs w:val="0"/>
          <w:color w:val="auto"/>
          <w:highlight w:val="none"/>
        </w:rPr>
      </w:pPr>
      <w:bookmarkStart w:id="64" w:name="_Toc15396623"/>
      <w:r>
        <w:rPr>
          <w:rStyle w:val="25"/>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政拨款支出决算明细表</w:t>
      </w:r>
      <w:bookmarkEnd w:id="64"/>
      <w:bookmarkStart w:id="65" w:name="_Toc15396624"/>
    </w:p>
    <w:p>
      <w:pPr>
        <w:pStyle w:val="4"/>
        <w:rPr>
          <w:rFonts w:ascii="仿宋" w:hAnsi="仿宋" w:eastAsia="仿宋"/>
          <w:color w:val="auto"/>
          <w:highlight w:val="none"/>
        </w:rPr>
      </w:pPr>
      <w:r>
        <w:rPr>
          <w:rStyle w:val="25"/>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般公共预算财政拨款支出决算表</w:t>
      </w:r>
      <w:bookmarkEnd w:id="65"/>
    </w:p>
    <w:p>
      <w:pPr>
        <w:pStyle w:val="4"/>
        <w:rPr>
          <w:rFonts w:ascii="仿宋" w:hAnsi="仿宋" w:eastAsia="仿宋"/>
          <w:color w:val="auto"/>
          <w:highlight w:val="none"/>
        </w:rPr>
      </w:pPr>
      <w:bookmarkStart w:id="66" w:name="_Toc15396625"/>
      <w:r>
        <w:rPr>
          <w:rStyle w:val="25"/>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般公共预算财政拨款支出决算明细表</w:t>
      </w:r>
      <w:bookmarkEnd w:id="66"/>
    </w:p>
    <w:p>
      <w:pPr>
        <w:pStyle w:val="4"/>
        <w:rPr>
          <w:rFonts w:ascii="仿宋" w:hAnsi="仿宋" w:eastAsia="仿宋"/>
          <w:color w:val="auto"/>
          <w:highlight w:val="none"/>
        </w:rPr>
      </w:pPr>
      <w:bookmarkStart w:id="67" w:name="_Toc15396626"/>
      <w:r>
        <w:rPr>
          <w:rStyle w:val="25"/>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般公共预算财政拨款基本支出决算表</w:t>
      </w:r>
      <w:bookmarkEnd w:id="67"/>
    </w:p>
    <w:p>
      <w:pPr>
        <w:pStyle w:val="4"/>
        <w:rPr>
          <w:rFonts w:ascii="仿宋" w:hAnsi="仿宋" w:eastAsia="仿宋"/>
          <w:color w:val="auto"/>
          <w:highlight w:val="none"/>
        </w:rPr>
      </w:pPr>
      <w:bookmarkStart w:id="68" w:name="_Toc15396627"/>
      <w:r>
        <w:rPr>
          <w:rStyle w:val="25"/>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般公共预算财政拨款项目支出决算表</w:t>
      </w:r>
      <w:bookmarkEnd w:id="68"/>
    </w:p>
    <w:p>
      <w:pPr>
        <w:pStyle w:val="4"/>
        <w:rPr>
          <w:rFonts w:ascii="仿宋" w:hAnsi="仿宋" w:eastAsia="仿宋"/>
          <w:color w:val="auto"/>
          <w:highlight w:val="none"/>
        </w:rPr>
      </w:pPr>
      <w:bookmarkStart w:id="69" w:name="_Toc15396628"/>
      <w:r>
        <w:rPr>
          <w:rStyle w:val="25"/>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般公共预算财政拨款“三公”经费支出决算表</w:t>
      </w:r>
      <w:bookmarkEnd w:id="69"/>
    </w:p>
    <w:p>
      <w:pPr>
        <w:pStyle w:val="4"/>
        <w:rPr>
          <w:rFonts w:ascii="仿宋" w:hAnsi="仿宋" w:eastAsia="仿宋"/>
          <w:color w:val="auto"/>
          <w:highlight w:val="none"/>
        </w:rPr>
      </w:pPr>
      <w:bookmarkStart w:id="70" w:name="_Toc15396629"/>
      <w:r>
        <w:rPr>
          <w:rStyle w:val="25"/>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府性基金预算财政拨款收入支出决算表</w:t>
      </w:r>
      <w:bookmarkEnd w:id="70"/>
    </w:p>
    <w:p>
      <w:pPr>
        <w:pStyle w:val="4"/>
        <w:rPr>
          <w:rFonts w:ascii="仿宋" w:hAnsi="仿宋" w:eastAsia="仿宋"/>
          <w:color w:val="auto"/>
          <w:highlight w:val="none"/>
        </w:rPr>
      </w:pPr>
      <w:bookmarkStart w:id="71" w:name="_Toc15396630"/>
      <w:r>
        <w:rPr>
          <w:rStyle w:val="25"/>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府性基金预算财政拨款“三公”经费支出决算表</w:t>
      </w:r>
      <w:bookmarkEnd w:id="71"/>
    </w:p>
    <w:p>
      <w:pPr>
        <w:pStyle w:val="4"/>
        <w:rPr>
          <w:rStyle w:val="25"/>
          <w:rFonts w:hint="eastAsia" w:ascii="仿宋" w:hAnsi="仿宋" w:eastAsia="仿宋"/>
          <w:b w:val="0"/>
          <w:bCs w:val="0"/>
          <w:color w:val="auto"/>
          <w:highlight w:val="none"/>
        </w:rPr>
      </w:pPr>
      <w:bookmarkStart w:id="72" w:name="_Toc15396631"/>
      <w:r>
        <w:rPr>
          <w:rStyle w:val="25"/>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5"/>
          <w:rFonts w:hint="eastAsia" w:ascii="仿宋" w:hAnsi="仿宋" w:eastAsia="仿宋"/>
          <w:b w:val="0"/>
          <w:bCs w:val="0"/>
          <w:color w:val="auto"/>
          <w:highlight w:val="none"/>
        </w:rPr>
        <w:t>有资本经营预算</w:t>
      </w:r>
      <w:r>
        <w:rPr>
          <w:rStyle w:val="25"/>
          <w:rFonts w:hint="eastAsia" w:ascii="仿宋" w:hAnsi="仿宋" w:eastAsia="仿宋"/>
          <w:b w:val="0"/>
          <w:bCs w:val="0"/>
          <w:color w:val="auto"/>
          <w:highlight w:val="none"/>
          <w:lang w:eastAsia="zh-CN"/>
        </w:rPr>
        <w:t>财政拨款收入</w:t>
      </w:r>
      <w:r>
        <w:rPr>
          <w:rStyle w:val="25"/>
          <w:rFonts w:hint="eastAsia" w:ascii="仿宋" w:hAnsi="仿宋" w:eastAsia="仿宋"/>
          <w:b w:val="0"/>
          <w:bCs w:val="0"/>
          <w:color w:val="auto"/>
          <w:highlight w:val="none"/>
        </w:rPr>
        <w:t>支出决算表</w:t>
      </w:r>
      <w:bookmarkEnd w:id="72"/>
    </w:p>
    <w:p>
      <w:pPr>
        <w:rPr>
          <w:rFonts w:hint="eastAsia" w:eastAsia="仿宋"/>
          <w:color w:val="auto"/>
          <w:highlight w:val="none"/>
          <w:lang w:eastAsia="zh-CN"/>
        </w:rPr>
      </w:pPr>
      <w:r>
        <w:rPr>
          <w:rStyle w:val="25"/>
          <w:rFonts w:hint="eastAsia" w:ascii="仿宋" w:hAnsi="仿宋" w:eastAsia="仿宋"/>
          <w:b w:val="0"/>
          <w:bCs w:val="0"/>
          <w:color w:val="auto"/>
          <w:highlight w:val="none"/>
          <w:lang w:eastAsia="zh-CN"/>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9711E29"/>
    <w:multiLevelType w:val="singleLevel"/>
    <w:tmpl w:val="39711E29"/>
    <w:lvl w:ilvl="0" w:tentative="0">
      <w:start w:val="2"/>
      <w:numFmt w:val="chineseCounting"/>
      <w:suff w:val="nothing"/>
      <w:lvlText w:val="（%1）"/>
      <w:lvlJc w:val="left"/>
      <w:rPr>
        <w:rFonts w:hint="eastAsia"/>
      </w:rPr>
    </w:lvl>
  </w:abstractNum>
  <w:abstractNum w:abstractNumId="4">
    <w:nsid w:val="3E794925"/>
    <w:multiLevelType w:val="singleLevel"/>
    <w:tmpl w:val="3E794925"/>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zMDNiZTcxOWVkMjJjNmY4MDAyZWZhYzRiOTMxNmY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6222EB"/>
    <w:rsid w:val="02C64259"/>
    <w:rsid w:val="066E0107"/>
    <w:rsid w:val="07996F6E"/>
    <w:rsid w:val="0A2032A3"/>
    <w:rsid w:val="101860EC"/>
    <w:rsid w:val="10C055FF"/>
    <w:rsid w:val="118107EC"/>
    <w:rsid w:val="13D50BC4"/>
    <w:rsid w:val="16BB723D"/>
    <w:rsid w:val="1BE8440E"/>
    <w:rsid w:val="1D155CEE"/>
    <w:rsid w:val="23860B96"/>
    <w:rsid w:val="240371BF"/>
    <w:rsid w:val="29FD04D3"/>
    <w:rsid w:val="2C8A61B5"/>
    <w:rsid w:val="2DF04E50"/>
    <w:rsid w:val="319F7F4E"/>
    <w:rsid w:val="36AA5135"/>
    <w:rsid w:val="37E16F03"/>
    <w:rsid w:val="3B3368C9"/>
    <w:rsid w:val="3C9507A2"/>
    <w:rsid w:val="3D98207C"/>
    <w:rsid w:val="3DFB1439"/>
    <w:rsid w:val="44E268DA"/>
    <w:rsid w:val="49560B9D"/>
    <w:rsid w:val="4A627F82"/>
    <w:rsid w:val="4B4F25DA"/>
    <w:rsid w:val="4BE068DB"/>
    <w:rsid w:val="4D577224"/>
    <w:rsid w:val="4EAB630A"/>
    <w:rsid w:val="4ECE2238"/>
    <w:rsid w:val="559C1961"/>
    <w:rsid w:val="574F2D93"/>
    <w:rsid w:val="5AF92295"/>
    <w:rsid w:val="5CD71FC4"/>
    <w:rsid w:val="66BF43C6"/>
    <w:rsid w:val="6C4A05C8"/>
    <w:rsid w:val="6E7E3605"/>
    <w:rsid w:val="6FF5CC65"/>
    <w:rsid w:val="715C0E4B"/>
    <w:rsid w:val="72734D90"/>
    <w:rsid w:val="73AD73D5"/>
    <w:rsid w:val="73B15D04"/>
    <w:rsid w:val="73B6EB34"/>
    <w:rsid w:val="79DA2451"/>
    <w:rsid w:val="79EE5BA4"/>
    <w:rsid w:val="7A894339"/>
    <w:rsid w:val="7EEF11D3"/>
    <w:rsid w:val="7FA30C79"/>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chartUserShapes" Target="../drawings/drawing1.xml"/><Relationship Id="rId1" Type="http://schemas.openxmlformats.org/officeDocument/2006/relationships/oleObject" Target="file:///C:\Users\Administrator\Desktop\2021&#37096;&#38376;&#20915;&#31639;&#2227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overlay val="0"/>
      <c:spPr>
        <a:noFill/>
        <a:ln>
          <a:noFill/>
        </a:ln>
        <a:effectLst/>
      </c:spPr>
    </c:title>
    <c:autoTitleDeleted val="0"/>
    <c:plotArea>
      <c:layout/>
      <c:barChart>
        <c:barDir val="col"/>
        <c:grouping val="clustered"/>
        <c:varyColors val="0"/>
        <c:ser>
          <c:idx val="0"/>
          <c:order val="0"/>
          <c:tx>
            <c:strRef>
              <c:f>[2021部门决算图.xls]Sheet1!$J$3</c:f>
              <c:strCache>
                <c:ptCount val="1"/>
                <c:pt idx="0">
                  <c:v>2020年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[2021部门决算图.xls]Sheet1!$K$2:$L$2</c:f>
              <c:strCache>
                <c:ptCount val="2"/>
                <c:pt idx="0">
                  <c:v>收入</c:v>
                </c:pt>
                <c:pt idx="1">
                  <c:v>支出</c:v>
                </c:pt>
              </c:strCache>
            </c:strRef>
          </c:cat>
          <c:val>
            <c:numRef>
              <c:f>[2021部门决算图.xls]Sheet1!$K$3:$L$3</c:f>
              <c:numCache>
                <c:formatCode>General</c:formatCode>
                <c:ptCount val="2"/>
                <c:pt idx="0">
                  <c:v>2790.72</c:v>
                </c:pt>
                <c:pt idx="1">
                  <c:v>2790.72</c:v>
                </c:pt>
              </c:numCache>
            </c:numRef>
          </c:val>
        </c:ser>
        <c:ser>
          <c:idx val="1"/>
          <c:order val="1"/>
          <c:tx>
            <c:strRef>
              <c:f>[2021部门决算图.xls]Sheet1!$J$4</c:f>
              <c:strCache>
                <c:ptCount val="1"/>
                <c:pt idx="0">
                  <c:v>2021年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[2021部门决算图.xls]Sheet1!$K$2:$L$2</c:f>
              <c:strCache>
                <c:ptCount val="2"/>
                <c:pt idx="0">
                  <c:v>收入</c:v>
                </c:pt>
                <c:pt idx="1">
                  <c:v>支出</c:v>
                </c:pt>
              </c:strCache>
            </c:strRef>
          </c:cat>
          <c:val>
            <c:numRef>
              <c:f>[2021部门决算图.xls]Sheet1!$K$4:$L$4</c:f>
              <c:numCache>
                <c:formatCode>General</c:formatCode>
                <c:ptCount val="2"/>
                <c:pt idx="0">
                  <c:v>3616.85</c:v>
                </c:pt>
                <c:pt idx="1">
                  <c:v>3616.85</c:v>
                </c:pt>
              </c:numCache>
            </c:numRef>
          </c:val>
        </c:ser>
        <c:dLbls>
          <c:showLegendKey val="0"/>
          <c:showVal val="1"/>
          <c:showCatName val="0"/>
          <c:showSerName val="0"/>
          <c:showPercent val="0"/>
          <c:showBubbleSize val="0"/>
        </c:dLbls>
        <c:gapWidth val="219"/>
        <c:overlap val="-27"/>
        <c:axId val="893354609"/>
        <c:axId val="794194627"/>
      </c:barChart>
      <c:catAx>
        <c:axId val="89335460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94194627"/>
        <c:crosses val="autoZero"/>
        <c:auto val="1"/>
        <c:lblAlgn val="ctr"/>
        <c:lblOffset val="100"/>
        <c:noMultiLvlLbl val="0"/>
      </c:catAx>
      <c:valAx>
        <c:axId val="7941946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335460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0.765277777777778</cdr:x>
      <cdr:y>0.864583333333333</cdr:y>
    </cdr:from>
    <cdr:to>
      <cdr:x>0.963194444444444</cdr:x>
      <cdr:y>0.944444444444444</cdr:y>
    </cdr:to>
    <cdr:sp>
      <cdr:nvSpPr>
        <cdr:cNvPr id="2" name="矩形 1"/>
        <cdr:cNvSpPr/>
      </cdr:nvSpPr>
      <cdr:spPr xmlns:a="http://schemas.openxmlformats.org/drawingml/2006/main">
        <a:xfrm xmlns:a="http://schemas.openxmlformats.org/drawingml/2006/main">
          <a:off x="3498850" y="2371725"/>
          <a:ext cx="904875" cy="219075"/>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endParaRPr lang="zh-CN" altLang="en-US"/>
        </a:p>
      </cdr:txBody>
    </cdr:sp>
  </cdr:relSizeAnchor>
  <cdr:relSizeAnchor xmlns:cdr="http://schemas.openxmlformats.org/drawingml/2006/chartDrawing">
    <cdr:from>
      <cdr:x>0.761111111111111</cdr:x>
      <cdr:y>0.888888888888889</cdr:y>
    </cdr:from>
    <cdr:to>
      <cdr:x>0.979861111111111</cdr:x>
      <cdr:y>0.965277777777778</cdr:y>
    </cdr:to>
    <cdr:sp>
      <cdr:nvSpPr>
        <cdr:cNvPr id="3" name="矩形 2"/>
        <cdr:cNvSpPr/>
      </cdr:nvSpPr>
      <cdr:spPr xmlns:a="http://schemas.openxmlformats.org/drawingml/2006/main">
        <a:xfrm xmlns:a="http://schemas.openxmlformats.org/drawingml/2006/main">
          <a:off x="3479800" y="2438400"/>
          <a:ext cx="1000125" cy="209550"/>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zh-CN" altLang="en-US" sz="1000"/>
            <a:t>单位：万元</a:t>
          </a:r>
          <a:endParaRPr lang="zh-CN" altLang="en-US" sz="10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28</Pages>
  <Words>9651</Words>
  <Characters>10377</Characters>
  <Lines>61</Lines>
  <Paragraphs>17</Paragraphs>
  <TotalTime>0</TotalTime>
  <ScaleCrop>false</ScaleCrop>
  <LinksUpToDate>false</LinksUpToDate>
  <CharactersWithSpaces>10452</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2022-08-08T09:11:00Z</cp:lastPrinted>
  <dcterms:modified xsi:type="dcterms:W3CDTF">2024-12-20T03:26:56Z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C79C655A69894D949BE53D25B24EBC41</vt:lpwstr>
  </property>
</Properties>
</file>