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7C0EE">
      <w:pPr>
        <w:spacing w:line="560" w:lineRule="exact"/>
        <w:jc w:val="center"/>
        <w:rPr>
          <w:rFonts w:ascii="Times New Roman" w:hAnsi="Times New Roman" w:eastAsia="方正小标宋简体"/>
          <w:b/>
          <w:bCs/>
          <w:sz w:val="44"/>
          <w:szCs w:val="44"/>
        </w:rPr>
      </w:pPr>
      <w:bookmarkStart w:id="6" w:name="_GoBack"/>
      <w:r>
        <w:rPr>
          <w:rFonts w:ascii="Times New Roman" w:hAnsi="Times New Roman" w:eastAsia="方正小标宋简体"/>
          <w:b/>
          <w:bCs/>
          <w:sz w:val="44"/>
          <w:szCs w:val="44"/>
        </w:rPr>
        <w:t>通江县安全生产举报奖励办法</w:t>
      </w:r>
    </w:p>
    <w:p w14:paraId="38C7DFAA">
      <w:pPr>
        <w:spacing w:line="560" w:lineRule="exact"/>
        <w:jc w:val="center"/>
        <w:rPr>
          <w:rFonts w:ascii="Times New Roman" w:hAnsi="Times New Roman" w:eastAsia="方正小标宋简体"/>
          <w:b/>
          <w:bCs/>
          <w:sz w:val="44"/>
          <w:szCs w:val="44"/>
        </w:rPr>
      </w:pPr>
      <w:r>
        <w:rPr>
          <w:rFonts w:hint="eastAsia" w:ascii="Times New Roman" w:hAnsi="Times New Roman" w:eastAsia="方正小标宋简体"/>
          <w:b/>
          <w:bCs/>
          <w:sz w:val="44"/>
          <w:szCs w:val="44"/>
        </w:rPr>
        <w:t>（征求意见稿）</w:t>
      </w:r>
    </w:p>
    <w:p w14:paraId="66762E18">
      <w:pPr>
        <w:spacing w:line="560" w:lineRule="exact"/>
        <w:rPr>
          <w:rFonts w:ascii="Times New Roman" w:hAnsi="Times New Roman"/>
          <w:sz w:val="32"/>
          <w:szCs w:val="32"/>
        </w:rPr>
      </w:pPr>
    </w:p>
    <w:p w14:paraId="69B41440">
      <w:pPr>
        <w:spacing w:line="560" w:lineRule="exact"/>
        <w:jc w:val="center"/>
        <w:rPr>
          <w:rFonts w:ascii="Times New Roman" w:hAnsi="Times New Roman" w:eastAsia="黑体"/>
          <w:b/>
          <w:bCs/>
          <w:sz w:val="32"/>
          <w:szCs w:val="32"/>
        </w:rPr>
      </w:pPr>
      <w:r>
        <w:rPr>
          <w:rFonts w:ascii="Times New Roman" w:hAnsi="Times New Roman" w:eastAsia="黑体"/>
          <w:b/>
          <w:bCs/>
          <w:sz w:val="32"/>
          <w:szCs w:val="32"/>
        </w:rPr>
        <w:t>第一章  总则</w:t>
      </w:r>
    </w:p>
    <w:p w14:paraId="3FDD100B">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进一步加强安全生产领域的社会监督，重奖激励举报安全生产重大事故隐患和安全生产违法行为，及时发现并排除重大事故隐患，制止和惩处安全生产非法违法行为，根据《中华人民共和国安全生产法》《中共中央国务院关于推进安全生产领域改革发展的意见》《四川省安全生产条例》《生产经营单位从业人员安全生产举报处理规定》《四川省安全生产举报奖励办法》《巴中市安全生产举报奖励办法》等有关法律法规和文件要求，结合通江实际，制定本办法。</w:t>
      </w:r>
    </w:p>
    <w:p w14:paraId="2DA43EC3">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笫二条</w:t>
      </w:r>
      <w:r>
        <w:rPr>
          <w:rFonts w:ascii="Times New Roman" w:hAnsi="Times New Roman" w:eastAsia="仿宋_GB2312"/>
          <w:kern w:val="0"/>
          <w:sz w:val="32"/>
          <w:szCs w:val="32"/>
        </w:rPr>
        <w:t xml:space="preserve">  本办法适用于通江县行政区域内重大事故隐患和安全生产违法行为</w:t>
      </w:r>
      <w:bookmarkStart w:id="0" w:name="_Hlk110433893"/>
      <w:r>
        <w:rPr>
          <w:rFonts w:ascii="Times New Roman" w:hAnsi="Times New Roman" w:eastAsia="仿宋_GB2312"/>
          <w:kern w:val="0"/>
          <w:sz w:val="32"/>
          <w:szCs w:val="32"/>
        </w:rPr>
        <w:t>的举报</w:t>
      </w:r>
      <w:bookmarkEnd w:id="0"/>
      <w:r>
        <w:rPr>
          <w:rFonts w:ascii="Times New Roman" w:hAnsi="Times New Roman" w:eastAsia="仿宋_GB2312"/>
          <w:kern w:val="0"/>
          <w:sz w:val="32"/>
          <w:szCs w:val="32"/>
        </w:rPr>
        <w:t>奖励。</w:t>
      </w:r>
    </w:p>
    <w:p w14:paraId="1608D28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负有安全生产监管职责的部门对所监管行业领域的安全生产举报奖励另有规定的，依照其规定。</w:t>
      </w:r>
    </w:p>
    <w:p w14:paraId="5429C348">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任何单位、组织和个人（以下统称举报人）有权向</w:t>
      </w:r>
      <w:bookmarkStart w:id="1" w:name="_Hlk137110722"/>
      <w:r>
        <w:rPr>
          <w:rFonts w:ascii="Times New Roman" w:hAnsi="Times New Roman" w:eastAsia="仿宋_GB2312"/>
          <w:sz w:val="32"/>
          <w:szCs w:val="32"/>
        </w:rPr>
        <w:t>县</w:t>
      </w:r>
      <w:bookmarkEnd w:id="1"/>
      <w:r>
        <w:rPr>
          <w:rFonts w:ascii="Times New Roman" w:hAnsi="Times New Roman" w:eastAsia="仿宋_GB2312"/>
          <w:sz w:val="32"/>
          <w:szCs w:val="32"/>
        </w:rPr>
        <w:t>应急管理部门和其他负有安全监管职责的部门（以下统称负有安全监管职责的部门）举报重大事故隐患和安全生产违法行为，经查证属实的，依照本办法对举报人给予奖励。</w:t>
      </w:r>
    </w:p>
    <w:p w14:paraId="12725BE9">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color w:val="000000"/>
          <w:kern w:val="0"/>
          <w:sz w:val="32"/>
          <w:szCs w:val="32"/>
        </w:rPr>
        <w:t>第四条</w:t>
      </w:r>
      <w:r>
        <w:rPr>
          <w:rFonts w:ascii="Times New Roman" w:hAnsi="Times New Roman" w:eastAsia="仿宋_GB2312"/>
          <w:sz w:val="32"/>
          <w:szCs w:val="32"/>
        </w:rPr>
        <w:t>开展举报奖励工作，应当遵循“合法举报、适当奖励、属地管理、分级负责”和“谁受理、谁奖励”的原则。</w:t>
      </w:r>
    </w:p>
    <w:p w14:paraId="22704550">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对重大事故隐患和安全生产违法行为的举报，按照属地管理原则实行逐级举报。县级有关部门无法受理或者未及时处理的，举报人可以向市级有关部门举报。</w:t>
      </w:r>
    </w:p>
    <w:p w14:paraId="21451A0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负有安全监管职责的部门应当建立举报制度，及时向社会公开举报电话、电子邮箱、传真、通信地址等信息，及时受理举报并在全国安全生产举报奖励体系中据实录入信息，同时抄送至</w:t>
      </w:r>
      <w:r>
        <w:rPr>
          <w:rFonts w:ascii="Times New Roman" w:hAnsi="Times New Roman" w:eastAsia="仿宋_GB2312"/>
          <w:sz w:val="32"/>
          <w:szCs w:val="32"/>
        </w:rPr>
        <w:t>县应急管理部门</w:t>
      </w:r>
      <w:r>
        <w:rPr>
          <w:rFonts w:ascii="Times New Roman" w:hAnsi="Times New Roman" w:eastAsia="仿宋_GB2312"/>
          <w:kern w:val="0"/>
          <w:sz w:val="32"/>
          <w:szCs w:val="32"/>
        </w:rPr>
        <w:t>，兑现安全生产举报奖励。</w:t>
      </w:r>
    </w:p>
    <w:p w14:paraId="00D92BDF">
      <w:pPr>
        <w:pStyle w:val="8"/>
        <w:widowControl/>
        <w:shd w:val="clear" w:color="auto" w:fill="FFFFFF"/>
        <w:spacing w:before="0" w:beforeAutospacing="0" w:after="0" w:afterAutospacing="0" w:line="560" w:lineRule="exact"/>
        <w:ind w:firstLine="420"/>
        <w:jc w:val="both"/>
        <w:rPr>
          <w:rFonts w:ascii="Times New Roman" w:hAnsi="Times New Roman" w:eastAsia="仿宋_GB2312"/>
          <w:sz w:val="32"/>
          <w:szCs w:val="32"/>
        </w:rPr>
      </w:pPr>
      <w:r>
        <w:rPr>
          <w:rFonts w:ascii="Times New Roman" w:hAnsi="Times New Roman" w:eastAsia="仿宋_GB2312"/>
          <w:b/>
          <w:bCs/>
          <w:color w:val="000000"/>
          <w:sz w:val="32"/>
          <w:szCs w:val="32"/>
        </w:rPr>
        <w:t>第六条</w:t>
      </w:r>
      <w:r>
        <w:rPr>
          <w:rFonts w:ascii="Times New Roman" w:hAnsi="Times New Roman" w:eastAsia="仿宋_GB2312"/>
          <w:sz w:val="32"/>
          <w:szCs w:val="32"/>
        </w:rPr>
        <w:t>县人民政府每年设立安全生产举报奖励专项资金100万元，通过现有资金渠道安排，纳入县级财政预算，由县应急管理部门负责管理、发放，并于每年年末向县财政局报告专项经费使用情况，并接受财政、审计、监察等部门的监督。当年预算经费有结余的结转下年度使用，超支部分在年末由县财政追加预算。</w:t>
      </w:r>
    </w:p>
    <w:p w14:paraId="7DC084FA">
      <w:pPr>
        <w:pStyle w:val="2"/>
        <w:spacing w:line="560" w:lineRule="exact"/>
        <w:rPr>
          <w:rFonts w:ascii="Times New Roman" w:hAnsi="Times New Roman" w:eastAsia="仿宋_GB2312"/>
          <w:sz w:val="32"/>
        </w:rPr>
      </w:pPr>
    </w:p>
    <w:p w14:paraId="3F6BE4BC">
      <w:pPr>
        <w:spacing w:line="560" w:lineRule="exact"/>
        <w:jc w:val="center"/>
        <w:rPr>
          <w:rFonts w:ascii="Times New Roman" w:hAnsi="Times New Roman" w:eastAsia="仿宋_GB2312"/>
          <w:b/>
          <w:bCs/>
          <w:sz w:val="32"/>
          <w:szCs w:val="32"/>
        </w:rPr>
      </w:pPr>
      <w:r>
        <w:rPr>
          <w:rFonts w:ascii="Times New Roman" w:hAnsi="Times New Roman" w:eastAsia="黑体"/>
          <w:b/>
          <w:bCs/>
          <w:sz w:val="32"/>
          <w:szCs w:val="32"/>
        </w:rPr>
        <w:t>第二章  奖励范围和标准</w:t>
      </w:r>
    </w:p>
    <w:p w14:paraId="750E1F6D">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第七条</w:t>
      </w:r>
      <w:r>
        <w:rPr>
          <w:rFonts w:ascii="Times New Roman" w:hAnsi="Times New Roman" w:eastAsia="仿宋_GB2312"/>
          <w:kern w:val="0"/>
          <w:sz w:val="32"/>
          <w:szCs w:val="32"/>
        </w:rPr>
        <w:t xml:space="preserve">  本办法所称重大事故隐患，是指危害和整改难度较大，应当全部或者局部停产停业，并经过一定时间整改治理方能排除的隐患，或者因外部因素影响致使生产经营单位自身难以排除的隐患。</w:t>
      </w:r>
    </w:p>
    <w:p w14:paraId="0E419A7E">
      <w:pPr>
        <w:pStyle w:val="8"/>
        <w:widowControl/>
        <w:spacing w:before="0" w:beforeAutospacing="0" w:after="0" w:afterAutospacing="0" w:line="560" w:lineRule="exact"/>
        <w:ind w:firstLine="640" w:firstLineChars="200"/>
        <w:rPr>
          <w:rFonts w:ascii="Times New Roman" w:hAnsi="Times New Roman" w:eastAsia="仿宋_GB2312"/>
          <w:sz w:val="32"/>
          <w:szCs w:val="32"/>
        </w:rPr>
      </w:pPr>
      <w:bookmarkStart w:id="2" w:name="_Hlk136700328"/>
      <w:r>
        <w:rPr>
          <w:rFonts w:ascii="Times New Roman" w:hAnsi="Times New Roman" w:eastAsia="仿宋_GB2312"/>
          <w:sz w:val="32"/>
          <w:szCs w:val="32"/>
        </w:rPr>
        <w:t>重大事故隐患的判定，按照《四川省安全生产委员会办公室关于印发＜重大事故隐患判定标准（汇编）＞的通知》</w:t>
      </w:r>
      <w:bookmarkEnd w:id="2"/>
      <w:r>
        <w:rPr>
          <w:rFonts w:ascii="Times New Roman" w:hAnsi="Times New Roman" w:eastAsia="仿宋_GB2312"/>
          <w:sz w:val="32"/>
          <w:szCs w:val="32"/>
        </w:rPr>
        <w:t>《四川省安全生产委员会办公室关于印发＜重大事故隐患判定标准（汇编二）＞的通知》的标准认定。</w:t>
      </w:r>
    </w:p>
    <w:p w14:paraId="30605498">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其他行业和领域重大事故隐患的判定，按照负有安全监管职责的部门制定并向社会公布的判定标准认定。</w:t>
      </w:r>
    </w:p>
    <w:p w14:paraId="0724FA1A">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第八条</w:t>
      </w:r>
      <w:r>
        <w:rPr>
          <w:rFonts w:ascii="Times New Roman" w:hAnsi="Times New Roman" w:eastAsia="仿宋_GB2312"/>
          <w:kern w:val="0"/>
          <w:sz w:val="32"/>
          <w:szCs w:val="32"/>
        </w:rPr>
        <w:t xml:space="preserve">  本办法所称安全生产违法行为，是指生产经营单位及其从业人员违反安全生产法律、法规、规章、强制性国家标准或者行业标准的规定，从事生产经营建设活动的行为。按照原《国家安全监管总局关于印发＜安全生产非法违法行为查处办法＞的通知》（安监总政法〔2011〕158号）规定的原则进行认定，重点包括以下情形和行为：</w:t>
      </w:r>
    </w:p>
    <w:p w14:paraId="5BAEC3BE">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14:paraId="103EE048">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未依法对从业人员进行安全生产教育和培训，或者矿山和危险物品生产、经营、储存、装卸单位，金属冶炼、建筑施工、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14:paraId="1F6CCD2E">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14:paraId="7EC2BB3E">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（四）未按国家有关规定对危险物品进行管理或者使用国家明令淘汰、禁止的危及生产安全的工艺、设备的；</w:t>
      </w:r>
    </w:p>
    <w:p w14:paraId="159B482A">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（五）承担安全评价、检测检验等中介机构，未按相关标准、规范、准则开展相应中介服务，出具不符合实际情况的虚假结论报告和其他违法违规、弄虚作假行为的；</w:t>
      </w:r>
    </w:p>
    <w:p w14:paraId="490AF5DE">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（六）对重大危险源未登记建档和未进行评估、监控的；</w:t>
      </w:r>
    </w:p>
    <w:p w14:paraId="30C482FA">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（七）存在粉尘爆炸危险的生产经营单位不按规范设置除尘系统；或者未制定粉尘清扫制度，现场作业积尘未及时规范清理的；</w:t>
      </w:r>
    </w:p>
    <w:p w14:paraId="1E329153">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（八）生产经营单位进行爆破、吊装、危险场所动火作业、高处作业等危险作业，没有执行有关危险作业管理制度和标准规定的；</w:t>
      </w:r>
    </w:p>
    <w:p w14:paraId="157789C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（九）存在有限空间作业的生产经营单位未对有限空间作业场所进行辨识及设置明显安全警示标志的；或者未落实作业审批制度，擅自进入有限空间作业的；</w:t>
      </w:r>
    </w:p>
    <w:p w14:paraId="3DFE28F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（十）涉及可燃和有毒有害气体泄漏的场所未按国家标准设置检测报警装置，爆炸危险场所未按国家标准安装使用防爆电气设备；</w:t>
      </w:r>
    </w:p>
    <w:p w14:paraId="6367C006">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（十一）生产安全事故瞒报、谎报以及重大事故隐患隐瞒不报，或者不按规定期限予以整治的，或者生产经营单位主要负责人在发生伤亡事故后逃匿的；</w:t>
      </w:r>
    </w:p>
    <w:p w14:paraId="2F98B64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（十二）法律、行政法规、国家标准或行业标准规定的其他安全生产违法行为。</w:t>
      </w:r>
    </w:p>
    <w:p w14:paraId="78BDDC37">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笫九条</w:t>
      </w:r>
      <w:r>
        <w:rPr>
          <w:rFonts w:ascii="Times New Roman" w:hAnsi="Times New Roman" w:eastAsia="仿宋_GB2312"/>
          <w:kern w:val="0"/>
          <w:sz w:val="32"/>
          <w:szCs w:val="32"/>
        </w:rPr>
        <w:t xml:space="preserve">  有下列情形之一的，不属于本办法奖励的范围：</w:t>
      </w:r>
    </w:p>
    <w:p w14:paraId="6AFEFABD">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（一）无明确的举报对象或者具体的举报事项的；</w:t>
      </w:r>
    </w:p>
    <w:p w14:paraId="2FA6935C">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（二）举报人是负有安全监管职责的工作人员及其直系亲属的；</w:t>
      </w:r>
    </w:p>
    <w:p w14:paraId="55F5CAFC">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（三）举报内容属于信访事项的，或应当通过行政复议、诉讼、仲裁等途径解决的，或已进入司法程序的；</w:t>
      </w:r>
    </w:p>
    <w:p w14:paraId="3EB121FC">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（四）举报事项已经受理或正在查处的；</w:t>
      </w:r>
    </w:p>
    <w:p w14:paraId="755DC312">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（五）其他不符合法律、法规规定的情形。</w:t>
      </w:r>
    </w:p>
    <w:p w14:paraId="46D1801C">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笫十条</w:t>
      </w:r>
      <w:r>
        <w:rPr>
          <w:rFonts w:ascii="Times New Roman" w:hAnsi="Times New Roman" w:eastAsia="仿宋_GB2312"/>
          <w:kern w:val="0"/>
          <w:sz w:val="32"/>
          <w:szCs w:val="32"/>
        </w:rPr>
        <w:t xml:space="preserve">  举报事项经核查属实的，应当按下列规定对举报人给予现金奖励：</w:t>
      </w:r>
    </w:p>
    <w:p w14:paraId="4948BA5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一</w:t>
      </w:r>
      <w:r>
        <w:rPr>
          <w:rFonts w:hint="eastAsia" w:ascii="Times New Roman" w:hAnsi="Times New Roman" w:eastAsia="仿宋_GB2312"/>
          <w:sz w:val="32"/>
          <w:szCs w:val="32"/>
          <w:lang w:eastAsia="zh-CN"/>
        </w:rPr>
        <w:t>）</w:t>
      </w:r>
      <w:r>
        <w:rPr>
          <w:rFonts w:ascii="Times New Roman" w:hAnsi="Times New Roman" w:eastAsia="仿宋_GB2312"/>
          <w:sz w:val="32"/>
          <w:szCs w:val="32"/>
        </w:rPr>
        <w:t>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14:paraId="73B13E1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对举报除瞒报、谎报事故外的其他安全生产违法行为和重大事故隐患，奖励金额按照行政处罚金额的15%计算，最低奖励3000元，最高不超过20万元;行政处罚依据《中华人民共和国安全生产法》《安全生产违法行为行政处罚办法》《安全生产行政处罚自由裁量标准》等法律法规及规章制度执行;未作罚款处理的，根据隐患危害程度奖励举报人奖金1000</w:t>
      </w:r>
      <w:r>
        <w:rPr>
          <w:rFonts w:hint="eastAsia" w:ascii="Times New Roman" w:hAnsi="Times New Roman" w:eastAsia="仿宋_GB2312"/>
          <w:sz w:val="32"/>
          <w:szCs w:val="32"/>
          <w:lang w:eastAsia="zh-CN"/>
        </w:rPr>
        <w:t>元—</w:t>
      </w:r>
      <w:r>
        <w:rPr>
          <w:rFonts w:ascii="Times New Roman" w:hAnsi="Times New Roman" w:eastAsia="仿宋_GB2312"/>
          <w:sz w:val="32"/>
          <w:szCs w:val="32"/>
        </w:rPr>
        <w:t>3000元。</w:t>
      </w:r>
    </w:p>
    <w:p w14:paraId="73EC021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三</w:t>
      </w:r>
      <w:r>
        <w:rPr>
          <w:rFonts w:hint="eastAsia" w:ascii="Times New Roman" w:hAnsi="Times New Roman" w:eastAsia="仿宋_GB2312"/>
          <w:sz w:val="32"/>
          <w:szCs w:val="32"/>
          <w:lang w:eastAsia="zh-CN"/>
        </w:rPr>
        <w:t>）</w:t>
      </w:r>
      <w:r>
        <w:rPr>
          <w:rFonts w:ascii="Times New Roman" w:hAnsi="Times New Roman" w:eastAsia="仿宋_GB2312"/>
          <w:sz w:val="32"/>
          <w:szCs w:val="32"/>
        </w:rPr>
        <w:t>鼓励生产经营单位从业人员积极举报身边的重大事故隐患和安全生产违法行为。生产经营单位从业人员(包括其家属)举报其所在单位的重大事故隐患和安全生产违法行为,经核查属实的，奖励金额上浮10%，最高不超过30万元。</w:t>
      </w:r>
    </w:p>
    <w:p w14:paraId="4AFF40C4">
      <w:pPr>
        <w:autoSpaceDE w:val="0"/>
        <w:autoSpaceDN w:val="0"/>
        <w:adjustRightInd w:val="0"/>
        <w:spacing w:line="560" w:lineRule="exact"/>
        <w:ind w:firstLine="640" w:firstLineChars="200"/>
        <w:rPr>
          <w:rFonts w:ascii="Times New Roman" w:hAnsi="Times New Roman" w:eastAsia="仿宋_GB2312"/>
          <w:kern w:val="0"/>
          <w:sz w:val="32"/>
          <w:szCs w:val="32"/>
        </w:rPr>
      </w:pPr>
    </w:p>
    <w:p w14:paraId="30E3E3FB">
      <w:pPr>
        <w:spacing w:line="560" w:lineRule="exact"/>
        <w:jc w:val="center"/>
        <w:rPr>
          <w:rFonts w:ascii="黑体" w:hAnsi="黑体" w:eastAsia="黑体"/>
          <w:b/>
          <w:bCs/>
          <w:sz w:val="32"/>
          <w:szCs w:val="32"/>
        </w:rPr>
      </w:pPr>
      <w:r>
        <w:rPr>
          <w:rFonts w:ascii="黑体" w:hAnsi="黑体" w:eastAsia="黑体"/>
          <w:b/>
          <w:bCs/>
          <w:sz w:val="32"/>
          <w:szCs w:val="32"/>
        </w:rPr>
        <w:t>第三章  办理流程</w:t>
      </w:r>
    </w:p>
    <w:p w14:paraId="40CEA16B">
      <w:pPr>
        <w:autoSpaceDE w:val="0"/>
        <w:autoSpaceDN w:val="0"/>
        <w:adjustRightInd w:val="0"/>
        <w:spacing w:line="560" w:lineRule="exact"/>
        <w:ind w:firstLine="643" w:firstLineChars="200"/>
        <w:rPr>
          <w:rFonts w:ascii="Times New Roman" w:hAnsi="Times New Roman" w:eastAsia="仿宋_GB2312"/>
          <w:kern w:val="0"/>
          <w:sz w:val="32"/>
          <w:szCs w:val="32"/>
        </w:rPr>
      </w:pPr>
      <w:bookmarkStart w:id="3" w:name="_Hlk137044429"/>
      <w:r>
        <w:rPr>
          <w:rFonts w:ascii="Times New Roman" w:hAnsi="Times New Roman" w:eastAsia="仿宋_GB2312"/>
          <w:b/>
          <w:bCs/>
          <w:sz w:val="32"/>
          <w:szCs w:val="32"/>
        </w:rPr>
        <w:t>第十一条</w:t>
      </w:r>
      <w:bookmarkEnd w:id="3"/>
      <w:r>
        <w:rPr>
          <w:rFonts w:ascii="Times New Roman" w:hAnsi="Times New Roman" w:eastAsia="仿宋_GB2312"/>
          <w:kern w:val="0"/>
          <w:sz w:val="32"/>
          <w:szCs w:val="32"/>
        </w:rPr>
        <w:t>举报人可以通过安全生产举报投诉电话0827-7115117、0827-7237616、政务服务便民热线电话“12345”、其他负有安全监管的部门公布的举报电话或者以书信、到访等方式进行举报，举报人未将事项举报至有效受理主体或未通过有效举报途径进行的举报无法受理。</w:t>
      </w:r>
    </w:p>
    <w:p w14:paraId="5A0FE82E">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sz w:val="32"/>
          <w:szCs w:val="32"/>
        </w:rPr>
        <w:t>第十二条</w:t>
      </w:r>
      <w:r>
        <w:rPr>
          <w:rFonts w:ascii="Times New Roman" w:hAnsi="Times New Roman" w:eastAsia="仿宋_GB2312"/>
          <w:kern w:val="0"/>
          <w:sz w:val="32"/>
          <w:szCs w:val="32"/>
        </w:rPr>
        <w:t>各部门应当积极受理举报，并按照下列规定办理：</w:t>
      </w:r>
    </w:p>
    <w:p w14:paraId="12E05194">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（一）受理举报的负有安全监管职责的部门应当立即组织核查处理举报事项，并及时抄告县应急管理部门。</w:t>
      </w:r>
    </w:p>
    <w:p w14:paraId="0813CD3E">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（二）举报事项不属于本单位受理范围的，接到举报的单位应当在接到举报3日内将举报材料（信息）移送至有受理权的单位，并采取适当方式及时告知举报人及县应急管理部门。</w:t>
      </w:r>
    </w:p>
    <w:p w14:paraId="33BFD1BA">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受理举报的负有安全监管职责的部门应当自受理之日起60日办结；情况复杂的，经县应急管理部门核实并批准，可以适当延长核查处理时间，但延长期限不得超过30日，并告知举报人延期理由。受核查手段限制，无法查清的，</w:t>
      </w:r>
      <w:r>
        <w:rPr>
          <w:rFonts w:ascii="Times New Roman" w:hAnsi="Times New Roman" w:eastAsia="仿宋_GB2312"/>
          <w:sz w:val="32"/>
          <w:szCs w:val="32"/>
        </w:rPr>
        <w:t>受理部门</w:t>
      </w:r>
      <w:r>
        <w:rPr>
          <w:rFonts w:ascii="Times New Roman" w:hAnsi="Times New Roman" w:eastAsia="仿宋_GB2312"/>
          <w:kern w:val="0"/>
          <w:sz w:val="32"/>
          <w:szCs w:val="32"/>
        </w:rPr>
        <w:t>应及时报告县应急管理部门或其他有关行业主管部门，由其牵头组织核查。</w:t>
      </w:r>
    </w:p>
    <w:p w14:paraId="2B0107EB">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第十三条</w:t>
      </w:r>
      <w:r>
        <w:rPr>
          <w:rFonts w:ascii="Times New Roman" w:hAnsi="Times New Roman" w:eastAsia="仿宋_GB2312"/>
          <w:kern w:val="0"/>
          <w:sz w:val="32"/>
          <w:szCs w:val="32"/>
        </w:rPr>
        <w:t xml:space="preserve">  举报奖励由</w:t>
      </w:r>
      <w:r>
        <w:rPr>
          <w:rFonts w:ascii="Times New Roman" w:hAnsi="Times New Roman" w:eastAsia="仿宋_GB2312"/>
          <w:sz w:val="32"/>
          <w:szCs w:val="32"/>
        </w:rPr>
        <w:t>负有安全监管职责的部门</w:t>
      </w:r>
      <w:r>
        <w:rPr>
          <w:rFonts w:ascii="Times New Roman" w:hAnsi="Times New Roman" w:eastAsia="仿宋_GB2312"/>
          <w:kern w:val="0"/>
          <w:sz w:val="32"/>
          <w:szCs w:val="32"/>
        </w:rPr>
        <w:t>实施。办理部门应当在举报事项</w:t>
      </w:r>
      <w:bookmarkStart w:id="4" w:name="_Hlk137045404"/>
      <w:r>
        <w:rPr>
          <w:rFonts w:ascii="Times New Roman" w:hAnsi="Times New Roman" w:eastAsia="仿宋_GB2312"/>
          <w:kern w:val="0"/>
          <w:sz w:val="32"/>
          <w:szCs w:val="32"/>
        </w:rPr>
        <w:t>核查处理</w:t>
      </w:r>
      <w:bookmarkEnd w:id="4"/>
      <w:r>
        <w:rPr>
          <w:rFonts w:ascii="Times New Roman" w:hAnsi="Times New Roman" w:eastAsia="仿宋_GB2312"/>
          <w:kern w:val="0"/>
          <w:sz w:val="32"/>
          <w:szCs w:val="32"/>
        </w:rPr>
        <w:t>结束后5个工作日内，对举报事实、奖励条件和奖励金额予以认定，并形成《</w:t>
      </w:r>
      <w:r>
        <w:rPr>
          <w:rFonts w:ascii="Times New Roman" w:hAnsi="Times New Roman" w:eastAsia="仿宋_GB2312"/>
          <w:sz w:val="32"/>
          <w:szCs w:val="32"/>
        </w:rPr>
        <w:t>通江县安全生产举报核查报告》</w:t>
      </w:r>
      <w:r>
        <w:rPr>
          <w:rFonts w:ascii="Times New Roman" w:hAnsi="Times New Roman" w:eastAsia="仿宋_GB2312"/>
          <w:kern w:val="0"/>
          <w:sz w:val="32"/>
          <w:szCs w:val="32"/>
        </w:rPr>
        <w:t>、填写《</w:t>
      </w:r>
      <w:bookmarkStart w:id="5" w:name="_Hlk110612976"/>
      <w:r>
        <w:rPr>
          <w:rFonts w:ascii="Times New Roman" w:hAnsi="Times New Roman" w:eastAsia="仿宋_GB2312"/>
          <w:kern w:val="0"/>
          <w:sz w:val="32"/>
          <w:szCs w:val="32"/>
        </w:rPr>
        <w:t>通江县安全生产举报奖励金审批表</w:t>
      </w:r>
      <w:bookmarkEnd w:id="5"/>
      <w:r>
        <w:rPr>
          <w:rFonts w:ascii="Times New Roman" w:hAnsi="Times New Roman" w:eastAsia="仿宋_GB2312"/>
          <w:kern w:val="0"/>
          <w:sz w:val="32"/>
          <w:szCs w:val="32"/>
        </w:rPr>
        <w:t>》，将办理结果及时通知举报人。</w:t>
      </w:r>
    </w:p>
    <w:p w14:paraId="0D0FD182">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第十四条</w:t>
      </w:r>
      <w:r>
        <w:rPr>
          <w:rFonts w:ascii="Times New Roman" w:hAnsi="Times New Roman" w:eastAsia="仿宋_GB2312"/>
          <w:kern w:val="0"/>
          <w:sz w:val="32"/>
          <w:szCs w:val="32"/>
        </w:rPr>
        <w:t xml:space="preserve">  举报和报告人接到领奖通知后，应当在60日内凭举报或报告人有效证件到指定地点领取奖金，不得委托他人代办代领举报奖励资金；无法通知举报或报告人的，受理举报的负有安全监管职责的部门可以在一定范围内进行公告。逾期未办理奖金领取者，视为放弃领奖权利；能够说明理由的，可以适当延长领取时间，但最长不得超过30日。同一举报事项，不重复奖励。</w:t>
      </w:r>
    </w:p>
    <w:p w14:paraId="69C7BA74">
      <w:pPr>
        <w:pStyle w:val="8"/>
        <w:widowControl/>
        <w:shd w:val="clear" w:color="auto" w:fill="FFFFFF"/>
        <w:spacing w:before="0" w:beforeAutospacing="0" w:after="0" w:afterAutospacing="0" w:line="560" w:lineRule="exact"/>
        <w:ind w:firstLine="420"/>
        <w:jc w:val="both"/>
        <w:rPr>
          <w:rFonts w:ascii="Times New Roman" w:hAnsi="Times New Roman" w:eastAsia="仿宋_GB2312"/>
          <w:color w:val="333333"/>
          <w:sz w:val="32"/>
          <w:szCs w:val="32"/>
        </w:rPr>
      </w:pPr>
      <w:r>
        <w:rPr>
          <w:rFonts w:ascii="Times New Roman" w:hAnsi="Times New Roman" w:eastAsia="仿宋_GB2312"/>
          <w:b/>
          <w:bCs/>
          <w:sz w:val="32"/>
          <w:szCs w:val="32"/>
        </w:rPr>
        <w:t>第十五条</w:t>
      </w:r>
      <w:r>
        <w:rPr>
          <w:rFonts w:ascii="Times New Roman" w:hAnsi="Times New Roman" w:eastAsia="仿宋_GB2312"/>
          <w:sz w:val="32"/>
          <w:szCs w:val="32"/>
        </w:rPr>
        <w:t xml:space="preserve">  生产经营单位从业人员举报本单位重大事故隐患和安全生产违法行为的（已按企业内部安全风险隐患报告奖励制度进行奖励的除外），应提供签订的有效劳动合同或其他可以证明其生产经营单位从业人员身份的材料。生产经营单位从业人员家属举报本单位重大事故隐患和安全生产违法行为的，应提供户口簿复印件或其他能证明家属关系的材料，方可按照本办法第十条规定领取奖金。</w:t>
      </w:r>
    </w:p>
    <w:p w14:paraId="05118FAB">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第十六条</w:t>
      </w:r>
      <w:r>
        <w:rPr>
          <w:rFonts w:ascii="Times New Roman" w:hAnsi="Times New Roman" w:eastAsia="仿宋_GB2312"/>
          <w:kern w:val="0"/>
          <w:sz w:val="32"/>
          <w:szCs w:val="32"/>
        </w:rPr>
        <w:t xml:space="preserve">  匿名举报人有奖励诉求的，应当在举报的同时提出能够辨识其身份的信息作为身份代码，并与举报接收部门约定举报处理结果和奖励领取的告知方式。</w:t>
      </w:r>
    </w:p>
    <w:p w14:paraId="37D1F092">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第十七条</w:t>
      </w:r>
      <w:r>
        <w:rPr>
          <w:rFonts w:ascii="Times New Roman" w:hAnsi="Times New Roman" w:eastAsia="仿宋_GB2312"/>
          <w:kern w:val="0"/>
          <w:sz w:val="32"/>
          <w:szCs w:val="32"/>
        </w:rPr>
        <w:t xml:space="preserve">  多人多次举报同一事项的，由最先受理举报的负有安全监管职责的部门给予有功的实名举报人一次性奖励。多人联名举报同一事项的，由实名举报的第一署名人或者第一署名人书面委托的其他署名人领取奖金。以单位或组织名义举报的，奖励资金发给举报单位或组织。</w:t>
      </w:r>
    </w:p>
    <w:p w14:paraId="047F7117">
      <w:pPr>
        <w:pStyle w:val="2"/>
        <w:spacing w:line="560" w:lineRule="exact"/>
        <w:rPr>
          <w:rFonts w:ascii="Times New Roman" w:hAnsi="Times New Roman" w:eastAsia="仿宋_GB2312"/>
          <w:sz w:val="32"/>
        </w:rPr>
      </w:pPr>
    </w:p>
    <w:p w14:paraId="3CD4753C">
      <w:pPr>
        <w:tabs>
          <w:tab w:val="center" w:pos="4780"/>
          <w:tab w:val="left" w:pos="8805"/>
        </w:tabs>
        <w:autoSpaceDE w:val="0"/>
        <w:autoSpaceDN w:val="0"/>
        <w:adjustRightInd w:val="0"/>
        <w:spacing w:line="560" w:lineRule="exact"/>
        <w:jc w:val="center"/>
        <w:rPr>
          <w:rFonts w:ascii="黑体" w:hAnsi="黑体" w:eastAsia="黑体"/>
          <w:b/>
          <w:bCs/>
          <w:kern w:val="0"/>
          <w:sz w:val="32"/>
          <w:szCs w:val="32"/>
        </w:rPr>
      </w:pPr>
      <w:r>
        <w:rPr>
          <w:rFonts w:ascii="黑体" w:hAnsi="黑体" w:eastAsia="黑体"/>
          <w:b/>
          <w:bCs/>
          <w:sz w:val="32"/>
          <w:szCs w:val="32"/>
        </w:rPr>
        <w:t>第四章  监督管理</w:t>
      </w:r>
    </w:p>
    <w:p w14:paraId="50717D0F">
      <w:pPr>
        <w:tabs>
          <w:tab w:val="center" w:pos="4780"/>
          <w:tab w:val="left" w:pos="8805"/>
        </w:tabs>
        <w:autoSpaceDE w:val="0"/>
        <w:autoSpaceDN w:val="0"/>
        <w:adjustRightInd w:val="0"/>
        <w:spacing w:line="560" w:lineRule="exact"/>
        <w:ind w:firstLine="630" w:firstLineChars="196"/>
        <w:rPr>
          <w:rFonts w:ascii="Times New Roman" w:hAnsi="Times New Roman" w:eastAsia="仿宋_GB2312"/>
          <w:kern w:val="0"/>
          <w:sz w:val="32"/>
          <w:szCs w:val="32"/>
        </w:rPr>
      </w:pPr>
      <w:r>
        <w:rPr>
          <w:rFonts w:ascii="Times New Roman" w:hAnsi="Times New Roman" w:eastAsia="仿宋_GB2312"/>
          <w:b/>
          <w:bCs/>
          <w:kern w:val="0"/>
          <w:sz w:val="32"/>
          <w:szCs w:val="32"/>
        </w:rPr>
        <w:t>第十八条</w:t>
      </w:r>
      <w:r>
        <w:rPr>
          <w:rFonts w:ascii="Times New Roman" w:hAnsi="Times New Roman" w:eastAsia="仿宋_GB2312"/>
          <w:kern w:val="0"/>
          <w:sz w:val="32"/>
          <w:szCs w:val="32"/>
        </w:rPr>
        <w:t xml:space="preserve">  任何单位和个人不得以任何借口阻拦、压制举报人的举报并打击报复举报人。参与举报核查处理工作的人员不得泄露举报人员相关信息，依法保护举报人的合法权益。</w:t>
      </w:r>
    </w:p>
    <w:p w14:paraId="6D848F55">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第十九条</w:t>
      </w:r>
      <w:r>
        <w:rPr>
          <w:rFonts w:ascii="Times New Roman" w:hAnsi="Times New Roman" w:eastAsia="仿宋_GB2312"/>
          <w:kern w:val="0"/>
          <w:sz w:val="32"/>
          <w:szCs w:val="32"/>
        </w:rPr>
        <w:t xml:space="preserve">  举报人应当提供真实有效的联系方式，鼓励实名举报，以备核查过程中了解举报线索、反馈结果和发放奖励。</w:t>
      </w:r>
    </w:p>
    <w:p w14:paraId="654D2AF4">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举报人应对举报事项的真实性负责，不得捏造、歪曲事实，不得诬告、陷害他人。举报事项应包括明确的被举报对象及具体重大事故隐患、安全生产违法行为和发生或可能发生地点、受威胁区域内人员数量等内容。对借举报之名故意捏造事实诬告他人或者进行不正当竞争的，依法追究相应法律责任。</w:t>
      </w:r>
    </w:p>
    <w:p w14:paraId="17AE3480">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第二十条</w:t>
      </w:r>
      <w:r>
        <w:rPr>
          <w:rFonts w:ascii="Times New Roman" w:hAnsi="Times New Roman" w:eastAsia="仿宋_GB2312"/>
          <w:kern w:val="0"/>
          <w:sz w:val="32"/>
          <w:szCs w:val="32"/>
        </w:rPr>
        <w:t xml:space="preserve">  上级负有安全监管职责的部门和</w:t>
      </w:r>
      <w:r>
        <w:rPr>
          <w:rFonts w:ascii="Times New Roman" w:hAnsi="Times New Roman" w:eastAsia="仿宋_GB2312"/>
          <w:sz w:val="32"/>
          <w:szCs w:val="32"/>
        </w:rPr>
        <w:t>县安全生产委员会办公室</w:t>
      </w:r>
      <w:r>
        <w:rPr>
          <w:rFonts w:ascii="Times New Roman" w:hAnsi="Times New Roman" w:eastAsia="仿宋_GB2312"/>
          <w:kern w:val="0"/>
          <w:sz w:val="32"/>
          <w:szCs w:val="32"/>
        </w:rPr>
        <w:t>发现下列情形的举报事项，可对有关部门进行督办：</w:t>
      </w:r>
    </w:p>
    <w:p w14:paraId="26639DB5">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（一）办结后处理决定未得到落实的；</w:t>
      </w:r>
    </w:p>
    <w:p w14:paraId="707EB8C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（二）社会公众和生产经营单位从业人员反复举报的；</w:t>
      </w:r>
    </w:p>
    <w:p w14:paraId="2110DA5F">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（三）办理时弄虚作假的；</w:t>
      </w:r>
    </w:p>
    <w:p w14:paraId="3DF09592">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（四）未按照规定程序办理的；</w:t>
      </w:r>
    </w:p>
    <w:p w14:paraId="0FE559EB">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（五）泄露举报人信息，举报人受到打击报复的；</w:t>
      </w:r>
    </w:p>
    <w:p w14:paraId="08E55B5F">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（六）其他需要督办的情形。</w:t>
      </w:r>
    </w:p>
    <w:p w14:paraId="406D4BE9">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第二十一条</w:t>
      </w:r>
      <w:r>
        <w:rPr>
          <w:rFonts w:ascii="Times New Roman" w:hAnsi="Times New Roman" w:eastAsia="仿宋_GB2312"/>
          <w:kern w:val="0"/>
          <w:sz w:val="32"/>
          <w:szCs w:val="32"/>
        </w:rPr>
        <w:t xml:space="preserve">  参与举报核查处理工作的人员必须严格遵守保密纪律，妥善保管和使用举报材料，不得私自摘抄、复制、扣压、销毁。举报件中涉及国家秘密的，应按保密制度要求保密处理。</w:t>
      </w:r>
    </w:p>
    <w:p w14:paraId="2344F9A9">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宣传报道举报奖励时，未经举报人同意，不得公开举报人的姓名、工作单位。</w:t>
      </w:r>
    </w:p>
    <w:p w14:paraId="6F1B660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涉及商业秘密、个人隐私等信息，确需公开的，依照《中华人民共和国政府信息公开条例》等有关规定执行。</w:t>
      </w:r>
    </w:p>
    <w:p w14:paraId="68E633E3">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第二十二条</w:t>
      </w:r>
      <w:r>
        <w:rPr>
          <w:rFonts w:ascii="Times New Roman" w:hAnsi="Times New Roman" w:eastAsia="仿宋_GB2312"/>
          <w:kern w:val="0"/>
          <w:sz w:val="32"/>
          <w:szCs w:val="32"/>
        </w:rPr>
        <w:t xml:space="preserve">  有以下情形之一者，给予负有直接责任的公职人员相应的组织处理，情节严重的追究党纪政纪责任；涉嫌违法犯罪的，移送司法机关追究相关法律责任。</w:t>
      </w:r>
    </w:p>
    <w:p w14:paraId="162C853A">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（一）利用职权徇私舞弊、故意拖延发放奖金、冒领奖金、收受或变相收受举报人奖金回报的；</w:t>
      </w:r>
    </w:p>
    <w:p w14:paraId="7ACDFEAA">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（二）挪用、侵吞举报人没有领取的奖金的；</w:t>
      </w:r>
    </w:p>
    <w:p w14:paraId="19CE86D9">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（三）捏造举报人、指使或教唆他人冒充举报人领取奖金的；</w:t>
      </w:r>
    </w:p>
    <w:p w14:paraId="60F68842">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（四）泄露举报人信息，举报人受到打击报复的。</w:t>
      </w:r>
    </w:p>
    <w:p w14:paraId="11E268F3">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对挪用、侵吞、冒领的奖金追缴国库。</w:t>
      </w:r>
    </w:p>
    <w:p w14:paraId="2087143D">
      <w:pPr>
        <w:pStyle w:val="2"/>
        <w:spacing w:line="560" w:lineRule="exact"/>
        <w:rPr>
          <w:rFonts w:ascii="Times New Roman" w:hAnsi="Times New Roman" w:eastAsia="仿宋_GB2312"/>
          <w:sz w:val="32"/>
        </w:rPr>
      </w:pPr>
    </w:p>
    <w:p w14:paraId="7656F004">
      <w:pPr>
        <w:tabs>
          <w:tab w:val="center" w:pos="4780"/>
          <w:tab w:val="left" w:pos="8805"/>
        </w:tabs>
        <w:autoSpaceDE w:val="0"/>
        <w:autoSpaceDN w:val="0"/>
        <w:adjustRightInd w:val="0"/>
        <w:spacing w:line="560" w:lineRule="exact"/>
        <w:jc w:val="center"/>
        <w:rPr>
          <w:rFonts w:ascii="黑体" w:hAnsi="黑体" w:eastAsia="黑体"/>
          <w:b/>
          <w:bCs/>
          <w:sz w:val="32"/>
          <w:szCs w:val="32"/>
        </w:rPr>
      </w:pPr>
      <w:r>
        <w:rPr>
          <w:rFonts w:ascii="黑体" w:hAnsi="黑体" w:eastAsia="黑体"/>
          <w:b/>
          <w:bCs/>
          <w:sz w:val="32"/>
          <w:szCs w:val="32"/>
        </w:rPr>
        <w:t>第五章  附则</w:t>
      </w:r>
    </w:p>
    <w:p w14:paraId="78A306AE">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第二十三条</w:t>
      </w:r>
      <w:r>
        <w:rPr>
          <w:rFonts w:ascii="Times New Roman" w:hAnsi="Times New Roman" w:eastAsia="仿宋_GB2312"/>
          <w:kern w:val="0"/>
          <w:sz w:val="32"/>
          <w:szCs w:val="32"/>
        </w:rPr>
        <w:t xml:space="preserve">  本办法所称的实名举报，是指举报人提供真实姓名和真实有效联系方式的检举、揭发行为。</w:t>
      </w:r>
    </w:p>
    <w:p w14:paraId="73F3A8AD">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第二十四条</w:t>
      </w:r>
      <w:r>
        <w:rPr>
          <w:rFonts w:ascii="Times New Roman" w:hAnsi="Times New Roman" w:eastAsia="仿宋_GB2312"/>
          <w:kern w:val="0"/>
          <w:sz w:val="32"/>
          <w:szCs w:val="32"/>
        </w:rPr>
        <w:t xml:space="preserve">  本办法所称的匿名举报，是指举报人不提供真实姓名，但提供其他能够辨别其身份的信息及有效联系方式，使有关部门事后能确认其举报人身份的检举、揭发行为。</w:t>
      </w:r>
    </w:p>
    <w:p w14:paraId="1E4CD3BB">
      <w:pPr>
        <w:autoSpaceDE w:val="0"/>
        <w:autoSpaceDN w:val="0"/>
        <w:adjustRightInd w:val="0"/>
        <w:spacing w:line="560" w:lineRule="exact"/>
        <w:ind w:firstLine="643" w:firstLineChars="200"/>
        <w:rPr>
          <w:rFonts w:ascii="Times New Roman" w:hAnsi="Times New Roman" w:eastAsia="仿宋_GB2312"/>
          <w:color w:val="000000"/>
          <w:sz w:val="32"/>
          <w:szCs w:val="32"/>
          <w:shd w:val="clear" w:color="auto" w:fill="FFFFFF"/>
        </w:rPr>
      </w:pPr>
      <w:r>
        <w:rPr>
          <w:rFonts w:ascii="Times New Roman" w:hAnsi="Times New Roman" w:eastAsia="仿宋_GB2312"/>
          <w:b/>
          <w:bCs/>
          <w:sz w:val="32"/>
          <w:szCs w:val="32"/>
        </w:rPr>
        <w:t>第二十五条</w:t>
      </w:r>
      <w:r>
        <w:rPr>
          <w:rFonts w:ascii="Times New Roman" w:hAnsi="Times New Roman" w:eastAsia="仿宋_GB2312"/>
          <w:kern w:val="0"/>
          <w:sz w:val="32"/>
          <w:szCs w:val="32"/>
        </w:rPr>
        <w:t>乡镇（街道）、负有安全监管职责的部门可以结合实际制定具体实施办法。</w:t>
      </w:r>
    </w:p>
    <w:p w14:paraId="2049A01D">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第二十六条</w:t>
      </w:r>
      <w:r>
        <w:rPr>
          <w:rFonts w:ascii="Times New Roman" w:hAnsi="Times New Roman" w:eastAsia="仿宋_GB2312"/>
          <w:kern w:val="0"/>
          <w:sz w:val="32"/>
          <w:szCs w:val="32"/>
        </w:rPr>
        <w:t xml:space="preserve">  本办法自印发之日起执行，有效期5年。</w:t>
      </w:r>
    </w:p>
    <w:p w14:paraId="3BD899C3">
      <w:pPr>
        <w:pStyle w:val="2"/>
        <w:spacing w:line="560" w:lineRule="exact"/>
        <w:rPr>
          <w:rFonts w:ascii="Times New Roman" w:hAnsi="Times New Roman" w:eastAsia="仿宋_GB2312"/>
          <w:sz w:val="32"/>
        </w:rPr>
      </w:pPr>
    </w:p>
    <w:p w14:paraId="59E70EB4">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附件：通江县安全生产举报奖励金审批表</w:t>
      </w:r>
    </w:p>
    <w:p w14:paraId="42BE8A35">
      <w:pPr>
        <w:pStyle w:val="2"/>
        <w:spacing w:line="560" w:lineRule="exact"/>
        <w:rPr>
          <w:rFonts w:ascii="Times New Roman" w:hAnsi="Times New Roman" w:eastAsia="CESI仿宋-GB2312"/>
          <w:kern w:val="0"/>
          <w:sz w:val="32"/>
        </w:rPr>
      </w:pPr>
    </w:p>
    <w:p w14:paraId="387A0219">
      <w:pPr>
        <w:pStyle w:val="3"/>
        <w:spacing w:line="560" w:lineRule="exact"/>
        <w:ind w:firstLine="320"/>
        <w:rPr>
          <w:rFonts w:eastAsia="CESI仿宋-GB2312"/>
          <w:kern w:val="0"/>
          <w:sz w:val="32"/>
          <w:szCs w:val="32"/>
          <w:lang w:eastAsia="zh-CN"/>
        </w:rPr>
      </w:pPr>
    </w:p>
    <w:p w14:paraId="7AE55A84">
      <w:pPr>
        <w:pStyle w:val="2"/>
        <w:spacing w:line="560" w:lineRule="exact"/>
        <w:rPr>
          <w:rFonts w:hint="eastAsia" w:ascii="Times New Roman" w:hAnsi="Times New Roman" w:eastAsia="CESI仿宋-GB2312"/>
          <w:kern w:val="0"/>
          <w:sz w:val="32"/>
        </w:rPr>
      </w:pPr>
    </w:p>
    <w:p w14:paraId="6EA6B56C">
      <w:pPr>
        <w:pStyle w:val="3"/>
        <w:ind w:firstLine="210"/>
        <w:rPr>
          <w:rFonts w:hint="eastAsia"/>
          <w:lang w:eastAsia="zh-CN"/>
        </w:rPr>
      </w:pPr>
    </w:p>
    <w:p w14:paraId="3B4E13F8">
      <w:pPr>
        <w:pStyle w:val="2"/>
        <w:rPr>
          <w:rFonts w:hint="eastAsia"/>
        </w:rPr>
      </w:pPr>
    </w:p>
    <w:p w14:paraId="5F5DCD5B">
      <w:pPr>
        <w:pStyle w:val="3"/>
        <w:ind w:firstLine="210"/>
        <w:rPr>
          <w:rFonts w:hint="eastAsia"/>
          <w:lang w:eastAsia="zh-CN"/>
        </w:rPr>
      </w:pPr>
    </w:p>
    <w:p w14:paraId="629D685A">
      <w:pPr>
        <w:pStyle w:val="2"/>
        <w:rPr>
          <w:rFonts w:hint="eastAsia"/>
        </w:rPr>
      </w:pPr>
    </w:p>
    <w:p w14:paraId="76704847">
      <w:pPr>
        <w:pStyle w:val="3"/>
        <w:ind w:firstLine="210"/>
        <w:rPr>
          <w:lang w:eastAsia="zh-CN"/>
        </w:rPr>
      </w:pPr>
    </w:p>
    <w:p w14:paraId="3D94398C">
      <w:pPr>
        <w:tabs>
          <w:tab w:val="center" w:pos="4780"/>
          <w:tab w:val="left" w:pos="8805"/>
        </w:tabs>
        <w:autoSpaceDE w:val="0"/>
        <w:autoSpaceDN w:val="0"/>
        <w:adjustRightInd w:val="0"/>
        <w:spacing w:line="560" w:lineRule="exact"/>
        <w:jc w:val="left"/>
        <w:rPr>
          <w:rFonts w:ascii="Times New Roman" w:hAnsi="Times New Roman" w:eastAsia="黑体"/>
          <w:b/>
          <w:bCs/>
          <w:sz w:val="32"/>
          <w:szCs w:val="32"/>
        </w:rPr>
      </w:pPr>
    </w:p>
    <w:p w14:paraId="317964CF">
      <w:pPr>
        <w:tabs>
          <w:tab w:val="center" w:pos="4780"/>
          <w:tab w:val="left" w:pos="8805"/>
        </w:tabs>
        <w:autoSpaceDE w:val="0"/>
        <w:autoSpaceDN w:val="0"/>
        <w:adjustRightInd w:val="0"/>
        <w:spacing w:line="560" w:lineRule="exact"/>
        <w:jc w:val="left"/>
        <w:rPr>
          <w:rFonts w:ascii="Times New Roman" w:hAnsi="Times New Roman" w:eastAsia="黑体"/>
          <w:b/>
          <w:bCs/>
          <w:sz w:val="32"/>
          <w:szCs w:val="32"/>
        </w:rPr>
      </w:pPr>
    </w:p>
    <w:p w14:paraId="6857AAA1">
      <w:pPr>
        <w:tabs>
          <w:tab w:val="center" w:pos="4780"/>
          <w:tab w:val="left" w:pos="8805"/>
        </w:tabs>
        <w:autoSpaceDE w:val="0"/>
        <w:autoSpaceDN w:val="0"/>
        <w:adjustRightInd w:val="0"/>
        <w:spacing w:line="560" w:lineRule="exact"/>
        <w:jc w:val="left"/>
        <w:rPr>
          <w:rFonts w:ascii="Times New Roman" w:hAnsi="Times New Roman" w:eastAsia="黑体"/>
          <w:b/>
          <w:bCs/>
          <w:sz w:val="32"/>
          <w:szCs w:val="32"/>
        </w:rPr>
      </w:pPr>
      <w:r>
        <w:rPr>
          <w:rFonts w:ascii="Times New Roman" w:hAnsi="Times New Roman" w:eastAsia="黑体"/>
          <w:b/>
          <w:bCs/>
          <w:sz w:val="32"/>
          <w:szCs w:val="32"/>
        </w:rPr>
        <w:t>附件</w:t>
      </w:r>
    </w:p>
    <w:p w14:paraId="20BBBC43">
      <w:pPr>
        <w:pStyle w:val="2"/>
        <w:spacing w:line="560" w:lineRule="exact"/>
        <w:rPr>
          <w:rFonts w:ascii="Times New Roman" w:hAnsi="Times New Roman"/>
        </w:rPr>
      </w:pPr>
    </w:p>
    <w:p w14:paraId="2F034BCE">
      <w:pPr>
        <w:tabs>
          <w:tab w:val="center" w:pos="4780"/>
          <w:tab w:val="left" w:pos="8805"/>
        </w:tabs>
        <w:autoSpaceDE w:val="0"/>
        <w:autoSpaceDN w:val="0"/>
        <w:adjustRightInd w:val="0"/>
        <w:spacing w:line="560" w:lineRule="exact"/>
        <w:jc w:val="center"/>
        <w:rPr>
          <w:rFonts w:ascii="Times New Roman" w:hAnsi="Times New Roman" w:eastAsia="方正小标宋简体"/>
          <w:b/>
          <w:bCs/>
          <w:sz w:val="40"/>
          <w:szCs w:val="40"/>
        </w:rPr>
      </w:pPr>
      <w:r>
        <w:rPr>
          <w:rFonts w:ascii="Times New Roman" w:hAnsi="Times New Roman" w:eastAsia="方正小标宋简体"/>
          <w:b/>
          <w:bCs/>
          <w:sz w:val="40"/>
          <w:szCs w:val="40"/>
        </w:rPr>
        <w:t>通江县安全生产举报奖励金审批表</w:t>
      </w:r>
    </w:p>
    <w:p w14:paraId="33B5D0D0">
      <w:pPr>
        <w:spacing w:line="560" w:lineRule="exact"/>
        <w:ind w:firstLine="2822" w:firstLineChars="1176"/>
        <w:outlineLvl w:val="3"/>
        <w:rPr>
          <w:rFonts w:ascii="Times New Roman" w:hAnsi="Times New Roman" w:eastAsia="楷体_GB2312"/>
          <w:sz w:val="24"/>
        </w:rPr>
      </w:pPr>
      <w:r>
        <w:rPr>
          <w:rFonts w:ascii="Times New Roman" w:hAnsi="Times New Roman" w:eastAsia="楷体_GB2312"/>
          <w:sz w:val="24"/>
        </w:rPr>
        <w:t>编号：（  ）第（  ）号</w:t>
      </w:r>
    </w:p>
    <w:tbl>
      <w:tblPr>
        <w:tblStyle w:val="10"/>
        <w:tblpPr w:leftFromText="180" w:rightFromText="180" w:vertAnchor="text" w:horzAnchor="page" w:tblpXSpec="center" w:tblpY="174"/>
        <w:tblOverlap w:val="never"/>
        <w:tblW w:w="9516" w:type="dxa"/>
        <w:jc w:val="center"/>
        <w:tblLayout w:type="fixed"/>
        <w:tblCellMar>
          <w:top w:w="0" w:type="dxa"/>
          <w:left w:w="108" w:type="dxa"/>
          <w:bottom w:w="0" w:type="dxa"/>
          <w:right w:w="108" w:type="dxa"/>
        </w:tblCellMar>
      </w:tblPr>
      <w:tblGrid>
        <w:gridCol w:w="1262"/>
        <w:gridCol w:w="1829"/>
        <w:gridCol w:w="2170"/>
        <w:gridCol w:w="744"/>
        <w:gridCol w:w="1316"/>
        <w:gridCol w:w="2195"/>
      </w:tblGrid>
      <w:tr w14:paraId="289E97B5">
        <w:tblPrEx>
          <w:tblCellMar>
            <w:top w:w="0" w:type="dxa"/>
            <w:left w:w="108" w:type="dxa"/>
            <w:bottom w:w="0" w:type="dxa"/>
            <w:right w:w="108" w:type="dxa"/>
          </w:tblCellMar>
        </w:tblPrEx>
        <w:trPr>
          <w:trHeight w:val="1022" w:hRule="atLeast"/>
          <w:jc w:val="center"/>
        </w:trPr>
        <w:tc>
          <w:tcPr>
            <w:tcW w:w="1262" w:type="dxa"/>
            <w:tcBorders>
              <w:top w:val="single" w:color="000000" w:sz="4" w:space="0"/>
              <w:left w:val="single" w:color="000000" w:sz="4" w:space="0"/>
              <w:bottom w:val="single" w:color="000000" w:sz="4" w:space="0"/>
              <w:right w:val="single" w:color="000000" w:sz="4" w:space="0"/>
            </w:tcBorders>
            <w:noWrap/>
            <w:vAlign w:val="center"/>
          </w:tcPr>
          <w:p w14:paraId="17C77077">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举报人姓名及身份证号码</w:t>
            </w:r>
          </w:p>
        </w:tc>
        <w:tc>
          <w:tcPr>
            <w:tcW w:w="1829" w:type="dxa"/>
            <w:tcBorders>
              <w:top w:val="single" w:color="000000" w:sz="4" w:space="0"/>
              <w:left w:val="single" w:color="000000" w:sz="4" w:space="0"/>
              <w:bottom w:val="single" w:color="000000" w:sz="4" w:space="0"/>
              <w:right w:val="single" w:color="000000" w:sz="4" w:space="0"/>
            </w:tcBorders>
            <w:noWrap/>
            <w:vAlign w:val="center"/>
          </w:tcPr>
          <w:p w14:paraId="33134920">
            <w:pPr>
              <w:jc w:val="center"/>
              <w:rPr>
                <w:rFonts w:ascii="楷体_GB2312" w:hAnsi="楷体_GB2312" w:eastAsia="楷体_GB2312" w:cs="楷体_GB2312"/>
                <w:color w:val="000000"/>
                <w:sz w:val="24"/>
                <w:szCs w:val="24"/>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F0C9DB6">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举报时间</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CC2A037">
            <w:pPr>
              <w:jc w:val="center"/>
              <w:rPr>
                <w:rFonts w:ascii="楷体_GB2312" w:hAnsi="楷体_GB2312" w:eastAsia="楷体_GB2312" w:cs="楷体_GB2312"/>
                <w:color w:val="000000"/>
                <w:sz w:val="24"/>
                <w:szCs w:val="24"/>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FD3223D">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联系电话</w:t>
            </w:r>
          </w:p>
        </w:tc>
        <w:tc>
          <w:tcPr>
            <w:tcW w:w="2195" w:type="dxa"/>
            <w:tcBorders>
              <w:top w:val="single" w:color="000000" w:sz="4" w:space="0"/>
              <w:left w:val="single" w:color="000000" w:sz="4" w:space="0"/>
              <w:bottom w:val="single" w:color="000000" w:sz="4" w:space="0"/>
              <w:right w:val="single" w:color="000000" w:sz="4" w:space="0"/>
            </w:tcBorders>
            <w:noWrap/>
            <w:vAlign w:val="center"/>
          </w:tcPr>
          <w:p w14:paraId="22752CB3">
            <w:pPr>
              <w:jc w:val="center"/>
              <w:rPr>
                <w:rFonts w:ascii="楷体_GB2312" w:hAnsi="楷体_GB2312" w:eastAsia="楷体_GB2312" w:cs="楷体_GB2312"/>
                <w:color w:val="000000"/>
                <w:sz w:val="24"/>
                <w:szCs w:val="24"/>
              </w:rPr>
            </w:pPr>
          </w:p>
        </w:tc>
      </w:tr>
      <w:tr w14:paraId="36CAB67C">
        <w:tblPrEx>
          <w:tblCellMar>
            <w:top w:w="0" w:type="dxa"/>
            <w:left w:w="108" w:type="dxa"/>
            <w:bottom w:w="0" w:type="dxa"/>
            <w:right w:w="108" w:type="dxa"/>
          </w:tblCellMar>
        </w:tblPrEx>
        <w:trPr>
          <w:trHeight w:val="391" w:hRule="atLeast"/>
          <w:jc w:val="center"/>
        </w:trPr>
        <w:tc>
          <w:tcPr>
            <w:tcW w:w="1262" w:type="dxa"/>
            <w:tcBorders>
              <w:top w:val="single" w:color="000000" w:sz="4" w:space="0"/>
              <w:left w:val="single" w:color="000000" w:sz="4" w:space="0"/>
              <w:bottom w:val="single" w:color="000000" w:sz="4" w:space="0"/>
              <w:right w:val="single" w:color="000000" w:sz="4" w:space="0"/>
            </w:tcBorders>
            <w:noWrap/>
            <w:vAlign w:val="center"/>
          </w:tcPr>
          <w:p w14:paraId="58ADF350">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举报方式</w:t>
            </w:r>
          </w:p>
        </w:tc>
        <w:tc>
          <w:tcPr>
            <w:tcW w:w="8254" w:type="dxa"/>
            <w:gridSpan w:val="5"/>
            <w:tcBorders>
              <w:top w:val="single" w:color="000000" w:sz="4" w:space="0"/>
              <w:left w:val="single" w:color="000000" w:sz="4" w:space="0"/>
              <w:bottom w:val="single" w:color="000000" w:sz="4" w:space="0"/>
              <w:right w:val="single" w:color="000000" w:sz="4" w:space="0"/>
            </w:tcBorders>
            <w:noWrap/>
            <w:vAlign w:val="center"/>
          </w:tcPr>
          <w:p w14:paraId="0D5DDD23">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来人（</w:t>
            </w:r>
            <w:r>
              <w:rPr>
                <w:rStyle w:val="18"/>
                <w:rFonts w:ascii="楷体_GB2312" w:hAnsi="楷体_GB2312" w:eastAsia="楷体_GB2312" w:cs="楷体_GB2312"/>
              </w:rPr>
              <w:t>）来电（）信件（）其他（）</w:t>
            </w:r>
          </w:p>
        </w:tc>
      </w:tr>
      <w:tr w14:paraId="0AA73963">
        <w:tblPrEx>
          <w:tblCellMar>
            <w:top w:w="0" w:type="dxa"/>
            <w:left w:w="108" w:type="dxa"/>
            <w:bottom w:w="0" w:type="dxa"/>
            <w:right w:w="108" w:type="dxa"/>
          </w:tblCellMar>
        </w:tblPrEx>
        <w:trPr>
          <w:trHeight w:val="391" w:hRule="atLeast"/>
          <w:jc w:val="center"/>
        </w:trPr>
        <w:tc>
          <w:tcPr>
            <w:tcW w:w="1262" w:type="dxa"/>
            <w:tcBorders>
              <w:top w:val="single" w:color="000000" w:sz="4" w:space="0"/>
              <w:left w:val="single" w:color="000000" w:sz="4" w:space="0"/>
              <w:bottom w:val="single" w:color="000000" w:sz="4" w:space="0"/>
              <w:right w:val="single" w:color="000000" w:sz="4" w:space="0"/>
            </w:tcBorders>
            <w:noWrap/>
            <w:vAlign w:val="center"/>
          </w:tcPr>
          <w:p w14:paraId="6EF22D45">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举报事项</w:t>
            </w:r>
          </w:p>
        </w:tc>
        <w:tc>
          <w:tcPr>
            <w:tcW w:w="8254" w:type="dxa"/>
            <w:gridSpan w:val="5"/>
            <w:tcBorders>
              <w:top w:val="single" w:color="000000" w:sz="4" w:space="0"/>
              <w:left w:val="single" w:color="000000" w:sz="4" w:space="0"/>
              <w:bottom w:val="single" w:color="000000" w:sz="4" w:space="0"/>
              <w:right w:val="single" w:color="000000" w:sz="4" w:space="0"/>
            </w:tcBorders>
            <w:noWrap/>
            <w:vAlign w:val="center"/>
          </w:tcPr>
          <w:p w14:paraId="4BD8CC91">
            <w:pPr>
              <w:rPr>
                <w:rFonts w:ascii="楷体_GB2312" w:hAnsi="楷体_GB2312" w:eastAsia="楷体_GB2312" w:cs="楷体_GB2312"/>
                <w:color w:val="000000"/>
                <w:sz w:val="24"/>
                <w:szCs w:val="24"/>
              </w:rPr>
            </w:pPr>
          </w:p>
        </w:tc>
      </w:tr>
      <w:tr w14:paraId="3900CE6F">
        <w:tblPrEx>
          <w:tblCellMar>
            <w:top w:w="0" w:type="dxa"/>
            <w:left w:w="108" w:type="dxa"/>
            <w:bottom w:w="0" w:type="dxa"/>
            <w:right w:w="108" w:type="dxa"/>
          </w:tblCellMar>
        </w:tblPrEx>
        <w:trPr>
          <w:trHeight w:val="687"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noWrap/>
            <w:vAlign w:val="center"/>
          </w:tcPr>
          <w:p w14:paraId="39AAD05C">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案件处理结果</w:t>
            </w:r>
          </w:p>
        </w:tc>
        <w:tc>
          <w:tcPr>
            <w:tcW w:w="1829" w:type="dxa"/>
            <w:tcBorders>
              <w:top w:val="single" w:color="000000" w:sz="4" w:space="0"/>
              <w:left w:val="single" w:color="000000" w:sz="4" w:space="0"/>
              <w:bottom w:val="single" w:color="000000" w:sz="4" w:space="0"/>
              <w:right w:val="single" w:color="000000" w:sz="4" w:space="0"/>
            </w:tcBorders>
            <w:noWrap/>
            <w:vAlign w:val="center"/>
          </w:tcPr>
          <w:p w14:paraId="11C50696">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经办人</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70286B3">
            <w:pPr>
              <w:jc w:val="center"/>
              <w:rPr>
                <w:rFonts w:ascii="楷体_GB2312" w:hAnsi="楷体_GB2312" w:eastAsia="楷体_GB2312" w:cs="楷体_GB2312"/>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A873462">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办结时间</w:t>
            </w:r>
          </w:p>
        </w:tc>
        <w:tc>
          <w:tcPr>
            <w:tcW w:w="3511" w:type="dxa"/>
            <w:gridSpan w:val="2"/>
            <w:tcBorders>
              <w:top w:val="single" w:color="000000" w:sz="4" w:space="0"/>
              <w:left w:val="single" w:color="000000" w:sz="4" w:space="0"/>
              <w:bottom w:val="single" w:color="000000" w:sz="4" w:space="0"/>
              <w:right w:val="single" w:color="000000" w:sz="4" w:space="0"/>
            </w:tcBorders>
            <w:noWrap/>
            <w:vAlign w:val="center"/>
          </w:tcPr>
          <w:p w14:paraId="5EDB9532">
            <w:pPr>
              <w:jc w:val="center"/>
              <w:rPr>
                <w:rFonts w:ascii="楷体_GB2312" w:hAnsi="楷体_GB2312" w:eastAsia="楷体_GB2312" w:cs="楷体_GB2312"/>
                <w:color w:val="000000"/>
                <w:sz w:val="24"/>
                <w:szCs w:val="24"/>
              </w:rPr>
            </w:pPr>
          </w:p>
        </w:tc>
      </w:tr>
      <w:tr w14:paraId="4C3084BD">
        <w:tblPrEx>
          <w:tblCellMar>
            <w:top w:w="0" w:type="dxa"/>
            <w:left w:w="108" w:type="dxa"/>
            <w:bottom w:w="0" w:type="dxa"/>
            <w:right w:w="108" w:type="dxa"/>
          </w:tblCellMar>
        </w:tblPrEx>
        <w:trPr>
          <w:trHeight w:val="687"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67360F2D">
            <w:pPr>
              <w:jc w:val="center"/>
              <w:rPr>
                <w:rFonts w:ascii="楷体_GB2312" w:hAnsi="楷体_GB2312" w:eastAsia="楷体_GB2312" w:cs="楷体_GB2312"/>
                <w:color w:val="000000"/>
                <w:sz w:val="24"/>
                <w:szCs w:val="24"/>
              </w:rPr>
            </w:pPr>
          </w:p>
        </w:tc>
        <w:tc>
          <w:tcPr>
            <w:tcW w:w="1829" w:type="dxa"/>
            <w:tcBorders>
              <w:top w:val="single" w:color="000000" w:sz="4" w:space="0"/>
              <w:left w:val="single" w:color="000000" w:sz="4" w:space="0"/>
              <w:bottom w:val="single" w:color="000000" w:sz="4" w:space="0"/>
              <w:right w:val="single" w:color="000000" w:sz="4" w:space="0"/>
            </w:tcBorders>
            <w:noWrap/>
            <w:vAlign w:val="center"/>
          </w:tcPr>
          <w:p w14:paraId="64E74DFB">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处罚对象及罚没金额</w:t>
            </w:r>
          </w:p>
        </w:tc>
        <w:tc>
          <w:tcPr>
            <w:tcW w:w="6425" w:type="dxa"/>
            <w:gridSpan w:val="4"/>
            <w:tcBorders>
              <w:top w:val="single" w:color="000000" w:sz="4" w:space="0"/>
              <w:left w:val="single" w:color="000000" w:sz="4" w:space="0"/>
              <w:bottom w:val="single" w:color="000000" w:sz="4" w:space="0"/>
              <w:right w:val="single" w:color="000000" w:sz="4" w:space="0"/>
            </w:tcBorders>
            <w:noWrap/>
            <w:vAlign w:val="center"/>
          </w:tcPr>
          <w:p w14:paraId="0F77634E">
            <w:pPr>
              <w:jc w:val="center"/>
              <w:rPr>
                <w:rFonts w:ascii="楷体_GB2312" w:hAnsi="楷体_GB2312" w:eastAsia="楷体_GB2312" w:cs="楷体_GB2312"/>
                <w:color w:val="000000"/>
                <w:sz w:val="24"/>
                <w:szCs w:val="24"/>
              </w:rPr>
            </w:pPr>
          </w:p>
        </w:tc>
      </w:tr>
      <w:tr w14:paraId="3E08F90A">
        <w:tblPrEx>
          <w:tblCellMar>
            <w:top w:w="0" w:type="dxa"/>
            <w:left w:w="108" w:type="dxa"/>
            <w:bottom w:w="0" w:type="dxa"/>
            <w:right w:w="108" w:type="dxa"/>
          </w:tblCellMar>
        </w:tblPrEx>
        <w:trPr>
          <w:trHeight w:val="713" w:hRule="atLeast"/>
          <w:jc w:val="center"/>
        </w:trPr>
        <w:tc>
          <w:tcPr>
            <w:tcW w:w="1262" w:type="dxa"/>
            <w:tcBorders>
              <w:top w:val="single" w:color="000000" w:sz="4" w:space="0"/>
              <w:left w:val="single" w:color="000000" w:sz="4" w:space="0"/>
              <w:bottom w:val="single" w:color="000000" w:sz="4" w:space="0"/>
              <w:right w:val="single" w:color="000000" w:sz="4" w:space="0"/>
            </w:tcBorders>
            <w:noWrap/>
            <w:vAlign w:val="center"/>
          </w:tcPr>
          <w:p w14:paraId="3127CFE6">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奖励意见</w:t>
            </w:r>
          </w:p>
        </w:tc>
        <w:tc>
          <w:tcPr>
            <w:tcW w:w="3999" w:type="dxa"/>
            <w:gridSpan w:val="2"/>
            <w:tcBorders>
              <w:top w:val="single" w:color="000000" w:sz="4" w:space="0"/>
              <w:left w:val="single" w:color="000000" w:sz="4" w:space="0"/>
              <w:bottom w:val="single" w:color="000000" w:sz="4" w:space="0"/>
              <w:right w:val="single" w:color="000000" w:sz="4" w:space="0"/>
            </w:tcBorders>
            <w:noWrap/>
            <w:vAlign w:val="center"/>
          </w:tcPr>
          <w:p w14:paraId="464E2130">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奖励标准（大写）：</w:t>
            </w:r>
          </w:p>
        </w:tc>
        <w:tc>
          <w:tcPr>
            <w:tcW w:w="4255" w:type="dxa"/>
            <w:gridSpan w:val="3"/>
            <w:tcBorders>
              <w:top w:val="single" w:color="000000" w:sz="4" w:space="0"/>
              <w:left w:val="single" w:color="000000" w:sz="4" w:space="0"/>
              <w:bottom w:val="single" w:color="000000" w:sz="4" w:space="0"/>
              <w:right w:val="single" w:color="000000" w:sz="4" w:space="0"/>
            </w:tcBorders>
            <w:noWrap/>
            <w:vAlign w:val="center"/>
          </w:tcPr>
          <w:p w14:paraId="6DE4371B">
            <w:pPr>
              <w:widowControl/>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奖励金额（大写）：</w:t>
            </w:r>
          </w:p>
        </w:tc>
      </w:tr>
      <w:tr w14:paraId="25E5597B">
        <w:tblPrEx>
          <w:tblCellMar>
            <w:top w:w="0" w:type="dxa"/>
            <w:left w:w="108" w:type="dxa"/>
            <w:bottom w:w="0" w:type="dxa"/>
            <w:right w:w="108" w:type="dxa"/>
          </w:tblCellMar>
        </w:tblPrEx>
        <w:trPr>
          <w:trHeight w:val="391"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noWrap/>
            <w:vAlign w:val="center"/>
          </w:tcPr>
          <w:p w14:paraId="765F636D">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奖金领取方式</w:t>
            </w:r>
          </w:p>
        </w:tc>
        <w:tc>
          <w:tcPr>
            <w:tcW w:w="8254" w:type="dxa"/>
            <w:gridSpan w:val="5"/>
            <w:tcBorders>
              <w:top w:val="single" w:color="000000" w:sz="4" w:space="0"/>
              <w:left w:val="single" w:color="000000" w:sz="4" w:space="0"/>
              <w:bottom w:val="nil"/>
              <w:right w:val="single" w:color="000000" w:sz="4" w:space="0"/>
            </w:tcBorders>
            <w:noWrap/>
            <w:vAlign w:val="center"/>
          </w:tcPr>
          <w:p w14:paraId="5C988704">
            <w:pPr>
              <w:rPr>
                <w:rFonts w:ascii="楷体_GB2312" w:hAnsi="楷体_GB2312" w:eastAsia="楷体_GB2312" w:cs="楷体_GB2312"/>
                <w:color w:val="000000"/>
                <w:sz w:val="24"/>
                <w:szCs w:val="24"/>
              </w:rPr>
            </w:pPr>
          </w:p>
        </w:tc>
      </w:tr>
      <w:tr w14:paraId="267C8F8F">
        <w:tblPrEx>
          <w:tblCellMar>
            <w:top w:w="0" w:type="dxa"/>
            <w:left w:w="108" w:type="dxa"/>
            <w:bottom w:w="0" w:type="dxa"/>
            <w:right w:w="108" w:type="dxa"/>
          </w:tblCellMar>
        </w:tblPrEx>
        <w:trPr>
          <w:trHeight w:val="391"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2867E5DB">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nil"/>
              <w:right w:val="single" w:color="000000" w:sz="4" w:space="0"/>
            </w:tcBorders>
            <w:noWrap/>
            <w:vAlign w:val="center"/>
          </w:tcPr>
          <w:p w14:paraId="2CDC2E6A">
            <w:pPr>
              <w:widowControl/>
              <w:ind w:firstLine="2400" w:firstLineChars="1000"/>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承办人员签名：</w:t>
            </w:r>
          </w:p>
        </w:tc>
      </w:tr>
      <w:tr w14:paraId="603A2F43">
        <w:tblPrEx>
          <w:tblCellMar>
            <w:top w:w="0" w:type="dxa"/>
            <w:left w:w="108" w:type="dxa"/>
            <w:bottom w:w="0" w:type="dxa"/>
            <w:right w:w="108" w:type="dxa"/>
          </w:tblCellMar>
        </w:tblPrEx>
        <w:trPr>
          <w:trHeight w:val="354"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07546C91">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single" w:color="000000" w:sz="4" w:space="0"/>
              <w:right w:val="single" w:color="000000" w:sz="4" w:space="0"/>
            </w:tcBorders>
            <w:noWrap/>
            <w:vAlign w:val="center"/>
          </w:tcPr>
          <w:p w14:paraId="031B9CC7">
            <w:pPr>
              <w:widowControl/>
              <w:ind w:firstLine="3600" w:firstLineChars="1500"/>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年</w:t>
            </w:r>
            <w:r>
              <w:rPr>
                <w:rStyle w:val="18"/>
                <w:rFonts w:ascii="楷体_GB2312" w:hAnsi="楷体_GB2312" w:eastAsia="楷体_GB2312" w:cs="楷体_GB2312"/>
              </w:rPr>
              <w:t>月日</w:t>
            </w:r>
          </w:p>
        </w:tc>
      </w:tr>
      <w:tr w14:paraId="5AF926AE">
        <w:tblPrEx>
          <w:tblCellMar>
            <w:top w:w="0" w:type="dxa"/>
            <w:left w:w="108" w:type="dxa"/>
            <w:bottom w:w="0" w:type="dxa"/>
            <w:right w:w="108" w:type="dxa"/>
          </w:tblCellMar>
        </w:tblPrEx>
        <w:trPr>
          <w:trHeight w:val="391"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noWrap/>
            <w:vAlign w:val="center"/>
          </w:tcPr>
          <w:p w14:paraId="2F47F2ED">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经办单位审核意见</w:t>
            </w:r>
          </w:p>
        </w:tc>
        <w:tc>
          <w:tcPr>
            <w:tcW w:w="8254" w:type="dxa"/>
            <w:gridSpan w:val="5"/>
            <w:tcBorders>
              <w:top w:val="single" w:color="000000" w:sz="4" w:space="0"/>
              <w:left w:val="single" w:color="000000" w:sz="4" w:space="0"/>
              <w:bottom w:val="nil"/>
              <w:right w:val="single" w:color="000000" w:sz="4" w:space="0"/>
            </w:tcBorders>
            <w:noWrap/>
            <w:vAlign w:val="center"/>
          </w:tcPr>
          <w:p w14:paraId="7D662111">
            <w:pPr>
              <w:rPr>
                <w:rFonts w:ascii="楷体_GB2312" w:hAnsi="楷体_GB2312" w:eastAsia="楷体_GB2312" w:cs="楷体_GB2312"/>
                <w:color w:val="000000"/>
                <w:sz w:val="24"/>
                <w:szCs w:val="24"/>
              </w:rPr>
            </w:pPr>
          </w:p>
        </w:tc>
      </w:tr>
      <w:tr w14:paraId="7F659297">
        <w:tblPrEx>
          <w:tblCellMar>
            <w:top w:w="0" w:type="dxa"/>
            <w:left w:w="108" w:type="dxa"/>
            <w:bottom w:w="0" w:type="dxa"/>
            <w:right w:w="108" w:type="dxa"/>
          </w:tblCellMar>
        </w:tblPrEx>
        <w:trPr>
          <w:trHeight w:val="391"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25DFA570">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nil"/>
              <w:right w:val="single" w:color="000000" w:sz="4" w:space="0"/>
            </w:tcBorders>
            <w:noWrap/>
            <w:vAlign w:val="center"/>
          </w:tcPr>
          <w:p w14:paraId="435C76C3">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核查处理工作组负责人：</w:t>
            </w:r>
          </w:p>
        </w:tc>
      </w:tr>
      <w:tr w14:paraId="5DC44A88">
        <w:tblPrEx>
          <w:tblCellMar>
            <w:top w:w="0" w:type="dxa"/>
            <w:left w:w="108" w:type="dxa"/>
            <w:bottom w:w="0" w:type="dxa"/>
            <w:right w:w="108" w:type="dxa"/>
          </w:tblCellMar>
        </w:tblPrEx>
        <w:trPr>
          <w:trHeight w:val="391"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4F6633DE">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single" w:color="000000" w:sz="4" w:space="0"/>
              <w:right w:val="single" w:color="000000" w:sz="4" w:space="0"/>
            </w:tcBorders>
            <w:noWrap/>
            <w:vAlign w:val="center"/>
          </w:tcPr>
          <w:p w14:paraId="18EABAC6">
            <w:pPr>
              <w:widowControl/>
              <w:ind w:firstLine="2400" w:firstLineChars="1000"/>
              <w:jc w:val="center"/>
              <w:textAlignment w:val="center"/>
              <w:rPr>
                <w:rFonts w:ascii="楷体_GB2312" w:hAnsi="楷体_GB2312" w:eastAsia="楷体_GB2312" w:cs="楷体_GB2312"/>
                <w:color w:val="000000"/>
                <w:sz w:val="24"/>
                <w:szCs w:val="24"/>
              </w:rPr>
            </w:pPr>
            <w:r>
              <w:rPr>
                <w:rStyle w:val="18"/>
                <w:rFonts w:ascii="楷体_GB2312" w:hAnsi="楷体_GB2312" w:eastAsia="楷体_GB2312" w:cs="楷体_GB2312"/>
              </w:rPr>
              <w:t>年月日</w:t>
            </w:r>
          </w:p>
        </w:tc>
      </w:tr>
      <w:tr w14:paraId="77C931C7">
        <w:tblPrEx>
          <w:tblCellMar>
            <w:top w:w="0" w:type="dxa"/>
            <w:left w:w="108" w:type="dxa"/>
            <w:bottom w:w="0" w:type="dxa"/>
            <w:right w:w="108" w:type="dxa"/>
          </w:tblCellMar>
        </w:tblPrEx>
        <w:trPr>
          <w:trHeight w:val="391"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3F0BA6FE">
            <w:pPr>
              <w:jc w:val="center"/>
              <w:rPr>
                <w:rFonts w:ascii="楷体_GB2312" w:hAnsi="楷体_GB2312" w:eastAsia="楷体_GB2312" w:cs="楷体_GB2312"/>
                <w:color w:val="000000"/>
                <w:sz w:val="24"/>
                <w:szCs w:val="24"/>
              </w:rPr>
            </w:pPr>
          </w:p>
        </w:tc>
        <w:tc>
          <w:tcPr>
            <w:tcW w:w="8254" w:type="dxa"/>
            <w:gridSpan w:val="5"/>
            <w:tcBorders>
              <w:top w:val="single" w:color="000000" w:sz="4" w:space="0"/>
              <w:left w:val="single" w:color="000000" w:sz="4" w:space="0"/>
              <w:bottom w:val="nil"/>
              <w:right w:val="single" w:color="000000" w:sz="4" w:space="0"/>
            </w:tcBorders>
            <w:noWrap/>
            <w:vAlign w:val="center"/>
          </w:tcPr>
          <w:p w14:paraId="2CA7EA3D">
            <w:pPr>
              <w:rPr>
                <w:rFonts w:ascii="楷体_GB2312" w:hAnsi="楷体_GB2312" w:eastAsia="楷体_GB2312" w:cs="楷体_GB2312"/>
                <w:color w:val="000000"/>
                <w:sz w:val="24"/>
                <w:szCs w:val="24"/>
              </w:rPr>
            </w:pPr>
          </w:p>
        </w:tc>
      </w:tr>
      <w:tr w14:paraId="58577A32">
        <w:tblPrEx>
          <w:tblCellMar>
            <w:top w:w="0" w:type="dxa"/>
            <w:left w:w="108" w:type="dxa"/>
            <w:bottom w:w="0" w:type="dxa"/>
            <w:right w:w="108" w:type="dxa"/>
          </w:tblCellMar>
        </w:tblPrEx>
        <w:trPr>
          <w:trHeight w:val="391"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2E6AF706">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nil"/>
              <w:right w:val="single" w:color="000000" w:sz="4" w:space="0"/>
            </w:tcBorders>
            <w:noWrap/>
            <w:vAlign w:val="center"/>
          </w:tcPr>
          <w:p w14:paraId="0ECB3B23">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主要领导：</w:t>
            </w:r>
          </w:p>
        </w:tc>
      </w:tr>
      <w:tr w14:paraId="31A4D417">
        <w:tblPrEx>
          <w:tblCellMar>
            <w:top w:w="0" w:type="dxa"/>
            <w:left w:w="108" w:type="dxa"/>
            <w:bottom w:w="0" w:type="dxa"/>
            <w:right w:w="108" w:type="dxa"/>
          </w:tblCellMar>
        </w:tblPrEx>
        <w:trPr>
          <w:trHeight w:val="391"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ign w:val="center"/>
          </w:tcPr>
          <w:p w14:paraId="55044457">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single" w:color="000000" w:sz="4" w:space="0"/>
              <w:right w:val="single" w:color="000000" w:sz="4" w:space="0"/>
            </w:tcBorders>
            <w:noWrap/>
            <w:vAlign w:val="center"/>
          </w:tcPr>
          <w:p w14:paraId="576ED04E">
            <w:pPr>
              <w:widowControl/>
              <w:ind w:firstLine="2400" w:firstLineChars="1000"/>
              <w:jc w:val="center"/>
              <w:textAlignment w:val="center"/>
              <w:rPr>
                <w:rFonts w:ascii="楷体_GB2312" w:hAnsi="楷体_GB2312" w:eastAsia="楷体_GB2312" w:cs="楷体_GB2312"/>
                <w:color w:val="000000"/>
                <w:sz w:val="24"/>
                <w:szCs w:val="24"/>
              </w:rPr>
            </w:pPr>
            <w:r>
              <w:rPr>
                <w:rStyle w:val="18"/>
                <w:rFonts w:ascii="楷体_GB2312" w:hAnsi="楷体_GB2312" w:eastAsia="楷体_GB2312" w:cs="楷体_GB2312"/>
              </w:rPr>
              <w:t>年月日</w:t>
            </w:r>
          </w:p>
        </w:tc>
      </w:tr>
      <w:tr w14:paraId="361002C5">
        <w:tblPrEx>
          <w:tblCellMar>
            <w:top w:w="0" w:type="dxa"/>
            <w:left w:w="108" w:type="dxa"/>
            <w:bottom w:w="0" w:type="dxa"/>
            <w:right w:w="108" w:type="dxa"/>
          </w:tblCellMar>
        </w:tblPrEx>
        <w:trPr>
          <w:trHeight w:val="358" w:hRule="atLeast"/>
          <w:jc w:val="center"/>
        </w:trPr>
        <w:tc>
          <w:tcPr>
            <w:tcW w:w="1262" w:type="dxa"/>
            <w:vMerge w:val="restart"/>
            <w:tcBorders>
              <w:top w:val="single" w:color="000000" w:sz="4" w:space="0"/>
              <w:left w:val="single" w:color="000000" w:sz="4" w:space="0"/>
              <w:bottom w:val="single" w:color="000000" w:sz="4" w:space="0"/>
              <w:right w:val="nil"/>
            </w:tcBorders>
            <w:noWrap/>
            <w:vAlign w:val="center"/>
          </w:tcPr>
          <w:p w14:paraId="6E5CE980">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县应急管理局审批意见</w:t>
            </w:r>
          </w:p>
        </w:tc>
        <w:tc>
          <w:tcPr>
            <w:tcW w:w="8254" w:type="dxa"/>
            <w:gridSpan w:val="5"/>
            <w:tcBorders>
              <w:top w:val="single" w:color="000000" w:sz="4" w:space="0"/>
              <w:left w:val="single" w:color="000000" w:sz="4" w:space="0"/>
              <w:bottom w:val="nil"/>
              <w:right w:val="single" w:color="000000" w:sz="4" w:space="0"/>
            </w:tcBorders>
            <w:noWrap/>
          </w:tcPr>
          <w:p w14:paraId="55C114A4">
            <w:pPr>
              <w:rPr>
                <w:rFonts w:ascii="楷体_GB2312" w:hAnsi="楷体_GB2312" w:eastAsia="楷体_GB2312" w:cs="楷体_GB2312"/>
                <w:color w:val="000000"/>
                <w:sz w:val="24"/>
                <w:szCs w:val="24"/>
              </w:rPr>
            </w:pPr>
          </w:p>
        </w:tc>
      </w:tr>
      <w:tr w14:paraId="1779815F">
        <w:tblPrEx>
          <w:tblCellMar>
            <w:top w:w="0" w:type="dxa"/>
            <w:left w:w="108" w:type="dxa"/>
            <w:bottom w:w="0" w:type="dxa"/>
            <w:right w:w="108" w:type="dxa"/>
          </w:tblCellMar>
        </w:tblPrEx>
        <w:trPr>
          <w:trHeight w:val="354" w:hRule="atLeast"/>
          <w:jc w:val="center"/>
        </w:trPr>
        <w:tc>
          <w:tcPr>
            <w:tcW w:w="1262" w:type="dxa"/>
            <w:vMerge w:val="continue"/>
            <w:tcBorders>
              <w:top w:val="single" w:color="000000" w:sz="4" w:space="0"/>
              <w:left w:val="single" w:color="000000" w:sz="4" w:space="0"/>
              <w:bottom w:val="single" w:color="000000" w:sz="4" w:space="0"/>
              <w:right w:val="nil"/>
            </w:tcBorders>
            <w:noWrap/>
            <w:vAlign w:val="center"/>
          </w:tcPr>
          <w:p w14:paraId="6002AC77">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nil"/>
              <w:right w:val="single" w:color="000000" w:sz="4" w:space="0"/>
            </w:tcBorders>
            <w:noWrap/>
          </w:tcPr>
          <w:p w14:paraId="02E9A4C9">
            <w:pPr>
              <w:widowControl/>
              <w:ind w:firstLine="3120" w:firstLineChars="1300"/>
              <w:textAlignment w:val="top"/>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审批人：</w:t>
            </w:r>
          </w:p>
        </w:tc>
      </w:tr>
      <w:tr w14:paraId="3FE56140">
        <w:tblPrEx>
          <w:tblCellMar>
            <w:top w:w="0" w:type="dxa"/>
            <w:left w:w="108" w:type="dxa"/>
            <w:bottom w:w="0" w:type="dxa"/>
            <w:right w:w="108" w:type="dxa"/>
          </w:tblCellMar>
        </w:tblPrEx>
        <w:trPr>
          <w:trHeight w:val="354" w:hRule="atLeast"/>
          <w:jc w:val="center"/>
        </w:trPr>
        <w:tc>
          <w:tcPr>
            <w:tcW w:w="1262" w:type="dxa"/>
            <w:vMerge w:val="continue"/>
            <w:tcBorders>
              <w:top w:val="single" w:color="000000" w:sz="4" w:space="0"/>
              <w:left w:val="single" w:color="000000" w:sz="4" w:space="0"/>
              <w:bottom w:val="single" w:color="000000" w:sz="4" w:space="0"/>
              <w:right w:val="nil"/>
            </w:tcBorders>
            <w:noWrap/>
            <w:vAlign w:val="center"/>
          </w:tcPr>
          <w:p w14:paraId="279192FB">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single" w:color="000000" w:sz="4" w:space="0"/>
              <w:right w:val="single" w:color="000000" w:sz="4" w:space="0"/>
            </w:tcBorders>
            <w:noWrap/>
          </w:tcPr>
          <w:p w14:paraId="404280EF">
            <w:pPr>
              <w:widowControl/>
              <w:ind w:firstLine="3600" w:firstLineChars="1500"/>
              <w:textAlignment w:val="top"/>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年</w:t>
            </w:r>
            <w:r>
              <w:rPr>
                <w:rStyle w:val="18"/>
                <w:rFonts w:ascii="楷体_GB2312" w:hAnsi="楷体_GB2312" w:eastAsia="楷体_GB2312" w:cs="楷体_GB2312"/>
              </w:rPr>
              <w:t>月日</w:t>
            </w:r>
          </w:p>
        </w:tc>
      </w:tr>
      <w:tr w14:paraId="5E845722">
        <w:tblPrEx>
          <w:tblCellMar>
            <w:top w:w="0" w:type="dxa"/>
            <w:left w:w="108" w:type="dxa"/>
            <w:bottom w:w="0" w:type="dxa"/>
            <w:right w:w="108" w:type="dxa"/>
          </w:tblCellMar>
        </w:tblPrEx>
        <w:trPr>
          <w:trHeight w:val="563" w:hRule="atLeast"/>
          <w:jc w:val="center"/>
        </w:trPr>
        <w:tc>
          <w:tcPr>
            <w:tcW w:w="1262" w:type="dxa"/>
            <w:vMerge w:val="restart"/>
            <w:tcBorders>
              <w:top w:val="single" w:color="000000" w:sz="4" w:space="0"/>
              <w:left w:val="single" w:color="000000" w:sz="4" w:space="0"/>
              <w:bottom w:val="single" w:color="000000" w:sz="4" w:space="0"/>
              <w:right w:val="nil"/>
            </w:tcBorders>
            <w:noWrap/>
            <w:vAlign w:val="center"/>
          </w:tcPr>
          <w:p w14:paraId="359DD766">
            <w:pPr>
              <w:widowControl/>
              <w:jc w:val="center"/>
              <w:textAlignment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领取人签名或说明情况</w:t>
            </w:r>
          </w:p>
        </w:tc>
        <w:tc>
          <w:tcPr>
            <w:tcW w:w="8254" w:type="dxa"/>
            <w:gridSpan w:val="5"/>
            <w:tcBorders>
              <w:top w:val="single" w:color="000000" w:sz="4" w:space="0"/>
              <w:left w:val="single" w:color="000000" w:sz="4" w:space="0"/>
              <w:bottom w:val="nil"/>
              <w:right w:val="single" w:color="000000" w:sz="4" w:space="0"/>
            </w:tcBorders>
            <w:noWrap/>
          </w:tcPr>
          <w:p w14:paraId="733A921D">
            <w:pPr>
              <w:rPr>
                <w:rFonts w:ascii="楷体_GB2312" w:hAnsi="楷体_GB2312" w:eastAsia="楷体_GB2312" w:cs="楷体_GB2312"/>
                <w:color w:val="000000"/>
                <w:sz w:val="24"/>
                <w:szCs w:val="24"/>
              </w:rPr>
            </w:pPr>
          </w:p>
        </w:tc>
      </w:tr>
      <w:tr w14:paraId="62FA7705">
        <w:tblPrEx>
          <w:tblCellMar>
            <w:top w:w="0" w:type="dxa"/>
            <w:left w:w="108" w:type="dxa"/>
            <w:bottom w:w="0" w:type="dxa"/>
            <w:right w:w="108" w:type="dxa"/>
          </w:tblCellMar>
        </w:tblPrEx>
        <w:trPr>
          <w:trHeight w:val="549" w:hRule="atLeast"/>
          <w:jc w:val="center"/>
        </w:trPr>
        <w:tc>
          <w:tcPr>
            <w:tcW w:w="1262" w:type="dxa"/>
            <w:vMerge w:val="continue"/>
            <w:tcBorders>
              <w:top w:val="single" w:color="000000" w:sz="4" w:space="0"/>
              <w:left w:val="single" w:color="000000" w:sz="4" w:space="0"/>
              <w:bottom w:val="single" w:color="000000" w:sz="4" w:space="0"/>
              <w:right w:val="nil"/>
            </w:tcBorders>
            <w:noWrap/>
            <w:vAlign w:val="center"/>
          </w:tcPr>
          <w:p w14:paraId="31E79AFB">
            <w:pPr>
              <w:jc w:val="center"/>
              <w:rPr>
                <w:rFonts w:ascii="楷体_GB2312" w:hAnsi="楷体_GB2312" w:eastAsia="楷体_GB2312" w:cs="楷体_GB2312"/>
                <w:color w:val="000000"/>
                <w:sz w:val="24"/>
                <w:szCs w:val="24"/>
              </w:rPr>
            </w:pPr>
          </w:p>
        </w:tc>
        <w:tc>
          <w:tcPr>
            <w:tcW w:w="8254" w:type="dxa"/>
            <w:gridSpan w:val="5"/>
            <w:tcBorders>
              <w:top w:val="nil"/>
              <w:left w:val="single" w:color="000000" w:sz="4" w:space="0"/>
              <w:bottom w:val="single" w:color="000000" w:sz="4" w:space="0"/>
              <w:right w:val="single" w:color="000000" w:sz="4" w:space="0"/>
            </w:tcBorders>
            <w:noWrap/>
          </w:tcPr>
          <w:p w14:paraId="58563DE8">
            <w:pPr>
              <w:widowControl/>
              <w:ind w:firstLine="3600" w:firstLineChars="1500"/>
              <w:textAlignment w:val="top"/>
              <w:rPr>
                <w:rFonts w:ascii="楷体_GB2312" w:hAnsi="楷体_GB2312" w:eastAsia="楷体_GB2312" w:cs="楷体_GB2312"/>
                <w:color w:val="000000"/>
                <w:sz w:val="24"/>
                <w:szCs w:val="24"/>
              </w:rPr>
            </w:pPr>
            <w:r>
              <w:rPr>
                <w:rFonts w:hint="eastAsia" w:ascii="楷体_GB2312" w:hAnsi="楷体_GB2312" w:eastAsia="楷体_GB2312" w:cs="楷体_GB2312"/>
                <w:color w:val="000000"/>
                <w:kern w:val="0"/>
                <w:sz w:val="24"/>
                <w:szCs w:val="24"/>
              </w:rPr>
              <w:t>年</w:t>
            </w:r>
            <w:r>
              <w:rPr>
                <w:rStyle w:val="18"/>
                <w:rFonts w:ascii="楷体_GB2312" w:hAnsi="楷体_GB2312" w:eastAsia="楷体_GB2312" w:cs="楷体_GB2312"/>
              </w:rPr>
              <w:t>月日</w:t>
            </w:r>
          </w:p>
        </w:tc>
      </w:tr>
    </w:tbl>
    <w:p w14:paraId="44B6DB92">
      <w:pPr>
        <w:spacing w:line="560" w:lineRule="exact"/>
        <w:rPr>
          <w:rFonts w:ascii="Times New Roman" w:hAnsi="Times New Roman" w:eastAsia="仿宋_GB2312" w:cs="Times New Roman"/>
          <w:spacing w:val="-8"/>
          <w:sz w:val="32"/>
          <w:szCs w:val="32"/>
        </w:rPr>
      </w:pPr>
      <w:r>
        <w:rPr>
          <w:rFonts w:ascii="Times New Roman" w:hAnsi="Times New Roman" w:eastAsia="楷体_GB2312"/>
          <w:sz w:val="24"/>
        </w:rPr>
        <w:t>备注：填写此表必须是经过调查核实的举报案件，由牵头单位按件填写报批。</w:t>
      </w:r>
    </w:p>
    <w:bookmarkEnd w:id="6"/>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0DD9">
    <w:pPr>
      <w:pStyle w:val="6"/>
      <w:jc w:val="right"/>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114719870"/>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11</w:t>
        </w:r>
        <w:r>
          <w:rPr>
            <w:rFonts w:hint="eastAsia" w:asciiTheme="minorEastAsia" w:hAnsiTheme="minorEastAsia" w:cstheme="minorEastAsia"/>
            <w:sz w:val="28"/>
            <w:szCs w:val="28"/>
          </w:rPr>
          <w:fldChar w:fldCharType="end"/>
        </w:r>
      </w:sdtContent>
    </w:sdt>
    <w:r>
      <w:rPr>
        <w:rFonts w:hint="eastAsia" w:asciiTheme="minorEastAsia" w:hAnsiTheme="minorEastAsia" w:cstheme="minorEastAsia"/>
        <w:sz w:val="28"/>
        <w:szCs w:val="28"/>
      </w:rPr>
      <w:t>—</w:t>
    </w:r>
  </w:p>
  <w:p w14:paraId="41D769E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A7B8">
    <w:pPr>
      <w:pStyle w:val="6"/>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14719879"/>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10</w:t>
        </w:r>
        <w:r>
          <w:rPr>
            <w:rFonts w:ascii="Times New Roman" w:hAnsi="Times New Roman" w:cs="Times New Roman"/>
            <w:sz w:val="32"/>
            <w:szCs w:val="32"/>
          </w:rPr>
          <w:fldChar w:fldCharType="end"/>
        </w:r>
      </w:sdtContent>
    </w:sdt>
    <w:r>
      <w:rPr>
        <w:rFonts w:ascii="Times New Roman" w:hAnsi="Times New Roman" w:cs="Times New Roman"/>
        <w:sz w:val="32"/>
        <w:szCs w:val="32"/>
      </w:rPr>
      <w:t>—</w:t>
    </w:r>
  </w:p>
  <w:p w14:paraId="50C6B48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09D5"/>
    <w:rsid w:val="00023512"/>
    <w:rsid w:val="00023987"/>
    <w:rsid w:val="00024F70"/>
    <w:rsid w:val="00030B32"/>
    <w:rsid w:val="0003300F"/>
    <w:rsid w:val="00053616"/>
    <w:rsid w:val="000869A2"/>
    <w:rsid w:val="000B3EDC"/>
    <w:rsid w:val="000B50E7"/>
    <w:rsid w:val="000B5625"/>
    <w:rsid w:val="000B6562"/>
    <w:rsid w:val="000C23BC"/>
    <w:rsid w:val="000C6B15"/>
    <w:rsid w:val="000D0C1B"/>
    <w:rsid w:val="000E362F"/>
    <w:rsid w:val="0013640A"/>
    <w:rsid w:val="00136FD8"/>
    <w:rsid w:val="00141464"/>
    <w:rsid w:val="00155DA2"/>
    <w:rsid w:val="001721E1"/>
    <w:rsid w:val="00173985"/>
    <w:rsid w:val="001803C5"/>
    <w:rsid w:val="00184575"/>
    <w:rsid w:val="001A4CE7"/>
    <w:rsid w:val="001B4E8D"/>
    <w:rsid w:val="001C2056"/>
    <w:rsid w:val="001C7C8D"/>
    <w:rsid w:val="001D188D"/>
    <w:rsid w:val="001E43B2"/>
    <w:rsid w:val="0026600C"/>
    <w:rsid w:val="0027592E"/>
    <w:rsid w:val="002A110A"/>
    <w:rsid w:val="002C32CB"/>
    <w:rsid w:val="002D1632"/>
    <w:rsid w:val="0031550C"/>
    <w:rsid w:val="003266D0"/>
    <w:rsid w:val="003303A6"/>
    <w:rsid w:val="0033292A"/>
    <w:rsid w:val="00337248"/>
    <w:rsid w:val="00341B68"/>
    <w:rsid w:val="00346CF7"/>
    <w:rsid w:val="00350DE3"/>
    <w:rsid w:val="003529D7"/>
    <w:rsid w:val="00352B05"/>
    <w:rsid w:val="00367EC0"/>
    <w:rsid w:val="00393F39"/>
    <w:rsid w:val="003972D1"/>
    <w:rsid w:val="003A0955"/>
    <w:rsid w:val="003B2D37"/>
    <w:rsid w:val="003B6DFA"/>
    <w:rsid w:val="003B6E3F"/>
    <w:rsid w:val="003B768B"/>
    <w:rsid w:val="003C0FE1"/>
    <w:rsid w:val="003C4CEB"/>
    <w:rsid w:val="003E4C44"/>
    <w:rsid w:val="00492771"/>
    <w:rsid w:val="004C7B2C"/>
    <w:rsid w:val="004D12CF"/>
    <w:rsid w:val="00517F60"/>
    <w:rsid w:val="0053614F"/>
    <w:rsid w:val="005569D7"/>
    <w:rsid w:val="0056330D"/>
    <w:rsid w:val="005B1D92"/>
    <w:rsid w:val="005D4242"/>
    <w:rsid w:val="005E7A13"/>
    <w:rsid w:val="00602F8F"/>
    <w:rsid w:val="0060567C"/>
    <w:rsid w:val="0063573C"/>
    <w:rsid w:val="006548EB"/>
    <w:rsid w:val="006861AB"/>
    <w:rsid w:val="00694312"/>
    <w:rsid w:val="006A007C"/>
    <w:rsid w:val="006A0B57"/>
    <w:rsid w:val="006B6198"/>
    <w:rsid w:val="006D7657"/>
    <w:rsid w:val="006E06B8"/>
    <w:rsid w:val="006F6EEF"/>
    <w:rsid w:val="007031E3"/>
    <w:rsid w:val="007054D9"/>
    <w:rsid w:val="007223AA"/>
    <w:rsid w:val="00751A2C"/>
    <w:rsid w:val="007557C5"/>
    <w:rsid w:val="00765FBB"/>
    <w:rsid w:val="0077233A"/>
    <w:rsid w:val="00791DF2"/>
    <w:rsid w:val="007A09D5"/>
    <w:rsid w:val="007A1119"/>
    <w:rsid w:val="007E1F95"/>
    <w:rsid w:val="0081784D"/>
    <w:rsid w:val="00852634"/>
    <w:rsid w:val="008556ED"/>
    <w:rsid w:val="00870C14"/>
    <w:rsid w:val="00880FBE"/>
    <w:rsid w:val="0088142D"/>
    <w:rsid w:val="008870C2"/>
    <w:rsid w:val="0089054B"/>
    <w:rsid w:val="008B40CA"/>
    <w:rsid w:val="008C6966"/>
    <w:rsid w:val="008D4269"/>
    <w:rsid w:val="008E7974"/>
    <w:rsid w:val="008F2770"/>
    <w:rsid w:val="00913585"/>
    <w:rsid w:val="00924F7F"/>
    <w:rsid w:val="00934CCB"/>
    <w:rsid w:val="00936B25"/>
    <w:rsid w:val="0093762C"/>
    <w:rsid w:val="0097251B"/>
    <w:rsid w:val="009963EA"/>
    <w:rsid w:val="009C49B7"/>
    <w:rsid w:val="009F39D9"/>
    <w:rsid w:val="00A110B1"/>
    <w:rsid w:val="00A25290"/>
    <w:rsid w:val="00A301FA"/>
    <w:rsid w:val="00A37A55"/>
    <w:rsid w:val="00A7000F"/>
    <w:rsid w:val="00AE49B0"/>
    <w:rsid w:val="00AE77F5"/>
    <w:rsid w:val="00B139B1"/>
    <w:rsid w:val="00B15A60"/>
    <w:rsid w:val="00B23858"/>
    <w:rsid w:val="00B45D5E"/>
    <w:rsid w:val="00B574C6"/>
    <w:rsid w:val="00BB3902"/>
    <w:rsid w:val="00C177A3"/>
    <w:rsid w:val="00C261BD"/>
    <w:rsid w:val="00C2672E"/>
    <w:rsid w:val="00C26810"/>
    <w:rsid w:val="00C27ADB"/>
    <w:rsid w:val="00C33496"/>
    <w:rsid w:val="00C84F06"/>
    <w:rsid w:val="00CA2B15"/>
    <w:rsid w:val="00CB6E16"/>
    <w:rsid w:val="00CC7FE6"/>
    <w:rsid w:val="00D315DF"/>
    <w:rsid w:val="00D31B50"/>
    <w:rsid w:val="00D448E0"/>
    <w:rsid w:val="00D46711"/>
    <w:rsid w:val="00D53349"/>
    <w:rsid w:val="00D53A01"/>
    <w:rsid w:val="00D906B7"/>
    <w:rsid w:val="00DE0969"/>
    <w:rsid w:val="00DF4269"/>
    <w:rsid w:val="00E46B5C"/>
    <w:rsid w:val="00E5692B"/>
    <w:rsid w:val="00E6256C"/>
    <w:rsid w:val="00E726A9"/>
    <w:rsid w:val="00E83694"/>
    <w:rsid w:val="00EA6982"/>
    <w:rsid w:val="00EB05D6"/>
    <w:rsid w:val="00F35201"/>
    <w:rsid w:val="00F367A8"/>
    <w:rsid w:val="00F83538"/>
    <w:rsid w:val="00FA6A0B"/>
    <w:rsid w:val="00FD4A62"/>
    <w:rsid w:val="06FCCE54"/>
    <w:rsid w:val="0FDB9E2B"/>
    <w:rsid w:val="16C26F51"/>
    <w:rsid w:val="2D505405"/>
    <w:rsid w:val="2DCFED7F"/>
    <w:rsid w:val="30D8098C"/>
    <w:rsid w:val="37DAE584"/>
    <w:rsid w:val="4D7EAE1A"/>
    <w:rsid w:val="4EF76A1F"/>
    <w:rsid w:val="57F69711"/>
    <w:rsid w:val="5BFF9C4C"/>
    <w:rsid w:val="5DCB22E5"/>
    <w:rsid w:val="5EB55146"/>
    <w:rsid w:val="6EFFD834"/>
    <w:rsid w:val="767C6146"/>
    <w:rsid w:val="76F329B8"/>
    <w:rsid w:val="7B7D84A2"/>
    <w:rsid w:val="7BEFFF6E"/>
    <w:rsid w:val="7F9C803E"/>
    <w:rsid w:val="7FAEDC87"/>
    <w:rsid w:val="7FFB16BF"/>
    <w:rsid w:val="7FFB7005"/>
    <w:rsid w:val="7FFFBE33"/>
    <w:rsid w:val="9FF7AB1A"/>
    <w:rsid w:val="ACE6673A"/>
    <w:rsid w:val="BDFD81C3"/>
    <w:rsid w:val="BEFD7469"/>
    <w:rsid w:val="BFE5602F"/>
    <w:rsid w:val="BFF66C05"/>
    <w:rsid w:val="CBBF9FD4"/>
    <w:rsid w:val="D2F65149"/>
    <w:rsid w:val="DBC7F808"/>
    <w:rsid w:val="DBF71C92"/>
    <w:rsid w:val="DEDB075B"/>
    <w:rsid w:val="E5BD3640"/>
    <w:rsid w:val="E5FF4D7F"/>
    <w:rsid w:val="EBB5D407"/>
    <w:rsid w:val="EFBD29E8"/>
    <w:rsid w:val="F3F59850"/>
    <w:rsid w:val="F4E7B6BF"/>
    <w:rsid w:val="FA7E4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jc w:val="center"/>
    </w:pPr>
    <w:rPr>
      <w:rFonts w:eastAsia="华文中宋"/>
      <w:sz w:val="42"/>
      <w:szCs w:val="32"/>
    </w:rPr>
  </w:style>
  <w:style w:type="paragraph" w:styleId="3">
    <w:name w:val="Body Text First Indent"/>
    <w:next w:val="2"/>
    <w:qFormat/>
    <w:uiPriority w:val="0"/>
    <w:pPr>
      <w:widowControl w:val="0"/>
      <w:autoSpaceDE w:val="0"/>
      <w:autoSpaceDN w:val="0"/>
      <w:ind w:firstLine="420" w:firstLineChars="100"/>
      <w:jc w:val="both"/>
    </w:pPr>
    <w:rPr>
      <w:rFonts w:ascii="Times New Roman" w:hAnsi="Times New Roman" w:eastAsia="宋体" w:cs="Times New Roman"/>
      <w:kern w:val="2"/>
      <w:sz w:val="21"/>
      <w:szCs w:val="18"/>
      <w:lang w:val="en-US" w:eastAsia="en-US" w:bidi="ar-SA"/>
    </w:rPr>
  </w:style>
  <w:style w:type="paragraph" w:styleId="4">
    <w:name w:val="Body Text Indent"/>
    <w:basedOn w:val="1"/>
    <w:link w:val="14"/>
    <w:semiHidden/>
    <w:unhideWhenUsed/>
    <w:qFormat/>
    <w:uiPriority w:val="99"/>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link w:val="15"/>
    <w:qFormat/>
    <w:uiPriority w:val="0"/>
    <w:pPr>
      <w:spacing w:after="0"/>
      <w:ind w:left="0" w:leftChars="0" w:firstLine="420" w:firstLineChars="200"/>
    </w:pPr>
    <w:rPr>
      <w:rFonts w:ascii="仿宋_GB2312" w:hAnsi="仿宋_GB2312" w:eastAsia="仿宋_GB2312" w:cs="Times New Roman"/>
      <w:sz w:val="32"/>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正文文本缩进 Char"/>
    <w:basedOn w:val="11"/>
    <w:link w:val="4"/>
    <w:semiHidden/>
    <w:qFormat/>
    <w:uiPriority w:val="99"/>
  </w:style>
  <w:style w:type="character" w:customStyle="1" w:styleId="15">
    <w:name w:val="正文首行缩进 2 Char"/>
    <w:basedOn w:val="14"/>
    <w:link w:val="9"/>
    <w:qFormat/>
    <w:uiPriority w:val="0"/>
    <w:rPr>
      <w:rFonts w:ascii="仿宋_GB2312" w:hAnsi="仿宋_GB2312" w:eastAsia="仿宋_GB2312" w:cs="Times New Roman"/>
      <w:sz w:val="32"/>
    </w:rPr>
  </w:style>
  <w:style w:type="character" w:customStyle="1" w:styleId="16">
    <w:name w:val="批注框文本 Char"/>
    <w:basedOn w:val="11"/>
    <w:link w:val="5"/>
    <w:semiHidden/>
    <w:qFormat/>
    <w:uiPriority w:val="99"/>
    <w:rPr>
      <w:kern w:val="2"/>
      <w:sz w:val="18"/>
      <w:szCs w:val="18"/>
    </w:rPr>
  </w:style>
  <w:style w:type="character" w:customStyle="1" w:styleId="17">
    <w:name w:val="font01"/>
    <w:basedOn w:val="11"/>
    <w:qFormat/>
    <w:uiPriority w:val="0"/>
    <w:rPr>
      <w:rFonts w:hint="default" w:ascii="Times New Roman" w:hAnsi="Times New Roman" w:cs="Times New Roman"/>
      <w:color w:val="000000"/>
      <w:sz w:val="24"/>
      <w:szCs w:val="24"/>
      <w:u w:val="none"/>
    </w:rPr>
  </w:style>
  <w:style w:type="character" w:customStyle="1" w:styleId="18">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4952</Words>
  <Characters>5007</Characters>
  <Lines>37</Lines>
  <Paragraphs>10</Paragraphs>
  <TotalTime>8</TotalTime>
  <ScaleCrop>false</ScaleCrop>
  <LinksUpToDate>false</LinksUpToDate>
  <CharactersWithSpaces>5063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2023-11-01T19:08:00Z</dcterms:created>
  <dc:creator>PC</dc:creator>
  <cp:lastModifiedBy>lenov</cp:lastModifiedBy>
  <cp:lastPrinted>2024-01-17T06:47:00Z</cp:lastPrinted>
  <dcterms:modified xsi:type="dcterms:W3CDTF">2024-12-20T08:56:14Z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AB0BD81F4AD3BCBA2DF64165360862D7</vt:lpwstr>
  </property>
</Properties>
</file>