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4997"/>
      <w:bookmarkStart w:id="2" w:name="_Toc15377425"/>
      <w:bookmarkStart w:id="3" w:name="_Toc15396475"/>
      <w:bookmarkStart w:id="4" w:name="_Toc15378441"/>
      <w:bookmarkStart w:id="5" w:name="_Toc15377193"/>
      <w:bookmarkStart w:id="6" w:name="_Toc15396597"/>
      <w:bookmarkStart w:id="7" w:name="_Toc8162"/>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20</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5396598"/>
      <w:bookmarkStart w:id="9" w:name="_Toc15396476"/>
      <w:bookmarkStart w:id="10" w:name="_Toc15377194"/>
      <w:bookmarkStart w:id="11" w:name="_Toc15378442"/>
      <w:bookmarkStart w:id="12" w:name="_Toc20605"/>
      <w:bookmarkStart w:id="13" w:name="_Toc1962"/>
      <w:bookmarkStart w:id="14"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5" w:name="_Toc15306268"/>
      <w:r>
        <w:rPr>
          <w:rFonts w:hint="eastAsia" w:ascii="方正小标宋简体" w:hAnsi="方正小标宋简体" w:eastAsia="方正小标宋简体" w:cs="方正小标宋简体"/>
          <w:color w:val="auto"/>
          <w:sz w:val="72"/>
          <w:szCs w:val="72"/>
          <w:highlight w:val="none"/>
          <w:lang w:eastAsia="zh-CN"/>
        </w:rPr>
        <w:t>通江县长坪镇人民政府单位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pPr>
        <w:adjustRightInd w:val="0"/>
        <w:snapToGrid w:val="0"/>
        <w:spacing w:line="360" w:lineRule="auto"/>
        <w:jc w:val="both"/>
        <w:outlineLvl w:val="0"/>
        <w:rPr>
          <w:rFonts w:ascii="方正小标宋简体" w:hAnsi="宋体" w:eastAsia="方正小标宋简体"/>
          <w:color w:val="auto"/>
          <w:sz w:val="52"/>
          <w:szCs w:val="52"/>
          <w:highlight w:val="none"/>
        </w:rPr>
      </w:pP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hint="eastAsia" w:ascii="仿宋" w:hAnsi="仿宋" w:eastAsia="仿宋" w:cs="仿宋"/>
          <w:color w:val="auto"/>
          <w:sz w:val="28"/>
          <w:szCs w:val="28"/>
          <w:highlight w:val="none"/>
        </w:rPr>
        <w:t>公开时间：20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w:t>
      </w:r>
      <w:r>
        <w:fldChar w:fldCharType="begin"/>
      </w:r>
      <w:r>
        <w:instrText xml:space="preserve">TOC \o "1-2" \h \u </w:instrText>
      </w:r>
      <w:r>
        <w:fldChar w:fldCharType="separate"/>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_Toc9832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 xml:space="preserve">第一部分 </w:t>
      </w:r>
      <w:r>
        <w:rPr>
          <w:rFonts w:hint="eastAsia" w:ascii="仿宋" w:hAnsi="仿宋" w:eastAsia="仿宋" w:cs="仿宋"/>
          <w:sz w:val="24"/>
          <w:szCs w:val="24"/>
          <w:highlight w:val="none"/>
          <w:lang w:eastAsia="zh-CN"/>
        </w:rPr>
        <w:t>单位</w:t>
      </w:r>
      <w:r>
        <w:rPr>
          <w:rFonts w:hint="eastAsia" w:ascii="仿宋" w:hAnsi="仿宋" w:eastAsia="仿宋" w:cs="仿宋"/>
          <w:bCs w:val="0"/>
          <w:sz w:val="24"/>
          <w:szCs w:val="24"/>
          <w:highlight w:val="none"/>
        </w:rPr>
        <w:t>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_Toc9832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_Toc28313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_Toc28313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_Toc9977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二、2020年重点</w:t>
      </w:r>
      <w:r>
        <w:rPr>
          <w:rFonts w:hint="eastAsia" w:ascii="宋体" w:hAnsi="宋体" w:eastAsia="宋体" w:cs="宋体"/>
          <w:sz w:val="24"/>
          <w:szCs w:val="24"/>
          <w:highlight w:val="none"/>
        </w:rPr>
        <w:t>工作</w:t>
      </w:r>
      <w:r>
        <w:rPr>
          <w:rFonts w:hint="eastAsia" w:ascii="宋体" w:hAnsi="宋体" w:eastAsia="宋体" w:cs="宋体"/>
          <w:sz w:val="24"/>
          <w:szCs w:val="24"/>
          <w:highlight w:val="none"/>
          <w:lang w:eastAsia="zh-CN"/>
        </w:rPr>
        <w:t>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_Toc9977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_Toc4210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第二部分 </w:t>
      </w:r>
      <w:r>
        <w:rPr>
          <w:rFonts w:hint="eastAsia" w:ascii="仿宋" w:hAnsi="仿宋" w:eastAsia="仿宋" w:cs="仿宋"/>
          <w:bCs/>
          <w:sz w:val="24"/>
          <w:szCs w:val="24"/>
          <w:highlight w:val="none"/>
          <w:lang w:val="en-US" w:eastAsia="zh-CN"/>
        </w:rPr>
        <w:t>2020年度</w:t>
      </w:r>
      <w:r>
        <w:rPr>
          <w:rFonts w:hint="eastAsia" w:ascii="仿宋" w:hAnsi="仿宋" w:eastAsia="仿宋" w:cs="仿宋"/>
          <w:bCs/>
          <w:sz w:val="24"/>
          <w:szCs w:val="24"/>
          <w:highlight w:val="none"/>
          <w:lang w:eastAsia="zh-CN"/>
        </w:rPr>
        <w:t>单位</w:t>
      </w:r>
      <w:r>
        <w:rPr>
          <w:rFonts w:hint="eastAsia" w:ascii="仿宋" w:hAnsi="仿宋" w:eastAsia="仿宋" w:cs="仿宋"/>
          <w:bCs/>
          <w:sz w:val="24"/>
          <w:szCs w:val="24"/>
          <w:highlight w:val="none"/>
        </w:rPr>
        <w:t>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_Toc4210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_Toc3053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_Toc25270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_Toc25270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_Toc3143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_Toc15279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_Toc15279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_Toc2133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_Toc16093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_Toc16093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_Toc32417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_Toc13871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_Toc13871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_Toc18473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第三部分 </w:t>
      </w:r>
      <w:r>
        <w:rPr>
          <w:rFonts w:hint="eastAsia" w:ascii="仿宋" w:hAnsi="仿宋" w:eastAsia="仿宋" w:cs="仿宋"/>
          <w:sz w:val="24"/>
          <w:szCs w:val="24"/>
          <w:highlight w:val="none"/>
        </w:rPr>
        <w:t>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_Toc2668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_Toc4852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_Toc4852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_Toc2393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_Toc15816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_Toc15816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_Toc32273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_Toc32273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_Toc30503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_Toc30503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_Toc9729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_Toc9729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_Toc13136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_Toc13136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_Toc17728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_Toc17728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_Toc7888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_Toc7888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_Toc4562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_Toc4562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_Toc15838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_Toc22642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_Toc22642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_Toc25278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eastAsia="zh-CN"/>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_Toc25278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24"/>
          <w:highlight w:val="none"/>
        </w:rPr>
      </w:pPr>
      <w:r>
        <w:fldChar w:fldCharType="end"/>
      </w:r>
    </w:p>
    <w:p>
      <w:pPr>
        <w:widowControl/>
        <w:spacing w:line="440" w:lineRule="exact"/>
        <w:jc w:val="left"/>
        <w:rPr>
          <w:rFonts w:ascii="仿宋" w:hAnsi="仿宋" w:eastAsia="仿宋"/>
          <w:bCs/>
          <w:color w:val="auto"/>
          <w:kern w:val="44"/>
          <w:sz w:val="24"/>
          <w:highlight w:val="none"/>
        </w:rPr>
      </w:pPr>
      <w:bookmarkStart w:id="16" w:name="_Toc15377196"/>
      <w:bookmarkStart w:id="17"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bookmarkStart w:id="18" w:name="_Toc983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6"/>
      <w:bookmarkEnd w:id="17"/>
      <w:bookmarkEnd w:id="18"/>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9" w:name="_Toc28313"/>
      <w:bookmarkStart w:id="20" w:name="_Toc15377197"/>
      <w:bookmarkStart w:id="21"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19"/>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江县长坪镇严格贯彻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1、执行本级人民代表大会的决议和上级国家行政机关的决定和命令，发布决定和命令</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2、执行本行政区域内的经济和社会发展计划、预算，管理本行政区域内的经济、教育、科学、文化、卫生、体育事业和财政、民政、公安、司法行政、计划生育等行政工作。</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3、保护社会主义的全民所有的财产和劳动群众集体所有的财产，保护公民私人所有的合法财产，维护社会秩序，保障公民的人身权利、民主权利和其他权利。</w:t>
      </w:r>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4、保护各种经济组织的合法权益</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rPr>
      </w:pPr>
      <w:r>
        <w:rPr>
          <w:rFonts w:hint="eastAsia" w:ascii="仿宋" w:hAnsi="仿宋" w:eastAsia="仿宋" w:cs="仿宋"/>
          <w:sz w:val="32"/>
          <w:szCs w:val="32"/>
          <w:lang w:val="en-US" w:eastAsia="zh-CN"/>
        </w:rPr>
        <w:t>5、办理上级县委、县政府交办的其他事项。</w:t>
      </w:r>
    </w:p>
    <w:p>
      <w:pPr>
        <w:pStyle w:val="4"/>
        <w:numPr>
          <w:ilvl w:val="0"/>
          <w:numId w:val="0"/>
        </w:numPr>
        <w:rPr>
          <w:rFonts w:hint="eastAsia" w:ascii="黑体" w:hAnsi="黑体" w:eastAsia="黑体"/>
          <w:b w:val="0"/>
          <w:color w:val="auto"/>
          <w:highlight w:val="none"/>
          <w:lang w:eastAsia="zh-CN"/>
        </w:rPr>
      </w:pPr>
      <w:bookmarkStart w:id="22" w:name="_Toc9977"/>
      <w:r>
        <w:rPr>
          <w:rFonts w:hint="eastAsia" w:ascii="黑体" w:hAnsi="黑体" w:eastAsia="黑体"/>
          <w:b w:val="0"/>
          <w:color w:val="auto"/>
          <w:highlight w:val="none"/>
          <w:lang w:val="en-US" w:eastAsia="zh-CN"/>
        </w:rPr>
        <w:t>二、2020年重点</w:t>
      </w:r>
      <w:r>
        <w:rPr>
          <w:rFonts w:hint="eastAsia" w:ascii="黑体" w:hAnsi="黑体" w:eastAsia="黑体"/>
          <w:b w:val="0"/>
          <w:color w:val="auto"/>
          <w:highlight w:val="none"/>
        </w:rPr>
        <w:t>工作</w:t>
      </w:r>
      <w:bookmarkEnd w:id="20"/>
      <w:bookmarkEnd w:id="21"/>
      <w:r>
        <w:rPr>
          <w:rFonts w:hint="eastAsia" w:ascii="黑体" w:hAnsi="黑体" w:eastAsia="黑体"/>
          <w:b w:val="0"/>
          <w:color w:val="auto"/>
          <w:highlight w:val="none"/>
          <w:lang w:eastAsia="zh-CN"/>
        </w:rPr>
        <w:t>完成情况</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长坪镇在上级党委政府的领导下，以党的十九大精神为指导，坚持中央八项规定，严格预算执行，增加农民收入，大力发展产业，全身心投入到脱贫攻坚工作，顺利完成脱贫攻坚省检工作，为全镇脱贫做出了</w:t>
      </w:r>
      <w:bookmarkStart w:id="110" w:name="_GoBack"/>
      <w:bookmarkEnd w:id="110"/>
      <w:r>
        <w:rPr>
          <w:rFonts w:hint="eastAsia" w:ascii="仿宋" w:hAnsi="仿宋" w:eastAsia="仿宋" w:cs="仿宋"/>
          <w:kern w:val="0"/>
          <w:sz w:val="32"/>
          <w:szCs w:val="32"/>
          <w:lang w:val="en-US" w:eastAsia="zh-CN" w:bidi="ar-SA"/>
        </w:rPr>
        <w:t>重大贡献。</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23" w:name="_Toc15396602"/>
      <w:bookmarkStart w:id="24" w:name="_Toc4210"/>
      <w:bookmarkStart w:id="25"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2020年度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3"/>
      <w:bookmarkEnd w:id="24"/>
      <w:bookmarkEnd w:id="25"/>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6" w:name="_Toc3053"/>
      <w:bookmarkStart w:id="27" w:name="_Toc15377205"/>
      <w:bookmarkStart w:id="28"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1450.08万元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入减少</w:t>
      </w:r>
      <w:r>
        <w:rPr>
          <w:rFonts w:hint="eastAsia" w:ascii="仿宋" w:hAnsi="仿宋" w:eastAsia="仿宋"/>
          <w:color w:val="auto"/>
          <w:sz w:val="32"/>
          <w:szCs w:val="32"/>
          <w:highlight w:val="none"/>
          <w:lang w:val="en-US" w:eastAsia="zh-CN"/>
        </w:rPr>
        <w:t>1236.69万元，下降46.03%；支出减少1236.69万元，下降46.03%。</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pPr>
        <w:pStyle w:val="2"/>
        <w:rPr>
          <w:rFonts w:ascii="仿宋" w:hAnsi="仿宋" w:eastAsia="仿宋"/>
          <w:color w:val="auto"/>
          <w:sz w:val="32"/>
          <w:szCs w:val="32"/>
          <w:highlight w:val="none"/>
        </w:rPr>
      </w:pPr>
      <w:r>
        <w:rPr>
          <w:rFonts w:hint="eastAsia"/>
        </w:rPr>
        <w:drawing>
          <wp:inline distT="0" distB="0" distL="114300" distR="114300">
            <wp:extent cx="4288155" cy="3554095"/>
            <wp:effectExtent l="4445" t="4445" r="12700"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9" w:name="_Toc15377206"/>
      <w:bookmarkStart w:id="30" w:name="_Toc15396604"/>
      <w:bookmarkStart w:id="31" w:name="_Toc25270"/>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ascii="仿宋" w:hAnsi="仿宋" w:eastAsia="仿宋"/>
          <w:b/>
          <w:color w:val="auto"/>
          <w:sz w:val="32"/>
          <w:szCs w:val="32"/>
          <w:highlight w:val="none"/>
        </w:rPr>
      </w:pPr>
      <w:bookmarkStart w:id="32" w:name="_Toc8697"/>
      <w:bookmarkStart w:id="33" w:name="_Toc2864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bookmarkEnd w:id="33"/>
    </w:p>
    <w:p>
      <w:pPr>
        <w:spacing w:line="600" w:lineRule="exact"/>
        <w:ind w:firstLine="640" w:firstLineChars="200"/>
        <w:outlineLvl w:val="1"/>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71010" cy="3344545"/>
            <wp:effectExtent l="4445" t="4445" r="1079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4" w:name="_Toc15377207"/>
      <w:bookmarkStart w:id="35" w:name="_Toc3143"/>
      <w:bookmarkStart w:id="36"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4"/>
      <w:bookmarkEnd w:id="35"/>
      <w:bookmarkEnd w:id="36"/>
    </w:p>
    <w:p>
      <w:pPr>
        <w:spacing w:line="600" w:lineRule="exact"/>
        <w:ind w:firstLine="640" w:firstLineChars="200"/>
        <w:outlineLvl w:val="1"/>
        <w:rPr>
          <w:rFonts w:ascii="仿宋" w:hAnsi="仿宋" w:eastAsia="仿宋"/>
          <w:color w:val="auto"/>
          <w:sz w:val="32"/>
          <w:szCs w:val="32"/>
          <w:highlight w:val="none"/>
        </w:rPr>
      </w:pPr>
      <w:bookmarkStart w:id="37" w:name="_Toc31056"/>
      <w:bookmarkStart w:id="38" w:name="_Toc169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819.22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56.49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630.86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7"/>
      <w:bookmarkEnd w:id="38"/>
    </w:p>
    <w:p>
      <w:pPr>
        <w:spacing w:line="600" w:lineRule="exact"/>
        <w:ind w:firstLine="643" w:firstLineChars="200"/>
        <w:outlineLvl w:val="1"/>
        <w:rPr>
          <w:rFonts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69105" cy="3411220"/>
            <wp:effectExtent l="4445" t="5080" r="12700"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39" w:name="_Toc15377208"/>
      <w:bookmarkStart w:id="40" w:name="_Toc15279"/>
      <w:bookmarkStart w:id="41"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9"/>
      <w:bookmarkEnd w:id="40"/>
      <w:bookmarkEnd w:id="41"/>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lang w:val="en-US" w:eastAsia="zh-CN"/>
        </w:rPr>
        <w:t>1450.08万元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入减少</w:t>
      </w:r>
      <w:r>
        <w:rPr>
          <w:rFonts w:hint="eastAsia" w:ascii="仿宋" w:hAnsi="仿宋" w:eastAsia="仿宋"/>
          <w:color w:val="auto"/>
          <w:sz w:val="32"/>
          <w:szCs w:val="32"/>
          <w:highlight w:val="none"/>
          <w:lang w:val="en-US" w:eastAsia="zh-CN"/>
        </w:rPr>
        <w:t>1236.69万元，下降46.03%；支出减少1236.69万元，下降46.03%。</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pPr>
        <w:spacing w:line="600" w:lineRule="exact"/>
        <w:rPr>
          <w:rFonts w:ascii="仿宋" w:hAnsi="仿宋" w:eastAsia="仿宋"/>
          <w:b/>
          <w:color w:val="auto"/>
          <w:sz w:val="32"/>
          <w:szCs w:val="32"/>
          <w:highlight w:val="none"/>
        </w:rPr>
      </w:pPr>
    </w:p>
    <w:p>
      <w:pPr>
        <w:spacing w:line="600" w:lineRule="exact"/>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lang w:val="en-US" w:eastAsia="zh-CN"/>
        </w:rPr>
      </w:pPr>
      <w:r>
        <w:rPr>
          <w:rFonts w:hint="eastAsia" w:eastAsia="仿宋"/>
          <w:lang w:eastAsia="zh-CN"/>
        </w:rPr>
        <w:drawing>
          <wp:inline distT="0" distB="0" distL="114300" distR="114300">
            <wp:extent cx="4270375" cy="3164205"/>
            <wp:effectExtent l="4445" t="4445" r="11430"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42" w:name="_Toc15377209"/>
      <w:bookmarkStart w:id="43" w:name="_Toc15396607"/>
      <w:bookmarkStart w:id="44" w:name="_Toc2588"/>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2"/>
      <w:bookmarkEnd w:id="43"/>
      <w:bookmarkEnd w:id="44"/>
    </w:p>
    <w:p>
      <w:pPr>
        <w:spacing w:line="600" w:lineRule="exact"/>
        <w:ind w:firstLine="643" w:firstLineChars="200"/>
        <w:outlineLvl w:val="2"/>
        <w:rPr>
          <w:rFonts w:ascii="仿宋" w:hAnsi="仿宋" w:eastAsia="仿宋"/>
          <w:b/>
          <w:color w:val="auto"/>
          <w:sz w:val="32"/>
          <w:szCs w:val="32"/>
          <w:highlight w:val="none"/>
        </w:rPr>
      </w:pPr>
      <w:bookmarkStart w:id="45" w:name="_Toc15377210"/>
      <w:r>
        <w:rPr>
          <w:rFonts w:hint="eastAsia" w:ascii="仿宋" w:hAnsi="仿宋" w:eastAsia="仿宋"/>
          <w:b/>
          <w:color w:val="auto"/>
          <w:sz w:val="32"/>
          <w:szCs w:val="32"/>
          <w:highlight w:val="none"/>
        </w:rPr>
        <w:t>（一）一般公共预算财政拨款支出决算总体情况</w:t>
      </w:r>
      <w:bookmarkEnd w:id="45"/>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1236.69</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46.03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脱贫攻坚结束，人员增减变动。</w:t>
      </w:r>
    </w:p>
    <w:p>
      <w:pPr>
        <w:spacing w:line="60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70375" cy="2954020"/>
            <wp:effectExtent l="5080" t="4445" r="10795" b="1333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6" w:name="_Toc15377211"/>
      <w:r>
        <w:rPr>
          <w:rFonts w:hint="eastAsia" w:ascii="仿宋" w:hAnsi="仿宋" w:eastAsia="仿宋"/>
          <w:b/>
          <w:color w:val="auto"/>
          <w:sz w:val="32"/>
          <w:szCs w:val="32"/>
          <w:highlight w:val="none"/>
        </w:rPr>
        <w:t>（二）一般公共预算财政拨款支出决算结构情况</w:t>
      </w:r>
      <w:bookmarkEnd w:id="46"/>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1450.08</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val="0"/>
          <w:bCs w:val="0"/>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399.45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27.55</w:t>
      </w:r>
      <w:r>
        <w:rPr>
          <w:rFonts w:ascii="仿宋" w:hAnsi="仿宋" w:eastAsia="仿宋"/>
          <w:color w:val="auto"/>
          <w:sz w:val="32"/>
          <w:szCs w:val="32"/>
          <w:highlight w:val="none"/>
        </w:rPr>
        <w:t>%</w:t>
      </w:r>
      <w:r>
        <w:rPr>
          <w:rFonts w:hint="eastAsia" w:ascii="仿宋" w:hAnsi="仿宋" w:eastAsia="仿宋"/>
          <w:b w:val="0"/>
          <w:bCs w:val="0"/>
          <w:color w:val="auto"/>
          <w:sz w:val="32"/>
          <w:szCs w:val="32"/>
          <w:highlight w:val="none"/>
        </w:rPr>
        <w:t>；文化旅游体育与传媒（类）支出</w:t>
      </w:r>
      <w:r>
        <w:rPr>
          <w:rFonts w:hint="eastAsia" w:ascii="仿宋" w:hAnsi="仿宋" w:eastAsia="仿宋"/>
          <w:b w:val="0"/>
          <w:bCs w:val="0"/>
          <w:color w:val="auto"/>
          <w:sz w:val="32"/>
          <w:szCs w:val="32"/>
          <w:highlight w:val="none"/>
          <w:lang w:val="en-US" w:eastAsia="zh-CN"/>
        </w:rPr>
        <w:t>18.38</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1.27</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99.61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6.87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29.42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节能环保支出</w:t>
      </w:r>
      <w:r>
        <w:rPr>
          <w:rFonts w:hint="eastAsia" w:ascii="仿宋" w:hAnsi="仿宋" w:eastAsia="仿宋"/>
          <w:color w:val="auto"/>
          <w:sz w:val="32"/>
          <w:szCs w:val="32"/>
          <w:highlight w:val="none"/>
          <w:lang w:val="en-US" w:eastAsia="zh-CN"/>
        </w:rPr>
        <w:t>0.69万元，占0.05%；农林水支出844.16万元，占58.21%；交通运输支出22.41万元，占1.55%；商业服务业等支出0.70万元，占0.05%；</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35.26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2.42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hint="eastAsia" w:ascii="仿宋" w:hAnsi="仿宋" w:eastAsia="仿宋"/>
          <w:b/>
          <w:color w:val="auto"/>
          <w:sz w:val="32"/>
          <w:szCs w:val="32"/>
          <w:highlight w:val="none"/>
        </w:rPr>
      </w:pPr>
    </w:p>
    <w:p>
      <w:pPr>
        <w:pStyle w:val="2"/>
        <w:rPr>
          <w:rFonts w:ascii="仿宋" w:hAnsi="仿宋" w:eastAsia="仿宋"/>
          <w:color w:val="auto"/>
          <w:sz w:val="32"/>
          <w:szCs w:val="32"/>
          <w:highlight w:val="none"/>
        </w:rPr>
      </w:pPr>
      <w:r>
        <w:rPr>
          <w:rFonts w:hint="eastAsia" w:eastAsia="仿宋"/>
          <w:lang w:eastAsia="zh-CN"/>
        </w:rPr>
        <w:drawing>
          <wp:inline distT="0" distB="0" distL="114300" distR="114300">
            <wp:extent cx="4280535" cy="3202305"/>
            <wp:effectExtent l="4445" t="4445" r="2032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7" w:name="_Toc15377212"/>
      <w:r>
        <w:rPr>
          <w:rFonts w:hint="eastAsia" w:ascii="仿宋" w:hAnsi="仿宋" w:eastAsia="仿宋"/>
          <w:b/>
          <w:color w:val="auto"/>
          <w:sz w:val="32"/>
          <w:szCs w:val="32"/>
          <w:highlight w:val="none"/>
        </w:rPr>
        <w:t>（三）一般公共预算财政拨款支出决算具体情况</w:t>
      </w:r>
      <w:bookmarkEnd w:id="47"/>
    </w:p>
    <w:p>
      <w:pPr>
        <w:spacing w:line="600" w:lineRule="exact"/>
        <w:ind w:firstLine="643" w:firstLineChars="200"/>
        <w:outlineLvl w:val="2"/>
        <w:rPr>
          <w:rFonts w:ascii="仿宋" w:hAnsi="仿宋" w:eastAsia="仿宋"/>
          <w:color w:val="auto"/>
          <w:sz w:val="32"/>
          <w:szCs w:val="32"/>
          <w:highlight w:val="none"/>
        </w:rPr>
      </w:pPr>
      <w:bookmarkStart w:id="48" w:name="_Toc15377213"/>
      <w:bookmarkStart w:id="49" w:name="_Toc15378460"/>
      <w:bookmarkStart w:id="50"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20</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1450.08万元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48"/>
      <w:bookmarkEnd w:id="49"/>
      <w:bookmarkEnd w:id="50"/>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人大事务</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行政运行</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7.65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政府办公厅（室）及相关机构事务（款）行政运行（项）：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317.08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政府办公厅（室）及相关机构事务（款）一般行政管理事务（项）：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23.75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财政事务（款）行政运行（项）：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30.24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财政事务（款）事业运行（项）：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6.</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党委办公厅（室）及相关机构事务（款）行政运行（项）：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14.68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7.</w:t>
      </w:r>
      <w:r>
        <w:rPr>
          <w:rStyle w:val="14"/>
          <w:rFonts w:hint="eastAsia" w:ascii="仿宋" w:hAnsi="仿宋" w:eastAsia="仿宋"/>
          <w:bCs/>
          <w:color w:val="auto"/>
          <w:sz w:val="32"/>
          <w:szCs w:val="32"/>
          <w:highlight w:val="none"/>
        </w:rPr>
        <w:t>一般公共服务（类）</w:t>
      </w:r>
      <w:r>
        <w:rPr>
          <w:rStyle w:val="14"/>
          <w:rFonts w:hint="eastAsia" w:ascii="仿宋" w:hAnsi="仿宋" w:eastAsia="仿宋"/>
          <w:bCs/>
          <w:color w:val="auto"/>
          <w:sz w:val="32"/>
          <w:szCs w:val="32"/>
          <w:highlight w:val="none"/>
          <w:lang w:eastAsia="zh-CN"/>
        </w:rPr>
        <w:t>其他一般公共服务支出（款）其他一般公共服务支出（项）：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8</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文化旅游体育与传媒（类）</w:t>
      </w:r>
      <w:r>
        <w:rPr>
          <w:rStyle w:val="14"/>
          <w:rFonts w:hint="eastAsia" w:ascii="仿宋" w:hAnsi="仿宋" w:eastAsia="仿宋"/>
          <w:bCs/>
          <w:color w:val="auto"/>
          <w:sz w:val="32"/>
          <w:szCs w:val="32"/>
          <w:highlight w:val="none"/>
          <w:lang w:eastAsia="zh-CN"/>
        </w:rPr>
        <w:t>文化和旅游</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群众文化</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15.38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default"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9.</w:t>
      </w:r>
      <w:r>
        <w:rPr>
          <w:rStyle w:val="14"/>
          <w:rFonts w:hint="eastAsia" w:ascii="仿宋" w:hAnsi="仿宋" w:eastAsia="仿宋"/>
          <w:bCs/>
          <w:color w:val="auto"/>
          <w:sz w:val="32"/>
          <w:szCs w:val="32"/>
          <w:highlight w:val="none"/>
        </w:rPr>
        <w:t>文化旅游体育与传媒（类）</w:t>
      </w:r>
      <w:r>
        <w:rPr>
          <w:rStyle w:val="14"/>
          <w:rFonts w:hint="eastAsia" w:ascii="仿宋" w:hAnsi="仿宋" w:eastAsia="仿宋"/>
          <w:bCs/>
          <w:color w:val="auto"/>
          <w:sz w:val="32"/>
          <w:szCs w:val="32"/>
          <w:highlight w:val="none"/>
          <w:lang w:eastAsia="zh-CN"/>
        </w:rPr>
        <w:t>文化和旅游</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其他文化和旅游支出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10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人力资源和社会保障管理事务</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社会保险经办机构</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13.30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行政事业单位养老支出（款）机关事业单位基本养老保险缴费支出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47.01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default" w:ascii="仿宋" w:hAnsi="仿宋" w:eastAsia="仿宋"/>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12.</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eastAsia="zh-CN"/>
        </w:rPr>
        <w:t>就业补助（款）公益性岗位补贴（项）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39.30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公共卫生</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eastAsia="zh-CN"/>
        </w:rPr>
        <w:t>其他公共卫生支出</w:t>
      </w:r>
      <w:r>
        <w:rPr>
          <w:rStyle w:val="14"/>
          <w:rFonts w:hint="eastAsia" w:ascii="仿宋" w:hAnsi="仿宋" w:eastAsia="仿宋"/>
          <w:bCs/>
          <w:color w:val="auto"/>
          <w:sz w:val="32"/>
          <w:szCs w:val="32"/>
          <w:highlight w:val="none"/>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14.</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行政事业单位医疗（款）行政单位医疗（项）：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12.28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15.</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行政事业单位医疗（款）事业单位医疗（项）：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12.77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eastAsia="zh-CN"/>
        </w:rPr>
        <w:t>行政事业单位医疗（款）公务员医疗补助（项）：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2.95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17.节能环保支出（类）天然林保护（款）森林管护（项）：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0.69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18.农林水支出（类）农业农村（款）事业运行（项）：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72.03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19.农林水支出（类）林业和草原（款）事业机构（项）：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14.97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20.农林水支出（类）水利（款）水利技术推广（项）：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7.50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21.农林水支出（类）扶贫（款）农村基础设施建设（项）：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438.15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22.农林水支出（类）扶贫（款）生产发展（项）：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0.49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23.农林水支出（类）扶贫（款）其他扶贫支出（项）：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80.31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24.农林水支出（类）农村综合改革（款）对村民委员会和村党支部的补助（项）：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230.71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
          <w:bCs w:val="0"/>
          <w:color w:val="auto"/>
          <w:sz w:val="32"/>
          <w:szCs w:val="32"/>
          <w:highlight w:val="none"/>
          <w:lang w:val="en-US" w:eastAsia="zh-CN"/>
        </w:rPr>
        <w:t>25.交通运输支出（类）公路水路运输（款）公路运输管理（项）</w:t>
      </w:r>
      <w:r>
        <w:rPr>
          <w:rFonts w:hint="eastAsia" w:ascii="仿宋" w:hAnsi="仿宋" w:eastAsia="仿宋"/>
          <w:b/>
          <w:bCs/>
          <w:color w:val="auto"/>
          <w:sz w:val="32"/>
          <w:szCs w:val="32"/>
          <w:highlight w:val="none"/>
          <w:lang w:val="en-US"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22.41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bCs w:val="0"/>
          <w:color w:val="auto"/>
          <w:sz w:val="32"/>
          <w:szCs w:val="32"/>
          <w:highlight w:val="none"/>
          <w:lang w:val="en-US" w:eastAsia="zh-CN"/>
        </w:rPr>
      </w:pPr>
      <w:r>
        <w:rPr>
          <w:rStyle w:val="14"/>
          <w:rFonts w:hint="eastAsia" w:ascii="仿宋" w:hAnsi="仿宋" w:eastAsia="仿宋"/>
          <w:b/>
          <w:bCs w:val="0"/>
          <w:color w:val="auto"/>
          <w:sz w:val="32"/>
          <w:szCs w:val="32"/>
          <w:highlight w:val="none"/>
          <w:lang w:val="en-US" w:eastAsia="zh-CN"/>
        </w:rPr>
        <w:t>26.商业服务业等支出（类）商业流通事务（款）其他商业流通事务支出（项）</w:t>
      </w:r>
      <w:r>
        <w:rPr>
          <w:rFonts w:hint="eastAsia" w:ascii="仿宋" w:hAnsi="仿宋" w:eastAsia="仿宋"/>
          <w:b/>
          <w:bCs/>
          <w:color w:val="auto"/>
          <w:sz w:val="32"/>
          <w:szCs w:val="32"/>
          <w:highlight w:val="none"/>
          <w:lang w:val="en-US"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0.70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27.住房保障支出（类）住房改革支出（款）住房公积金（项）：</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35.26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51" w:name="_Toc15377214"/>
      <w:bookmarkStart w:id="52" w:name="_Toc2133"/>
      <w:bookmarkStart w:id="5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1"/>
      <w:bookmarkEnd w:id="52"/>
      <w:bookmarkEnd w:id="53"/>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819.22</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695.29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123.93</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54" w:name="_Toc15377215"/>
      <w:bookmarkStart w:id="55" w:name="_Toc15396609"/>
      <w:bookmarkStart w:id="56" w:name="_Toc16093"/>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r>
        <w:rPr>
          <w:rFonts w:hint="eastAsia" w:ascii="仿宋" w:hAnsi="仿宋" w:eastAsia="仿宋"/>
          <w:b/>
          <w:color w:val="auto"/>
          <w:sz w:val="32"/>
          <w:szCs w:val="32"/>
          <w:highlight w:val="none"/>
        </w:rPr>
        <w:t>（一）“三公”经费财政拨款支出决算总体情况说明</w:t>
      </w:r>
      <w:bookmarkEnd w:id="57"/>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58" w:name="_Toc15377217"/>
      <w:r>
        <w:rPr>
          <w:rFonts w:hint="eastAsia" w:ascii="仿宋" w:hAnsi="仿宋" w:eastAsia="仿宋"/>
          <w:b/>
          <w:color w:val="auto"/>
          <w:sz w:val="32"/>
          <w:szCs w:val="32"/>
          <w:highlight w:val="none"/>
        </w:rPr>
        <w:t>（二）“三公”经费财政拨款支出决算具体情况说明</w:t>
      </w:r>
      <w:bookmarkEnd w:id="58"/>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1.20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289425" cy="3248025"/>
            <wp:effectExtent l="4445" t="4445" r="11430"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接待减少</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yellow"/>
          <w:lang w:eastAsia="zh-CN"/>
        </w:rPr>
      </w:pPr>
      <w:r>
        <w:rPr>
          <w:rFonts w:hint="eastAsia" w:ascii="仿宋" w:hAnsi="仿宋" w:eastAsia="仿宋"/>
          <w:b/>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1.2</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24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285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59" w:name="_Toc15377218"/>
      <w:bookmarkStart w:id="60" w:name="_Toc15396610"/>
    </w:p>
    <w:p>
      <w:pPr>
        <w:spacing w:line="600" w:lineRule="exact"/>
        <w:ind w:firstLine="640"/>
        <w:outlineLvl w:val="1"/>
        <w:rPr>
          <w:rStyle w:val="25"/>
          <w:rFonts w:ascii="黑体" w:hAnsi="黑体" w:eastAsia="黑体"/>
          <w:color w:val="auto"/>
          <w:highlight w:val="none"/>
        </w:rPr>
      </w:pPr>
      <w:bookmarkStart w:id="61" w:name="_Toc32417"/>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59"/>
      <w:bookmarkEnd w:id="60"/>
      <w:bookmarkEnd w:id="6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62" w:name="_Toc15377219"/>
      <w:bookmarkStart w:id="63" w:name="_Toc28781"/>
      <w:bookmarkStart w:id="64" w:name="_Toc15396611"/>
      <w:r>
        <w:rPr>
          <w:rStyle w:val="25"/>
          <w:rFonts w:hint="eastAsia" w:ascii="黑体" w:hAnsi="黑体" w:eastAsia="黑体"/>
          <w:b w:val="0"/>
          <w:color w:val="auto"/>
          <w:highlight w:val="none"/>
        </w:rPr>
        <w:t>国有资本经营预算支出决算情况说明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65" w:name="_Toc15396612"/>
      <w:bookmarkStart w:id="66" w:name="_Toc15377221"/>
      <w:bookmarkStart w:id="67" w:name="_Toc13871"/>
      <w:r>
        <w:rPr>
          <w:rStyle w:val="25"/>
          <w:rFonts w:hint="eastAsia" w:ascii="黑体" w:hAnsi="黑体" w:eastAsia="黑体"/>
          <w:b w:val="0"/>
          <w:color w:val="auto"/>
          <w:highlight w:val="none"/>
        </w:rPr>
        <w:t>其他重要事项的情况说明</w:t>
      </w:r>
      <w:bookmarkEnd w:id="65"/>
      <w:bookmarkEnd w:id="66"/>
      <w:bookmarkEnd w:id="67"/>
    </w:p>
    <w:p>
      <w:pPr>
        <w:spacing w:line="600" w:lineRule="exact"/>
        <w:ind w:firstLine="643" w:firstLineChars="200"/>
        <w:outlineLvl w:val="2"/>
        <w:rPr>
          <w:rFonts w:ascii="仿宋" w:hAnsi="仿宋" w:eastAsia="仿宋"/>
          <w:color w:val="auto"/>
          <w:sz w:val="32"/>
          <w:szCs w:val="32"/>
          <w:highlight w:val="none"/>
        </w:rPr>
      </w:pPr>
      <w:bookmarkStart w:id="68" w:name="_Toc15377222"/>
      <w:r>
        <w:rPr>
          <w:rFonts w:hint="eastAsia" w:ascii="仿宋" w:hAnsi="仿宋" w:eastAsia="仿宋"/>
          <w:b/>
          <w:color w:val="auto"/>
          <w:sz w:val="32"/>
          <w:szCs w:val="32"/>
          <w:highlight w:val="none"/>
        </w:rPr>
        <w:t>（一）机关运行经费支出情况</w:t>
      </w:r>
      <w:bookmarkEnd w:id="68"/>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长坪镇</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11.53</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9" w:name="_Toc15377223"/>
      <w:r>
        <w:rPr>
          <w:rFonts w:hint="eastAsia" w:ascii="仿宋" w:hAnsi="仿宋" w:eastAsia="仿宋"/>
          <w:b/>
          <w:color w:val="auto"/>
          <w:sz w:val="32"/>
          <w:szCs w:val="32"/>
          <w:highlight w:val="none"/>
        </w:rPr>
        <w:t>（二）政府采购支出情况</w:t>
      </w:r>
      <w:bookmarkEnd w:id="69"/>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长坪镇</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5377224"/>
      <w:r>
        <w:rPr>
          <w:rFonts w:hint="eastAsia" w:ascii="仿宋" w:hAnsi="仿宋" w:eastAsia="仿宋"/>
          <w:b/>
          <w:color w:val="auto"/>
          <w:sz w:val="32"/>
          <w:szCs w:val="32"/>
          <w:highlight w:val="none"/>
        </w:rPr>
        <w:t>（三）国有资产占有使用情况</w:t>
      </w:r>
      <w:bookmarkEnd w:id="70"/>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长坪镇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17个项目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2020年特定目标类部门预算项目绩效目标自评表见附件（第四部分）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1" w:name="_Toc15396613"/>
      <w:bookmarkStart w:id="72" w:name="_Toc15377225"/>
      <w:bookmarkStart w:id="73" w:name="_Toc1847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1"/>
      <w:bookmarkEnd w:id="72"/>
      <w:bookmarkEnd w:id="73"/>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widowControl w:val="0"/>
        <w:kinsoku/>
        <w:wordWrap/>
        <w:overflowPunct/>
        <w:topLinePunct w:val="0"/>
        <w:bidi w:val="0"/>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人大事务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（项）：指</w:t>
      </w:r>
      <w:r>
        <w:rPr>
          <w:rFonts w:hint="eastAsia" w:ascii="仿宋_GB2312" w:eastAsia="仿宋_GB2312"/>
          <w:color w:val="000000"/>
          <w:sz w:val="32"/>
          <w:szCs w:val="32"/>
          <w:lang w:eastAsia="zh-CN"/>
        </w:rPr>
        <w:t>行政单位（包括实行公务员管理的事业单位）的基本支出</w:t>
      </w:r>
      <w:r>
        <w:rPr>
          <w:rFonts w:hint="eastAsia" w:ascii="仿宋_GB2312" w:eastAsia="仿宋_GB2312"/>
          <w:color w:val="auto"/>
          <w:sz w:val="32"/>
          <w:szCs w:val="32"/>
          <w:highlight w:val="none"/>
        </w:rPr>
        <w:t>。</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政府办公厅（室）及相关机构事务（款）行政运行（项）：</w:t>
      </w:r>
      <w:r>
        <w:rPr>
          <w:rFonts w:hint="eastAsia" w:ascii="仿宋_GB2312" w:hAnsi="Times New Roman" w:eastAsia="仿宋_GB2312" w:cs="Times New Roman"/>
          <w:color w:val="auto"/>
          <w:sz w:val="32"/>
          <w:szCs w:val="32"/>
          <w:highlight w:val="none"/>
          <w:lang w:eastAsia="zh-CN"/>
        </w:rPr>
        <w:t>指</w:t>
      </w:r>
      <w:r>
        <w:rPr>
          <w:rFonts w:hint="eastAsia" w:ascii="仿宋_GB2312" w:hAnsi="Times New Roman" w:eastAsia="仿宋_GB2312" w:cs="Times New Roman"/>
          <w:color w:val="auto"/>
          <w:sz w:val="32"/>
          <w:szCs w:val="32"/>
          <w:highlight w:val="none"/>
        </w:rPr>
        <w:t>用于保障省政府办公厅机关、厅属各行政单位正常运转，用于行政运行方面的经费支出。</w:t>
      </w:r>
    </w:p>
    <w:p>
      <w:pPr>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政府办公厅（室）及相关机构事务（款）一般行政管理事务（项）：</w:t>
      </w:r>
      <w:r>
        <w:rPr>
          <w:rFonts w:hint="eastAsia" w:ascii="仿宋_GB2312" w:hAnsi="Times New Roman" w:eastAsia="仿宋_GB2312" w:cs="Times New Roman"/>
          <w:color w:val="auto"/>
          <w:sz w:val="32"/>
          <w:szCs w:val="32"/>
          <w:highlight w:val="none"/>
          <w:lang w:eastAsia="zh-CN"/>
        </w:rPr>
        <w:t>指</w:t>
      </w:r>
      <w:r>
        <w:rPr>
          <w:rFonts w:hint="eastAsia" w:ascii="仿宋_GB2312" w:hAnsi="Times New Roman" w:eastAsia="仿宋_GB2312" w:cs="Times New Roman"/>
          <w:color w:val="auto"/>
          <w:sz w:val="32"/>
          <w:szCs w:val="32"/>
          <w:highlight w:val="none"/>
        </w:rPr>
        <w:t>用于保障省政府办公厅机关、厅属各行政事业单位正常运转，为完成特定的工作任务，用于一般行政管理事务方面的经费支出。</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财政事务（款）行政运行（项）：指反映财政方面的行政支出。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财政事务（款）事业运行（项）：指反映财政方面的事业支出。</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党委办公厅（室）及相关机构事务（款）行政运行（项）：指用于党委办公厅及相关机构的行政支出。</w:t>
      </w:r>
    </w:p>
    <w:p>
      <w:pPr>
        <w:pStyle w:val="2"/>
        <w:ind w:firstLine="64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其他一般公共服务支出（款）其他一般公共服务支出（项）：</w:t>
      </w:r>
      <w:r>
        <w:rPr>
          <w:rFonts w:hint="eastAsia" w:ascii="仿宋_GB2312" w:hAnsi="仿宋_GB2312" w:eastAsia="仿宋_GB2312" w:cs="仿宋_GB2312"/>
          <w:bCs/>
          <w:sz w:val="32"/>
          <w:szCs w:val="32"/>
        </w:rPr>
        <w:t>指用于保障省政府办公厅机关、厅属各行政事业单位正常运转，为完成特定的工作任务，用于其他方面的经费支出。</w:t>
      </w:r>
    </w:p>
    <w:p>
      <w:pPr>
        <w:pageBreakBefore w:val="0"/>
        <w:widowControl w:val="0"/>
        <w:kinsoku/>
        <w:wordWrap/>
        <w:overflowPunct/>
        <w:topLinePunct w:val="0"/>
        <w:bidi w:val="0"/>
        <w:spacing w:line="36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16.文化旅游体育与传媒（类）文化和旅游（款）群众文化（项）：指</w:t>
      </w:r>
      <w:r>
        <w:rPr>
          <w:rFonts w:hint="eastAsia" w:ascii="仿宋_GB2312" w:hAnsi="仿宋_GB2312" w:eastAsia="仿宋_GB2312" w:cs="仿宋_GB2312"/>
          <w:sz w:val="32"/>
          <w:szCs w:val="32"/>
          <w:lang w:eastAsia="zh-CN"/>
        </w:rPr>
        <w:t>反映群</w:t>
      </w:r>
      <w:r>
        <w:rPr>
          <w:rFonts w:hint="eastAsia" w:ascii="仿宋_GB2312" w:hAnsi="仿宋_GB2312" w:eastAsia="仿宋_GB2312" w:cs="仿宋_GB2312"/>
          <w:sz w:val="32"/>
          <w:szCs w:val="32"/>
        </w:rPr>
        <w:t>众文化方面的支出 </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基层文化馆、 群众艺术馆支出等</w:t>
      </w:r>
      <w:r>
        <w:rPr>
          <w:rFonts w:hint="eastAsia" w:ascii="仿宋_GB2312" w:hAnsi="仿宋_GB2312" w:eastAsia="仿宋_GB2312" w:cs="仿宋_GB2312"/>
          <w:sz w:val="32"/>
          <w:szCs w:val="32"/>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17.文化旅游体育与传媒（类）文化和旅游（款）其他文化和旅游支出（项）：指</w:t>
      </w:r>
      <w:r>
        <w:rPr>
          <w:rFonts w:hint="eastAsia" w:ascii="仿宋_GB2312" w:hAnsi="仿宋_GB2312" w:eastAsia="仿宋_GB2312" w:cs="仿宋_GB2312"/>
          <w:sz w:val="32"/>
          <w:szCs w:val="32"/>
        </w:rPr>
        <w:t>反映除上述项目以外其他用于文化方面的支出。</w:t>
      </w:r>
    </w:p>
    <w:p>
      <w:pPr>
        <w:pageBreakBefore w:val="0"/>
        <w:widowControl w:val="0"/>
        <w:kinsoku/>
        <w:wordWrap/>
        <w:overflowPunct/>
        <w:topLinePunct w:val="0"/>
        <w:bidi w:val="0"/>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）人力资源和社会保障管理事务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社会保险经办机构</w:t>
      </w:r>
      <w:r>
        <w:rPr>
          <w:rFonts w:hint="eastAsia" w:ascii="仿宋_GB2312" w:eastAsia="仿宋_GB2312"/>
          <w:color w:val="auto"/>
          <w:sz w:val="32"/>
          <w:szCs w:val="32"/>
          <w:highlight w:val="none"/>
        </w:rPr>
        <w:t>（项）：指</w:t>
      </w:r>
      <w:r>
        <w:rPr>
          <w:rFonts w:hint="eastAsia" w:ascii="仿宋_GB2312" w:hAnsi="仿宋_GB2312" w:eastAsia="仿宋_GB2312" w:cs="仿宋_GB2312"/>
          <w:sz w:val="32"/>
          <w:szCs w:val="32"/>
        </w:rPr>
        <w:t>反映社会保险经办机构开展业务工作的支出。</w:t>
      </w:r>
    </w:p>
    <w:p>
      <w:pPr>
        <w:pageBreakBefore w:val="0"/>
        <w:widowControl w:val="0"/>
        <w:kinsoku/>
        <w:wordWrap/>
        <w:overflowPunct/>
        <w:topLinePunct w:val="0"/>
        <w:bidi w:val="0"/>
        <w:spacing w:line="360" w:lineRule="auto"/>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19.</w:t>
      </w:r>
      <w:r>
        <w:rPr>
          <w:rFonts w:hint="eastAsia" w:ascii="仿宋_GB2312" w:hAnsi="Times New Roman" w:eastAsia="仿宋_GB2312" w:cs="Times New Roman"/>
          <w:color w:val="auto"/>
          <w:sz w:val="32"/>
          <w:szCs w:val="32"/>
          <w:highlight w:val="none"/>
        </w:rPr>
        <w:t>社会保障和就业（类</w:t>
      </w:r>
      <w:r>
        <w:rPr>
          <w:rFonts w:hint="eastAsia" w:ascii="仿宋_GB2312" w:hAnsi="Times New Roman" w:eastAsia="仿宋_GB2312" w:cs="Times New Roman"/>
          <w:color w:val="auto"/>
          <w:sz w:val="32"/>
          <w:szCs w:val="32"/>
          <w:highlight w:val="none"/>
          <w:lang w:eastAsia="zh-CN"/>
        </w:rPr>
        <w:t>）行政事业单位养老支出（款）机关事业单位基本养老保险缴费支出（项）：</w:t>
      </w:r>
      <w:r>
        <w:rPr>
          <w:rFonts w:hint="eastAsia" w:ascii="仿宋_GB2312" w:hAnsi="Times New Roman" w:eastAsia="仿宋_GB2312" w:cs="Times New Roman"/>
          <w:color w:val="auto"/>
          <w:sz w:val="32"/>
          <w:szCs w:val="32"/>
          <w:highlight w:val="none"/>
        </w:rPr>
        <w:t>指用于机关事业单位职工单位</w:t>
      </w:r>
      <w:r>
        <w:rPr>
          <w:rFonts w:hint="eastAsia" w:ascii="仿宋_GB2312" w:hAnsi="Times New Roman" w:eastAsia="仿宋_GB2312" w:cs="Times New Roman"/>
          <w:color w:val="auto"/>
          <w:sz w:val="32"/>
          <w:szCs w:val="32"/>
          <w:highlight w:val="none"/>
          <w:lang w:eastAsia="zh-CN"/>
        </w:rPr>
        <w:t>部分</w:t>
      </w:r>
      <w:r>
        <w:rPr>
          <w:rFonts w:hint="eastAsia" w:ascii="仿宋_GB2312" w:hAnsi="Times New Roman" w:eastAsia="仿宋_GB2312" w:cs="Times New Roman"/>
          <w:color w:val="auto"/>
          <w:sz w:val="32"/>
          <w:szCs w:val="32"/>
          <w:highlight w:val="none"/>
        </w:rPr>
        <w:t>基本养老保险缴费支出。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）就业补助（款）公益性岗位补贴（项）：指用于安置就业困难人员的就业岗位补贴。</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21.卫生健康（类）公共卫生（款）其他公共卫生支出（项）：指用于其他公共卫生方面的支出。</w:t>
      </w:r>
    </w:p>
    <w:p>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22.卫生健康（类）行政事业单位医疗（款）行政单位医疗（项）：</w:t>
      </w:r>
      <w:r>
        <w:rPr>
          <w:rFonts w:hint="eastAsia" w:ascii="仿宋_GB2312" w:hAnsi="仿宋_GB2312" w:eastAsia="仿宋_GB2312" w:cs="仿宋_GB2312"/>
          <w:bCs/>
          <w:sz w:val="32"/>
          <w:szCs w:val="32"/>
        </w:rPr>
        <w:t>指用于按政策规定为行政单位职工缴纳医疗保险金等支出。</w:t>
      </w:r>
    </w:p>
    <w:p>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23.卫生健康（类）行政事业单位医疗（款）事业单位医疗（项）：</w:t>
      </w:r>
      <w:r>
        <w:rPr>
          <w:rFonts w:hint="eastAsia" w:ascii="仿宋_GB2312" w:hAnsi="仿宋_GB2312" w:eastAsia="仿宋_GB2312" w:cs="仿宋_GB2312"/>
          <w:bCs/>
          <w:sz w:val="32"/>
          <w:szCs w:val="32"/>
        </w:rPr>
        <w:t>指用于按政策规定为</w:t>
      </w:r>
      <w:r>
        <w:rPr>
          <w:rFonts w:hint="eastAsia" w:ascii="仿宋_GB2312" w:hAnsi="仿宋_GB2312" w:eastAsia="仿宋_GB2312" w:cs="仿宋_GB2312"/>
          <w:bCs/>
          <w:sz w:val="32"/>
          <w:szCs w:val="32"/>
          <w:lang w:eastAsia="zh-CN"/>
        </w:rPr>
        <w:t>事业</w:t>
      </w:r>
      <w:r>
        <w:rPr>
          <w:rFonts w:hint="eastAsia" w:ascii="仿宋_GB2312" w:hAnsi="仿宋_GB2312" w:eastAsia="仿宋_GB2312" w:cs="仿宋_GB2312"/>
          <w:bCs/>
          <w:sz w:val="32"/>
          <w:szCs w:val="32"/>
        </w:rPr>
        <w:t>单位职工缴纳医疗保险金等支出。</w:t>
      </w:r>
    </w:p>
    <w:p>
      <w:pPr>
        <w:pageBreakBefore w:val="0"/>
        <w:widowControl w:val="0"/>
        <w:kinsoku/>
        <w:wordWrap/>
        <w:overflowPunct/>
        <w:topLinePunct w:val="0"/>
        <w:autoSpaceDE/>
        <w:autoSpaceDN/>
        <w:bidi w:val="0"/>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24.卫生健康（类）行政事业单位医疗（款）公务员医疗补助（项）：</w:t>
      </w:r>
      <w:r>
        <w:rPr>
          <w:rFonts w:hint="eastAsia" w:ascii="仿宋_GB2312" w:hAnsi="仿宋_GB2312" w:eastAsia="仿宋_GB2312" w:cs="仿宋_GB2312"/>
          <w:bCs/>
          <w:sz w:val="32"/>
          <w:szCs w:val="32"/>
        </w:rPr>
        <w:t>指用于按政策规定为职工缴纳公务员医疗补助等支出。</w:t>
      </w:r>
    </w:p>
    <w:p>
      <w:pPr>
        <w:ind w:firstLine="640" w:firstLineChars="200"/>
        <w:rPr>
          <w:rFonts w:hint="default"/>
          <w:lang w:val="en-US" w:eastAsia="zh-CN"/>
        </w:rPr>
      </w:pPr>
      <w:r>
        <w:rPr>
          <w:rFonts w:hint="eastAsia" w:ascii="仿宋_GB2312" w:eastAsia="仿宋_GB2312"/>
          <w:color w:val="auto"/>
          <w:sz w:val="32"/>
          <w:szCs w:val="32"/>
          <w:highlight w:val="none"/>
          <w:lang w:val="en-US" w:eastAsia="zh-CN"/>
        </w:rPr>
        <w:t>25.节能环保支出（类）天然林保护（款）森林管护（项）：指用于天然林管护支出。</w:t>
      </w:r>
    </w:p>
    <w:p>
      <w:pPr>
        <w:pStyle w:val="22"/>
        <w:pageBreakBefore w:val="0"/>
        <w:widowControl w:val="0"/>
        <w:kinsoku/>
        <w:wordWrap/>
        <w:overflowPunct/>
        <w:topLinePunct w:val="0"/>
        <w:bidi w:val="0"/>
        <w:spacing w:line="36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26.农林水支出（类）农业农村（款）事业运行（项）：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用于农业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单位基本</w:t>
      </w:r>
      <w:r>
        <w:rPr>
          <w:rFonts w:hint="eastAsia" w:ascii="仿宋_GB2312" w:hAnsi="仿宋_GB2312" w:eastAsia="仿宋_GB2312" w:cs="仿宋_GB2312"/>
          <w:sz w:val="32"/>
          <w:szCs w:val="32"/>
        </w:rPr>
        <w:t>支出，事业单位设施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系统运行与资产维护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方面的支出。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27.农林水支出（类）林业和草原（款）事业机构（项）：指用于林业和草原机构运行方面的支出。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28.农林水支出（类）水利（款）水利技术推广（项）：指用于水利技术推广方面的支出。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29.农林水支出（类）扶贫（款）农村基础设施建设（项）：指用于农村基础设施建设方面的扶贫支出。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30.农林水支出（类）扶贫（款）生产发展（项）：指用于社会生产发展方面的扶贫支出。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31.农林水支出（类）扶贫（款）其他扶贫支出（项）：指用于扶贫方面的其他支出。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32.农林水支出（类）农村综合改革（款）对村民委员会和村党支部的补助（项）：指用于村委会机构基本运行支出。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33.交通运输支出（类）公路水路运输（款）公路运输管理（项）：指用于公路运输管理方面的支出。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34.商业服务业等支出（类）商业流通事务（款）其他商业流通事务支出（项）：指用于商业流通事务方面的其他支出。</w:t>
      </w:r>
    </w:p>
    <w:p>
      <w:pPr>
        <w:pageBreakBefore w:val="0"/>
        <w:numPr>
          <w:ilvl w:val="0"/>
          <w:numId w:val="0"/>
        </w:numPr>
        <w:kinsoku/>
        <w:wordWrap/>
        <w:overflowPunct/>
        <w:topLinePunct w:val="0"/>
        <w:bidi w:val="0"/>
        <w:spacing w:line="560" w:lineRule="exact"/>
        <w:ind w:firstLine="640" w:firstLineChars="200"/>
        <w:textAlignment w:val="auto"/>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35.住房保障支出（类）住房改革支出（款）住房公积金（项）：</w:t>
      </w:r>
      <w:r>
        <w:rPr>
          <w:rFonts w:hint="eastAsia" w:ascii="仿宋_GB2312" w:hAnsi="仿宋_GB2312" w:eastAsia="仿宋_GB2312" w:cs="仿宋_GB2312"/>
          <w:color w:val="000000"/>
          <w:kern w:val="0"/>
          <w:sz w:val="32"/>
          <w:szCs w:val="32"/>
        </w:rPr>
        <w:t>指用于按政策规定为职工缴纳的住房公积金支出。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numPr>
          <w:ilvl w:val="0"/>
          <w:numId w:val="0"/>
        </w:numPr>
        <w:spacing w:line="600" w:lineRule="exact"/>
        <w:jc w:val="center"/>
        <w:outlineLvl w:val="0"/>
        <w:rPr>
          <w:rFonts w:hint="eastAsia" w:ascii="黑体" w:hAnsi="黑体" w:eastAsia="黑体"/>
          <w:color w:val="auto"/>
          <w:sz w:val="44"/>
          <w:szCs w:val="44"/>
          <w:highlight w:val="none"/>
        </w:rPr>
      </w:pPr>
      <w:bookmarkStart w:id="74" w:name="_Toc5715"/>
      <w:bookmarkStart w:id="75" w:name="_Toc2668"/>
      <w:r>
        <w:rPr>
          <w:rFonts w:hint="eastAsia" w:ascii="黑体" w:hAnsi="黑体" w:eastAsia="黑体"/>
          <w:color w:val="auto"/>
          <w:sz w:val="44"/>
          <w:szCs w:val="44"/>
          <w:highlight w:val="none"/>
        </w:rPr>
        <w:t>第四部分 附件</w:t>
      </w:r>
      <w:bookmarkEnd w:id="74"/>
      <w:bookmarkEnd w:id="75"/>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bookmarkStart w:id="76" w:name="_Toc18112"/>
      <w:bookmarkStart w:id="77" w:name="_Toc13632"/>
      <w:r>
        <w:rPr>
          <w:rFonts w:hint="eastAsia" w:ascii="黑体" w:hAnsi="黑体" w:eastAsia="黑体" w:cs="黑体"/>
          <w:color w:val="auto"/>
          <w:sz w:val="32"/>
          <w:szCs w:val="32"/>
          <w:highlight w:val="none"/>
        </w:rPr>
        <w:t>附件</w:t>
      </w:r>
      <w:bookmarkEnd w:id="76"/>
      <w:bookmarkEnd w:id="77"/>
    </w:p>
    <w:p>
      <w:pPr>
        <w:keepNext w:val="0"/>
        <w:keepLines w:val="0"/>
        <w:pageBreakBefore w:val="0"/>
        <w:kinsoku/>
        <w:wordWrap/>
        <w:overflowPunct/>
        <w:topLinePunct w:val="0"/>
        <w:autoSpaceDE/>
        <w:autoSpaceDN/>
        <w:bidi w:val="0"/>
        <w:spacing w:line="572" w:lineRule="exact"/>
        <w:jc w:val="center"/>
        <w:textAlignment w:val="auto"/>
        <w:rPr>
          <w:rFonts w:ascii="仿宋_GB2312" w:hAnsi="宋体" w:eastAsia="仿宋_GB2312"/>
          <w:color w:val="auto"/>
          <w:sz w:val="32"/>
          <w:szCs w:val="32"/>
          <w:highlight w:val="none"/>
          <w:shd w:val="clear" w:color="auto" w:fill="FFFFFF"/>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0</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长坪镇</w:t>
      </w:r>
      <w:r>
        <w:rPr>
          <w:rFonts w:hint="eastAsia" w:ascii="方正小标宋简体" w:hAnsi="宋体" w:eastAsia="方正小标宋简体"/>
          <w:color w:val="auto"/>
          <w:kern w:val="0"/>
          <w:sz w:val="40"/>
          <w:szCs w:val="44"/>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numPr>
          <w:ilvl w:val="0"/>
          <w:numId w:val="0"/>
        </w:numPr>
        <w:adjustRightInd w:val="0"/>
        <w:snapToGrid w:val="0"/>
        <w:spacing w:before="93" w:line="600" w:lineRule="exact"/>
        <w:ind w:left="0" w:leftChars="0" w:firstLine="640" w:firstLineChars="200"/>
        <w:outlineLvl w:val="2"/>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长坪</w:t>
      </w:r>
      <w:r>
        <w:rPr>
          <w:rFonts w:hint="eastAsia" w:ascii="仿宋_GB2312" w:hAnsi="宋体" w:eastAsia="仿宋_GB2312" w:cs="宋体"/>
          <w:color w:val="auto"/>
          <w:kern w:val="0"/>
          <w:sz w:val="32"/>
          <w:szCs w:val="32"/>
          <w:highlight w:val="none"/>
          <w:shd w:val="clear" w:color="auto" w:fill="FFFFFF"/>
          <w:lang w:val="zh-CN" w:eastAsia="zh-CN" w:bidi="ar-SA"/>
        </w:rPr>
        <w:t>镇</w:t>
      </w:r>
      <w:r>
        <w:rPr>
          <w:rFonts w:hint="eastAsia" w:ascii="仿宋_GB2312" w:hAnsi="宋体" w:eastAsia="仿宋_GB2312" w:cs="宋体"/>
          <w:color w:val="auto"/>
          <w:kern w:val="0"/>
          <w:sz w:val="32"/>
          <w:szCs w:val="32"/>
          <w:highlight w:val="none"/>
          <w:shd w:val="clear" w:color="auto" w:fill="FFFFFF"/>
          <w:lang w:val="en-US" w:eastAsia="zh-CN" w:bidi="ar-SA"/>
        </w:rPr>
        <w:t>人民政府属行政区划调整乡镇（由原长坪镇大兴乡合并）。</w:t>
      </w:r>
      <w:r>
        <w:rPr>
          <w:rFonts w:hint="eastAsia" w:ascii="仿宋_GB2312" w:hAnsi="宋体" w:eastAsia="仿宋_GB2312" w:cs="宋体"/>
          <w:color w:val="auto"/>
          <w:kern w:val="0"/>
          <w:sz w:val="32"/>
          <w:szCs w:val="32"/>
          <w:highlight w:val="none"/>
          <w:shd w:val="clear" w:color="auto" w:fill="FFFFFF"/>
          <w:lang w:val="zh-CN" w:eastAsia="zh-CN" w:bidi="ar-SA"/>
        </w:rPr>
        <w:t>政府内设党政办、民政办、社保办、卫计站、林业站、扶贫办、水利站、农业站、文化站、财政所、交管站等部门；下属二级单位通江县长坪镇</w:t>
      </w:r>
      <w:r>
        <w:rPr>
          <w:rFonts w:hint="eastAsia" w:ascii="仿宋_GB2312" w:hAnsi="宋体" w:eastAsia="仿宋_GB2312" w:cs="宋体"/>
          <w:color w:val="auto"/>
          <w:kern w:val="0"/>
          <w:sz w:val="32"/>
          <w:szCs w:val="32"/>
          <w:highlight w:val="none"/>
          <w:shd w:val="clear" w:color="auto" w:fill="FFFFFF"/>
          <w:lang w:val="en-US" w:eastAsia="zh-CN" w:bidi="ar-SA"/>
        </w:rPr>
        <w:t>新文</w:t>
      </w:r>
      <w:r>
        <w:rPr>
          <w:rFonts w:hint="eastAsia" w:ascii="仿宋_GB2312" w:hAnsi="宋体" w:eastAsia="仿宋_GB2312" w:cs="宋体"/>
          <w:color w:val="auto"/>
          <w:kern w:val="0"/>
          <w:sz w:val="32"/>
          <w:szCs w:val="32"/>
          <w:highlight w:val="none"/>
          <w:shd w:val="clear" w:color="auto" w:fill="FFFFFF"/>
          <w:lang w:val="zh-CN" w:eastAsia="zh-CN" w:bidi="ar-SA"/>
        </w:rPr>
        <w:t>小学、通江县长坪镇卫生院、通江县长坪镇中心小学。</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长坪镇</w:t>
      </w:r>
      <w:r>
        <w:rPr>
          <w:rFonts w:hint="eastAsia" w:ascii="仿宋_GB2312" w:hAnsi="宋体" w:eastAsia="仿宋_GB2312" w:cs="宋体"/>
          <w:color w:val="auto"/>
          <w:kern w:val="0"/>
          <w:sz w:val="32"/>
          <w:szCs w:val="32"/>
          <w:highlight w:val="none"/>
          <w:shd w:val="clear" w:color="auto" w:fill="FFFFFF"/>
          <w:lang w:val="zh-CN"/>
        </w:rPr>
        <w:t>人民政府主要职责是：落实国家政策，严格依法行政，发挥经济管理职能，加强政策引导，制定发展规划，服务市场主体和营造发展环境，搞好市场监管，大力促进社会事业发展，发展</w:t>
      </w:r>
      <w:r>
        <w:rPr>
          <w:rFonts w:hint="eastAsia" w:ascii="仿宋_GB2312" w:hAnsi="宋体" w:eastAsia="仿宋_GB2312" w:cs="宋体"/>
          <w:color w:val="auto"/>
          <w:kern w:val="0"/>
          <w:sz w:val="32"/>
          <w:szCs w:val="32"/>
          <w:highlight w:val="none"/>
          <w:shd w:val="clear" w:color="auto" w:fill="FFFFFF"/>
          <w:lang w:val="zh-CN" w:eastAsia="zh-CN"/>
        </w:rPr>
        <w:t>乡村</w:t>
      </w:r>
      <w:r>
        <w:rPr>
          <w:rFonts w:hint="eastAsia" w:ascii="仿宋_GB2312" w:hAnsi="宋体" w:eastAsia="仿宋_GB2312" w:cs="宋体"/>
          <w:color w:val="auto"/>
          <w:kern w:val="0"/>
          <w:sz w:val="32"/>
          <w:szCs w:val="32"/>
          <w:highlight w:val="none"/>
          <w:shd w:val="clear" w:color="auto" w:fill="FFFFFF"/>
          <w:lang w:val="zh-CN"/>
        </w:rPr>
        <w:t>经济、文化和社会事业，提供公共服务，维护社会稳定，构建社会主义和谐社会。</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Chars="200" w:firstLine="320" w:firstLineChars="1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eastAsia="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eastAsia="zh-CN"/>
        </w:rPr>
        <w:t>年末实有在职人员</w:t>
      </w:r>
      <w:r>
        <w:rPr>
          <w:rFonts w:hint="eastAsia" w:ascii="仿宋_GB2312" w:hAnsi="宋体" w:eastAsia="仿宋_GB2312" w:cs="宋体"/>
          <w:color w:val="auto"/>
          <w:kern w:val="0"/>
          <w:sz w:val="32"/>
          <w:szCs w:val="32"/>
          <w:highlight w:val="none"/>
          <w:shd w:val="clear" w:color="auto" w:fill="FFFFFF"/>
          <w:lang w:val="en-US" w:eastAsia="zh-CN"/>
        </w:rPr>
        <w:t>45</w:t>
      </w:r>
      <w:r>
        <w:rPr>
          <w:rFonts w:hint="eastAsia" w:ascii="仿宋_GB2312" w:hAnsi="宋体" w:eastAsia="仿宋_GB2312" w:cs="宋体"/>
          <w:color w:val="auto"/>
          <w:kern w:val="0"/>
          <w:sz w:val="32"/>
          <w:szCs w:val="32"/>
          <w:highlight w:val="none"/>
          <w:shd w:val="clear" w:color="auto" w:fill="FFFFFF"/>
          <w:lang w:val="zh-CN" w:eastAsia="zh-CN"/>
        </w:rPr>
        <w:t>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rPr>
        <w:t>年我镇财政一般公共预算财政拨款收入</w:t>
      </w:r>
      <w:r>
        <w:rPr>
          <w:rFonts w:hint="eastAsia" w:ascii="仿宋_GB2312" w:hAnsi="宋体" w:eastAsia="仿宋_GB2312" w:cs="宋体"/>
          <w:color w:val="auto"/>
          <w:kern w:val="0"/>
          <w:sz w:val="32"/>
          <w:szCs w:val="32"/>
          <w:highlight w:val="none"/>
          <w:shd w:val="clear" w:color="auto" w:fill="FFFFFF"/>
          <w:lang w:val="en-US" w:eastAsia="zh-CN"/>
        </w:rPr>
        <w:t>1450.08</w:t>
      </w:r>
      <w:r>
        <w:rPr>
          <w:rFonts w:hint="eastAsia" w:ascii="仿宋_GB2312" w:hAnsi="宋体" w:eastAsia="仿宋_GB2312" w:cs="宋体"/>
          <w:color w:val="auto"/>
          <w:kern w:val="0"/>
          <w:sz w:val="32"/>
          <w:szCs w:val="32"/>
          <w:highlight w:val="none"/>
          <w:shd w:val="clear" w:color="auto" w:fill="FFFFFF"/>
          <w:lang w:val="zh-CN"/>
        </w:rPr>
        <w:t>万元</w:t>
      </w:r>
      <w:r>
        <w:rPr>
          <w:rFonts w:hint="eastAsia" w:ascii="仿宋_GB2312" w:hAnsi="宋体" w:eastAsia="仿宋_GB2312" w:cs="宋体"/>
          <w:color w:val="auto"/>
          <w:kern w:val="0"/>
          <w:sz w:val="32"/>
          <w:szCs w:val="32"/>
          <w:highlight w:val="none"/>
          <w:shd w:val="clear" w:color="auto" w:fill="FFFFFF"/>
          <w:lang w:val="en-US" w:eastAsia="zh-CN"/>
        </w:rPr>
        <w:t>。</w:t>
      </w:r>
    </w:p>
    <w:p>
      <w:pPr>
        <w:pStyle w:val="2"/>
        <w:rPr>
          <w:lang w:val="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20</w:t>
      </w:r>
      <w:r>
        <w:rPr>
          <w:rFonts w:hint="eastAsia" w:ascii="仿宋_GB2312" w:hAnsi="宋体" w:eastAsia="仿宋_GB2312" w:cs="宋体"/>
          <w:color w:val="auto"/>
          <w:kern w:val="0"/>
          <w:sz w:val="32"/>
          <w:szCs w:val="32"/>
          <w:highlight w:val="none"/>
          <w:shd w:val="clear" w:color="auto" w:fill="FFFFFF"/>
          <w:lang w:val="en-US" w:eastAsia="zh-CN"/>
        </w:rPr>
        <w:t>20</w:t>
      </w:r>
      <w:r>
        <w:rPr>
          <w:rFonts w:hint="eastAsia" w:ascii="仿宋_GB2312" w:hAnsi="宋体" w:eastAsia="仿宋_GB2312" w:cs="宋体"/>
          <w:color w:val="auto"/>
          <w:kern w:val="0"/>
          <w:sz w:val="32"/>
          <w:szCs w:val="32"/>
          <w:highlight w:val="none"/>
          <w:shd w:val="clear" w:color="auto" w:fill="FFFFFF"/>
          <w:lang w:val="zh-CN"/>
        </w:rPr>
        <w:t>年财政拨款支</w:t>
      </w:r>
      <w:r>
        <w:rPr>
          <w:rFonts w:hint="eastAsia" w:ascii="仿宋_GB2312" w:hAnsi="宋体" w:eastAsia="仿宋_GB2312" w:cs="宋体"/>
          <w:color w:val="auto"/>
          <w:kern w:val="0"/>
          <w:sz w:val="32"/>
          <w:szCs w:val="32"/>
          <w:highlight w:val="none"/>
          <w:shd w:val="clear" w:color="auto" w:fill="FFFFFF"/>
          <w:lang w:val="zh-CN" w:eastAsia="zh-CN"/>
        </w:rPr>
        <w:t>出</w:t>
      </w:r>
      <w:r>
        <w:rPr>
          <w:rFonts w:hint="eastAsia" w:ascii="仿宋_GB2312" w:hAnsi="宋体" w:eastAsia="仿宋_GB2312" w:cs="宋体"/>
          <w:color w:val="auto"/>
          <w:kern w:val="0"/>
          <w:sz w:val="32"/>
          <w:szCs w:val="32"/>
          <w:highlight w:val="none"/>
          <w:shd w:val="clear" w:color="auto" w:fill="FFFFFF"/>
          <w:lang w:val="en-US" w:eastAsia="zh-CN"/>
        </w:rPr>
        <w:t>1450.08</w:t>
      </w:r>
      <w:r>
        <w:rPr>
          <w:rFonts w:hint="eastAsia" w:ascii="仿宋_GB2312" w:hAnsi="宋体" w:eastAsia="仿宋_GB2312" w:cs="宋体"/>
          <w:color w:val="auto"/>
          <w:kern w:val="0"/>
          <w:sz w:val="32"/>
          <w:szCs w:val="32"/>
          <w:highlight w:val="none"/>
          <w:shd w:val="clear" w:color="auto" w:fill="FFFFFF"/>
          <w:lang w:val="zh-CN"/>
        </w:rPr>
        <w:t>万元。</w:t>
      </w:r>
    </w:p>
    <w:p>
      <w:pPr>
        <w:keepNext w:val="0"/>
        <w:keepLines w:val="0"/>
        <w:pageBreakBefore w:val="0"/>
        <w:widowControl/>
        <w:numPr>
          <w:ilvl w:val="0"/>
          <w:numId w:val="2"/>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 w:hAnsi="仿宋" w:eastAsia="仿宋" w:cs="仿宋"/>
          <w:color w:val="auto"/>
          <w:kern w:val="0"/>
          <w:sz w:val="32"/>
          <w:szCs w:val="32"/>
          <w:highlight w:val="none"/>
          <w:shd w:val="clear" w:color="auto" w:fill="FFFFFF"/>
          <w:lang w:val="en-US" w:eastAsia="zh-CN"/>
        </w:rPr>
        <w:t>1.</w:t>
      </w:r>
      <w:r>
        <w:rPr>
          <w:rFonts w:hint="eastAsia" w:ascii="仿宋" w:hAnsi="仿宋" w:eastAsia="仿宋" w:cs="仿宋"/>
          <w:sz w:val="32"/>
          <w:szCs w:val="32"/>
          <w:lang w:val="zh-CN"/>
        </w:rPr>
        <w:t>资金使用。截至</w:t>
      </w:r>
      <w:r>
        <w:rPr>
          <w:rFonts w:hint="eastAsia" w:ascii="仿宋_GB2312" w:hAnsi="仿宋_GB2312" w:eastAsia="仿宋_GB2312" w:cs="仿宋_GB2312"/>
          <w:b w:val="0"/>
          <w:bCs w:val="0"/>
          <w:color w:val="auto"/>
          <w:kern w:val="0"/>
          <w:sz w:val="32"/>
          <w:szCs w:val="32"/>
          <w:lang w:val="en-US" w:eastAsia="zh-CN"/>
        </w:rPr>
        <w:t>评价时点，我镇的整体支出资金630.86万元已全部支付到位，用于解决全镇基本支出和项目支出，且资金支付范围及依据合法合规，资金支付与预算相符，无资金截留、挤占、挪用等情况。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eastAsia="zh-CN"/>
        </w:rPr>
      </w:pPr>
      <w:r>
        <w:rPr>
          <w:rFonts w:hint="eastAsia" w:ascii="仿宋" w:hAnsi="仿宋" w:eastAsia="仿宋" w:cs="仿宋"/>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组织实施情况。所有开支均按照</w:t>
      </w:r>
      <w:r>
        <w:rPr>
          <w:rFonts w:hint="default" w:ascii="Times New Roman" w:hAnsi="Times New Roman" w:eastAsia="仿宋_GB2312" w:cs="Times New Roman"/>
          <w:sz w:val="32"/>
          <w:szCs w:val="32"/>
          <w:lang w:val="zh-CN" w:eastAsia="zh-CN"/>
        </w:rPr>
        <w:t>财经</w:t>
      </w:r>
      <w:r>
        <w:rPr>
          <w:rFonts w:hint="default" w:ascii="Times New Roman" w:hAnsi="Times New Roman" w:eastAsia="仿宋_GB2312" w:cs="Times New Roman"/>
          <w:sz w:val="32"/>
          <w:szCs w:val="32"/>
          <w:lang w:val="zh-CN"/>
        </w:rPr>
        <w:t>制度执行，资金的使用严格把关，运行</w:t>
      </w:r>
      <w:r>
        <w:rPr>
          <w:rFonts w:hint="default" w:ascii="Times New Roman" w:hAnsi="Times New Roman" w:eastAsia="仿宋_GB2312" w:cs="Times New Roman"/>
          <w:sz w:val="32"/>
          <w:szCs w:val="32"/>
          <w:lang w:val="zh-CN" w:eastAsia="zh-CN"/>
        </w:rPr>
        <w:t>严格</w:t>
      </w:r>
      <w:r>
        <w:rPr>
          <w:rFonts w:hint="default" w:ascii="Times New Roman" w:hAnsi="Times New Roman" w:eastAsia="仿宋_GB2312" w:cs="Times New Roman"/>
          <w:sz w:val="32"/>
          <w:szCs w:val="32"/>
          <w:lang w:val="zh-CN"/>
        </w:rPr>
        <w:t>按照县委</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县政府及财政的有关规定</w:t>
      </w:r>
      <w:r>
        <w:rPr>
          <w:rFonts w:hint="default" w:ascii="Times New Roman" w:hAnsi="Times New Roman" w:eastAsia="仿宋_GB2312" w:cs="Times New Roman"/>
          <w:sz w:val="32"/>
          <w:szCs w:val="32"/>
          <w:lang w:val="zh-CN" w:eastAsia="zh-CN"/>
        </w:rPr>
        <w:t>和</w:t>
      </w:r>
      <w:r>
        <w:rPr>
          <w:rFonts w:hint="default" w:ascii="Times New Roman" w:hAnsi="Times New Roman" w:eastAsia="仿宋_GB2312" w:cs="Times New Roman"/>
          <w:sz w:val="32"/>
          <w:szCs w:val="32"/>
          <w:lang w:val="zh-CN"/>
        </w:rPr>
        <w:t>我单位内部管理制度执行。单位内部不定期进行抽查，严格人员作风，不存在违规违法的问题</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资金使用与具体实施内容相符。</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1.内部应用：我</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资金使用</w:t>
      </w:r>
      <w:r>
        <w:rPr>
          <w:rFonts w:hint="default" w:ascii="Times New Roman" w:hAnsi="Times New Roman" w:eastAsia="仿宋_GB2312" w:cs="Times New Roman"/>
          <w:sz w:val="32"/>
          <w:szCs w:val="32"/>
          <w:lang w:val="zh-CN"/>
        </w:rPr>
        <w:t>主要用于以下方面：一般公共服务、社会保障和就业、卫生健康、</w:t>
      </w:r>
      <w:r>
        <w:rPr>
          <w:rFonts w:hint="default" w:ascii="Times New Roman" w:hAnsi="Times New Roman" w:eastAsia="仿宋_GB2312" w:cs="Times New Roman"/>
          <w:sz w:val="32"/>
          <w:szCs w:val="32"/>
          <w:lang w:val="en-US" w:eastAsia="zh-CN"/>
        </w:rPr>
        <w:t>农林水、</w:t>
      </w:r>
      <w:r>
        <w:rPr>
          <w:rFonts w:hint="default" w:ascii="Times New Roman" w:hAnsi="Times New Roman" w:eastAsia="仿宋_GB2312" w:cs="Times New Roman"/>
          <w:sz w:val="32"/>
          <w:szCs w:val="32"/>
          <w:lang w:val="zh-CN"/>
        </w:rPr>
        <w:t>住房保障</w:t>
      </w:r>
      <w:r>
        <w:rPr>
          <w:rFonts w:hint="default" w:ascii="Times New Roman" w:hAnsi="Times New Roman" w:eastAsia="仿宋_GB2312" w:cs="Times New Roman"/>
          <w:sz w:val="32"/>
          <w:szCs w:val="32"/>
          <w:lang w:val="zh-CN" w:eastAsia="zh-CN"/>
        </w:rPr>
        <w:t>、公务接待</w:t>
      </w:r>
      <w:r>
        <w:rPr>
          <w:rFonts w:hint="default" w:ascii="Times New Roman" w:hAnsi="Times New Roman" w:eastAsia="仿宋_GB2312" w:cs="Times New Roman"/>
          <w:sz w:val="32"/>
          <w:szCs w:val="32"/>
          <w:lang w:val="zh-CN"/>
        </w:rPr>
        <w:t>等支出。合理有序的资金安排保证顺利完成全年目标和任务。</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2.自评公开：我</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认真贯彻落实上级指示安排，严格规范资金使用，全年未出台任何违反党的路线、方针、政策和法律法规的文件。由财政局在门户网站进行统一公开，构建了“权界清晰、分工合理、权责一致、运转高效”的部门职责体系。严格执行中央八项规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使资金的使用效益得到充分发挥，并保持了工作的连续性和规范性。</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lang w:val="en-US" w:eastAsia="zh-CN"/>
        </w:rPr>
        <w:t>1.公众评价。202</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年，我</w:t>
      </w:r>
      <w:r>
        <w:rPr>
          <w:rFonts w:hint="eastAsia"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狠抓机关内部管理，认真履行部门职责，促进了区域经济发展，积极回应社会关心，得到了领导和</w:t>
      </w:r>
      <w:r>
        <w:rPr>
          <w:rFonts w:hint="eastAsia" w:eastAsia="仿宋_GB2312" w:cs="Times New Roman"/>
          <w:sz w:val="32"/>
          <w:szCs w:val="32"/>
          <w:lang w:val="en-US" w:eastAsia="zh-CN"/>
        </w:rPr>
        <w:t>群众</w:t>
      </w:r>
      <w:r>
        <w:rPr>
          <w:rFonts w:hint="default" w:ascii="Times New Roman" w:hAnsi="Times New Roman" w:eastAsia="仿宋_GB2312" w:cs="Times New Roman"/>
          <w:sz w:val="32"/>
          <w:szCs w:val="32"/>
          <w:lang w:val="en-US" w:eastAsia="zh-CN"/>
        </w:rPr>
        <w:t>乃至社会各界的肯定，实现了“领导放心、</w:t>
      </w:r>
      <w:r>
        <w:rPr>
          <w:rFonts w:hint="eastAsia" w:eastAsia="仿宋_GB2312" w:cs="Times New Roman"/>
          <w:sz w:val="32"/>
          <w:szCs w:val="32"/>
          <w:lang w:val="en-US" w:eastAsia="zh-CN"/>
        </w:rPr>
        <w:t>群众</w:t>
      </w:r>
      <w:r>
        <w:rPr>
          <w:rFonts w:hint="default" w:ascii="Times New Roman" w:hAnsi="Times New Roman" w:eastAsia="仿宋_GB2312" w:cs="Times New Roman"/>
          <w:sz w:val="32"/>
          <w:szCs w:val="32"/>
          <w:lang w:val="en-US" w:eastAsia="zh-CN"/>
        </w:rPr>
        <w:t>满意”的工作目标。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default" w:ascii="Times New Roman" w:hAnsi="Times New Roman" w:eastAsia="仿宋_GB2312" w:cs="Times New Roman"/>
          <w:sz w:val="32"/>
          <w:szCs w:val="32"/>
          <w:lang w:val="en-US" w:eastAsia="zh-CN"/>
        </w:rPr>
        <w:t>2.内部互评。单位上下认真贯彻县委、县政府决策部署和县委领导指示精神，圆满完成全年工作任务，与各单位、各部门之间相互协调配合，各项工作有序推进，按时按质完成单位目标任务。</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（一）评价结论。</w:t>
      </w:r>
      <w:r>
        <w:rPr>
          <w:rFonts w:hint="eastAsia" w:eastAsia="仿宋_GB2312" w:cs="Times New Roman"/>
          <w:sz w:val="32"/>
          <w:szCs w:val="32"/>
          <w:lang w:val="zh-CN" w:eastAsia="zh-CN"/>
        </w:rPr>
        <w:t>我镇</w:t>
      </w:r>
      <w:r>
        <w:rPr>
          <w:rFonts w:hint="default" w:ascii="Times New Roman" w:hAnsi="Times New Roman" w:eastAsia="仿宋_GB2312" w:cs="Times New Roman"/>
          <w:sz w:val="32"/>
          <w:szCs w:val="32"/>
          <w:lang w:val="zh-CN"/>
        </w:rPr>
        <w:t>按照岗位职责，严格执行机关财务管理制度，及时进行会计核算，对项目资金</w:t>
      </w:r>
      <w:r>
        <w:rPr>
          <w:rFonts w:hint="default" w:ascii="Times New Roman" w:hAnsi="Times New Roman" w:eastAsia="仿宋_GB2312" w:cs="Times New Roman"/>
          <w:sz w:val="32"/>
          <w:szCs w:val="32"/>
          <w:lang w:val="zh-CN" w:eastAsia="zh-CN"/>
        </w:rPr>
        <w:t>等</w:t>
      </w:r>
      <w:r>
        <w:rPr>
          <w:rFonts w:hint="default" w:ascii="Times New Roman" w:hAnsi="Times New Roman" w:eastAsia="仿宋_GB2312" w:cs="Times New Roman"/>
          <w:sz w:val="32"/>
          <w:szCs w:val="32"/>
          <w:lang w:val="zh-CN"/>
        </w:rPr>
        <w:t>进行公开公示，接受群众监督。</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（二）存在问题。</w:t>
      </w:r>
      <w:r>
        <w:rPr>
          <w:rFonts w:hint="eastAsia" w:ascii="仿宋" w:hAnsi="仿宋" w:eastAsia="仿宋" w:cs="仿宋"/>
          <w:sz w:val="32"/>
          <w:szCs w:val="32"/>
          <w:lang w:val="en-US" w:eastAsia="zh-CN"/>
        </w:rPr>
        <w:t>存在的问题。一是公用经费过少，不能满足工作需要；二是无专项工作经费，致使项目工作实施难度大； 三是效益指标有待提高。</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zh-CN"/>
        </w:rPr>
      </w:pPr>
      <w:r>
        <w:rPr>
          <w:rFonts w:hint="eastAsia" w:ascii="仿宋_GB2312" w:hAnsi="宋体" w:eastAsia="仿宋_GB2312" w:cs="宋体"/>
          <w:color w:val="auto"/>
          <w:kern w:val="0"/>
          <w:sz w:val="32"/>
          <w:szCs w:val="32"/>
          <w:highlight w:val="none"/>
          <w:shd w:val="clear" w:color="auto" w:fill="FFFFFF"/>
          <w:lang w:val="zh-CN"/>
        </w:rPr>
        <w:t>（三）改进建议。</w:t>
      </w:r>
      <w:r>
        <w:rPr>
          <w:rFonts w:hint="default" w:ascii="Times New Roman" w:hAnsi="Times New Roman" w:eastAsia="仿宋_GB2312" w:cs="Times New Roman"/>
          <w:sz w:val="32"/>
          <w:szCs w:val="32"/>
          <w:lang w:val="zh-CN"/>
        </w:rPr>
        <w:t>加大经费投入和人员保障，加强业务</w:t>
      </w:r>
      <w:r>
        <w:rPr>
          <w:rFonts w:hint="eastAsia" w:eastAsia="仿宋_GB2312" w:cs="Times New Roman"/>
          <w:sz w:val="32"/>
          <w:szCs w:val="32"/>
          <w:lang w:val="zh-CN"/>
        </w:rPr>
        <w:t>培训，提升工作效率。</w:t>
      </w:r>
    </w:p>
    <w:p>
      <w:pPr>
        <w:pStyle w:val="22"/>
        <w:spacing w:line="560" w:lineRule="exact"/>
        <w:ind w:firstLine="640" w:firstLineChars="200"/>
        <w:rPr>
          <w:rFonts w:hint="eastAsia" w:ascii="仿宋_GB2312" w:eastAsia="仿宋_GB2312"/>
          <w:color w:val="auto"/>
          <w:sz w:val="32"/>
          <w:szCs w:val="32"/>
          <w:highlight w:val="none"/>
        </w:rPr>
      </w:pPr>
    </w:p>
    <w:p>
      <w:pPr>
        <w:spacing w:line="600" w:lineRule="exact"/>
        <w:jc w:val="both"/>
        <w:outlineLvl w:val="0"/>
        <w:rPr>
          <w:rStyle w:val="24"/>
          <w:rFonts w:ascii="黑体" w:hAnsi="黑体" w:eastAsia="黑体"/>
          <w:b w:val="0"/>
          <w:color w:val="auto"/>
          <w:highlight w:val="none"/>
        </w:rPr>
      </w:pPr>
      <w:bookmarkStart w:id="78" w:name="_Toc15377226"/>
      <w:r>
        <w:rPr>
          <w:rFonts w:ascii="宋体"/>
          <w:b/>
          <w:color w:val="auto"/>
          <w:sz w:val="44"/>
          <w:szCs w:val="44"/>
          <w:highlight w:val="none"/>
        </w:rPr>
        <w:br w:type="page"/>
      </w:r>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79" w:name="_Toc4443"/>
      <w:bookmarkStart w:id="80" w:name="_Toc64"/>
      <w:r>
        <w:rPr>
          <w:rFonts w:hint="eastAsia" w:ascii="黑体" w:hAnsi="黑体" w:eastAsia="黑体" w:cs="黑体"/>
          <w:color w:val="auto"/>
          <w:sz w:val="32"/>
          <w:szCs w:val="32"/>
          <w:highlight w:val="none"/>
        </w:rPr>
        <w:t>附件</w:t>
      </w:r>
      <w:bookmarkEnd w:id="79"/>
      <w:bookmarkEnd w:id="80"/>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81" w:name="_Toc15396618"/>
            <w:r>
              <w:rPr>
                <w:rFonts w:hint="eastAsia" w:ascii="宋体" w:hAnsi="宋体" w:eastAsia="宋体" w:cs="宋体"/>
                <w:b/>
                <w:i w:val="0"/>
                <w:color w:val="auto"/>
                <w:sz w:val="32"/>
                <w:szCs w:val="32"/>
                <w:u w:val="none"/>
                <w:lang w:val="en-US" w:eastAsia="zh-CN"/>
              </w:rPr>
              <w:t>202</w:t>
            </w:r>
            <w:r>
              <w:rPr>
                <w:rFonts w:hint="eastAsia" w:ascii="宋体" w:hAnsi="宋体" w:cs="宋体"/>
                <w:b/>
                <w:i w:val="0"/>
                <w:color w:val="auto"/>
                <w:sz w:val="32"/>
                <w:szCs w:val="32"/>
                <w:u w:val="none"/>
                <w:lang w:val="en-US" w:eastAsia="zh-CN"/>
              </w:rPr>
              <w:t>0</w:t>
            </w:r>
            <w:r>
              <w:rPr>
                <w:rFonts w:hint="eastAsia" w:ascii="宋体" w:hAnsi="宋体" w:eastAsia="宋体" w:cs="宋体"/>
                <w:b/>
                <w:i w:val="0"/>
                <w:color w:val="auto"/>
                <w:sz w:val="32"/>
                <w:szCs w:val="32"/>
                <w:u w:val="none"/>
                <w:lang w:val="en-US" w:eastAsia="zh-CN"/>
              </w:rPr>
              <w:t>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lang w:val="en-US" w:eastAsia="zh-CN"/>
        </w:rPr>
        <w:t>（注：有两个及以上100万元以上（含）特定目标类部门预算项目的，需分别开展绩效目标自评并填写附表）</w:t>
      </w: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82" w:name="_Toc4852"/>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8"/>
      <w:bookmarkEnd w:id="81"/>
      <w:bookmarkEnd w:id="82"/>
      <w:bookmarkStart w:id="83" w:name="_Toc15396619"/>
    </w:p>
    <w:p>
      <w:pPr>
        <w:pStyle w:val="4"/>
        <w:rPr>
          <w:rFonts w:ascii="仿宋" w:hAnsi="仿宋" w:eastAsia="仿宋"/>
          <w:color w:val="auto"/>
          <w:highlight w:val="none"/>
        </w:rPr>
      </w:pPr>
      <w:bookmarkStart w:id="84" w:name="_Toc2393"/>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3"/>
      <w:bookmarkEnd w:id="84"/>
    </w:p>
    <w:p>
      <w:pPr>
        <w:pStyle w:val="4"/>
        <w:rPr>
          <w:rFonts w:ascii="仿宋" w:hAnsi="仿宋" w:eastAsia="仿宋"/>
          <w:color w:val="auto"/>
          <w:highlight w:val="none"/>
        </w:rPr>
      </w:pPr>
      <w:bookmarkStart w:id="85" w:name="_Toc15396620"/>
      <w:bookmarkStart w:id="86" w:name="_Toc15816"/>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5"/>
      <w:bookmarkEnd w:id="86"/>
    </w:p>
    <w:p>
      <w:pPr>
        <w:pStyle w:val="4"/>
        <w:rPr>
          <w:rFonts w:ascii="仿宋" w:hAnsi="仿宋" w:eastAsia="仿宋"/>
          <w:color w:val="auto"/>
          <w:highlight w:val="none"/>
        </w:rPr>
      </w:pPr>
      <w:bookmarkStart w:id="87" w:name="_Toc32273"/>
      <w:bookmarkStart w:id="88"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7"/>
      <w:bookmarkEnd w:id="88"/>
    </w:p>
    <w:p>
      <w:pPr>
        <w:pStyle w:val="4"/>
        <w:rPr>
          <w:rFonts w:ascii="仿宋" w:hAnsi="仿宋" w:eastAsia="仿宋"/>
          <w:b w:val="0"/>
          <w:color w:val="auto"/>
          <w:highlight w:val="none"/>
        </w:rPr>
      </w:pPr>
      <w:bookmarkStart w:id="89" w:name="_Toc15396622"/>
      <w:bookmarkStart w:id="90" w:name="_Toc30503"/>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9"/>
      <w:bookmarkEnd w:id="90"/>
    </w:p>
    <w:p>
      <w:pPr>
        <w:pStyle w:val="4"/>
        <w:rPr>
          <w:rStyle w:val="25"/>
          <w:rFonts w:ascii="仿宋" w:hAnsi="仿宋" w:eastAsia="仿宋"/>
          <w:b w:val="0"/>
          <w:bCs w:val="0"/>
          <w:color w:val="auto"/>
          <w:highlight w:val="none"/>
        </w:rPr>
      </w:pPr>
      <w:bookmarkStart w:id="91" w:name="_Toc15396623"/>
      <w:bookmarkStart w:id="92" w:name="_Toc9729"/>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1"/>
      <w:bookmarkEnd w:id="92"/>
      <w:bookmarkStart w:id="93" w:name="_Toc15396624"/>
    </w:p>
    <w:p>
      <w:pPr>
        <w:pStyle w:val="4"/>
        <w:rPr>
          <w:rFonts w:ascii="仿宋" w:hAnsi="仿宋" w:eastAsia="仿宋"/>
          <w:color w:val="auto"/>
          <w:highlight w:val="none"/>
        </w:rPr>
      </w:pPr>
      <w:bookmarkStart w:id="94" w:name="_Toc13136"/>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3"/>
      <w:bookmarkEnd w:id="94"/>
    </w:p>
    <w:p>
      <w:pPr>
        <w:pStyle w:val="4"/>
        <w:rPr>
          <w:rFonts w:ascii="仿宋" w:hAnsi="仿宋" w:eastAsia="仿宋"/>
          <w:color w:val="auto"/>
          <w:highlight w:val="none"/>
        </w:rPr>
      </w:pPr>
      <w:bookmarkStart w:id="95" w:name="_Toc15396625"/>
      <w:bookmarkStart w:id="96" w:name="_Toc17728"/>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5"/>
      <w:bookmarkEnd w:id="96"/>
    </w:p>
    <w:p>
      <w:pPr>
        <w:pStyle w:val="4"/>
        <w:rPr>
          <w:rFonts w:ascii="仿宋" w:hAnsi="仿宋" w:eastAsia="仿宋"/>
          <w:color w:val="auto"/>
          <w:highlight w:val="none"/>
        </w:rPr>
      </w:pPr>
      <w:bookmarkStart w:id="97" w:name="_Toc15396626"/>
      <w:bookmarkStart w:id="98" w:name="_Toc2949"/>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7"/>
      <w:bookmarkEnd w:id="98"/>
    </w:p>
    <w:p>
      <w:pPr>
        <w:pStyle w:val="4"/>
        <w:rPr>
          <w:rFonts w:ascii="仿宋" w:hAnsi="仿宋" w:eastAsia="仿宋"/>
          <w:color w:val="auto"/>
          <w:highlight w:val="none"/>
        </w:rPr>
      </w:pPr>
      <w:bookmarkStart w:id="99" w:name="_Toc15396627"/>
      <w:bookmarkStart w:id="100" w:name="_Toc1898"/>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99"/>
      <w:bookmarkEnd w:id="100"/>
    </w:p>
    <w:p>
      <w:pPr>
        <w:pStyle w:val="4"/>
        <w:rPr>
          <w:rFonts w:ascii="仿宋" w:hAnsi="仿宋" w:eastAsia="仿宋"/>
          <w:color w:val="auto"/>
          <w:highlight w:val="none"/>
        </w:rPr>
      </w:pPr>
      <w:bookmarkStart w:id="101" w:name="_Toc15396628"/>
      <w:bookmarkStart w:id="102" w:name="_Toc788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101"/>
      <w:bookmarkEnd w:id="102"/>
    </w:p>
    <w:p>
      <w:pPr>
        <w:pStyle w:val="4"/>
        <w:rPr>
          <w:rFonts w:ascii="仿宋" w:hAnsi="仿宋" w:eastAsia="仿宋"/>
          <w:color w:val="auto"/>
          <w:highlight w:val="none"/>
        </w:rPr>
      </w:pPr>
      <w:bookmarkStart w:id="103" w:name="_Toc4562"/>
      <w:bookmarkStart w:id="104"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3"/>
      <w:bookmarkEnd w:id="104"/>
    </w:p>
    <w:p>
      <w:pPr>
        <w:pStyle w:val="4"/>
        <w:rPr>
          <w:rFonts w:ascii="仿宋" w:hAnsi="仿宋" w:eastAsia="仿宋"/>
          <w:color w:val="auto"/>
          <w:highlight w:val="none"/>
        </w:rPr>
      </w:pPr>
      <w:bookmarkStart w:id="105" w:name="_Toc15396630"/>
      <w:bookmarkStart w:id="106" w:name="_Toc15838"/>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105"/>
      <w:bookmarkEnd w:id="106"/>
    </w:p>
    <w:p>
      <w:pPr>
        <w:pStyle w:val="4"/>
        <w:rPr>
          <w:rStyle w:val="25"/>
          <w:rFonts w:hint="eastAsia" w:ascii="仿宋" w:hAnsi="仿宋" w:eastAsia="仿宋"/>
          <w:b w:val="0"/>
          <w:bCs w:val="0"/>
          <w:color w:val="auto"/>
          <w:highlight w:val="none"/>
        </w:rPr>
      </w:pPr>
      <w:bookmarkStart w:id="107" w:name="_Toc15396631"/>
      <w:bookmarkStart w:id="108" w:name="_Toc22642"/>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7"/>
      <w:bookmarkEnd w:id="108"/>
    </w:p>
    <w:p>
      <w:pPr>
        <w:rPr>
          <w:rFonts w:hint="eastAsia" w:eastAsia="仿宋"/>
          <w:color w:val="auto"/>
          <w:highlight w:val="none"/>
          <w:lang w:eastAsia="zh-CN"/>
        </w:rPr>
      </w:pPr>
      <w:bookmarkStart w:id="109" w:name="_Toc25278"/>
      <w:r>
        <w:rPr>
          <w:rStyle w:val="25"/>
          <w:rFonts w:hint="eastAsia" w:ascii="仿宋" w:hAnsi="仿宋" w:eastAsia="仿宋"/>
          <w:b w:val="0"/>
          <w:bCs w:val="0"/>
          <w:color w:val="auto"/>
          <w:highlight w:val="none"/>
          <w:lang w:eastAsia="zh-CN"/>
        </w:rPr>
        <w:t>十四、国有资本经营预算财政拨款支出决算表</w:t>
      </w:r>
      <w:bookmarkEnd w:id="109"/>
    </w:p>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E212"/>
    <w:multiLevelType w:val="singleLevel"/>
    <w:tmpl w:val="912EE212"/>
    <w:lvl w:ilvl="0" w:tentative="0">
      <w:start w:val="2"/>
      <w:numFmt w:val="chineseCounting"/>
      <w:suff w:val="nothing"/>
      <w:lvlText w:val="（%1）"/>
      <w:lvlJc w:val="left"/>
      <w:rPr>
        <w:rFonts w:hint="eastAsia"/>
      </w:rPr>
    </w:lvl>
  </w:abstractNum>
  <w:abstractNum w:abstractNumId="1">
    <w:nsid w:val="A0C9C1D2"/>
    <w:multiLevelType w:val="singleLevel"/>
    <w:tmpl w:val="A0C9C1D2"/>
    <w:lvl w:ilvl="0" w:tentative="0">
      <w:start w:val="2"/>
      <w:numFmt w:val="chineseCounting"/>
      <w:suff w:val="nothing"/>
      <w:lvlText w:val="（%1）"/>
      <w:lvlJc w:val="left"/>
      <w:rPr>
        <w:rFonts w:hint="eastAsia"/>
      </w:rPr>
    </w:lvl>
  </w:abstractNum>
  <w:abstractNum w:abstractNumId="2">
    <w:nsid w:val="A6F1B493"/>
    <w:multiLevelType w:val="singleLevel"/>
    <w:tmpl w:val="A6F1B493"/>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TBhZThmOTU4YTliMjhiZDc4ZDk4MjhmMTAzN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944CC8"/>
    <w:rsid w:val="02ED2D9A"/>
    <w:rsid w:val="04230035"/>
    <w:rsid w:val="046A6309"/>
    <w:rsid w:val="04DD48F7"/>
    <w:rsid w:val="04EB3ACB"/>
    <w:rsid w:val="05F83ED7"/>
    <w:rsid w:val="06655EA3"/>
    <w:rsid w:val="079924CD"/>
    <w:rsid w:val="0977132E"/>
    <w:rsid w:val="09D701A8"/>
    <w:rsid w:val="0A2032A3"/>
    <w:rsid w:val="0A34418E"/>
    <w:rsid w:val="0AE61C5F"/>
    <w:rsid w:val="0B8A37D8"/>
    <w:rsid w:val="0CCA0B61"/>
    <w:rsid w:val="0F5B5A41"/>
    <w:rsid w:val="10C055FF"/>
    <w:rsid w:val="110B660F"/>
    <w:rsid w:val="116A437E"/>
    <w:rsid w:val="11744787"/>
    <w:rsid w:val="118107EC"/>
    <w:rsid w:val="11DD6519"/>
    <w:rsid w:val="1211667E"/>
    <w:rsid w:val="128C477C"/>
    <w:rsid w:val="13443CA8"/>
    <w:rsid w:val="14E576A4"/>
    <w:rsid w:val="155A7AD3"/>
    <w:rsid w:val="15AA558A"/>
    <w:rsid w:val="161D2267"/>
    <w:rsid w:val="16BB723D"/>
    <w:rsid w:val="172045CF"/>
    <w:rsid w:val="17951EFC"/>
    <w:rsid w:val="18015F3F"/>
    <w:rsid w:val="18DC2FE9"/>
    <w:rsid w:val="198103A7"/>
    <w:rsid w:val="19FA356D"/>
    <w:rsid w:val="1A352C52"/>
    <w:rsid w:val="1B2D05FC"/>
    <w:rsid w:val="1BAB05D5"/>
    <w:rsid w:val="1BBF678D"/>
    <w:rsid w:val="1BE8440E"/>
    <w:rsid w:val="1D09133E"/>
    <w:rsid w:val="1D126826"/>
    <w:rsid w:val="1D155CEE"/>
    <w:rsid w:val="1D7B18A8"/>
    <w:rsid w:val="1E9F5162"/>
    <w:rsid w:val="1F16502A"/>
    <w:rsid w:val="1FAB4FED"/>
    <w:rsid w:val="1FD834CF"/>
    <w:rsid w:val="20F57F95"/>
    <w:rsid w:val="22D66DEA"/>
    <w:rsid w:val="234219E5"/>
    <w:rsid w:val="240371BF"/>
    <w:rsid w:val="25572470"/>
    <w:rsid w:val="25C741E6"/>
    <w:rsid w:val="272C00E5"/>
    <w:rsid w:val="275A5789"/>
    <w:rsid w:val="27842671"/>
    <w:rsid w:val="27B26AE1"/>
    <w:rsid w:val="29E05D22"/>
    <w:rsid w:val="29FD04D3"/>
    <w:rsid w:val="2AA51711"/>
    <w:rsid w:val="2ABE7A3E"/>
    <w:rsid w:val="2ACD238D"/>
    <w:rsid w:val="2B8B1F51"/>
    <w:rsid w:val="2BA837EC"/>
    <w:rsid w:val="2C416110"/>
    <w:rsid w:val="2CDA4604"/>
    <w:rsid w:val="2DE0697C"/>
    <w:rsid w:val="2DF87D04"/>
    <w:rsid w:val="2EF668A1"/>
    <w:rsid w:val="2EFA178C"/>
    <w:rsid w:val="2F4B06BE"/>
    <w:rsid w:val="30B46D73"/>
    <w:rsid w:val="319F7F4E"/>
    <w:rsid w:val="32532B02"/>
    <w:rsid w:val="32B409B7"/>
    <w:rsid w:val="33713B09"/>
    <w:rsid w:val="338D3CCF"/>
    <w:rsid w:val="3421687C"/>
    <w:rsid w:val="356577C9"/>
    <w:rsid w:val="358F3902"/>
    <w:rsid w:val="363E6B44"/>
    <w:rsid w:val="36891E04"/>
    <w:rsid w:val="372A1E6B"/>
    <w:rsid w:val="381512E7"/>
    <w:rsid w:val="38F842B7"/>
    <w:rsid w:val="396D3581"/>
    <w:rsid w:val="39790129"/>
    <w:rsid w:val="39AE70AB"/>
    <w:rsid w:val="39E44FA6"/>
    <w:rsid w:val="39FA6FB7"/>
    <w:rsid w:val="3BCD74C2"/>
    <w:rsid w:val="3BED714A"/>
    <w:rsid w:val="3C0C0783"/>
    <w:rsid w:val="3C534D2C"/>
    <w:rsid w:val="3CB75150"/>
    <w:rsid w:val="3CD351B8"/>
    <w:rsid w:val="3DDA41E0"/>
    <w:rsid w:val="3E2D13C1"/>
    <w:rsid w:val="3F337076"/>
    <w:rsid w:val="3F6F0A9B"/>
    <w:rsid w:val="3F994A36"/>
    <w:rsid w:val="3F9F3A96"/>
    <w:rsid w:val="42BB06BE"/>
    <w:rsid w:val="43DF283A"/>
    <w:rsid w:val="448E1185"/>
    <w:rsid w:val="44B11D20"/>
    <w:rsid w:val="464D26EF"/>
    <w:rsid w:val="47121B67"/>
    <w:rsid w:val="480056F3"/>
    <w:rsid w:val="48B50791"/>
    <w:rsid w:val="493C27E9"/>
    <w:rsid w:val="496F39ED"/>
    <w:rsid w:val="49FF41D3"/>
    <w:rsid w:val="4A6C387D"/>
    <w:rsid w:val="4B6A0161"/>
    <w:rsid w:val="4BE068DB"/>
    <w:rsid w:val="4BF6002B"/>
    <w:rsid w:val="4CDB4292"/>
    <w:rsid w:val="4E011105"/>
    <w:rsid w:val="4EBD51F2"/>
    <w:rsid w:val="4ECE2238"/>
    <w:rsid w:val="4FC25CEC"/>
    <w:rsid w:val="51BA0A9C"/>
    <w:rsid w:val="51DB4B86"/>
    <w:rsid w:val="522B6EBA"/>
    <w:rsid w:val="5247725A"/>
    <w:rsid w:val="526B3465"/>
    <w:rsid w:val="526D30FC"/>
    <w:rsid w:val="535752BC"/>
    <w:rsid w:val="540F1977"/>
    <w:rsid w:val="54D90985"/>
    <w:rsid w:val="55333C3E"/>
    <w:rsid w:val="55A82C3A"/>
    <w:rsid w:val="58DA5A87"/>
    <w:rsid w:val="59366D7A"/>
    <w:rsid w:val="59446658"/>
    <w:rsid w:val="59736546"/>
    <w:rsid w:val="5A4745FE"/>
    <w:rsid w:val="5AAA2035"/>
    <w:rsid w:val="5AF77390"/>
    <w:rsid w:val="5B1B6377"/>
    <w:rsid w:val="5D2B1CAE"/>
    <w:rsid w:val="5D565B72"/>
    <w:rsid w:val="5D923233"/>
    <w:rsid w:val="5F20781D"/>
    <w:rsid w:val="5F324825"/>
    <w:rsid w:val="5FDE2C7A"/>
    <w:rsid w:val="615277ED"/>
    <w:rsid w:val="62885E3F"/>
    <w:rsid w:val="63522A2B"/>
    <w:rsid w:val="64CA39A1"/>
    <w:rsid w:val="65787944"/>
    <w:rsid w:val="65B35CED"/>
    <w:rsid w:val="67165B77"/>
    <w:rsid w:val="68951CEB"/>
    <w:rsid w:val="68C905DE"/>
    <w:rsid w:val="69C40889"/>
    <w:rsid w:val="69FD1E9E"/>
    <w:rsid w:val="6A3F478C"/>
    <w:rsid w:val="6AC16DE0"/>
    <w:rsid w:val="6C495A64"/>
    <w:rsid w:val="6C4A05C8"/>
    <w:rsid w:val="6C6D185D"/>
    <w:rsid w:val="6DA41478"/>
    <w:rsid w:val="6F760FC2"/>
    <w:rsid w:val="72734D90"/>
    <w:rsid w:val="73747F63"/>
    <w:rsid w:val="73BF7259"/>
    <w:rsid w:val="75660D45"/>
    <w:rsid w:val="759656E2"/>
    <w:rsid w:val="77C905CF"/>
    <w:rsid w:val="79463BAF"/>
    <w:rsid w:val="794C4FAE"/>
    <w:rsid w:val="795F629F"/>
    <w:rsid w:val="79E12F8F"/>
    <w:rsid w:val="79E7B28D"/>
    <w:rsid w:val="7D940097"/>
    <w:rsid w:val="7F1E69C2"/>
    <w:rsid w:val="7F451B6C"/>
    <w:rsid w:val="7F456289"/>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1450.08</c:v>
                </c:pt>
                <c:pt idx="1">
                  <c:v>1450.08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2686.77</c:v>
                </c:pt>
                <c:pt idx="1">
                  <c:v>2686.77</c:v>
                </c:pt>
              </c:numCache>
            </c:numRef>
          </c:val>
        </c:ser>
        <c:dLbls>
          <c:showLegendKey val="0"/>
          <c:showVal val="1"/>
          <c:showCatName val="0"/>
          <c:showSerName val="0"/>
          <c:showPercent val="0"/>
          <c:showBubbleSize val="0"/>
        </c:dLbls>
        <c:gapWidth val="219"/>
        <c:overlap val="-27"/>
        <c:axId val="126050651"/>
        <c:axId val="869089518"/>
      </c:barChart>
      <c:catAx>
        <c:axId val="1260506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089518"/>
        <c:crosses val="autoZero"/>
        <c:auto val="1"/>
        <c:lblAlgn val="ctr"/>
        <c:lblOffset val="100"/>
        <c:noMultiLvlLbl val="0"/>
      </c:catAx>
      <c:valAx>
        <c:axId val="8690895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0506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1450.08</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819.22</c:v>
                </c:pt>
                <c:pt idx="1">
                  <c:v>630.86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1450.08</c:v>
                </c:pt>
                <c:pt idx="1">
                  <c:v>1450.08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2686.77</c:v>
                </c:pt>
                <c:pt idx="1">
                  <c:v>2686.77</c:v>
                </c:pt>
              </c:numCache>
            </c:numRef>
          </c:val>
        </c:ser>
        <c:dLbls>
          <c:showLegendKey val="0"/>
          <c:showVal val="1"/>
          <c:showCatName val="0"/>
          <c:showSerName val="0"/>
          <c:showPercent val="0"/>
          <c:showBubbleSize val="0"/>
        </c:dLbls>
        <c:gapWidth val="219"/>
        <c:overlap val="-27"/>
        <c:axId val="524064505"/>
        <c:axId val="640906899"/>
      </c:barChart>
      <c:catAx>
        <c:axId val="5240645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906899"/>
        <c:crosses val="autoZero"/>
        <c:auto val="1"/>
        <c:lblAlgn val="ctr"/>
        <c:lblOffset val="100"/>
        <c:noMultiLvlLbl val="0"/>
      </c:catAx>
      <c:valAx>
        <c:axId val="6409068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0645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1450.08</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2686.77</c:v>
                </c:pt>
              </c:numCache>
            </c:numRef>
          </c:val>
        </c:ser>
        <c:dLbls>
          <c:showLegendKey val="0"/>
          <c:showVal val="1"/>
          <c:showCatName val="0"/>
          <c:showSerName val="0"/>
          <c:showPercent val="0"/>
          <c:showBubbleSize val="0"/>
        </c:dLbls>
        <c:gapWidth val="219"/>
        <c:overlap val="-27"/>
        <c:axId val="900590265"/>
        <c:axId val="368356383"/>
      </c:barChart>
      <c:catAx>
        <c:axId val="900590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356383"/>
        <c:crosses val="autoZero"/>
        <c:auto val="1"/>
        <c:lblAlgn val="ctr"/>
        <c:lblOffset val="100"/>
        <c:noMultiLvlLbl val="0"/>
      </c:catAx>
      <c:valAx>
        <c:axId val="368356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5902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3"/>
              <c:layout>
                <c:manualLayout>
                  <c:x val="0.0896581678382585"/>
                  <c:y val="0.0006116475586188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5541600707385"/>
                  <c:y val="0.05274385258618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76361471552818"/>
                  <c:y val="0.02798799493761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669223136337286"/>
                  <c:y val="-0.0166089221513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766098674487001"/>
                  <c:y val="-0.004691785212394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一般公共服务（类）支出</c:v>
                </c:pt>
                <c:pt idx="1">
                  <c:v>文化旅游体育与传媒（类）支出</c:v>
                </c:pt>
                <c:pt idx="2">
                  <c:v>社会保障和就业（类）支出</c:v>
                </c:pt>
                <c:pt idx="3">
                  <c:v>卫生健康支出</c:v>
                </c:pt>
                <c:pt idx="4">
                  <c:v>节能环保支出</c:v>
                </c:pt>
                <c:pt idx="5">
                  <c:v>农林水支出</c:v>
                </c:pt>
                <c:pt idx="6">
                  <c:v>交通运输支出</c:v>
                </c:pt>
                <c:pt idx="7">
                  <c:v>商业服务业等支出</c:v>
                </c:pt>
                <c:pt idx="8">
                  <c:v>住房保障支出</c:v>
                </c:pt>
              </c:strCache>
            </c:strRef>
          </c:cat>
          <c:val>
            <c:numRef>
              <c:f>Sheet1!$B$2:$B$10</c:f>
              <c:numCache>
                <c:formatCode>General</c:formatCode>
                <c:ptCount val="9"/>
                <c:pt idx="0">
                  <c:v>399.45</c:v>
                </c:pt>
                <c:pt idx="1">
                  <c:v>18.38</c:v>
                </c:pt>
                <c:pt idx="2">
                  <c:v>99.61</c:v>
                </c:pt>
                <c:pt idx="3">
                  <c:v>29.42</c:v>
                </c:pt>
                <c:pt idx="4">
                  <c:v>0.69</c:v>
                </c:pt>
                <c:pt idx="5">
                  <c:v>844.16</c:v>
                </c:pt>
                <c:pt idx="6">
                  <c:v>22.41</c:v>
                </c:pt>
                <c:pt idx="7">
                  <c:v>0.7</c:v>
                </c:pt>
                <c:pt idx="8">
                  <c:v>35.26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8206</Words>
  <Characters>8955</Characters>
  <Lines>61</Lines>
  <Paragraphs>17</Paragraphs>
  <TotalTime>7</TotalTime>
  <ScaleCrop>false</ScaleCrop>
  <LinksUpToDate>false</LinksUpToDate>
  <CharactersWithSpaces>9026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2024-12-24T03:13:34Z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F27E765351294CC28FD8C27EC118EA37</vt:lpwstr>
  </property>
</Properties>
</file>