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bidi w:val="0"/>
        <w:jc w:val="center"/>
        <w:rPr>
          <w:rFonts w:hint="eastAsia" w:ascii="黑体" w:hAnsi="黑体" w:eastAsia="黑体" w:cs="黑体"/>
          <w:b w:val="0"/>
          <w:bCs w:val="0"/>
          <w:sz w:val="72"/>
          <w:szCs w:val="72"/>
        </w:rPr>
      </w:pPr>
      <w:bookmarkStart w:id="1" w:name="_Toc15396475"/>
      <w:bookmarkStart w:id="2" w:name="_Toc15378441"/>
      <w:bookmarkStart w:id="3" w:name="_Toc15377193"/>
      <w:bookmarkStart w:id="4" w:name="_Toc15377425"/>
      <w:bookmarkStart w:id="5" w:name="_Toc15396597"/>
      <w:r>
        <w:rPr>
          <w:rFonts w:hint="eastAsia" w:ascii="黑体" w:hAnsi="黑体" w:eastAsia="黑体" w:cs="黑体"/>
          <w:b w:val="0"/>
          <w:bCs w:val="0"/>
          <w:sz w:val="72"/>
          <w:szCs w:val="72"/>
        </w:rPr>
        <w:t>20</w:t>
      </w:r>
      <w:r>
        <w:rPr>
          <w:rFonts w:hint="eastAsia" w:ascii="黑体" w:hAnsi="黑体" w:eastAsia="黑体" w:cs="黑体"/>
          <w:b w:val="0"/>
          <w:bCs w:val="0"/>
          <w:sz w:val="72"/>
          <w:szCs w:val="72"/>
          <w:lang w:val="en-US" w:eastAsia="zh-CN"/>
        </w:rPr>
        <w:t>20</w:t>
      </w:r>
      <w:r>
        <w:rPr>
          <w:rFonts w:hint="eastAsia" w:ascii="黑体" w:hAnsi="黑体" w:eastAsia="黑体" w:cs="黑体"/>
          <w:b w:val="0"/>
          <w:bCs w:val="0"/>
          <w:sz w:val="72"/>
          <w:szCs w:val="72"/>
        </w:rPr>
        <w:t>年度</w:t>
      </w:r>
      <w:bookmarkEnd w:id="1"/>
      <w:bookmarkEnd w:id="2"/>
      <w:bookmarkEnd w:id="3"/>
      <w:bookmarkEnd w:id="4"/>
      <w:bookmarkEnd w:id="5"/>
    </w:p>
    <w:p>
      <w:pPr>
        <w:bidi w:val="0"/>
        <w:jc w:val="center"/>
        <w:rPr>
          <w:rFonts w:hint="eastAsia" w:ascii="黑体" w:hAnsi="黑体" w:eastAsia="黑体" w:cs="黑体"/>
          <w:b w:val="0"/>
          <w:bCs w:val="0"/>
          <w:sz w:val="72"/>
          <w:szCs w:val="72"/>
        </w:rPr>
      </w:pPr>
      <w:bookmarkStart w:id="6" w:name="_Toc15377194"/>
      <w:bookmarkStart w:id="7" w:name="_Toc15378442"/>
      <w:bookmarkStart w:id="8" w:name="_Toc15396598"/>
      <w:bookmarkStart w:id="9" w:name="_Toc15377426"/>
      <w:bookmarkStart w:id="10" w:name="_Toc15396476"/>
      <w:r>
        <w:rPr>
          <w:rFonts w:hint="eastAsia" w:ascii="黑体" w:hAnsi="黑体" w:eastAsia="黑体" w:cs="黑体"/>
          <w:b w:val="0"/>
          <w:bCs w:val="0"/>
          <w:sz w:val="72"/>
          <w:szCs w:val="72"/>
        </w:rPr>
        <w:t>四川省</w:t>
      </w:r>
      <w:bookmarkEnd w:id="0"/>
      <w:bookmarkStart w:id="11" w:name="_Toc15306268"/>
      <w:r>
        <w:rPr>
          <w:rFonts w:hint="eastAsia" w:ascii="黑体" w:hAnsi="黑体" w:eastAsia="黑体" w:cs="黑体"/>
          <w:b w:val="0"/>
          <w:bCs w:val="0"/>
          <w:sz w:val="72"/>
          <w:szCs w:val="72"/>
          <w:lang w:val="en-US" w:eastAsia="zh-CN"/>
        </w:rPr>
        <w:t>通江县长坪镇人民政府</w:t>
      </w:r>
      <w:r>
        <w:rPr>
          <w:rFonts w:hint="eastAsia" w:ascii="黑体" w:hAnsi="黑体" w:eastAsia="黑体" w:cs="黑体"/>
          <w:b w:val="0"/>
          <w:bCs w:val="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pStyle w:val="10"/>
        <w:rPr>
          <w:rFonts w:hint="eastAsia"/>
        </w:rPr>
      </w:pPr>
      <w:r>
        <w:rPr>
          <w:rFonts w:hint="eastAsia"/>
        </w:rPr>
        <w:t>公开时间：202</w:t>
      </w:r>
      <w:r>
        <w:rPr>
          <w:rFonts w:hint="eastAsia"/>
          <w:lang w:val="en-US" w:eastAsia="zh-CN"/>
        </w:rPr>
        <w:t>1</w:t>
      </w:r>
      <w:r>
        <w:rPr>
          <w:rFonts w:hint="eastAsia"/>
        </w:rPr>
        <w:t xml:space="preserve">年10月 </w:t>
      </w:r>
      <w:r>
        <w:rPr>
          <w:rFonts w:hint="eastAsia"/>
          <w:lang w:val="en-US" w:eastAsia="zh-CN"/>
        </w:rPr>
        <w:t>15</w:t>
      </w:r>
      <w:r>
        <w:rPr>
          <w:rFonts w:hint="eastAsia"/>
        </w:rPr>
        <w:t>日</w:t>
      </w:r>
    </w:p>
    <w:p>
      <w:pPr>
        <w:widowControl/>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sdt>
      <w:sdtPr>
        <w:rPr>
          <w:rFonts w:ascii="宋体" w:hAnsi="宋体" w:eastAsia="宋体" w:cs="Times New Roman"/>
          <w:kern w:val="2"/>
          <w:sz w:val="21"/>
          <w:szCs w:val="24"/>
          <w:lang w:val="en-US" w:eastAsia="zh-CN" w:bidi="ar-SA"/>
        </w:rPr>
        <w:id w:val="147451605"/>
        <w15:color w:val="DBDBDB"/>
        <w:docPartObj>
          <w:docPartGallery w:val="Table of Contents"/>
          <w:docPartUnique/>
        </w:docPartObj>
      </w:sdtPr>
      <w:sdtEndPr>
        <w:rPr>
          <w:rFonts w:hint="eastAsia" w:ascii="黑体" w:hAnsi="黑体" w:eastAsia="黑体" w:cs="Times New Roman"/>
          <w:color w:val="000000"/>
          <w:kern w:val="2"/>
          <w:sz w:val="21"/>
          <w:szCs w:val="48"/>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 w:val="clear" w:pos="8296"/>
            </w:tabs>
          </w:pPr>
          <w:r>
            <w:rPr>
              <w:rFonts w:hint="eastAsia" w:ascii="黑体" w:hAnsi="黑体" w:eastAsia="黑体"/>
              <w:color w:val="000000"/>
              <w:sz w:val="48"/>
              <w:szCs w:val="48"/>
            </w:rPr>
            <w:fldChar w:fldCharType="begin"/>
          </w:r>
          <w:r>
            <w:rPr>
              <w:rFonts w:hint="eastAsia" w:ascii="黑体" w:hAnsi="黑体" w:eastAsia="黑体"/>
              <w:color w:val="000000"/>
              <w:sz w:val="48"/>
              <w:szCs w:val="48"/>
            </w:rPr>
            <w:instrText xml:space="preserve">TOC \o "1-3" \h \u </w:instrText>
          </w:r>
          <w:r>
            <w:rPr>
              <w:rFonts w:hint="eastAsia" w:ascii="黑体" w:hAnsi="黑体" w:eastAsia="黑体"/>
              <w:color w:val="000000"/>
              <w:sz w:val="48"/>
              <w:szCs w:val="48"/>
            </w:rPr>
            <w:fldChar w:fldCharType="separate"/>
          </w:r>
          <w:r>
            <w:rPr>
              <w:rFonts w:hint="eastAsia" w:ascii="黑体" w:hAnsi="黑体" w:eastAsia="黑体"/>
              <w:color w:val="000000"/>
              <w:szCs w:val="48"/>
            </w:rPr>
            <w:fldChar w:fldCharType="begin"/>
          </w:r>
          <w:r>
            <w:rPr>
              <w:rFonts w:hint="eastAsia" w:ascii="黑体" w:hAnsi="黑体" w:eastAsia="黑体"/>
              <w:szCs w:val="48"/>
            </w:rPr>
            <w:instrText xml:space="preserve"> HYPERLINK \l _Toc31445 </w:instrText>
          </w:r>
          <w:r>
            <w:rPr>
              <w:rFonts w:hint="eastAsia" w:ascii="黑体" w:hAnsi="黑体" w:eastAsia="黑体"/>
              <w:szCs w:val="48"/>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_Toc31445 \h </w:instrText>
          </w:r>
          <w:r>
            <w:fldChar w:fldCharType="separate"/>
          </w:r>
          <w:r>
            <w:t>4</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_Toc16463 </w:instrText>
          </w:r>
          <w:r>
            <w:rPr>
              <w:rFonts w:hint="eastAsia" w:ascii="黑体" w:hAnsi="黑体" w:eastAsia="黑体"/>
              <w:szCs w:val="48"/>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_Toc16463 \h </w:instrText>
          </w:r>
          <w:r>
            <w:fldChar w:fldCharType="separate"/>
          </w:r>
          <w:r>
            <w:t>4</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_Toc19557 </w:instrText>
          </w:r>
          <w:r>
            <w:rPr>
              <w:rFonts w:hint="eastAsia" w:ascii="黑体" w:hAnsi="黑体" w:eastAsia="黑体"/>
              <w:szCs w:val="48"/>
            </w:rPr>
            <w:fldChar w:fldCharType="separate"/>
          </w:r>
          <w:r>
            <w:rPr>
              <w:rFonts w:hint="eastAsia" w:hAnsi="宋体"/>
              <w:szCs w:val="28"/>
              <w:lang w:val="en-US" w:eastAsia="zh-CN"/>
            </w:rPr>
            <w:t>（一）主要职能。</w:t>
          </w:r>
          <w:r>
            <w:tab/>
          </w:r>
          <w:r>
            <w:fldChar w:fldCharType="begin"/>
          </w:r>
          <w:r>
            <w:instrText xml:space="preserve"> PAGEREF _Toc19557 \h </w:instrText>
          </w:r>
          <w:r>
            <w:fldChar w:fldCharType="separate"/>
          </w:r>
          <w:r>
            <w:t>4</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_Toc14857 </w:instrText>
          </w:r>
          <w:r>
            <w:rPr>
              <w:rFonts w:hint="eastAsia" w:ascii="黑体" w:hAnsi="黑体" w:eastAsia="黑体"/>
              <w:szCs w:val="48"/>
            </w:rPr>
            <w:fldChar w:fldCharType="separate"/>
          </w:r>
          <w:r>
            <w:rPr>
              <w:rFonts w:hint="eastAsia" w:hAnsi="宋体"/>
              <w:szCs w:val="28"/>
              <w:lang w:val="en-US" w:eastAsia="zh-CN"/>
            </w:rPr>
            <w:t>（二）2020年重点工作完成情况。</w:t>
          </w:r>
          <w:r>
            <w:tab/>
          </w:r>
          <w:r>
            <w:fldChar w:fldCharType="begin"/>
          </w:r>
          <w:r>
            <w:instrText xml:space="preserve"> PAGEREF _Toc14857 \h </w:instrText>
          </w:r>
          <w:r>
            <w:fldChar w:fldCharType="separate"/>
          </w:r>
          <w:r>
            <w:t>4</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_Toc1304 </w:instrText>
          </w:r>
          <w:r>
            <w:rPr>
              <w:rFonts w:hint="eastAsia" w:ascii="黑体" w:hAnsi="黑体" w:eastAsia="黑体"/>
              <w:szCs w:val="48"/>
            </w:rPr>
            <w:fldChar w:fldCharType="separate"/>
          </w:r>
          <w:r>
            <w:rPr>
              <w:rFonts w:hint="eastAsia" w:ascii="黑体" w:hAnsi="黑体" w:eastAsia="黑体"/>
              <w:bCs w:val="0"/>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_Toc1304 \h </w:instrText>
          </w:r>
          <w:r>
            <w:fldChar w:fldCharType="separate"/>
          </w:r>
          <w:r>
            <w:t>5</w:t>
          </w:r>
          <w:r>
            <w:fldChar w:fldCharType="end"/>
          </w:r>
          <w:r>
            <w:rPr>
              <w:rFonts w:hint="eastAsia" w:ascii="黑体" w:hAnsi="黑体" w:eastAsia="黑体"/>
              <w:color w:val="000000"/>
              <w:szCs w:val="48"/>
            </w:rPr>
            <w:fldChar w:fldCharType="end"/>
          </w:r>
        </w:p>
        <w:p>
          <w:pPr>
            <w:pStyle w:val="10"/>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_Toc19176 </w:instrText>
          </w:r>
          <w:r>
            <w:rPr>
              <w:rFonts w:hint="eastAsia" w:ascii="黑体" w:hAnsi="黑体" w:eastAsia="黑体"/>
              <w:szCs w:val="48"/>
            </w:rPr>
            <w:fldChar w:fldCharType="separate"/>
          </w:r>
          <w:r>
            <w:rPr>
              <w:rFonts w:hint="eastAsia" w:ascii="黑体" w:hAnsi="黑体" w:eastAsia="黑体"/>
            </w:rPr>
            <w:t xml:space="preserve">第二部分 </w:t>
          </w:r>
          <w:r>
            <w:rPr>
              <w:rFonts w:hint="eastAsia" w:ascii="黑体" w:hAnsi="黑体" w:eastAsia="黑体"/>
              <w:bCs w:val="0"/>
              <w:lang w:eastAsia="zh-CN"/>
            </w:rPr>
            <w:t>2020</w:t>
          </w:r>
          <w:r>
            <w:rPr>
              <w:rFonts w:hint="eastAsia" w:ascii="黑体" w:hAnsi="黑体" w:eastAsia="黑体"/>
              <w:bCs w:val="0"/>
            </w:rPr>
            <w:t>年度部门决算情况说明</w:t>
          </w:r>
          <w:r>
            <w:tab/>
          </w:r>
          <w:r>
            <w:fldChar w:fldCharType="begin"/>
          </w:r>
          <w:r>
            <w:instrText xml:space="preserve"> PAGEREF _Toc19176 \h </w:instrText>
          </w:r>
          <w:r>
            <w:fldChar w:fldCharType="separate"/>
          </w:r>
          <w:r>
            <w:t>5</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_Toc7091 </w:instrText>
          </w:r>
          <w:r>
            <w:rPr>
              <w:rFonts w:hint="eastAsia" w:ascii="黑体" w:hAnsi="黑体" w:eastAsia="黑体"/>
              <w:szCs w:val="48"/>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_Toc7091 \h </w:instrText>
          </w:r>
          <w:r>
            <w:fldChar w:fldCharType="separate"/>
          </w:r>
          <w:r>
            <w:t>5</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_Toc15630 </w:instrText>
          </w:r>
          <w:r>
            <w:rPr>
              <w:rFonts w:hint="eastAsia" w:ascii="黑体" w:hAnsi="黑体" w:eastAsia="黑体"/>
              <w:szCs w:val="48"/>
            </w:rPr>
            <w:fldChar w:fldCharType="separate"/>
          </w:r>
          <w:r>
            <w:rPr>
              <w:rFonts w:hint="eastAsia" w:ascii="黑体" w:hAnsi="黑体" w:eastAsia="黑体" w:cs="黑体"/>
              <w:bCs w:val="0"/>
              <w:lang w:val="en-US" w:eastAsia="zh-CN"/>
            </w:rPr>
            <w:t>二、</w:t>
          </w:r>
          <w:r>
            <w:rPr>
              <w:rFonts w:hint="eastAsia" w:ascii="黑体" w:hAnsi="黑体" w:eastAsia="黑体" w:cs="黑体"/>
              <w:bCs w:val="0"/>
            </w:rPr>
            <w:t>收入决算情况说明</w:t>
          </w:r>
          <w:r>
            <w:tab/>
          </w:r>
          <w:r>
            <w:fldChar w:fldCharType="begin"/>
          </w:r>
          <w:r>
            <w:instrText xml:space="preserve"> PAGEREF _Toc15630 \h </w:instrText>
          </w:r>
          <w:r>
            <w:fldChar w:fldCharType="separate"/>
          </w:r>
          <w:r>
            <w:t>6</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_Toc26556 </w:instrText>
          </w:r>
          <w:r>
            <w:rPr>
              <w:rFonts w:hint="eastAsia" w:ascii="黑体" w:hAnsi="黑体" w:eastAsia="黑体"/>
              <w:szCs w:val="48"/>
            </w:rPr>
            <w:fldChar w:fldCharType="separate"/>
          </w:r>
          <w:r>
            <w:rPr>
              <w:rFonts w:hint="eastAsia" w:ascii="黑体" w:hAnsi="黑体" w:eastAsia="黑体"/>
              <w:szCs w:val="32"/>
              <w:lang w:val="en-US" w:eastAsia="zh-CN"/>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_Toc26556 \h </w:instrText>
          </w:r>
          <w:r>
            <w:fldChar w:fldCharType="separate"/>
          </w:r>
          <w:r>
            <w:t>6</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_Toc10654 </w:instrText>
          </w:r>
          <w:r>
            <w:rPr>
              <w:rFonts w:hint="eastAsia" w:ascii="黑体" w:hAnsi="黑体" w:eastAsia="黑体"/>
              <w:szCs w:val="48"/>
            </w:rPr>
            <w:fldChar w:fldCharType="separate"/>
          </w:r>
          <w:r>
            <w:rPr>
              <w:rFonts w:hint="eastAsia" w:ascii="黑体" w:hAnsi="黑体" w:eastAsia="黑体" w:cs="黑体"/>
              <w:bCs w:val="0"/>
            </w:rPr>
            <w:t>四、财政拨款收入支出决算总体情况说明</w:t>
          </w:r>
          <w:r>
            <w:tab/>
          </w:r>
          <w:r>
            <w:fldChar w:fldCharType="begin"/>
          </w:r>
          <w:r>
            <w:instrText xml:space="preserve"> PAGEREF _Toc10654 \h </w:instrText>
          </w:r>
          <w:r>
            <w:fldChar w:fldCharType="separate"/>
          </w:r>
          <w:r>
            <w:t>7</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_Toc6232 </w:instrText>
          </w:r>
          <w:r>
            <w:rPr>
              <w:rFonts w:hint="eastAsia" w:ascii="黑体" w:hAnsi="黑体" w:eastAsia="黑体"/>
              <w:szCs w:val="48"/>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_Toc6232 \h </w:instrText>
          </w:r>
          <w:r>
            <w:fldChar w:fldCharType="separate"/>
          </w:r>
          <w:r>
            <w:t>7</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_Toc14014 </w:instrText>
          </w:r>
          <w:r>
            <w:rPr>
              <w:rFonts w:hint="eastAsia" w:ascii="黑体" w:hAnsi="黑体" w:eastAsia="黑体"/>
              <w:szCs w:val="48"/>
            </w:rPr>
            <w:fldChar w:fldCharType="separate"/>
          </w:r>
          <w:r>
            <w:rPr>
              <w:rFonts w:hint="eastAsia" w:ascii="仿宋" w:hAnsi="仿宋" w:eastAsia="仿宋"/>
              <w:bCs/>
              <w:szCs w:val="32"/>
            </w:rPr>
            <w:t>（一）一般公共预算财政拨款支出决算总体情况</w:t>
          </w:r>
          <w:r>
            <w:tab/>
          </w:r>
          <w:r>
            <w:fldChar w:fldCharType="begin"/>
          </w:r>
          <w:r>
            <w:instrText xml:space="preserve"> PAGEREF _Toc14014 \h </w:instrText>
          </w:r>
          <w:r>
            <w:fldChar w:fldCharType="separate"/>
          </w:r>
          <w:r>
            <w:t>7</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_Toc17594 </w:instrText>
          </w:r>
          <w:r>
            <w:rPr>
              <w:rFonts w:hint="eastAsia" w:ascii="黑体" w:hAnsi="黑体" w:eastAsia="黑体"/>
              <w:szCs w:val="48"/>
            </w:rPr>
            <w:fldChar w:fldCharType="separate"/>
          </w:r>
          <w:r>
            <w:rPr>
              <w:rFonts w:hint="eastAsia"/>
              <w:bCs w:val="0"/>
            </w:rPr>
            <w:t>（二）一般公共预算财政拨款支出决算结构情况</w:t>
          </w:r>
          <w:r>
            <w:tab/>
          </w:r>
          <w:r>
            <w:fldChar w:fldCharType="begin"/>
          </w:r>
          <w:r>
            <w:instrText xml:space="preserve"> PAGEREF _Toc17594 \h </w:instrText>
          </w:r>
          <w:r>
            <w:fldChar w:fldCharType="separate"/>
          </w:r>
          <w:r>
            <w:t>7</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_Toc9320 </w:instrText>
          </w:r>
          <w:r>
            <w:rPr>
              <w:rFonts w:hint="eastAsia" w:ascii="黑体" w:hAnsi="黑体" w:eastAsia="黑体"/>
              <w:szCs w:val="48"/>
            </w:rPr>
            <w:fldChar w:fldCharType="separate"/>
          </w:r>
          <w:r>
            <w:rPr>
              <w:rFonts w:hint="eastAsia" w:ascii="仿宋" w:hAnsi="仿宋" w:eastAsia="仿宋"/>
              <w:bCs/>
              <w:szCs w:val="32"/>
            </w:rPr>
            <w:t>（三）一般公共预算财政拨款支出决算具体情况</w:t>
          </w:r>
          <w:r>
            <w:tab/>
          </w:r>
          <w:r>
            <w:fldChar w:fldCharType="begin"/>
          </w:r>
          <w:r>
            <w:instrText xml:space="preserve"> PAGEREF _Toc9320 \h </w:instrText>
          </w:r>
          <w:r>
            <w:fldChar w:fldCharType="separate"/>
          </w:r>
          <w:r>
            <w:t>8</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_Toc22763 </w:instrText>
          </w:r>
          <w:r>
            <w:rPr>
              <w:rFonts w:hint="eastAsia" w:ascii="黑体" w:hAnsi="黑体" w:eastAsia="黑体"/>
              <w:szCs w:val="48"/>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_Toc22763 \h </w:instrText>
          </w:r>
          <w:r>
            <w:fldChar w:fldCharType="separate"/>
          </w:r>
          <w:r>
            <w:t>11</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_Toc12143 </w:instrText>
          </w:r>
          <w:r>
            <w:rPr>
              <w:rFonts w:hint="eastAsia" w:ascii="黑体" w:hAnsi="黑体" w:eastAsia="黑体"/>
              <w:szCs w:val="48"/>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_Toc12143 \h </w:instrText>
          </w:r>
          <w:r>
            <w:fldChar w:fldCharType="separate"/>
          </w:r>
          <w:r>
            <w:t>11</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_Toc17326 </w:instrText>
          </w:r>
          <w:r>
            <w:rPr>
              <w:rFonts w:hint="eastAsia" w:ascii="黑体" w:hAnsi="黑体" w:eastAsia="黑体"/>
              <w:szCs w:val="48"/>
            </w:rPr>
            <w:fldChar w:fldCharType="separate"/>
          </w:r>
          <w:r>
            <w:rPr>
              <w:rFonts w:hint="eastAsia" w:ascii="仿宋" w:hAnsi="仿宋" w:eastAsia="仿宋"/>
              <w:szCs w:val="32"/>
            </w:rPr>
            <w:t>（一）“三公”经费财政拨款支出决算总体情况说明</w:t>
          </w:r>
          <w:r>
            <w:tab/>
          </w:r>
          <w:r>
            <w:fldChar w:fldCharType="begin"/>
          </w:r>
          <w:r>
            <w:instrText xml:space="preserve"> PAGEREF _Toc17326 \h </w:instrText>
          </w:r>
          <w:r>
            <w:fldChar w:fldCharType="separate"/>
          </w:r>
          <w:r>
            <w:t>11</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_Toc9150 </w:instrText>
          </w:r>
          <w:r>
            <w:rPr>
              <w:rFonts w:hint="eastAsia" w:ascii="黑体" w:hAnsi="黑体" w:eastAsia="黑体"/>
              <w:szCs w:val="48"/>
            </w:rPr>
            <w:fldChar w:fldCharType="separate"/>
          </w:r>
          <w:r>
            <w:rPr>
              <w:rFonts w:hint="eastAsia" w:ascii="仿宋" w:hAnsi="仿宋" w:eastAsia="仿宋"/>
              <w:szCs w:val="32"/>
            </w:rPr>
            <w:t>（二）“三公”经费财政拨款支出决算具体情况说明</w:t>
          </w:r>
          <w:r>
            <w:tab/>
          </w:r>
          <w:r>
            <w:fldChar w:fldCharType="begin"/>
          </w:r>
          <w:r>
            <w:instrText xml:space="preserve"> PAGEREF _Toc9150 \h </w:instrText>
          </w:r>
          <w:r>
            <w:fldChar w:fldCharType="separate"/>
          </w:r>
          <w:r>
            <w:t>12</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_Toc16531 </w:instrText>
          </w:r>
          <w:r>
            <w:rPr>
              <w:rFonts w:hint="eastAsia" w:ascii="黑体" w:hAnsi="黑体" w:eastAsia="黑体"/>
              <w:szCs w:val="48"/>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_Toc16531 \h </w:instrText>
          </w:r>
          <w:r>
            <w:fldChar w:fldCharType="separate"/>
          </w:r>
          <w:r>
            <w:t>12</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_Toc14516 </w:instrText>
          </w:r>
          <w:r>
            <w:rPr>
              <w:rFonts w:hint="eastAsia" w:ascii="黑体" w:hAnsi="黑体" w:eastAsia="黑体"/>
              <w:szCs w:val="48"/>
            </w:rPr>
            <w:fldChar w:fldCharType="separate"/>
          </w:r>
          <w:r>
            <w:rPr>
              <w:rFonts w:hint="eastAsia" w:ascii="黑体" w:hAnsi="黑体" w:eastAsia="黑体"/>
            </w:rPr>
            <w:t>九、 国有资本经营预算支出决算情况说明</w:t>
          </w:r>
          <w:r>
            <w:tab/>
          </w:r>
          <w:r>
            <w:fldChar w:fldCharType="begin"/>
          </w:r>
          <w:r>
            <w:instrText xml:space="preserve"> PAGEREF _Toc14516 \h </w:instrText>
          </w:r>
          <w:r>
            <w:fldChar w:fldCharType="separate"/>
          </w:r>
          <w:r>
            <w:t>12</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_Toc4965 </w:instrText>
          </w:r>
          <w:r>
            <w:rPr>
              <w:rFonts w:hint="eastAsia" w:ascii="黑体" w:hAnsi="黑体" w:eastAsia="黑体"/>
              <w:szCs w:val="48"/>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_Toc4965 \h </w:instrText>
          </w:r>
          <w:r>
            <w:fldChar w:fldCharType="separate"/>
          </w:r>
          <w:r>
            <w:t>12</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_Toc27977 </w:instrText>
          </w:r>
          <w:r>
            <w:rPr>
              <w:rFonts w:hint="eastAsia" w:ascii="黑体" w:hAnsi="黑体" w:eastAsia="黑体"/>
              <w:szCs w:val="48"/>
            </w:rPr>
            <w:fldChar w:fldCharType="separate"/>
          </w:r>
          <w:r>
            <w:rPr>
              <w:rFonts w:hint="eastAsia" w:ascii="仿宋" w:hAnsi="仿宋" w:eastAsia="仿宋"/>
              <w:szCs w:val="32"/>
            </w:rPr>
            <w:t>（一）机关运行经费支出情况</w:t>
          </w:r>
          <w:r>
            <w:tab/>
          </w:r>
          <w:r>
            <w:fldChar w:fldCharType="begin"/>
          </w:r>
          <w:r>
            <w:instrText xml:space="preserve"> PAGEREF _Toc27977 \h </w:instrText>
          </w:r>
          <w:r>
            <w:fldChar w:fldCharType="separate"/>
          </w:r>
          <w:r>
            <w:t>12</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_Toc18472 </w:instrText>
          </w:r>
          <w:r>
            <w:rPr>
              <w:rFonts w:hint="eastAsia" w:ascii="黑体" w:hAnsi="黑体" w:eastAsia="黑体"/>
              <w:szCs w:val="48"/>
            </w:rPr>
            <w:fldChar w:fldCharType="separate"/>
          </w:r>
          <w:r>
            <w:rPr>
              <w:rFonts w:hint="eastAsia" w:ascii="仿宋" w:hAnsi="仿宋" w:eastAsia="仿宋" w:cs="仿宋"/>
            </w:rPr>
            <w:t>（二）政府采购支出情况</w:t>
          </w:r>
          <w:r>
            <w:tab/>
          </w:r>
          <w:r>
            <w:fldChar w:fldCharType="begin"/>
          </w:r>
          <w:r>
            <w:instrText xml:space="preserve"> PAGEREF _Toc18472 \h </w:instrText>
          </w:r>
          <w:r>
            <w:fldChar w:fldCharType="separate"/>
          </w:r>
          <w:r>
            <w:t>13</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_Toc19095 </w:instrText>
          </w:r>
          <w:r>
            <w:rPr>
              <w:rFonts w:hint="eastAsia" w:ascii="黑体" w:hAnsi="黑体" w:eastAsia="黑体"/>
              <w:szCs w:val="48"/>
            </w:rPr>
            <w:fldChar w:fldCharType="separate"/>
          </w:r>
          <w:r>
            <w:rPr>
              <w:rFonts w:hint="eastAsia" w:ascii="仿宋" w:hAnsi="仿宋" w:eastAsia="仿宋"/>
              <w:szCs w:val="32"/>
            </w:rPr>
            <w:t>（三）国有资产占有使用情况</w:t>
          </w:r>
          <w:r>
            <w:tab/>
          </w:r>
          <w:r>
            <w:fldChar w:fldCharType="begin"/>
          </w:r>
          <w:r>
            <w:instrText xml:space="preserve"> PAGEREF _Toc19095 \h </w:instrText>
          </w:r>
          <w:r>
            <w:fldChar w:fldCharType="separate"/>
          </w:r>
          <w:r>
            <w:t>13</w:t>
          </w:r>
          <w:r>
            <w:fldChar w:fldCharType="end"/>
          </w:r>
          <w:r>
            <w:rPr>
              <w:rFonts w:hint="eastAsia" w:ascii="黑体" w:hAnsi="黑体" w:eastAsia="黑体"/>
              <w:color w:val="000000"/>
              <w:szCs w:val="48"/>
            </w:rPr>
            <w:fldChar w:fldCharType="end"/>
          </w:r>
        </w:p>
        <w:p>
          <w:pPr>
            <w:pStyle w:val="6"/>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_Toc25617 </w:instrText>
          </w:r>
          <w:r>
            <w:rPr>
              <w:rFonts w:hint="eastAsia" w:ascii="黑体" w:hAnsi="黑体" w:eastAsia="黑体"/>
              <w:szCs w:val="48"/>
            </w:rPr>
            <w:fldChar w:fldCharType="separate"/>
          </w:r>
          <w:r>
            <w:rPr>
              <w:rFonts w:hint="eastAsia" w:ascii="仿宋" w:hAnsi="仿宋" w:eastAsia="仿宋" w:cs="仿宋"/>
              <w:bCs/>
            </w:rPr>
            <w:t>（四）预算绩效管理情况。</w:t>
          </w:r>
          <w:r>
            <w:tab/>
          </w:r>
          <w:r>
            <w:fldChar w:fldCharType="begin"/>
          </w:r>
          <w:r>
            <w:instrText xml:space="preserve"> PAGEREF _Toc25617 \h </w:instrText>
          </w:r>
          <w:r>
            <w:fldChar w:fldCharType="separate"/>
          </w:r>
          <w:r>
            <w:t>13</w:t>
          </w:r>
          <w:r>
            <w:fldChar w:fldCharType="end"/>
          </w:r>
          <w:r>
            <w:rPr>
              <w:rFonts w:hint="eastAsia" w:ascii="黑体" w:hAnsi="黑体" w:eastAsia="黑体"/>
              <w:color w:val="000000"/>
              <w:szCs w:val="48"/>
            </w:rPr>
            <w:fldChar w:fldCharType="end"/>
          </w:r>
        </w:p>
        <w:p>
          <w:pPr>
            <w:pStyle w:val="10"/>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_Toc26496 </w:instrText>
          </w:r>
          <w:r>
            <w:rPr>
              <w:rFonts w:hint="eastAsia" w:ascii="黑体" w:hAnsi="黑体" w:eastAsia="黑体"/>
              <w:szCs w:val="48"/>
            </w:rP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_Toc26496 \h </w:instrText>
          </w:r>
          <w:r>
            <w:fldChar w:fldCharType="separate"/>
          </w:r>
          <w:r>
            <w:t>22</w:t>
          </w:r>
          <w:r>
            <w:fldChar w:fldCharType="end"/>
          </w:r>
          <w:r>
            <w:rPr>
              <w:rFonts w:hint="eastAsia" w:ascii="黑体" w:hAnsi="黑体" w:eastAsia="黑体"/>
              <w:color w:val="000000"/>
              <w:szCs w:val="48"/>
            </w:rPr>
            <w:fldChar w:fldCharType="end"/>
          </w:r>
        </w:p>
        <w:p>
          <w:pPr>
            <w:pStyle w:val="10"/>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_Toc5905 </w:instrText>
          </w:r>
          <w:r>
            <w:rPr>
              <w:rFonts w:hint="eastAsia" w:ascii="黑体" w:hAnsi="黑体" w:eastAsia="黑体"/>
              <w:szCs w:val="48"/>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_Toc5905 \h </w:instrText>
          </w:r>
          <w:r>
            <w:fldChar w:fldCharType="separate"/>
          </w:r>
          <w:r>
            <w:t>26</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_Toc7797 </w:instrText>
          </w:r>
          <w:r>
            <w:rPr>
              <w:rFonts w:hint="eastAsia" w:ascii="黑体" w:hAnsi="黑体" w:eastAsia="黑体"/>
              <w:szCs w:val="48"/>
            </w:rPr>
            <w:fldChar w:fldCharType="separate"/>
          </w:r>
          <w:r>
            <w:rPr>
              <w:rFonts w:hint="eastAsia" w:ascii="仿宋" w:hAnsi="仿宋" w:eastAsia="仿宋" w:cs="仿宋"/>
              <w:bCs w:val="0"/>
            </w:rPr>
            <w:t>附件1</w:t>
          </w:r>
          <w:r>
            <w:tab/>
          </w:r>
          <w:r>
            <w:fldChar w:fldCharType="begin"/>
          </w:r>
          <w:r>
            <w:instrText xml:space="preserve"> PAGEREF _Toc7797 \h </w:instrText>
          </w:r>
          <w:r>
            <w:fldChar w:fldCharType="separate"/>
          </w:r>
          <w:r>
            <w:t>26</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_Toc15086 </w:instrText>
          </w:r>
          <w:r>
            <w:rPr>
              <w:rFonts w:hint="eastAsia" w:ascii="黑体" w:hAnsi="黑体" w:eastAsia="黑体"/>
              <w:szCs w:val="48"/>
            </w:rPr>
            <w:fldChar w:fldCharType="separate"/>
          </w:r>
          <w:r>
            <w:rPr>
              <w:rFonts w:hint="eastAsia" w:ascii="仿宋" w:hAnsi="仿宋" w:eastAsia="仿宋" w:cs="仿宋"/>
              <w:bCs w:val="0"/>
              <w:lang w:val="zh-CN" w:eastAsia="zh-CN"/>
            </w:rPr>
            <w:t>附件</w:t>
          </w:r>
          <w:r>
            <w:rPr>
              <w:rFonts w:hint="eastAsia" w:ascii="仿宋" w:hAnsi="仿宋" w:eastAsia="仿宋" w:cs="仿宋"/>
              <w:bCs w:val="0"/>
              <w:lang w:val="en-US" w:eastAsia="zh-CN"/>
            </w:rPr>
            <w:t>2</w:t>
          </w:r>
          <w:r>
            <w:tab/>
          </w:r>
          <w:r>
            <w:fldChar w:fldCharType="begin"/>
          </w:r>
          <w:r>
            <w:instrText xml:space="preserve"> PAGEREF _Toc15086 \h </w:instrText>
          </w:r>
          <w:r>
            <w:fldChar w:fldCharType="separate"/>
          </w:r>
          <w:r>
            <w:t>30</w:t>
          </w:r>
          <w:r>
            <w:fldChar w:fldCharType="end"/>
          </w:r>
          <w:r>
            <w:rPr>
              <w:rFonts w:hint="eastAsia" w:ascii="黑体" w:hAnsi="黑体" w:eastAsia="黑体"/>
              <w:color w:val="000000"/>
              <w:szCs w:val="48"/>
            </w:rPr>
            <w:fldChar w:fldCharType="end"/>
          </w:r>
        </w:p>
        <w:p>
          <w:pPr>
            <w:pStyle w:val="10"/>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_Toc11968 </w:instrText>
          </w:r>
          <w:r>
            <w:rPr>
              <w:rFonts w:hint="eastAsia" w:ascii="黑体" w:hAnsi="黑体" w:eastAsia="黑体"/>
              <w:szCs w:val="48"/>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_Toc11968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_Toc5127 </w:instrText>
          </w:r>
          <w:r>
            <w:rPr>
              <w:rFonts w:hint="eastAsia" w:ascii="黑体" w:hAnsi="黑体" w:eastAsia="黑体"/>
              <w:szCs w:val="48"/>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_Toc5127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_Toc3248 </w:instrText>
          </w:r>
          <w:r>
            <w:rPr>
              <w:rFonts w:hint="eastAsia" w:ascii="黑体" w:hAnsi="黑体" w:eastAsia="黑体"/>
              <w:szCs w:val="48"/>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_Toc3248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_Toc10534 </w:instrText>
          </w:r>
          <w:r>
            <w:rPr>
              <w:rFonts w:hint="eastAsia" w:ascii="黑体" w:hAnsi="黑体" w:eastAsia="黑体"/>
              <w:szCs w:val="48"/>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_Toc10534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_Toc158 </w:instrText>
          </w:r>
          <w:r>
            <w:rPr>
              <w:rFonts w:hint="eastAsia" w:ascii="黑体" w:hAnsi="黑体" w:eastAsia="黑体"/>
              <w:szCs w:val="48"/>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_Toc158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_Toc29467 </w:instrText>
          </w:r>
          <w:r>
            <w:rPr>
              <w:rFonts w:hint="eastAsia" w:ascii="黑体" w:hAnsi="黑体" w:eastAsia="黑体"/>
              <w:szCs w:val="48"/>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_Toc29467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_Toc29349 </w:instrText>
          </w:r>
          <w:r>
            <w:rPr>
              <w:rFonts w:hint="eastAsia" w:ascii="黑体" w:hAnsi="黑体" w:eastAsia="黑体"/>
              <w:szCs w:val="48"/>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_Toc29349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_Toc27123 </w:instrText>
          </w:r>
          <w:r>
            <w:rPr>
              <w:rFonts w:hint="eastAsia" w:ascii="黑体" w:hAnsi="黑体" w:eastAsia="黑体"/>
              <w:szCs w:val="48"/>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_Toc27123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_Toc29052 </w:instrText>
          </w:r>
          <w:r>
            <w:rPr>
              <w:rFonts w:hint="eastAsia" w:ascii="黑体" w:hAnsi="黑体" w:eastAsia="黑体"/>
              <w:szCs w:val="48"/>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_Toc29052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_Toc25851 </w:instrText>
          </w:r>
          <w:r>
            <w:rPr>
              <w:rFonts w:hint="eastAsia" w:ascii="黑体" w:hAnsi="黑体" w:eastAsia="黑体"/>
              <w:szCs w:val="48"/>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_Toc25851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_Toc13534 </w:instrText>
          </w:r>
          <w:r>
            <w:rPr>
              <w:rFonts w:hint="eastAsia" w:ascii="黑体" w:hAnsi="黑体" w:eastAsia="黑体"/>
              <w:szCs w:val="48"/>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_Toc13534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_Toc11267 </w:instrText>
          </w:r>
          <w:r>
            <w:rPr>
              <w:rFonts w:hint="eastAsia" w:ascii="黑体" w:hAnsi="黑体" w:eastAsia="黑体"/>
              <w:szCs w:val="48"/>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_Toc11267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_Toc8282 </w:instrText>
          </w:r>
          <w:r>
            <w:rPr>
              <w:rFonts w:hint="eastAsia" w:ascii="黑体" w:hAnsi="黑体" w:eastAsia="黑体"/>
              <w:szCs w:val="48"/>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_Toc8282 \h </w:instrText>
          </w:r>
          <w:r>
            <w:fldChar w:fldCharType="separate"/>
          </w:r>
          <w:r>
            <w:t>40</w:t>
          </w:r>
          <w:r>
            <w:fldChar w:fldCharType="end"/>
          </w:r>
          <w:r>
            <w:rPr>
              <w:rFonts w:hint="eastAsia" w:ascii="黑体" w:hAnsi="黑体" w:eastAsia="黑体"/>
              <w:color w:val="000000"/>
              <w:szCs w:val="48"/>
            </w:rPr>
            <w:fldChar w:fldCharType="end"/>
          </w:r>
        </w:p>
        <w:p>
          <w:pPr>
            <w:pStyle w:val="11"/>
            <w:tabs>
              <w:tab w:val="right" w:leader="dot" w:pos="8306"/>
              <w:tab w:val="clear" w:pos="829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_Toc19313 </w:instrText>
          </w:r>
          <w:r>
            <w:rPr>
              <w:rFonts w:hint="eastAsia" w:ascii="黑体" w:hAnsi="黑体" w:eastAsia="黑体"/>
              <w:szCs w:val="48"/>
            </w:rP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_Toc19313 \h </w:instrText>
          </w:r>
          <w:r>
            <w:fldChar w:fldCharType="separate"/>
          </w:r>
          <w:r>
            <w:t>40</w:t>
          </w:r>
          <w:r>
            <w:fldChar w:fldCharType="end"/>
          </w:r>
          <w:r>
            <w:rPr>
              <w:rFonts w:hint="eastAsia" w:ascii="黑体" w:hAnsi="黑体" w:eastAsia="黑体"/>
              <w:color w:val="000000"/>
              <w:szCs w:val="48"/>
            </w:rPr>
            <w:fldChar w:fldCharType="end"/>
          </w:r>
        </w:p>
        <w:p>
          <w:pPr>
            <w:widowControl/>
            <w:jc w:val="both"/>
            <w:rPr>
              <w:rFonts w:hint="eastAsia" w:ascii="黑体" w:hAnsi="黑体" w:eastAsia="黑体"/>
              <w:color w:val="000000"/>
              <w:sz w:val="48"/>
              <w:szCs w:val="48"/>
            </w:rPr>
          </w:pPr>
          <w:r>
            <w:rPr>
              <w:rFonts w:hint="eastAsia" w:ascii="黑体" w:hAnsi="黑体" w:eastAsia="黑体"/>
              <w:color w:val="000000"/>
              <w:szCs w:val="48"/>
            </w:rPr>
            <w:fldChar w:fldCharType="end"/>
          </w:r>
        </w:p>
      </w:sdtContent>
    </w:sdt>
    <w:p/>
    <w:p>
      <w:pPr>
        <w:pStyle w:val="10"/>
        <w:adjustRightInd w:val="0"/>
        <w:snapToGrid w:val="0"/>
        <w:spacing w:before="0" w:line="440" w:lineRule="exact"/>
        <w:jc w:val="left"/>
        <w:rPr>
          <w:rFonts w:hint="eastAsia"/>
          <w:sz w:val="24"/>
        </w:rPr>
      </w:pPr>
      <w:bookmarkStart w:id="12" w:name="_Toc15377196"/>
      <w:bookmarkStart w:id="13" w:name="_Toc15396599"/>
      <w:r>
        <w:rPr>
          <w:rFonts w:hint="eastAsia"/>
          <w:sz w:val="24"/>
        </w:rPr>
        <w:br w:type="page"/>
      </w:r>
    </w:p>
    <w:p>
      <w:pPr>
        <w:pStyle w:val="2"/>
        <w:jc w:val="center"/>
        <w:rPr>
          <w:rFonts w:ascii="黑体" w:eastAsia="黑体"/>
          <w:color w:val="000000"/>
          <w:sz w:val="32"/>
          <w:szCs w:val="32"/>
        </w:rPr>
      </w:pPr>
      <w:bookmarkStart w:id="14" w:name="_Toc31445"/>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bookmarkEnd w:id="14"/>
    </w:p>
    <w:p>
      <w:pPr>
        <w:pStyle w:val="3"/>
        <w:rPr>
          <w:rStyle w:val="26"/>
          <w:rFonts w:ascii="仿宋" w:hAnsi="仿宋" w:eastAsia="仿宋"/>
          <w:b w:val="0"/>
          <w:bCs w:val="0"/>
        </w:rPr>
      </w:pPr>
      <w:bookmarkStart w:id="15" w:name="_Toc16463"/>
      <w:bookmarkStart w:id="16" w:name="_Toc15396600"/>
      <w:bookmarkStart w:id="17"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5"/>
      <w:bookmarkEnd w:id="16"/>
      <w:bookmarkEnd w:id="17"/>
    </w:p>
    <w:p>
      <w:pPr>
        <w:pStyle w:val="5"/>
        <w:adjustRightInd w:val="0"/>
        <w:snapToGrid w:val="0"/>
        <w:spacing w:before="93" w:line="600" w:lineRule="exact"/>
        <w:ind w:firstLine="588" w:firstLineChars="210"/>
        <w:outlineLvl w:val="2"/>
        <w:rPr>
          <w:rFonts w:hint="eastAsia" w:hAnsi="宋体"/>
          <w:sz w:val="28"/>
          <w:szCs w:val="28"/>
          <w:lang w:val="en-US" w:eastAsia="zh-CN"/>
        </w:rPr>
      </w:pPr>
      <w:bookmarkStart w:id="18" w:name="_Toc19557"/>
      <w:bookmarkStart w:id="19" w:name="_Toc15378445"/>
      <w:bookmarkStart w:id="20" w:name="_Toc15377198"/>
      <w:r>
        <w:rPr>
          <w:rFonts w:hint="eastAsia" w:hAnsi="宋体"/>
          <w:sz w:val="28"/>
          <w:szCs w:val="28"/>
          <w:lang w:val="en-US" w:eastAsia="zh-CN"/>
        </w:rPr>
        <w:t>（一）主要职能。</w:t>
      </w:r>
      <w:bookmarkEnd w:id="18"/>
      <w:bookmarkEnd w:id="19"/>
      <w:bookmarkEnd w:id="20"/>
      <w:bookmarkStart w:id="21" w:name="_Toc15378446"/>
      <w:bookmarkStart w:id="22" w:name="_Toc15377199"/>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通江县长坪镇严格贯彻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1、执行本级人民代表大会的决议和上级国家行政机关的决定和命令，发布决定和命令;</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2、执行本行政区域内的经济和社会发展计划、预算，管理本行政区域内的经济、教育、科学、文化、卫生、体育事业和财政、民政、公安、司法行政、计划生育等行政工作;</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3、保护社会主义的全民所有的财产和劳动群众集体所有的财产，保护公民私人所有的合法财产，维护社会秩序，保障公民的人身权利、民-主权利和其他权利;</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4、保护各种经济组织的合法权益;</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5、办理上级县委、县政府交办的其他事项。</w:t>
      </w:r>
    </w:p>
    <w:p>
      <w:pPr>
        <w:pStyle w:val="5"/>
        <w:adjustRightInd w:val="0"/>
        <w:snapToGrid w:val="0"/>
        <w:spacing w:before="93" w:line="600" w:lineRule="exact"/>
        <w:ind w:firstLine="588" w:firstLineChars="210"/>
        <w:outlineLvl w:val="2"/>
        <w:rPr>
          <w:rFonts w:hint="eastAsia" w:hAnsi="宋体"/>
          <w:sz w:val="28"/>
          <w:szCs w:val="28"/>
          <w:lang w:val="en-US" w:eastAsia="zh-CN"/>
        </w:rPr>
      </w:pPr>
      <w:bookmarkStart w:id="23" w:name="_Toc14857"/>
      <w:r>
        <w:rPr>
          <w:rFonts w:hint="eastAsia" w:hAnsi="宋体"/>
          <w:sz w:val="28"/>
          <w:szCs w:val="28"/>
          <w:lang w:val="en-US" w:eastAsia="zh-CN"/>
        </w:rPr>
        <w:t>（二）2020年重点工作完成情况。</w:t>
      </w:r>
      <w:bookmarkEnd w:id="21"/>
      <w:bookmarkEnd w:id="22"/>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2020年以来，镇党委、镇政府严格落实县委、县政府的各项决策部署，立足长坪实际统筹安排全面推动各项工作落实。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长坪</w:t>
      </w:r>
      <w:r>
        <w:rPr>
          <w:rFonts w:hint="eastAsia" w:ascii="仿宋" w:hAnsi="仿宋" w:eastAsia="仿宋" w:cs="仿宋"/>
          <w:sz w:val="32"/>
          <w:szCs w:val="32"/>
          <w:lang w:eastAsia="zh-CN"/>
        </w:rPr>
        <w:t>镇</w:t>
      </w:r>
      <w:r>
        <w:rPr>
          <w:rFonts w:hint="eastAsia" w:ascii="仿宋" w:hAnsi="仿宋" w:eastAsia="仿宋" w:cs="仿宋"/>
          <w:sz w:val="32"/>
          <w:szCs w:val="32"/>
        </w:rPr>
        <w:t>在上级党委政府的领导下，以党的十九大精神为指导，坚持中央八项规定，严格预算执行，增加农民收入，大力发展产业，全身心投入到</w:t>
      </w:r>
      <w:r>
        <w:rPr>
          <w:rFonts w:hint="eastAsia" w:ascii="仿宋" w:hAnsi="仿宋" w:eastAsia="仿宋" w:cs="仿宋"/>
          <w:sz w:val="32"/>
          <w:szCs w:val="32"/>
          <w:lang w:eastAsia="zh-CN"/>
        </w:rPr>
        <w:t>脱贫攻坚</w:t>
      </w:r>
      <w:r>
        <w:rPr>
          <w:rFonts w:hint="eastAsia" w:ascii="仿宋" w:hAnsi="仿宋" w:eastAsia="仿宋" w:cs="仿宋"/>
          <w:sz w:val="32"/>
          <w:szCs w:val="32"/>
        </w:rPr>
        <w:t>工作</w:t>
      </w:r>
      <w:r>
        <w:rPr>
          <w:rFonts w:hint="eastAsia" w:ascii="仿宋" w:hAnsi="仿宋" w:eastAsia="仿宋" w:cs="仿宋"/>
          <w:sz w:val="32"/>
          <w:szCs w:val="32"/>
          <w:lang w:eastAsia="zh-CN"/>
        </w:rPr>
        <w:t>，顺利完成脱贫攻坚省检工作，</w:t>
      </w:r>
      <w:r>
        <w:rPr>
          <w:rFonts w:hint="eastAsia" w:ascii="仿宋" w:hAnsi="仿宋" w:eastAsia="仿宋" w:cs="仿宋"/>
          <w:sz w:val="32"/>
          <w:szCs w:val="32"/>
        </w:rPr>
        <w:t>实现全</w:t>
      </w:r>
      <w:r>
        <w:rPr>
          <w:rFonts w:hint="eastAsia" w:ascii="仿宋" w:hAnsi="仿宋" w:eastAsia="仿宋" w:cs="仿宋"/>
          <w:sz w:val="32"/>
          <w:szCs w:val="32"/>
          <w:lang w:eastAsia="zh-CN"/>
        </w:rPr>
        <w:t>镇</w:t>
      </w:r>
      <w:r>
        <w:rPr>
          <w:rFonts w:hint="eastAsia" w:ascii="仿宋" w:hAnsi="仿宋" w:eastAsia="仿宋" w:cs="仿宋"/>
          <w:sz w:val="32"/>
          <w:szCs w:val="32"/>
        </w:rPr>
        <w:t>脱贫做出了重大贡献。</w:t>
      </w:r>
    </w:p>
    <w:p>
      <w:pPr>
        <w:pStyle w:val="3"/>
        <w:numPr>
          <w:ilvl w:val="0"/>
          <w:numId w:val="1"/>
        </w:numPr>
        <w:rPr>
          <w:rStyle w:val="26"/>
          <w:rFonts w:hint="eastAsia" w:ascii="黑体" w:hAnsi="黑体" w:eastAsia="黑体"/>
          <w:b w:val="0"/>
          <w:bCs w:val="0"/>
        </w:rPr>
      </w:pPr>
      <w:bookmarkStart w:id="24" w:name="_Toc1304"/>
      <w:bookmarkStart w:id="25" w:name="_Toc15377200"/>
      <w:bookmarkStart w:id="26" w:name="_Toc15396601"/>
      <w:r>
        <w:rPr>
          <w:rFonts w:hint="eastAsia" w:ascii="黑体" w:hAnsi="黑体" w:eastAsia="黑体"/>
          <w:b w:val="0"/>
          <w:color w:val="000000"/>
        </w:rPr>
        <w:t>机</w:t>
      </w:r>
      <w:r>
        <w:rPr>
          <w:rStyle w:val="26"/>
          <w:rFonts w:hint="eastAsia" w:ascii="黑体" w:hAnsi="黑体" w:eastAsia="黑体"/>
          <w:b w:val="0"/>
          <w:bCs w:val="0"/>
        </w:rPr>
        <w:t>构设置</w:t>
      </w:r>
      <w:bookmarkEnd w:id="24"/>
      <w:bookmarkEnd w:id="25"/>
      <w:bookmarkEnd w:id="26"/>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长坪镇人民政府下属二级单位3个，其中行政单位0个，参照公务员法管理的事业单位0个，其他事业单位3个。</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纳入长坪镇人民政府2020年度部门决算编制范围的二级预算单位包括：</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bookmarkStart w:id="27" w:name="_Toc15377433"/>
      <w:bookmarkStart w:id="28" w:name="_Toc15378449"/>
      <w:bookmarkStart w:id="29" w:name="_Toc15377202"/>
      <w:bookmarkStart w:id="30" w:name="_Toc15306276"/>
      <w:r>
        <w:rPr>
          <w:rFonts w:hint="eastAsia"/>
          <w:sz w:val="32"/>
          <w:szCs w:val="32"/>
          <w:lang w:val="en-US" w:eastAsia="zh-CN"/>
        </w:rPr>
        <w:t>1.</w:t>
      </w:r>
      <w:r>
        <w:rPr>
          <w:rFonts w:hint="eastAsia"/>
          <w:sz w:val="32"/>
          <w:szCs w:val="32"/>
          <w:lang w:eastAsia="zh-CN"/>
        </w:rPr>
        <w:t>长坪中心小学</w:t>
      </w:r>
      <w:bookmarkEnd w:id="27"/>
      <w:bookmarkEnd w:id="28"/>
      <w:bookmarkEnd w:id="29"/>
      <w:bookmarkEnd w:id="30"/>
      <w:bookmarkStart w:id="31" w:name="_Toc15377434"/>
      <w:bookmarkStart w:id="32" w:name="_Toc15306277"/>
      <w:bookmarkStart w:id="33" w:name="_Toc15377203"/>
      <w:bookmarkStart w:id="34" w:name="_Toc15378450"/>
    </w:p>
    <w:bookmarkEnd w:id="31"/>
    <w:bookmarkEnd w:id="32"/>
    <w:bookmarkEnd w:id="33"/>
    <w:bookmarkEnd w:id="34"/>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val="en-US" w:eastAsia="zh-CN"/>
        </w:rPr>
        <w:t>2.</w:t>
      </w:r>
      <w:r>
        <w:rPr>
          <w:rFonts w:hint="eastAsia"/>
          <w:sz w:val="32"/>
          <w:szCs w:val="32"/>
          <w:lang w:eastAsia="zh-CN"/>
        </w:rPr>
        <w:t>新文小学</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lang w:val="en-US" w:eastAsia="zh-CN"/>
        </w:rPr>
        <w:t>3.</w:t>
      </w:r>
      <w:r>
        <w:rPr>
          <w:rFonts w:hint="eastAsia"/>
          <w:sz w:val="32"/>
          <w:szCs w:val="32"/>
          <w:lang w:eastAsia="zh-CN"/>
        </w:rPr>
        <w:t>长坪镇卫生院</w:t>
      </w:r>
    </w:p>
    <w:p>
      <w:pPr>
        <w:rPr>
          <w:rFonts w:hint="eastAsia"/>
        </w:rPr>
      </w:pPr>
    </w:p>
    <w:p>
      <w:pPr>
        <w:pStyle w:val="2"/>
        <w:ind w:right="440"/>
        <w:jc w:val="right"/>
      </w:pPr>
      <w:bookmarkStart w:id="35" w:name="_Toc15396602"/>
      <w:bookmarkStart w:id="36" w:name="_Toc15377204"/>
      <w:bookmarkStart w:id="37" w:name="_Toc19176"/>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lang w:eastAsia="zh-CN"/>
        </w:rPr>
        <w:t>2020</w:t>
      </w:r>
      <w:r>
        <w:rPr>
          <w:rStyle w:val="25"/>
          <w:rFonts w:hint="eastAsia" w:ascii="黑体" w:hAnsi="黑体" w:eastAsia="黑体"/>
          <w:b w:val="0"/>
          <w:bCs w:val="0"/>
        </w:rPr>
        <w:t>年度部门决算情况说明</w:t>
      </w:r>
      <w:bookmarkEnd w:id="35"/>
      <w:bookmarkEnd w:id="36"/>
      <w:bookmarkEnd w:id="37"/>
    </w:p>
    <w:p>
      <w:pPr>
        <w:pStyle w:val="24"/>
        <w:numPr>
          <w:ilvl w:val="0"/>
          <w:numId w:val="2"/>
        </w:numPr>
        <w:spacing w:line="600" w:lineRule="exact"/>
        <w:ind w:firstLineChars="0"/>
        <w:outlineLvl w:val="1"/>
        <w:rPr>
          <w:rStyle w:val="26"/>
          <w:rFonts w:ascii="黑体" w:hAnsi="黑体" w:eastAsia="黑体"/>
          <w:b w:val="0"/>
        </w:rPr>
      </w:pPr>
      <w:bookmarkStart w:id="38" w:name="_Toc15396603"/>
      <w:bookmarkStart w:id="39" w:name="_Toc7091"/>
      <w:bookmarkStart w:id="40"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8"/>
      <w:bookmarkEnd w:id="39"/>
      <w:bookmarkEnd w:id="40"/>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2020年度收入2557.47万元、支出总计2557.47万元。与2019年相比，收入减少了1164.62万元，减少31%；支出减少1268.01万元，减少33%。主要变动原因是脱贫攻坚结束，人员增减变动。</w:t>
      </w:r>
      <w:bookmarkStart w:id="41" w:name="_Toc15396604"/>
      <w:bookmarkStart w:id="42" w:name="_Toc15377206"/>
    </w:p>
    <w:p>
      <w:pPr>
        <w:spacing w:line="600" w:lineRule="exact"/>
        <w:ind w:firstLine="420" w:firstLineChars="200"/>
        <w:rPr>
          <w:rFonts w:hint="default" w:ascii="仿宋_GB2312" w:hAnsi="宋体" w:eastAsia="仿宋_GB2312" w:cs="Times New Roman"/>
          <w:kern w:val="0"/>
          <w:sz w:val="28"/>
          <w:szCs w:val="28"/>
          <w:lang w:val="en-US" w:eastAsia="zh-CN" w:bidi="ar-SA"/>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-2449195</wp:posOffset>
            </wp:positionV>
            <wp:extent cx="4572000" cy="2743200"/>
            <wp:effectExtent l="4445" t="4445" r="10795" b="1079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640" w:firstLineChars="200"/>
        <w:rPr>
          <w:rFonts w:hint="eastAsia" w:ascii="黑体" w:hAnsi="黑体" w:eastAsia="黑体"/>
          <w:color w:val="000000"/>
          <w:sz w:val="32"/>
          <w:szCs w:val="32"/>
          <w:lang w:val="en-US" w:eastAsia="zh-CN"/>
        </w:rPr>
      </w:pPr>
    </w:p>
    <w:p>
      <w:pPr>
        <w:spacing w:line="600" w:lineRule="exact"/>
        <w:ind w:firstLine="640" w:firstLineChars="200"/>
        <w:rPr>
          <w:rFonts w:hint="eastAsia" w:ascii="黑体" w:hAnsi="黑体" w:eastAsia="黑体"/>
          <w:color w:val="000000"/>
          <w:sz w:val="32"/>
          <w:szCs w:val="32"/>
          <w:lang w:val="en-US" w:eastAsia="zh-CN"/>
        </w:rPr>
      </w:pPr>
    </w:p>
    <w:p>
      <w:pPr>
        <w:spacing w:line="600" w:lineRule="exact"/>
        <w:ind w:firstLine="640" w:firstLineChars="200"/>
        <w:rPr>
          <w:rFonts w:hint="eastAsia" w:ascii="黑体" w:hAnsi="黑体" w:eastAsia="黑体"/>
          <w:color w:val="000000"/>
          <w:sz w:val="32"/>
          <w:szCs w:val="32"/>
          <w:lang w:val="en-US" w:eastAsia="zh-CN"/>
        </w:rPr>
      </w:pPr>
    </w:p>
    <w:p>
      <w:pPr>
        <w:pStyle w:val="3"/>
        <w:bidi w:val="0"/>
        <w:ind w:firstLine="640" w:firstLineChars="200"/>
        <w:rPr>
          <w:rFonts w:hint="eastAsia" w:ascii="黑体" w:hAnsi="黑体" w:eastAsia="黑体" w:cs="黑体"/>
          <w:b w:val="0"/>
          <w:bCs w:val="0"/>
        </w:rPr>
      </w:pPr>
      <w:bookmarkStart w:id="43" w:name="_Toc15630"/>
      <w:r>
        <w:rPr>
          <w:rFonts w:hint="eastAsia" w:ascii="黑体" w:hAnsi="黑体" w:eastAsia="黑体" w:cs="黑体"/>
          <w:b w:val="0"/>
          <w:bCs w:val="0"/>
          <w:lang w:val="en-US" w:eastAsia="zh-CN"/>
        </w:rPr>
        <w:t>二、</w:t>
      </w:r>
      <w:r>
        <w:rPr>
          <w:rFonts w:hint="eastAsia" w:ascii="黑体" w:hAnsi="黑体" w:eastAsia="黑体" w:cs="黑体"/>
          <w:b w:val="0"/>
          <w:bCs w:val="0"/>
        </w:rPr>
        <w:t>收入决算情况说明</w:t>
      </w:r>
      <w:bookmarkEnd w:id="41"/>
      <w:bookmarkEnd w:id="42"/>
      <w:bookmarkEnd w:id="43"/>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2020年本年收入合计2557.47万元，其中：一般公共预算财政拨款收入2344.6万元，占91%，事业收入176.8万元，占6.9%，其他收入36.7万元，占2.1%。</w:t>
      </w:r>
    </w:p>
    <w:p>
      <w:pPr>
        <w:spacing w:line="600" w:lineRule="exact"/>
        <w:ind w:firstLine="560" w:firstLineChars="200"/>
        <w:rPr>
          <w:rFonts w:hint="default" w:ascii="仿宋_GB2312" w:hAnsi="宋体" w:eastAsia="仿宋_GB2312" w:cs="Times New Roman"/>
          <w:kern w:val="0"/>
          <w:sz w:val="28"/>
          <w:szCs w:val="28"/>
          <w:lang w:val="en-US" w:eastAsia="zh-CN" w:bidi="ar-SA"/>
        </w:rPr>
      </w:pPr>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bookmarkStart w:id="44" w:name="_Toc15377207"/>
      <w:bookmarkStart w:id="45" w:name="_Toc15396605"/>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p>
    <w:p>
      <w:pPr>
        <w:pStyle w:val="24"/>
        <w:numPr>
          <w:ilvl w:val="0"/>
          <w:numId w:val="0"/>
        </w:numPr>
        <w:spacing w:line="600" w:lineRule="exact"/>
        <w:ind w:firstLine="640" w:firstLineChars="200"/>
        <w:outlineLvl w:val="1"/>
        <w:rPr>
          <w:rFonts w:hint="eastAsia" w:ascii="黑体" w:hAnsi="黑体" w:eastAsia="黑体"/>
          <w:color w:val="000000"/>
          <w:sz w:val="32"/>
          <w:szCs w:val="32"/>
          <w:lang w:val="en-US" w:eastAsia="zh-CN"/>
        </w:rPr>
      </w:pPr>
    </w:p>
    <w:p>
      <w:pPr>
        <w:pStyle w:val="24"/>
        <w:numPr>
          <w:ilvl w:val="0"/>
          <w:numId w:val="0"/>
        </w:numPr>
        <w:spacing w:line="600" w:lineRule="exact"/>
        <w:ind w:firstLine="420" w:firstLineChars="200"/>
        <w:outlineLvl w:val="1"/>
        <w:rPr>
          <w:rFonts w:hint="eastAsia" w:ascii="黑体" w:hAnsi="黑体" w:eastAsia="黑体"/>
          <w:color w:val="000000"/>
          <w:sz w:val="32"/>
          <w:szCs w:val="32"/>
          <w:lang w:val="en-US" w:eastAsia="zh-CN"/>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-2449195</wp:posOffset>
            </wp:positionV>
            <wp:extent cx="4572000" cy="2743200"/>
            <wp:effectExtent l="4445" t="4445" r="10795" b="1079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0"/>
        </w:numPr>
        <w:spacing w:line="600" w:lineRule="exact"/>
        <w:ind w:firstLine="640" w:firstLineChars="200"/>
        <w:outlineLvl w:val="1"/>
        <w:rPr>
          <w:rStyle w:val="26"/>
          <w:rFonts w:ascii="黑体" w:hAnsi="黑体" w:eastAsia="黑体"/>
          <w:b w:val="0"/>
        </w:rPr>
      </w:pPr>
      <w:bookmarkStart w:id="46" w:name="_Toc26556"/>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44"/>
      <w:bookmarkEnd w:id="45"/>
      <w:bookmarkEnd w:id="46"/>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2020年本年支出合计2344.6万元，其中：基本支出1552.34万元，占66%；项目支出792.26万元，占34%；上缴上级支出0万元，占0%；经营支出0万元，占0%；对附属单位补助支出0万元，占0%。</w:t>
      </w:r>
    </w:p>
    <w:p>
      <w:pPr>
        <w:pStyle w:val="3"/>
        <w:bidi w:val="0"/>
        <w:ind w:firstLine="640" w:firstLineChars="200"/>
        <w:rPr>
          <w:rFonts w:hint="eastAsia" w:ascii="黑体" w:hAnsi="黑体" w:eastAsia="黑体" w:cs="黑体"/>
          <w:b w:val="0"/>
          <w:bCs w:val="0"/>
        </w:rPr>
      </w:pPr>
      <w:bookmarkStart w:id="47" w:name="_Toc10654"/>
      <w:bookmarkStart w:id="48" w:name="_Toc15377208"/>
      <w:bookmarkStart w:id="49" w:name="_Toc15396606"/>
      <w:r>
        <w:rPr>
          <w:rFonts w:hint="eastAsia" w:ascii="黑体" w:hAnsi="黑体" w:eastAsia="黑体" w:cs="黑体"/>
          <w:b w:val="0"/>
          <w:bCs w:val="0"/>
        </w:rPr>
        <w:t>四、财政拨款收入支出决算总体情况说明</w:t>
      </w:r>
      <w:bookmarkEnd w:id="47"/>
      <w:bookmarkEnd w:id="48"/>
      <w:bookmarkEnd w:id="49"/>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2020年财政拨款收入2557.47万元、支出2557.47万元。与2019年相比，财政拨款收入减少1164.62万元，减少31%；支出减少1268.01万元，增加33%。主要变动原因是脱贫攻坚结束，人员增减变动。</w:t>
      </w:r>
    </w:p>
    <w:p>
      <w:pPr>
        <w:spacing w:line="600" w:lineRule="exact"/>
        <w:ind w:firstLine="420" w:firstLineChars="200"/>
        <w:rPr>
          <w:rFonts w:hint="eastAsia" w:ascii="仿宋_GB2312" w:hAnsi="宋体" w:eastAsia="仿宋_GB2312" w:cs="Times New Roman"/>
          <w:kern w:val="0"/>
          <w:sz w:val="28"/>
          <w:szCs w:val="28"/>
          <w:lang w:val="en-US" w:eastAsia="zh-CN" w:bidi="ar-SA"/>
        </w:rPr>
      </w:pPr>
      <w:r>
        <w:drawing>
          <wp:anchor distT="0" distB="0" distL="114300" distR="114300" simplePos="0" relativeHeight="251661312" behindDoc="0" locked="0" layoutInCell="1" allowOverlap="1">
            <wp:simplePos x="0" y="0"/>
            <wp:positionH relativeFrom="column">
              <wp:posOffset>316865</wp:posOffset>
            </wp:positionH>
            <wp:positionV relativeFrom="paragraph">
              <wp:posOffset>301625</wp:posOffset>
            </wp:positionV>
            <wp:extent cx="4572000" cy="2743200"/>
            <wp:effectExtent l="4445" t="4445" r="10795"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560" w:firstLineChars="200"/>
        <w:rPr>
          <w:rFonts w:hint="eastAsia" w:ascii="仿宋_GB2312" w:hAnsi="宋体" w:eastAsia="仿宋_GB2312" w:cs="Times New Roman"/>
          <w:kern w:val="0"/>
          <w:sz w:val="28"/>
          <w:szCs w:val="28"/>
          <w:lang w:val="en-US" w:eastAsia="zh-CN" w:bidi="ar-SA"/>
        </w:rPr>
      </w:pPr>
    </w:p>
    <w:p>
      <w:pPr>
        <w:spacing w:line="600" w:lineRule="exact"/>
        <w:ind w:firstLine="640" w:firstLineChars="200"/>
        <w:outlineLvl w:val="1"/>
        <w:rPr>
          <w:rFonts w:hint="eastAsia" w:ascii="黑体" w:hAnsi="黑体" w:eastAsia="黑体"/>
          <w:color w:val="000000"/>
          <w:sz w:val="32"/>
          <w:szCs w:val="32"/>
        </w:rPr>
      </w:pPr>
      <w:bookmarkStart w:id="50" w:name="_Toc15396607"/>
      <w:bookmarkStart w:id="51" w:name="_Toc15377209"/>
    </w:p>
    <w:p>
      <w:pPr>
        <w:spacing w:line="600" w:lineRule="exact"/>
        <w:ind w:firstLine="640" w:firstLineChars="200"/>
        <w:outlineLvl w:val="1"/>
        <w:rPr>
          <w:rStyle w:val="26"/>
          <w:rFonts w:ascii="黑体" w:hAnsi="黑体" w:eastAsia="黑体"/>
          <w:b w:val="0"/>
        </w:rPr>
      </w:pPr>
      <w:bookmarkStart w:id="52" w:name="_Toc623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50"/>
      <w:bookmarkEnd w:id="51"/>
      <w:bookmarkEnd w:id="52"/>
    </w:p>
    <w:p>
      <w:pPr>
        <w:spacing w:line="600" w:lineRule="exact"/>
        <w:ind w:firstLine="640" w:firstLineChars="200"/>
        <w:outlineLvl w:val="2"/>
        <w:rPr>
          <w:rFonts w:ascii="仿宋" w:hAnsi="仿宋" w:eastAsia="仿宋"/>
          <w:b w:val="0"/>
          <w:bCs/>
          <w:color w:val="000000"/>
          <w:sz w:val="32"/>
          <w:szCs w:val="32"/>
        </w:rPr>
      </w:pPr>
      <w:bookmarkStart w:id="53" w:name="_Toc14014"/>
      <w:bookmarkStart w:id="54" w:name="_Toc15377210"/>
      <w:r>
        <w:rPr>
          <w:rFonts w:hint="eastAsia" w:ascii="仿宋" w:hAnsi="仿宋" w:eastAsia="仿宋"/>
          <w:b w:val="0"/>
          <w:bCs/>
          <w:color w:val="000000"/>
          <w:sz w:val="32"/>
          <w:szCs w:val="32"/>
        </w:rPr>
        <w:t>（一）一般公共预算财政拨款支出决算总体情况</w:t>
      </w:r>
      <w:bookmarkEnd w:id="53"/>
      <w:bookmarkEnd w:id="54"/>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2020年一般公共预算财政拨款支出2344.6万元，占本年支出合计的100%。与2019年相比，一般公共预算财政拨款减少1111.95万元，减少4.2%。主要变动原因是脱贫攻坚结束，人员增减变动。</w:t>
      </w:r>
    </w:p>
    <w:p>
      <w:pPr>
        <w:pStyle w:val="4"/>
        <w:bidi w:val="0"/>
        <w:ind w:firstLine="640" w:firstLineChars="200"/>
        <w:rPr>
          <w:b w:val="0"/>
          <w:bCs w:val="0"/>
        </w:rPr>
      </w:pPr>
      <w:bookmarkStart w:id="55" w:name="_Toc15377211"/>
      <w:bookmarkStart w:id="56" w:name="_Toc17594"/>
      <w:r>
        <w:rPr>
          <w:rFonts w:hint="eastAsia"/>
          <w:b w:val="0"/>
          <w:bCs w:val="0"/>
        </w:rPr>
        <w:t>（二）一般公共预算财政拨款支出决算结构情况</w:t>
      </w:r>
      <w:bookmarkEnd w:id="55"/>
      <w:bookmarkEnd w:id="56"/>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一般公共预算财政拨款支出2344.6万元，主要用于以下方面:一般公共服务（类）支出399.45万元，占17%；教育支出（类）614.43万元，占26%；科学技术（类）支出0万元，占0%；文化旅游体育与传媒（类）支出18.38万元，占0.7%；社会保障和就业（类）支出157.58万元，占6.6%；卫生健康支出206.57万元，占8.7%；节能环保支出0.69万元，占0.029%；城镇社区支出0万元，占0%；农林水支出845.66万元，占36%；交通运输支出22.41万元，占0.9%；商业服务业等支出0.7万元，占0.03%；住房保障支出78.74万元，占3.3%；其他支出0万元，占0%。</w:t>
      </w:r>
    </w:p>
    <w:p>
      <w:pPr>
        <w:spacing w:line="600" w:lineRule="exact"/>
        <w:ind w:firstLine="640" w:firstLineChars="200"/>
        <w:outlineLvl w:val="2"/>
        <w:rPr>
          <w:rFonts w:ascii="仿宋" w:hAnsi="仿宋" w:eastAsia="仿宋"/>
          <w:b w:val="0"/>
          <w:bCs/>
          <w:color w:val="000000"/>
          <w:sz w:val="32"/>
          <w:szCs w:val="32"/>
        </w:rPr>
      </w:pPr>
      <w:bookmarkStart w:id="57" w:name="_Toc9320"/>
      <w:bookmarkStart w:id="58" w:name="_Toc15377212"/>
      <w:r>
        <w:rPr>
          <w:rFonts w:hint="eastAsia" w:ascii="仿宋" w:hAnsi="仿宋" w:eastAsia="仿宋"/>
          <w:b w:val="0"/>
          <w:bCs/>
          <w:color w:val="000000"/>
          <w:sz w:val="32"/>
          <w:szCs w:val="32"/>
        </w:rPr>
        <w:t>（三）一般公共预算财政拨款支出决算具体情况</w:t>
      </w:r>
      <w:bookmarkEnd w:id="57"/>
      <w:bookmarkEnd w:id="58"/>
    </w:p>
    <w:p>
      <w:pPr>
        <w:spacing w:line="600" w:lineRule="exact"/>
        <w:ind w:firstLine="560" w:firstLineChars="200"/>
        <w:rPr>
          <w:rFonts w:hint="eastAsia" w:ascii="仿宋_GB2312" w:hAnsi="宋体" w:eastAsia="仿宋_GB2312" w:cs="Times New Roman"/>
          <w:kern w:val="0"/>
          <w:sz w:val="28"/>
          <w:szCs w:val="28"/>
          <w:lang w:val="en-US" w:eastAsia="zh-CN" w:bidi="ar-SA"/>
        </w:rPr>
      </w:pPr>
      <w:bookmarkStart w:id="59" w:name="_Toc15377444"/>
      <w:bookmarkStart w:id="60" w:name="_Toc15377213"/>
      <w:bookmarkStart w:id="61" w:name="_Toc15378460"/>
      <w:r>
        <w:rPr>
          <w:rFonts w:hint="eastAsia" w:ascii="仿宋_GB2312" w:hAnsi="宋体" w:eastAsia="仿宋_GB2312" w:cs="Times New Roman"/>
          <w:kern w:val="0"/>
          <w:sz w:val="28"/>
          <w:szCs w:val="28"/>
          <w:lang w:val="en-US" w:eastAsia="zh-CN" w:bidi="ar-SA"/>
        </w:rPr>
        <w:t>2020年，一般公共预算支出决算数为2344.6万元，完成预算100%。其中：</w:t>
      </w:r>
      <w:bookmarkEnd w:id="59"/>
      <w:bookmarkEnd w:id="60"/>
      <w:bookmarkEnd w:id="61"/>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1.一般公共服务（类）人大事务（款）行政运行（项）: 支出决算为7.65万元，完成预算100%，决算数等于预算数。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2.一般公共服务（类）政府办公厅（室）及相关机构事务（款）行政运行（项）: 支出决算为317.08万元，完成预算100%，决算数等于预算数。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3.一般公共服务（类）政府办公厅（室）及相关机构事务（款）一般行政管理事务（项）: 支出决算为23.75万元，完成预算100%，决算数等于预算数。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4.一般公共服务（类）财政事务（款）行政运行（项）:支出决算为30.24万元，完成预算100%，决算数等于预算数。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5.一般公共服务（类）财政事务（款）事业运行（项）:支出决算为3万元，完成预算100%，决算数等于预算数。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6.一般公共服务（类）党委办公室及相关机构事务（款）行政运行（项）:支出决算为14.68万元，完成预算100%，决算数等于预算数。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7.教育支出（类）普通教育（款）学前教育（项）:支出决算为5.4万元，完成预算100%，决算数等于预算数。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8.教育支出（类）小学教育（款）学前教育（项）:支出决算为553.6万元，完成预算100%，决算数等于预算数。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9.教育支出（类）小学教育（款）其他普通教育支出（项）:支出决算为46.91万元，完成预算100%，决算数等于预算数。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10.教育支出（类）职业教育（款）其他职业教育附加支出（项）:支出决算为8.52万元，完成预算100%，决算数等于预算数。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11.文化旅游体育与传媒支出（类）文化和旅游（款）其他文化和旅游支出（项）:支出决算为18.38万元，完成预算100%，决算数等于预算数。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12.社会保障和就业支出（类）社会保险经办机构（款）行政运行（项）:支出决算为13.3万元，完成预算100%，决算数等于预算数。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13.社会保障和就业支出（类）行政事业单位离退休（款）机关事业单位基本养老保险缴费支出（项）:支出决算为104.98万元，完成预算100%，决算数等于预算数。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14.卫生健康支出（类）基层医疗卫生机构（款）镇卫生院（项）:支出决算为84.1万元，完成预算100%，决算数等于预算数。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15.卫生健康支出（类）基层医疗卫生机构（款）其他基层医疗卫生机构支出（项）:支出决算为19.4万元，完成预算100%，决算数等于预算数。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16.卫生健康支出（类）公共卫生（款）基本公共卫生服务（项）:支出决算为60.92万元，完成预算100%，决算数等于预算数。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17.卫生健康支出（类）公共卫生支出（款）其他公共卫生支出（项）:支出决算为1.42万元，完成预算100%，决算数等于预算数。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18.卫生健康支出（类）行政事业单位医疗（款）行政单位医疗（项）:支出决算为12.28万元，完成预算100%，决算数等于预算数。</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19.卫生健康支出（类）行政事业单位医疗（款）事业单位医疗（项）:支出决算为44.9万元，完成预算100%，决算数等于预算数。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20.卫生健康支出（类）行政事业单位医疗（款）公务员医疗补助（项）:支出决算为2.95万元，完成预算100%，决算数等于预算数。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21.节能环保支出（类）自然生态保护（款）森林管护（项）:支出决算为0.69万元，完成预算100%，决算数等于预算数。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23.农林水支出（类）农业农村（款）事业运行（项）:支出决算为72.03万元，完成预算100%，决算数等于预算数。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24.农林水支出（类）林业和草原（款）事业机构（项）:支出决算为14.97万元，完成预算100%，决算数等于预算数。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25.农林水支出（类）农村综合改革（款）对村民委员会和村党支部的补助（项）:支出决算为230.71万元，完成预算100%，决算数等于预算数。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26.交通运输支出（类）公路水路运输（款）公路运输管理（项）:支出决算为22.41万元，完成预算100%，决算数等于预算数。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27.商业服务业等支出（类）商业流通事务（款）其他商业流通事务支出（项）:支出决算为0.7万元，完成预算100%，决算数等于预算数。</w:t>
      </w:r>
    </w:p>
    <w:p>
      <w:pPr>
        <w:spacing w:line="600" w:lineRule="exact"/>
        <w:ind w:firstLine="560" w:firstLineChars="200"/>
        <w:rPr>
          <w:rFonts w:hint="default"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28.住房保障支出（类）住房改革支出（款）住房公积金（项）:支出决算为78.74万元，完成预算100%，决算数等于预算数。</w:t>
      </w:r>
    </w:p>
    <w:p>
      <w:pPr>
        <w:tabs>
          <w:tab w:val="right" w:pos="8306"/>
        </w:tabs>
        <w:spacing w:line="600" w:lineRule="exact"/>
        <w:ind w:firstLine="640"/>
        <w:outlineLvl w:val="1"/>
        <w:rPr>
          <w:rStyle w:val="26"/>
        </w:rPr>
      </w:pPr>
      <w:bookmarkStart w:id="62" w:name="_Toc15377214"/>
      <w:bookmarkStart w:id="63" w:name="_Toc22763"/>
      <w:bookmarkStart w:id="64"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62"/>
      <w:bookmarkEnd w:id="63"/>
      <w:bookmarkEnd w:id="64"/>
      <w:r>
        <w:rPr>
          <w:rStyle w:val="26"/>
          <w:rFonts w:ascii="黑体" w:hAnsi="黑体" w:eastAsia="黑体"/>
          <w:b w:val="0"/>
        </w:rPr>
        <w:tab/>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2020年一般公共预算财政拨款基本支出1551.34万元，其中：</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人员经费1388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日常公用经费163.34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65" w:name="_Toc15377215"/>
      <w:bookmarkStart w:id="66" w:name="_Toc12143"/>
      <w:bookmarkStart w:id="67"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5"/>
      <w:bookmarkEnd w:id="66"/>
      <w:bookmarkEnd w:id="67"/>
    </w:p>
    <w:p>
      <w:pPr>
        <w:spacing w:line="600" w:lineRule="exact"/>
        <w:ind w:firstLine="640"/>
        <w:outlineLvl w:val="2"/>
        <w:rPr>
          <w:rFonts w:ascii="仿宋" w:hAnsi="仿宋" w:eastAsia="仿宋"/>
          <w:b/>
          <w:color w:val="000000"/>
          <w:sz w:val="32"/>
          <w:szCs w:val="32"/>
        </w:rPr>
      </w:pPr>
      <w:bookmarkStart w:id="68" w:name="_Toc15377216"/>
      <w:bookmarkStart w:id="69" w:name="_Toc17326"/>
      <w:r>
        <w:rPr>
          <w:rFonts w:hint="eastAsia" w:ascii="仿宋" w:hAnsi="仿宋" w:eastAsia="仿宋"/>
          <w:b/>
          <w:color w:val="000000"/>
          <w:sz w:val="32"/>
          <w:szCs w:val="32"/>
        </w:rPr>
        <w:t>（一）“三公”经费财政拨款支出决算总体情况说明</w:t>
      </w:r>
      <w:bookmarkEnd w:id="68"/>
      <w:bookmarkEnd w:id="69"/>
    </w:p>
    <w:p>
      <w:pPr>
        <w:spacing w:line="600" w:lineRule="exact"/>
        <w:ind w:firstLine="560" w:firstLineChars="20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2020年“三公”经费财政拨款支出决算为1.69万元，完成预算100%。</w:t>
      </w:r>
    </w:p>
    <w:p>
      <w:pPr>
        <w:spacing w:line="600" w:lineRule="exact"/>
        <w:ind w:firstLine="640"/>
        <w:outlineLvl w:val="2"/>
        <w:rPr>
          <w:rFonts w:ascii="仿宋" w:hAnsi="仿宋" w:eastAsia="仿宋"/>
          <w:b/>
          <w:color w:val="000000"/>
          <w:sz w:val="32"/>
          <w:szCs w:val="32"/>
        </w:rPr>
      </w:pPr>
      <w:bookmarkStart w:id="70" w:name="_Toc9150"/>
      <w:bookmarkStart w:id="71" w:name="_Toc15377217"/>
      <w:r>
        <w:rPr>
          <w:rFonts w:hint="eastAsia" w:ascii="仿宋" w:hAnsi="仿宋" w:eastAsia="仿宋"/>
          <w:b/>
          <w:color w:val="000000"/>
          <w:sz w:val="32"/>
          <w:szCs w:val="32"/>
        </w:rPr>
        <w:t>（二）“三公”经费财政拨款支出决算具体情况说明</w:t>
      </w:r>
      <w:bookmarkEnd w:id="70"/>
      <w:bookmarkEnd w:id="71"/>
    </w:p>
    <w:p>
      <w:pPr>
        <w:spacing w:line="600" w:lineRule="exact"/>
        <w:ind w:firstLine="560" w:firstLineChars="200"/>
        <w:rPr>
          <w:rFonts w:hint="eastAsia" w:ascii="仿宋_GB2312" w:hAnsi="宋体" w:eastAsia="仿宋_GB2312" w:cs="Times New Roman"/>
          <w:b w:val="0"/>
          <w:bCs w:val="0"/>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2020年“三公”经费财政拨款支出决算中，因公出国（境）费支出决算0万元，占0%；公务用车购置及运行维护费支出决算0万</w:t>
      </w:r>
      <w:r>
        <w:rPr>
          <w:rFonts w:hint="eastAsia" w:ascii="仿宋_GB2312" w:hAnsi="宋体" w:eastAsia="仿宋_GB2312" w:cs="Times New Roman"/>
          <w:b w:val="0"/>
          <w:bCs w:val="0"/>
          <w:kern w:val="0"/>
          <w:sz w:val="28"/>
          <w:szCs w:val="28"/>
          <w:lang w:val="en-US" w:eastAsia="zh-CN" w:bidi="ar-SA"/>
        </w:rPr>
        <w:t>元，占0%；公务接待费支出决算1.69万元，占100%。具体情况如下：</w:t>
      </w:r>
    </w:p>
    <w:p>
      <w:pPr>
        <w:numPr>
          <w:ilvl w:val="0"/>
          <w:numId w:val="0"/>
        </w:numPr>
        <w:spacing w:line="600" w:lineRule="exact"/>
        <w:ind w:firstLine="640" w:firstLineChars="200"/>
        <w:rPr>
          <w:rFonts w:hint="eastAsia" w:ascii="仿宋_GB2312" w:hAnsi="宋体" w:eastAsia="仿宋_GB2312" w:cs="Times New Roman"/>
          <w:b w:val="0"/>
          <w:bCs w:val="0"/>
          <w:kern w:val="0"/>
          <w:sz w:val="28"/>
          <w:szCs w:val="28"/>
          <w:lang w:val="en-US" w:eastAsia="zh-CN" w:bidi="ar-SA"/>
        </w:rPr>
      </w:pPr>
      <w:r>
        <w:rPr>
          <w:rFonts w:hint="eastAsia" w:ascii="仿宋_GB2312" w:eastAsia="仿宋_GB2312"/>
          <w:b w:val="0"/>
          <w:bCs w:val="0"/>
          <w:color w:val="000000"/>
          <w:sz w:val="32"/>
          <w:szCs w:val="32"/>
          <w:lang w:val="en-US" w:eastAsia="zh-CN"/>
        </w:rPr>
        <w:t>1.</w:t>
      </w:r>
      <w:r>
        <w:rPr>
          <w:rFonts w:hint="eastAsia" w:ascii="仿宋_GB2312" w:eastAsia="仿宋_GB2312"/>
          <w:b w:val="0"/>
          <w:bCs w:val="0"/>
          <w:color w:val="000000"/>
          <w:sz w:val="32"/>
          <w:szCs w:val="32"/>
        </w:rPr>
        <w:t>因公出国（境）经费支出</w:t>
      </w:r>
      <w:r>
        <w:rPr>
          <w:rFonts w:hint="eastAsia" w:ascii="仿宋_GB2312" w:eastAsia="仿宋_GB2312"/>
          <w:b w:val="0"/>
          <w:bCs w:val="0"/>
          <w:color w:val="000000"/>
          <w:sz w:val="32"/>
          <w:szCs w:val="32"/>
          <w:lang w:val="en-US" w:eastAsia="zh-CN"/>
        </w:rPr>
        <w:t>0</w:t>
      </w:r>
      <w:r>
        <w:rPr>
          <w:rFonts w:hint="eastAsia" w:ascii="仿宋_GB2312" w:eastAsia="仿宋_GB2312"/>
          <w:b w:val="0"/>
          <w:bCs w:val="0"/>
          <w:color w:val="000000"/>
          <w:sz w:val="32"/>
          <w:szCs w:val="32"/>
        </w:rPr>
        <w:t>万元，</w:t>
      </w:r>
      <w:r>
        <w:rPr>
          <w:rFonts w:hint="eastAsia" w:ascii="仿宋_GB2312" w:eastAsia="仿宋_GB2312"/>
          <w:b w:val="0"/>
          <w:bCs w:val="0"/>
          <w:color w:val="000000"/>
          <w:sz w:val="32"/>
          <w:szCs w:val="32"/>
          <w:lang w:val="en-US" w:eastAsia="zh-CN"/>
        </w:rPr>
        <w:t>完成预算0%</w:t>
      </w:r>
      <w:r>
        <w:rPr>
          <w:rFonts w:hint="eastAsia" w:ascii="仿宋_GB2312" w:hAnsi="宋体" w:eastAsia="仿宋_GB2312" w:cs="Times New Roman"/>
          <w:b w:val="0"/>
          <w:bCs w:val="0"/>
          <w:kern w:val="0"/>
          <w:sz w:val="28"/>
          <w:szCs w:val="28"/>
          <w:lang w:val="en-US" w:eastAsia="zh-CN" w:bidi="ar-SA"/>
        </w:rPr>
        <w:t>。全年安排因公出国（境）团组0次，出国（境）0人。</w:t>
      </w:r>
    </w:p>
    <w:p>
      <w:pPr>
        <w:numPr>
          <w:ilvl w:val="0"/>
          <w:numId w:val="0"/>
        </w:numPr>
        <w:spacing w:line="60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2.</w:t>
      </w:r>
      <w:r>
        <w:rPr>
          <w:rFonts w:hint="eastAsia" w:ascii="仿宋_GB2312" w:eastAsia="仿宋_GB2312"/>
          <w:b w:val="0"/>
          <w:bCs w:val="0"/>
          <w:color w:val="000000"/>
          <w:sz w:val="32"/>
          <w:szCs w:val="32"/>
        </w:rPr>
        <w:t>公务用车购置及运行维护费支出</w:t>
      </w:r>
      <w:r>
        <w:rPr>
          <w:rFonts w:hint="eastAsia" w:ascii="仿宋_GB2312" w:eastAsia="仿宋_GB2312"/>
          <w:b w:val="0"/>
          <w:bCs w:val="0"/>
          <w:color w:val="000000"/>
          <w:sz w:val="32"/>
          <w:szCs w:val="32"/>
          <w:lang w:val="en-US" w:eastAsia="zh-CN"/>
        </w:rPr>
        <w:t>0</w:t>
      </w:r>
      <w:r>
        <w:rPr>
          <w:rFonts w:hint="eastAsia" w:ascii="仿宋_GB2312" w:eastAsia="仿宋_GB2312"/>
          <w:b w:val="0"/>
          <w:bCs w:val="0"/>
          <w:color w:val="000000"/>
          <w:sz w:val="32"/>
          <w:szCs w:val="32"/>
        </w:rPr>
        <w:t>万元,</w:t>
      </w:r>
      <w:r>
        <w:rPr>
          <w:rFonts w:hint="eastAsia" w:ascii="仿宋_GB2312" w:eastAsia="仿宋_GB2312"/>
          <w:b w:val="0"/>
          <w:bCs w:val="0"/>
          <w:color w:val="000000"/>
          <w:sz w:val="32"/>
          <w:szCs w:val="32"/>
          <w:lang w:val="en-US" w:eastAsia="zh-CN"/>
        </w:rPr>
        <w:t>完成预算0%</w:t>
      </w:r>
      <w:r>
        <w:rPr>
          <w:rFonts w:hint="eastAsia" w:ascii="仿宋_GB2312" w:hAnsi="宋体" w:eastAsia="仿宋_GB2312" w:cs="Times New Roman"/>
          <w:b w:val="0"/>
          <w:bCs w:val="0"/>
          <w:kern w:val="0"/>
          <w:sz w:val="28"/>
          <w:szCs w:val="28"/>
          <w:lang w:val="en-US" w:eastAsia="zh-CN" w:bidi="ar-SA"/>
        </w:rPr>
        <w:t>。</w:t>
      </w:r>
    </w:p>
    <w:p>
      <w:pPr>
        <w:numPr>
          <w:ilvl w:val="0"/>
          <w:numId w:val="0"/>
        </w:numPr>
        <w:spacing w:line="600" w:lineRule="exact"/>
        <w:ind w:firstLine="560" w:firstLineChars="200"/>
        <w:rPr>
          <w:rFonts w:hint="eastAsia" w:ascii="仿宋_GB2312" w:hAnsi="宋体" w:eastAsia="仿宋_GB2312" w:cs="Times New Roman"/>
          <w:b w:val="0"/>
          <w:bCs w:val="0"/>
          <w:kern w:val="0"/>
          <w:sz w:val="28"/>
          <w:szCs w:val="28"/>
          <w:lang w:val="en-US" w:eastAsia="zh-CN" w:bidi="ar-SA"/>
        </w:rPr>
      </w:pPr>
      <w:r>
        <w:rPr>
          <w:rFonts w:hint="eastAsia" w:ascii="仿宋_GB2312" w:hAnsi="宋体" w:eastAsia="仿宋_GB2312" w:cs="Times New Roman"/>
          <w:b w:val="0"/>
          <w:bCs w:val="0"/>
          <w:kern w:val="0"/>
          <w:sz w:val="28"/>
          <w:szCs w:val="28"/>
          <w:lang w:val="en-US" w:eastAsia="zh-CN" w:bidi="ar-SA"/>
        </w:rPr>
        <w:t>其中：公务用车购置支出0万元。全年按规定更新购置公务用车0辆，金额0元。截至2020年12月底，单位共有公务用车0辆。</w:t>
      </w:r>
    </w:p>
    <w:p>
      <w:pPr>
        <w:spacing w:line="600" w:lineRule="exact"/>
        <w:ind w:firstLine="64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3.</w:t>
      </w:r>
      <w:r>
        <w:rPr>
          <w:rFonts w:hint="eastAsia" w:ascii="仿宋_GB2312" w:eastAsia="仿宋_GB2312"/>
          <w:b w:val="0"/>
          <w:bCs w:val="0"/>
          <w:color w:val="000000"/>
          <w:sz w:val="32"/>
          <w:szCs w:val="32"/>
        </w:rPr>
        <w:t>公务用车运行维护费支出</w:t>
      </w:r>
      <w:r>
        <w:rPr>
          <w:rFonts w:hint="eastAsia" w:ascii="仿宋_GB2312" w:eastAsia="仿宋_GB2312"/>
          <w:b w:val="0"/>
          <w:bCs w:val="0"/>
          <w:color w:val="000000"/>
          <w:sz w:val="32"/>
          <w:szCs w:val="32"/>
          <w:lang w:val="en-US" w:eastAsia="zh-CN"/>
        </w:rPr>
        <w:t>0</w:t>
      </w:r>
      <w:r>
        <w:rPr>
          <w:rFonts w:hint="eastAsia" w:ascii="仿宋_GB2312" w:eastAsia="仿宋_GB2312"/>
          <w:b w:val="0"/>
          <w:bCs w:val="0"/>
          <w:color w:val="000000"/>
          <w:sz w:val="32"/>
          <w:szCs w:val="32"/>
        </w:rPr>
        <w:t>万元。</w:t>
      </w:r>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eastAsia="仿宋_GB2312"/>
          <w:b w:val="0"/>
          <w:bCs w:val="0"/>
          <w:color w:val="000000"/>
          <w:sz w:val="32"/>
          <w:szCs w:val="32"/>
          <w:lang w:val="en-US" w:eastAsia="zh-CN"/>
        </w:rPr>
        <w:t>4</w:t>
      </w:r>
      <w:r>
        <w:rPr>
          <w:rFonts w:ascii="仿宋_GB2312" w:eastAsia="仿宋_GB2312"/>
          <w:b w:val="0"/>
          <w:bCs w:val="0"/>
          <w:color w:val="000000"/>
          <w:sz w:val="32"/>
          <w:szCs w:val="32"/>
        </w:rPr>
        <w:t>.</w:t>
      </w:r>
      <w:r>
        <w:rPr>
          <w:rFonts w:hint="eastAsia" w:ascii="仿宋_GB2312" w:eastAsia="仿宋_GB2312"/>
          <w:b w:val="0"/>
          <w:bCs w:val="0"/>
          <w:color w:val="000000"/>
          <w:sz w:val="32"/>
          <w:szCs w:val="32"/>
        </w:rPr>
        <w:t>公务接待费支出</w:t>
      </w:r>
      <w:r>
        <w:rPr>
          <w:rFonts w:hint="eastAsia" w:ascii="仿宋_GB2312" w:eastAsia="仿宋_GB2312"/>
          <w:b w:val="0"/>
          <w:bCs w:val="0"/>
          <w:color w:val="000000"/>
          <w:sz w:val="32"/>
          <w:szCs w:val="32"/>
          <w:lang w:val="en-US" w:eastAsia="zh-CN"/>
        </w:rPr>
        <w:t>1.69</w:t>
      </w:r>
      <w:r>
        <w:rPr>
          <w:rFonts w:hint="eastAsia" w:ascii="仿宋_GB2312" w:eastAsia="仿宋_GB2312"/>
          <w:b w:val="0"/>
          <w:bCs w:val="0"/>
          <w:color w:val="000000"/>
          <w:sz w:val="32"/>
          <w:szCs w:val="32"/>
        </w:rPr>
        <w:t>万元，完成预算</w:t>
      </w:r>
      <w:r>
        <w:rPr>
          <w:rFonts w:hint="eastAsia" w:ascii="仿宋_GB2312" w:eastAsia="仿宋_GB2312"/>
          <w:b w:val="0"/>
          <w:bCs w:val="0"/>
          <w:color w:val="000000"/>
          <w:sz w:val="32"/>
          <w:szCs w:val="32"/>
          <w:lang w:val="en-US" w:eastAsia="zh-CN"/>
        </w:rPr>
        <w:t>100</w:t>
      </w:r>
      <w:r>
        <w:rPr>
          <w:rFonts w:hint="eastAsia" w:ascii="仿宋_GB2312" w:eastAsia="仿宋_GB2312"/>
          <w:b w:val="0"/>
          <w:bCs w:val="0"/>
          <w:color w:val="000000"/>
          <w:sz w:val="32"/>
          <w:szCs w:val="32"/>
        </w:rPr>
        <w:t>%</w:t>
      </w:r>
      <w:r>
        <w:rPr>
          <w:rStyle w:val="15"/>
          <w:rFonts w:hint="eastAsia" w:ascii="仿宋" w:hAnsi="仿宋" w:eastAsia="仿宋"/>
          <w:b w:val="0"/>
          <w:bCs w:val="0"/>
          <w:color w:val="000000"/>
          <w:sz w:val="32"/>
          <w:szCs w:val="32"/>
        </w:rPr>
        <w:t>。</w:t>
      </w:r>
      <w:r>
        <w:rPr>
          <w:rFonts w:hint="eastAsia" w:ascii="仿宋_GB2312" w:hAnsi="宋体" w:eastAsia="仿宋_GB2312" w:cs="Times New Roman"/>
          <w:b w:val="0"/>
          <w:bCs w:val="0"/>
          <w:kern w:val="0"/>
          <w:sz w:val="28"/>
          <w:szCs w:val="28"/>
          <w:lang w:val="en-US" w:eastAsia="zh-CN" w:bidi="ar-SA"/>
        </w:rPr>
        <w:t>公务接待费支出决算比2019年减少0.31万元。主要原因是接待减少</w:t>
      </w:r>
      <w:r>
        <w:rPr>
          <w:rFonts w:hint="eastAsia" w:ascii="仿宋_GB2312" w:hAnsi="宋体" w:eastAsia="仿宋_GB2312" w:cs="Times New Roman"/>
          <w:kern w:val="0"/>
          <w:sz w:val="28"/>
          <w:szCs w:val="28"/>
          <w:lang w:val="en-US" w:eastAsia="zh-CN" w:bidi="ar-SA"/>
        </w:rPr>
        <w:t>。</w:t>
      </w:r>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国内公务接待支出1.69万元，主要用于执行公务、开展业务活动开支的交通费、住宿费、用餐费等。国内公务接待52批次，403人次（不包括陪同人员），共计支出1.69万元。</w:t>
      </w:r>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外事接待支出0万元，外事接待0批次，0人，共计支出0万元。</w:t>
      </w:r>
      <w:bookmarkStart w:id="72" w:name="_Toc15377218"/>
      <w:bookmarkStart w:id="73" w:name="_Toc15396610"/>
    </w:p>
    <w:p>
      <w:pPr>
        <w:spacing w:line="600" w:lineRule="exact"/>
        <w:ind w:firstLine="640"/>
        <w:outlineLvl w:val="1"/>
        <w:rPr>
          <w:rStyle w:val="26"/>
          <w:rFonts w:ascii="黑体" w:hAnsi="黑体" w:eastAsia="黑体"/>
        </w:rPr>
      </w:pPr>
      <w:bookmarkStart w:id="74" w:name="_Toc16531"/>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72"/>
      <w:bookmarkEnd w:id="73"/>
      <w:bookmarkEnd w:id="74"/>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2020年政府性基金预算拨款支出0万元。</w:t>
      </w:r>
    </w:p>
    <w:p>
      <w:pPr>
        <w:numPr>
          <w:ilvl w:val="0"/>
          <w:numId w:val="3"/>
        </w:numPr>
        <w:spacing w:line="600" w:lineRule="exact"/>
        <w:ind w:firstLine="640"/>
        <w:outlineLvl w:val="1"/>
        <w:rPr>
          <w:rStyle w:val="26"/>
          <w:rFonts w:ascii="黑体" w:hAnsi="黑体" w:eastAsia="黑体"/>
          <w:b w:val="0"/>
        </w:rPr>
      </w:pPr>
      <w:bookmarkStart w:id="75" w:name="_Toc14516"/>
      <w:bookmarkStart w:id="76" w:name="_Toc15396611"/>
      <w:bookmarkStart w:id="77" w:name="_Toc15377219"/>
      <w:r>
        <w:rPr>
          <w:rStyle w:val="26"/>
          <w:rFonts w:hint="eastAsia" w:ascii="黑体" w:hAnsi="黑体" w:eastAsia="黑体"/>
          <w:b w:val="0"/>
        </w:rPr>
        <w:t>国有资本经营预算支出决算情况说明</w:t>
      </w:r>
      <w:bookmarkEnd w:id="75"/>
      <w:bookmarkEnd w:id="76"/>
      <w:bookmarkEnd w:id="77"/>
    </w:p>
    <w:p>
      <w:pPr>
        <w:spacing w:line="600" w:lineRule="exact"/>
        <w:ind w:firstLine="640"/>
        <w:rPr>
          <w:rFonts w:ascii="方正小标宋简体" w:hAnsi="方正小标宋简体" w:eastAsia="方正小标宋简体" w:cs="方正小标宋简体"/>
          <w:sz w:val="44"/>
          <w:szCs w:val="44"/>
        </w:rPr>
      </w:pPr>
      <w:r>
        <w:rPr>
          <w:rFonts w:hint="eastAsia" w:ascii="仿宋_GB2312" w:hAnsi="宋体" w:eastAsia="仿宋_GB2312" w:cs="Times New Roman"/>
          <w:kern w:val="0"/>
          <w:sz w:val="28"/>
          <w:szCs w:val="28"/>
          <w:lang w:val="en-US" w:eastAsia="zh-CN" w:bidi="ar-SA"/>
        </w:rPr>
        <w:t>2020年国有资本经营预算拨款支出0万元。</w:t>
      </w:r>
    </w:p>
    <w:p>
      <w:pPr>
        <w:spacing w:line="600" w:lineRule="exact"/>
        <w:ind w:firstLine="640" w:firstLineChars="200"/>
        <w:outlineLvl w:val="1"/>
        <w:rPr>
          <w:rStyle w:val="26"/>
          <w:rFonts w:ascii="黑体" w:hAnsi="黑体" w:eastAsia="黑体"/>
        </w:rPr>
      </w:pPr>
      <w:bookmarkStart w:id="78" w:name="_Toc15396612"/>
      <w:bookmarkStart w:id="79" w:name="_Toc15377221"/>
      <w:bookmarkStart w:id="80" w:name="_Toc4965"/>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78"/>
      <w:bookmarkEnd w:id="79"/>
      <w:bookmarkEnd w:id="80"/>
    </w:p>
    <w:p>
      <w:pPr>
        <w:spacing w:line="600" w:lineRule="exact"/>
        <w:ind w:firstLine="964" w:firstLineChars="300"/>
        <w:outlineLvl w:val="2"/>
        <w:rPr>
          <w:rFonts w:ascii="仿宋" w:hAnsi="仿宋" w:eastAsia="仿宋"/>
          <w:color w:val="000000"/>
          <w:sz w:val="32"/>
          <w:szCs w:val="32"/>
        </w:rPr>
      </w:pPr>
      <w:bookmarkStart w:id="81" w:name="_Toc15377222"/>
      <w:bookmarkStart w:id="82" w:name="_Toc27977"/>
      <w:r>
        <w:rPr>
          <w:rFonts w:hint="eastAsia" w:ascii="仿宋" w:hAnsi="仿宋" w:eastAsia="仿宋"/>
          <w:b/>
          <w:color w:val="000000"/>
          <w:sz w:val="32"/>
          <w:szCs w:val="32"/>
        </w:rPr>
        <w:t>（一）机关运行经费支出情况</w:t>
      </w:r>
      <w:bookmarkEnd w:id="81"/>
      <w:bookmarkEnd w:id="82"/>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2020年，长坪镇机关运行经费支出16.76万元，与2019年决算数持平。</w:t>
      </w:r>
    </w:p>
    <w:p>
      <w:pPr>
        <w:pStyle w:val="4"/>
        <w:bidi w:val="0"/>
        <w:ind w:firstLine="643" w:firstLineChars="200"/>
        <w:rPr>
          <w:rFonts w:hint="eastAsia" w:ascii="仿宋" w:hAnsi="仿宋" w:eastAsia="仿宋" w:cs="仿宋"/>
        </w:rPr>
      </w:pPr>
      <w:bookmarkStart w:id="83" w:name="_Toc15377223"/>
      <w:bookmarkStart w:id="84" w:name="_Toc18472"/>
      <w:r>
        <w:rPr>
          <w:rFonts w:hint="eastAsia" w:ascii="仿宋" w:hAnsi="仿宋" w:eastAsia="仿宋" w:cs="仿宋"/>
        </w:rPr>
        <w:t>（二）政府采购支出情况</w:t>
      </w:r>
      <w:bookmarkEnd w:id="83"/>
      <w:bookmarkEnd w:id="84"/>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2020年，长坪镇政府采购支出总额0万元，其中：政府采购货物支出0万元、政府采购工程支出0万元、政府采购服务支出0万元。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5" w:name="_Toc19095"/>
      <w:bookmarkStart w:id="86" w:name="_Toc15377224"/>
      <w:r>
        <w:rPr>
          <w:rFonts w:hint="eastAsia" w:ascii="仿宋" w:hAnsi="仿宋" w:eastAsia="仿宋"/>
          <w:b/>
          <w:color w:val="000000"/>
          <w:sz w:val="32"/>
          <w:szCs w:val="32"/>
        </w:rPr>
        <w:t>（三）国有资产占有使用情况</w:t>
      </w:r>
      <w:bookmarkEnd w:id="85"/>
      <w:bookmarkEnd w:id="86"/>
    </w:p>
    <w:p>
      <w:pPr>
        <w:spacing w:line="600" w:lineRule="exact"/>
        <w:ind w:firstLine="640"/>
        <w:rPr>
          <w:rFonts w:hint="eastAsia" w:ascii="仿宋_GB2312" w:hAnsi="宋体" w:eastAsia="仿宋_GB2312" w:cs="Times New Roman"/>
          <w:kern w:val="0"/>
          <w:sz w:val="28"/>
          <w:szCs w:val="28"/>
          <w:lang w:val="en-US" w:eastAsia="zh-CN" w:bidi="ar-SA"/>
        </w:rPr>
      </w:pPr>
      <w:r>
        <w:rPr>
          <w:rFonts w:hint="eastAsia" w:ascii="仿宋_GB2312" w:hAnsi="宋体" w:eastAsia="仿宋_GB2312" w:cs="Times New Roman"/>
          <w:kern w:val="0"/>
          <w:sz w:val="28"/>
          <w:szCs w:val="28"/>
          <w:lang w:val="en-US" w:eastAsia="zh-CN" w:bidi="ar-SA"/>
        </w:rPr>
        <w:t>截至2020年12月31日，长坪镇共有车辆0辆，其中：主要领导干部用车0辆、机要通信用车0辆、应急保障用车0辆、其他用车0辆。单价50万元以上通用设备0台（套），单价100万元以上专用设备0台（套）。</w:t>
      </w:r>
    </w:p>
    <w:p>
      <w:pPr>
        <w:pStyle w:val="4"/>
        <w:bidi w:val="0"/>
        <w:ind w:firstLine="643" w:firstLineChars="200"/>
        <w:rPr>
          <w:rFonts w:hint="eastAsia" w:ascii="仿宋" w:hAnsi="仿宋" w:eastAsia="仿宋" w:cs="仿宋"/>
          <w:b/>
          <w:bCs/>
        </w:rPr>
      </w:pPr>
      <w:bookmarkStart w:id="87" w:name="_Toc25617"/>
      <w:r>
        <w:rPr>
          <w:rFonts w:hint="eastAsia" w:ascii="仿宋" w:hAnsi="仿宋" w:eastAsia="仿宋" w:cs="仿宋"/>
          <w:b/>
          <w:bCs/>
        </w:rPr>
        <w:t>（四）预算绩效管理情况。</w:t>
      </w:r>
      <w:bookmarkEnd w:id="87"/>
    </w:p>
    <w:p>
      <w:pPr>
        <w:spacing w:line="600" w:lineRule="exact"/>
        <w:ind w:firstLine="640"/>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根据预算绩效管理要求，本单位在年初预算编制阶段，对17个项目编制了绩效目标，预算执行过程中，选取5个项目开展绩效监控，年终执行完毕后，对5个项目开展了绩效目标完成情况自评。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_GB2312" w:hAnsi="宋体" w:eastAsia="仿宋_GB2312" w:cs="Times New Roman"/>
          <w:kern w:val="0"/>
          <w:sz w:val="32"/>
          <w:szCs w:val="32"/>
          <w:lang w:val="en-US" w:eastAsia="zh-CN" w:bidi="ar-SA"/>
        </w:rPr>
        <w:t>本部门按要求对2020年部门整体支出开展绩效自评，从评价情况来看预算编制质量良好、预算信息公开符合要求，预算执行进度良好、财务制度健全，会计核算总体规范、准确，项目在实行过程中严格执行有关规定，基本达到预期效果。本部门还自行组织了5个项目支出绩效评价，从评价情况来看相关制度合法、合规、完整，并有效执行、较好的完成了预期目标，支出符合国家财经法规和财务管理制度规定，对本单位的预算配置、预算执行情况、预算管理、职责履行</w:t>
      </w:r>
      <w:r>
        <w:rPr>
          <w:rFonts w:hint="eastAsia" w:ascii="仿宋" w:hAnsi="仿宋" w:eastAsia="仿宋" w:cs="仿宋"/>
          <w:kern w:val="0"/>
          <w:sz w:val="32"/>
          <w:szCs w:val="32"/>
          <w:lang w:val="en-US" w:eastAsia="zh-CN" w:bidi="ar-SA"/>
        </w:rPr>
        <w:t>到位。</w:t>
      </w:r>
    </w:p>
    <w:p>
      <w:pPr>
        <w:keepNext w:val="0"/>
        <w:keepLines w:val="0"/>
        <w:pageBreakBefore w:val="0"/>
        <w:numPr>
          <w:ilvl w:val="0"/>
          <w:numId w:val="4"/>
        </w:numPr>
        <w:kinsoku/>
        <w:wordWrap/>
        <w:overflowPunct/>
        <w:topLinePunct w:val="0"/>
        <w:autoSpaceDE/>
        <w:autoSpaceDN/>
        <w:bidi w:val="0"/>
        <w:spacing w:line="58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rPr>
        <w:t>项目绩效目标完成情况。</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部门在2020年度部门决算中反映“新冠肺炎疫情补助资金”“文化站免费开放资金”“基层组织活动和服务运行经费”“4、生猪调出大县奖励资金”“5、公益性岗位及创业就业项目”等5个项目绩效目标实际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（1）新冠肺炎疫情补助资金项目绩效目标完成情况综述。项目全年预算数8.22万元，执行数为8.22万元，完成预算的100%。通过项目实施，保障全镇10个村的老百姓的生命健康安全，</w:t>
      </w:r>
      <w:r>
        <w:rPr>
          <w:rFonts w:hint="eastAsia" w:ascii="仿宋" w:hAnsi="仿宋" w:eastAsia="仿宋" w:cs="仿宋"/>
          <w:sz w:val="32"/>
          <w:szCs w:val="32"/>
          <w:lang w:val="en-US" w:eastAsia="zh-CN"/>
        </w:rPr>
        <w:t>新冠肺炎疫情防控补助项目</w:t>
      </w:r>
      <w:r>
        <w:rPr>
          <w:rFonts w:hint="eastAsia" w:ascii="仿宋" w:hAnsi="仿宋" w:eastAsia="仿宋" w:cs="仿宋"/>
          <w:sz w:val="32"/>
          <w:szCs w:val="32"/>
          <w:lang w:val="zh-CN"/>
        </w:rPr>
        <w:t>工作在社会上取得了良好的评价，为</w:t>
      </w:r>
      <w:r>
        <w:rPr>
          <w:rFonts w:hint="eastAsia" w:ascii="仿宋" w:hAnsi="仿宋" w:eastAsia="仿宋" w:cs="仿宋"/>
          <w:sz w:val="32"/>
          <w:szCs w:val="32"/>
          <w:lang w:val="en-US" w:eastAsia="zh-CN"/>
        </w:rPr>
        <w:t>全面抗击新冠肺炎疫情打下了坚实的基础。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val="en-US" w:eastAsia="zh-CN" w:bidi="ar-SA"/>
        </w:rPr>
        <w:t>（2）文化站免费开放资金项目绩效目标完成情况综述。项目全年预算数3万元，执行数为3万元，完成预算的100%。通过项目实施，</w:t>
      </w:r>
      <w:r>
        <w:rPr>
          <w:rFonts w:hint="eastAsia" w:ascii="仿宋" w:hAnsi="仿宋" w:eastAsia="仿宋" w:cs="仿宋"/>
          <w:b w:val="0"/>
          <w:bCs/>
          <w:sz w:val="32"/>
          <w:szCs w:val="32"/>
          <w:lang w:val="zh-CN"/>
        </w:rPr>
        <w:t>有利于文化工作的开展，</w:t>
      </w:r>
      <w:r>
        <w:rPr>
          <w:rFonts w:hint="eastAsia" w:ascii="仿宋" w:hAnsi="仿宋" w:eastAsia="仿宋" w:cs="仿宋"/>
          <w:sz w:val="32"/>
          <w:szCs w:val="32"/>
          <w:lang w:val="zh-CN"/>
        </w:rPr>
        <w:t>建设基层文化宣传场地，培养特色文化传承人，建设美丽文化院坝，丰富群众文化，提高群众文化素质。</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kern w:val="0"/>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 w:hAnsi="仿宋" w:eastAsia="仿宋" w:cs="仿宋"/>
          <w:color w:val="333333"/>
          <w:kern w:val="2"/>
          <w:sz w:val="32"/>
          <w:szCs w:val="32"/>
          <w:lang w:val="en-US" w:eastAsia="zh-CN" w:bidi="ar"/>
        </w:rPr>
      </w:pPr>
      <w:r>
        <w:rPr>
          <w:rFonts w:hint="eastAsia" w:ascii="仿宋" w:hAnsi="仿宋" w:eastAsia="仿宋" w:cs="仿宋"/>
          <w:kern w:val="0"/>
          <w:sz w:val="32"/>
          <w:szCs w:val="32"/>
          <w:lang w:val="en-US" w:eastAsia="zh-CN" w:bidi="ar-SA"/>
        </w:rPr>
        <w:t>（3）基层组织活动和服务运行经费项目绩效目标完成情况综述。项目全年预算数40万元，执行数为40万元，完成预算的100%。通过项目实施，</w:t>
      </w:r>
      <w:r>
        <w:rPr>
          <w:rFonts w:hint="eastAsia" w:ascii="仿宋" w:hAnsi="仿宋" w:eastAsia="仿宋" w:cs="仿宋"/>
          <w:color w:val="333333"/>
          <w:kern w:val="2"/>
          <w:sz w:val="32"/>
          <w:szCs w:val="32"/>
          <w:lang w:val="en-US" w:eastAsia="zh-CN" w:bidi="ar"/>
        </w:rPr>
        <w:t>对实施的项目，经费及时拨付到位，支出合理合规，实现了预定的绩效目标，同时立项依据充分，目标明确，严格按照财务制度和政府项目建设管理制度规范基层组织活动和公共服务运行经费的使用，为我镇正常履行国家行政机关职能，确保我镇基层组织基本运转环境发挥了重要作用。</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kern w:val="0"/>
          <w:sz w:val="32"/>
          <w:szCs w:val="32"/>
          <w:lang w:val="en-US" w:eastAsia="zh-CN" w:bidi="ar-SA"/>
        </w:rPr>
        <w:t>（4）生猪调出大县奖励资金项目绩效目标完成情况综述。项目全年预算数0.7万元，执行数为0.7万元，完成预算的100%。通过项目实施，</w:t>
      </w:r>
      <w:r>
        <w:rPr>
          <w:rFonts w:hint="eastAsia" w:ascii="仿宋" w:hAnsi="仿宋" w:eastAsia="仿宋" w:cs="仿宋"/>
          <w:sz w:val="32"/>
          <w:szCs w:val="32"/>
          <w:lang w:val="zh-CN" w:eastAsia="zh-CN"/>
        </w:rPr>
        <w:t>以推进“健康养殖”为抓手，以促进生猪生产和稳定猪肉市场供应为目标，支持生猪规模化、标准化、清洁化生产，增强抵御市场风险能力，保障生猪产业持续健康发展。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SA"/>
        </w:rPr>
        <w:t>（5）公益性岗位及创业就业项目绩效目标完成情况综述。项目全年预算数43.3万元，执行数为43.3万元。完成预算的100%。通过项目实施，</w:t>
      </w:r>
      <w:r>
        <w:rPr>
          <w:rFonts w:hint="eastAsia" w:ascii="仿宋" w:hAnsi="仿宋" w:eastAsia="仿宋" w:cs="仿宋"/>
          <w:color w:val="333333"/>
          <w:kern w:val="2"/>
          <w:sz w:val="32"/>
          <w:szCs w:val="32"/>
          <w:lang w:val="en-US" w:eastAsia="zh-CN" w:bidi="ar"/>
        </w:rPr>
        <w:t>我镇2020年公益性岗位项目绩效情况总体较好，有效解决了适龄劳动力解决就业问题，减少群众失业率，带动周边经济的发展。按年初预期目标完成了公益性岗位项目绩效经费的支出。</w:t>
      </w:r>
    </w:p>
    <w:p>
      <w:pPr>
        <w:spacing w:line="580" w:lineRule="exact"/>
        <w:ind w:left="630"/>
        <w:rPr>
          <w:rFonts w:ascii="仿宋_GB2312" w:hAnsi="仿宋_GB2312" w:eastAsia="仿宋_GB2312" w:cs="仿宋_GB2312"/>
          <w:sz w:val="32"/>
          <w:szCs w:val="32"/>
        </w:rPr>
      </w:pPr>
    </w:p>
    <w:tbl>
      <w:tblPr>
        <w:tblStyle w:val="13"/>
        <w:tblW w:w="8720" w:type="dxa"/>
        <w:tblInd w:w="0" w:type="dxa"/>
        <w:shd w:val="clear" w:color="auto" w:fill="auto"/>
        <w:tblLayout w:type="fixed"/>
        <w:tblCellMar>
          <w:top w:w="0" w:type="dxa"/>
          <w:left w:w="0" w:type="dxa"/>
          <w:bottom w:w="0" w:type="dxa"/>
          <w:right w:w="0" w:type="dxa"/>
        </w:tblCellMar>
      </w:tblPr>
      <w:tblGrid>
        <w:gridCol w:w="455"/>
        <w:gridCol w:w="628"/>
        <w:gridCol w:w="856"/>
        <w:gridCol w:w="2063"/>
        <w:gridCol w:w="507"/>
        <w:gridCol w:w="496"/>
        <w:gridCol w:w="1074"/>
        <w:gridCol w:w="778"/>
        <w:gridCol w:w="567"/>
        <w:gridCol w:w="752"/>
        <w:gridCol w:w="544"/>
      </w:tblGrid>
      <w:tr>
        <w:tblPrEx>
          <w:shd w:val="clear" w:color="auto" w:fill="auto"/>
          <w:tblLayout w:type="fixed"/>
          <w:tblCellMar>
            <w:top w:w="0" w:type="dxa"/>
            <w:left w:w="0" w:type="dxa"/>
            <w:bottom w:w="0" w:type="dxa"/>
            <w:right w:w="0" w:type="dxa"/>
          </w:tblCellMar>
        </w:tblPrEx>
        <w:trPr>
          <w:trHeight w:val="525" w:hRule="atLeast"/>
        </w:trPr>
        <w:tc>
          <w:tcPr>
            <w:tcW w:w="872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绩效目标自评表</w:t>
            </w:r>
          </w:p>
        </w:tc>
      </w:tr>
      <w:tr>
        <w:tblPrEx>
          <w:tblLayout w:type="fixed"/>
          <w:tblCellMar>
            <w:top w:w="0" w:type="dxa"/>
            <w:left w:w="0" w:type="dxa"/>
            <w:bottom w:w="0" w:type="dxa"/>
            <w:right w:w="0" w:type="dxa"/>
          </w:tblCellMar>
        </w:tblPrEx>
        <w:trPr>
          <w:trHeight w:val="274" w:hRule="atLeast"/>
        </w:trPr>
        <w:tc>
          <w:tcPr>
            <w:tcW w:w="872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539" w:hRule="atLeast"/>
        </w:trPr>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新冠肺炎疫情防控专项经费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6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龚雪萍18008277082</w:t>
            </w:r>
          </w:p>
        </w:tc>
      </w:tr>
      <w:tr>
        <w:tblPrEx>
          <w:tblLayout w:type="fixed"/>
          <w:tblCellMar>
            <w:top w:w="0" w:type="dxa"/>
            <w:left w:w="0" w:type="dxa"/>
            <w:bottom w:w="0" w:type="dxa"/>
            <w:right w:w="0" w:type="dxa"/>
          </w:tblCellMar>
        </w:tblPrEx>
        <w:trPr>
          <w:trHeight w:val="289" w:hRule="atLeast"/>
        </w:trPr>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通江县卫健局</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通江县长坪镇人民政府</w:t>
            </w:r>
          </w:p>
        </w:tc>
      </w:tr>
      <w:tr>
        <w:tblPrEx>
          <w:tblLayout w:type="fixed"/>
          <w:tblCellMar>
            <w:top w:w="0" w:type="dxa"/>
            <w:left w:w="0" w:type="dxa"/>
            <w:bottom w:w="0" w:type="dxa"/>
            <w:right w:w="0" w:type="dxa"/>
          </w:tblCellMar>
        </w:tblPrEx>
        <w:trPr>
          <w:trHeight w:val="539" w:hRule="atLeast"/>
        </w:trPr>
        <w:tc>
          <w:tcPr>
            <w:tcW w:w="19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89" w:hRule="atLeast"/>
        </w:trPr>
        <w:tc>
          <w:tcPr>
            <w:tcW w:w="19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289" w:hRule="atLeast"/>
        </w:trPr>
        <w:tc>
          <w:tcPr>
            <w:tcW w:w="19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其中：本年财政拨款</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289" w:hRule="atLeast"/>
        </w:trPr>
        <w:tc>
          <w:tcPr>
            <w:tcW w:w="19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289"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53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下达中央疫情防控专项补助资金，保障群众身心健康安全。</w:t>
            </w:r>
          </w:p>
        </w:tc>
        <w:tc>
          <w:tcPr>
            <w:tcW w:w="3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下达中央疫情防控专项补助资金，保障群众身心健康安全。</w:t>
            </w:r>
          </w:p>
        </w:tc>
      </w:tr>
      <w:tr>
        <w:tblPrEx>
          <w:tblLayout w:type="fixed"/>
          <w:tblCellMar>
            <w:top w:w="0" w:type="dxa"/>
            <w:left w:w="0" w:type="dxa"/>
            <w:bottom w:w="0" w:type="dxa"/>
            <w:right w:w="0" w:type="dxa"/>
          </w:tblCellMar>
        </w:tblPrEx>
        <w:trPr>
          <w:trHeight w:val="676"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290"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补助经费涉及村（居）个数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防控新冠肺炎疫情宣传覆盖率（≥**%）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7"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国家规划疫苗接种率(≥**%)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发放任务完成率（≥**%）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财政投入资金（=**万元）</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57"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区域内主要传染病发病率(≤**%)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受益建档立卡贫困人口数(≥**人)</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6"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后续发病率（≤**%）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9"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95"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4" w:hRule="atLeast"/>
        </w:trPr>
        <w:tc>
          <w:tcPr>
            <w:tcW w:w="45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3"/>
        <w:tblW w:w="9220" w:type="dxa"/>
        <w:tblInd w:w="0" w:type="dxa"/>
        <w:shd w:val="clear" w:color="auto" w:fill="auto"/>
        <w:tblLayout w:type="fixed"/>
        <w:tblCellMar>
          <w:top w:w="0" w:type="dxa"/>
          <w:left w:w="0" w:type="dxa"/>
          <w:bottom w:w="0" w:type="dxa"/>
          <w:right w:w="0" w:type="dxa"/>
        </w:tblCellMar>
      </w:tblPr>
      <w:tblGrid>
        <w:gridCol w:w="485"/>
        <w:gridCol w:w="827"/>
        <w:gridCol w:w="1076"/>
        <w:gridCol w:w="2193"/>
        <w:gridCol w:w="468"/>
        <w:gridCol w:w="482"/>
        <w:gridCol w:w="956"/>
        <w:gridCol w:w="759"/>
        <w:gridCol w:w="604"/>
        <w:gridCol w:w="722"/>
        <w:gridCol w:w="648"/>
      </w:tblGrid>
      <w:tr>
        <w:tblPrEx>
          <w:shd w:val="clear" w:color="auto" w:fill="auto"/>
          <w:tblLayout w:type="fixed"/>
          <w:tblCellMar>
            <w:top w:w="0" w:type="dxa"/>
            <w:left w:w="0" w:type="dxa"/>
            <w:bottom w:w="0" w:type="dxa"/>
            <w:right w:w="0" w:type="dxa"/>
          </w:tblCellMar>
        </w:tblPrEx>
        <w:trPr>
          <w:trHeight w:val="114" w:hRule="atLeast"/>
        </w:trPr>
        <w:tc>
          <w:tcPr>
            <w:tcW w:w="922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31"/>
                <w:lang w:val="en-US" w:eastAsia="zh-CN" w:bidi="ar"/>
              </w:rPr>
              <w:t>绩效目标自评表</w:t>
            </w:r>
            <w:r>
              <w:rPr>
                <w:rStyle w:val="32"/>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922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118"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长坪镇文化站免费开放资金</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龚雪萍18008277082</w:t>
            </w:r>
          </w:p>
        </w:tc>
      </w:tr>
      <w:tr>
        <w:tblPrEx>
          <w:tblLayout w:type="fixed"/>
          <w:tblCellMar>
            <w:top w:w="0" w:type="dxa"/>
            <w:left w:w="0" w:type="dxa"/>
            <w:bottom w:w="0" w:type="dxa"/>
            <w:right w:w="0" w:type="dxa"/>
          </w:tblCellMar>
        </w:tblPrEx>
        <w:trPr>
          <w:trHeight w:val="9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通江县文广新局</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通江县长坪镇人民政府</w:t>
            </w:r>
          </w:p>
        </w:tc>
      </w:tr>
      <w:tr>
        <w:tblPrEx>
          <w:tblLayout w:type="fixed"/>
          <w:tblCellMar>
            <w:top w:w="0" w:type="dxa"/>
            <w:left w:w="0" w:type="dxa"/>
            <w:bottom w:w="0" w:type="dxa"/>
            <w:right w:w="0" w:type="dxa"/>
          </w:tblCellMar>
        </w:tblPrEx>
        <w:trPr>
          <w:trHeight w:val="118" w:hRule="atLeast"/>
        </w:trPr>
        <w:tc>
          <w:tcPr>
            <w:tcW w:w="23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90" w:hRule="atLeast"/>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90" w:hRule="atLeast"/>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3"/>
                <w:lang w:val="en-US" w:eastAsia="zh-CN" w:bidi="ar"/>
              </w:rPr>
              <w:t xml:space="preserve"> 其中：本年财政拨款</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0" w:hRule="atLeast"/>
        </w:trPr>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3"/>
                <w:lang w:val="en-US" w:eastAsia="zh-CN" w:bidi="ar"/>
              </w:rPr>
              <w:t xml:space="preserve">       其他资金</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18"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0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179"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计划文化室开放时间每周不低于40小时，免费培训辖区文艺队25支，开展文艺演出活动不少于30场。</w:t>
            </w:r>
          </w:p>
        </w:tc>
        <w:tc>
          <w:tcPr>
            <w:tcW w:w="368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计划开放时间每周不低于40小时，免费培训辖区文艺队25支，开展文艺演出活动不少于30场。完成了预定目标任务。</w:t>
            </w:r>
          </w:p>
        </w:tc>
      </w:tr>
      <w:tr>
        <w:tblPrEx>
          <w:tblLayout w:type="fixed"/>
          <w:tblCellMar>
            <w:top w:w="0" w:type="dxa"/>
            <w:left w:w="0" w:type="dxa"/>
            <w:bottom w:w="0" w:type="dxa"/>
            <w:right w:w="0" w:type="dxa"/>
          </w:tblCellMar>
        </w:tblPrEx>
        <w:trPr>
          <w:trHeight w:val="118"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118"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计划文化室开放时间每周不低于**小时</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≥10小时</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14小时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7"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免费培训辖区文艺小队</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≥1队</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1队</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7"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开展文艺演出活动*场</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≥3场</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5场</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按时按质完成率</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8"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表演时长（≥**小时/次）</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≥2小时/次</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2.5小时/次</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8"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文化服务中心建设补助标准（**万元/平方米）</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0.5万元</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8"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戏曲进乡村文艺演出补助标准（**万元/场）</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1.8万元</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8"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提升整合基层宣传文化水平</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提升群众文化生活水平</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逐步提升</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逐步提升</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培育文明新风开展文体活动</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推动实施乡村振兴战略</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配套建设群众文化活动场地</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持续发展</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持续发展</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4"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2" w:hRule="atLeast"/>
        </w:trPr>
        <w:tc>
          <w:tcPr>
            <w:tcW w:w="50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rPr>
          <w:rFonts w:ascii="仿宋_GB2312" w:hAnsi="仿宋_GB2312" w:eastAsia="仿宋_GB2312" w:cs="仿宋_GB2312"/>
          <w:sz w:val="32"/>
          <w:szCs w:val="32"/>
        </w:rPr>
      </w:pPr>
    </w:p>
    <w:tbl>
      <w:tblPr>
        <w:tblStyle w:val="13"/>
        <w:tblW w:w="8680" w:type="dxa"/>
        <w:tblInd w:w="0" w:type="dxa"/>
        <w:shd w:val="clear" w:color="auto" w:fill="auto"/>
        <w:tblLayout w:type="fixed"/>
        <w:tblCellMar>
          <w:top w:w="0" w:type="dxa"/>
          <w:left w:w="0" w:type="dxa"/>
          <w:bottom w:w="0" w:type="dxa"/>
          <w:right w:w="0" w:type="dxa"/>
        </w:tblCellMar>
      </w:tblPr>
      <w:tblGrid>
        <w:gridCol w:w="342"/>
        <w:gridCol w:w="626"/>
        <w:gridCol w:w="836"/>
        <w:gridCol w:w="1800"/>
        <w:gridCol w:w="493"/>
        <w:gridCol w:w="676"/>
        <w:gridCol w:w="1071"/>
        <w:gridCol w:w="893"/>
        <w:gridCol w:w="559"/>
        <w:gridCol w:w="630"/>
        <w:gridCol w:w="754"/>
      </w:tblGrid>
      <w:tr>
        <w:tblPrEx>
          <w:shd w:val="clear" w:color="auto" w:fill="auto"/>
          <w:tblLayout w:type="fixed"/>
          <w:tblCellMar>
            <w:top w:w="0" w:type="dxa"/>
            <w:left w:w="0" w:type="dxa"/>
            <w:bottom w:w="0" w:type="dxa"/>
            <w:right w:w="0" w:type="dxa"/>
          </w:tblCellMar>
        </w:tblPrEx>
        <w:trPr>
          <w:trHeight w:val="90" w:hRule="atLeast"/>
        </w:trPr>
        <w:tc>
          <w:tcPr>
            <w:tcW w:w="86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绩效目标自评表 </w:t>
            </w:r>
          </w:p>
        </w:tc>
      </w:tr>
      <w:tr>
        <w:tblPrEx>
          <w:tblLayout w:type="fixed"/>
          <w:tblCellMar>
            <w:top w:w="0" w:type="dxa"/>
            <w:left w:w="0" w:type="dxa"/>
            <w:bottom w:w="0" w:type="dxa"/>
            <w:right w:w="0" w:type="dxa"/>
          </w:tblCellMar>
        </w:tblPrEx>
        <w:trPr>
          <w:trHeight w:val="90" w:hRule="atLeast"/>
        </w:trPr>
        <w:tc>
          <w:tcPr>
            <w:tcW w:w="868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90" w:hRule="atLeast"/>
        </w:trPr>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基层组织建设活动和公共服务运行经费</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龚雪萍18008277082</w:t>
            </w:r>
          </w:p>
        </w:tc>
      </w:tr>
      <w:tr>
        <w:tblPrEx>
          <w:tblLayout w:type="fixed"/>
          <w:tblCellMar>
            <w:top w:w="0" w:type="dxa"/>
            <w:left w:w="0" w:type="dxa"/>
            <w:bottom w:w="0" w:type="dxa"/>
            <w:right w:w="0" w:type="dxa"/>
          </w:tblCellMar>
        </w:tblPrEx>
        <w:trPr>
          <w:trHeight w:val="90" w:hRule="atLeast"/>
        </w:trPr>
        <w:tc>
          <w:tcPr>
            <w:tcW w:w="1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通江县长坪镇人民政府</w:t>
            </w:r>
          </w:p>
        </w:tc>
      </w:tr>
      <w:tr>
        <w:tblPrEx>
          <w:tblLayout w:type="fixed"/>
          <w:tblCellMar>
            <w:top w:w="0" w:type="dxa"/>
            <w:left w:w="0" w:type="dxa"/>
            <w:bottom w:w="0" w:type="dxa"/>
            <w:right w:w="0" w:type="dxa"/>
          </w:tblCellMar>
        </w:tblPrEx>
        <w:trPr>
          <w:trHeight w:val="90" w:hRule="atLeast"/>
        </w:trPr>
        <w:tc>
          <w:tcPr>
            <w:tcW w:w="1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90" w:hRule="atLeast"/>
        </w:trPr>
        <w:tc>
          <w:tcPr>
            <w:tcW w:w="1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1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4"/>
                <w:lang w:val="en-US" w:eastAsia="zh-CN" w:bidi="ar"/>
              </w:rPr>
              <w:t xml:space="preserve"> 其中：本年财政拨款</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0" w:hRule="atLeast"/>
        </w:trPr>
        <w:tc>
          <w:tcPr>
            <w:tcW w:w="1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4"/>
                <w:lang w:val="en-US" w:eastAsia="zh-CN" w:bidi="ar"/>
              </w:rPr>
              <w:t xml:space="preserve">       其他资金</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9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4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90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提高党员干部的整体素质，党员干部带好头，更有利于工作的开展，改善办公环境，提高工作效率，更好地为群众办好事办实事。</w:t>
            </w:r>
          </w:p>
        </w:tc>
        <w:tc>
          <w:tcPr>
            <w:tcW w:w="390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提高党员干部的整体素质，党员干部带好头，更有利于工作的开展，改善办公环境，提高工作效率，更好地为群众办好事办实事。</w:t>
            </w:r>
          </w:p>
        </w:tc>
      </w:tr>
      <w:tr>
        <w:tblPrEx>
          <w:tblLayout w:type="fixed"/>
          <w:tblCellMar>
            <w:top w:w="0" w:type="dxa"/>
            <w:left w:w="0" w:type="dxa"/>
            <w:bottom w:w="0" w:type="dxa"/>
            <w:right w:w="0" w:type="dxa"/>
          </w:tblCellMar>
        </w:tblPrEx>
        <w:trPr>
          <w:trHeight w:val="90"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基层阵地建设面积（≥**平方米/村）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r>
              <w:rPr>
                <w:rFonts w:ascii="宋体" w:hAnsi="宋体" w:eastAsia="宋体" w:cs="宋体"/>
                <w:i w:val="0"/>
                <w:color w:val="000000"/>
                <w:kern w:val="0"/>
                <w:sz w:val="20"/>
                <w:szCs w:val="20"/>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基层阵地建设保障人数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190人</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建设面积达标率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阵地使用年限</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50年</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阵地建设成本</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≤80万元</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8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对经济的贡献值</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村社干部办公效率提升率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能耗下降率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水电能源下降率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项目持续发挥作用的期限</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基层组织干部满意度</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3"/>
        <w:tblW w:w="9000" w:type="dxa"/>
        <w:tblInd w:w="0" w:type="dxa"/>
        <w:shd w:val="clear" w:color="auto" w:fill="auto"/>
        <w:tblLayout w:type="fixed"/>
        <w:tblCellMar>
          <w:top w:w="0" w:type="dxa"/>
          <w:left w:w="0" w:type="dxa"/>
          <w:bottom w:w="0" w:type="dxa"/>
          <w:right w:w="0" w:type="dxa"/>
        </w:tblCellMar>
      </w:tblPr>
      <w:tblGrid>
        <w:gridCol w:w="432"/>
        <w:gridCol w:w="566"/>
        <w:gridCol w:w="768"/>
        <w:gridCol w:w="2913"/>
        <w:gridCol w:w="514"/>
        <w:gridCol w:w="489"/>
        <w:gridCol w:w="933"/>
        <w:gridCol w:w="880"/>
        <w:gridCol w:w="493"/>
        <w:gridCol w:w="681"/>
        <w:gridCol w:w="331"/>
      </w:tblGrid>
      <w:tr>
        <w:tblPrEx>
          <w:shd w:val="clear" w:color="auto" w:fill="auto"/>
          <w:tblLayout w:type="fixed"/>
          <w:tblCellMar>
            <w:top w:w="0" w:type="dxa"/>
            <w:left w:w="0" w:type="dxa"/>
            <w:bottom w:w="0" w:type="dxa"/>
            <w:right w:w="0" w:type="dxa"/>
          </w:tblCellMar>
        </w:tblPrEx>
        <w:trPr>
          <w:trHeight w:val="905" w:hRule="atLeast"/>
        </w:trPr>
        <w:tc>
          <w:tcPr>
            <w:tcW w:w="90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Layout w:type="fixed"/>
          <w:tblCellMar>
            <w:top w:w="0" w:type="dxa"/>
            <w:left w:w="0" w:type="dxa"/>
            <w:bottom w:w="0" w:type="dxa"/>
            <w:right w:w="0" w:type="dxa"/>
          </w:tblCellMar>
        </w:tblPrEx>
        <w:trPr>
          <w:trHeight w:val="463" w:hRule="atLeast"/>
        </w:trPr>
        <w:tc>
          <w:tcPr>
            <w:tcW w:w="900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919" w:hRule="atLeast"/>
        </w:trPr>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9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生猪调出大县奖励资金</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龚雪萍18008277082</w:t>
            </w:r>
          </w:p>
        </w:tc>
      </w:tr>
      <w:tr>
        <w:tblPrEx>
          <w:tblLayout w:type="fixed"/>
          <w:tblCellMar>
            <w:top w:w="0" w:type="dxa"/>
            <w:left w:w="0" w:type="dxa"/>
            <w:bottom w:w="0" w:type="dxa"/>
            <w:right w:w="0" w:type="dxa"/>
          </w:tblCellMar>
        </w:tblPrEx>
        <w:trPr>
          <w:trHeight w:val="477" w:hRule="atLeast"/>
        </w:trPr>
        <w:tc>
          <w:tcPr>
            <w:tcW w:w="17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9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通江县农业农村局</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通江县长坪镇人民政府</w:t>
            </w:r>
          </w:p>
        </w:tc>
      </w:tr>
      <w:tr>
        <w:tblPrEx>
          <w:tblLayout w:type="fixed"/>
          <w:tblCellMar>
            <w:top w:w="0" w:type="dxa"/>
            <w:left w:w="0" w:type="dxa"/>
            <w:bottom w:w="0" w:type="dxa"/>
            <w:right w:w="0" w:type="dxa"/>
          </w:tblCellMar>
        </w:tblPrEx>
        <w:trPr>
          <w:trHeight w:val="674" w:hRule="atLeast"/>
        </w:trPr>
        <w:tc>
          <w:tcPr>
            <w:tcW w:w="17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477" w:hRule="atLeast"/>
        </w:trPr>
        <w:tc>
          <w:tcPr>
            <w:tcW w:w="17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477" w:hRule="atLeast"/>
        </w:trPr>
        <w:tc>
          <w:tcPr>
            <w:tcW w:w="17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477" w:hRule="atLeast"/>
        </w:trPr>
        <w:tc>
          <w:tcPr>
            <w:tcW w:w="17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477"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178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根据川财建〔2020〕49号文件，下达2020年生猪调出大县奖励资金，用于生猪生产流通和产业发展。</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根据川财建〔2020〕49号文件，下达2020年生猪调出大县奖励资金，用于生猪生产流通和产业发展。完成了预定目标任务。</w:t>
            </w:r>
          </w:p>
        </w:tc>
      </w:tr>
      <w:tr>
        <w:tblPrEx>
          <w:tblLayout w:type="fixed"/>
          <w:tblCellMar>
            <w:top w:w="0" w:type="dxa"/>
            <w:left w:w="0" w:type="dxa"/>
            <w:bottom w:w="0" w:type="dxa"/>
            <w:right w:w="0" w:type="dxa"/>
          </w:tblCellMar>
        </w:tblPrEx>
        <w:trPr>
          <w:trHeight w:val="1187"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生猪调出大县奖励资金涉及村居</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14个村</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14个村</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生猪养殖户</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50户</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2"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及时兑现率</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资金兑现时间</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2021年12月底</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2021年12月底</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扶持粪污处理设施建设</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5个</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5个</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2"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9"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增加养殖户经济收入</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保障生猪产业持续健康发展</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“以奖代补”财政支持生猪健康发展</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8"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7"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1" w:hRule="atLeast"/>
        </w:trPr>
        <w:tc>
          <w:tcPr>
            <w:tcW w:w="51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2220" w:tblpY="-11804"/>
        <w:tblOverlap w:val="never"/>
        <w:tblW w:w="8620" w:type="dxa"/>
        <w:tblInd w:w="0" w:type="dxa"/>
        <w:shd w:val="clear" w:color="auto" w:fill="auto"/>
        <w:tblLayout w:type="fixed"/>
        <w:tblCellMar>
          <w:top w:w="0" w:type="dxa"/>
          <w:left w:w="0" w:type="dxa"/>
          <w:bottom w:w="0" w:type="dxa"/>
          <w:right w:w="0" w:type="dxa"/>
        </w:tblCellMar>
      </w:tblPr>
      <w:tblGrid>
        <w:gridCol w:w="342"/>
        <w:gridCol w:w="621"/>
        <w:gridCol w:w="962"/>
        <w:gridCol w:w="1816"/>
        <w:gridCol w:w="498"/>
        <w:gridCol w:w="671"/>
        <w:gridCol w:w="1073"/>
        <w:gridCol w:w="686"/>
        <w:gridCol w:w="558"/>
        <w:gridCol w:w="630"/>
        <w:gridCol w:w="763"/>
      </w:tblGrid>
      <w:tr>
        <w:tblPrEx>
          <w:shd w:val="clear" w:color="auto" w:fill="auto"/>
          <w:tblLayout w:type="fixed"/>
          <w:tblCellMar>
            <w:top w:w="0" w:type="dxa"/>
            <w:left w:w="0" w:type="dxa"/>
            <w:bottom w:w="0" w:type="dxa"/>
            <w:right w:w="0" w:type="dxa"/>
          </w:tblCellMar>
        </w:tblPrEx>
        <w:trPr>
          <w:trHeight w:val="188" w:hRule="atLeast"/>
        </w:trPr>
        <w:tc>
          <w:tcPr>
            <w:tcW w:w="862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绩效目标自评表 </w:t>
            </w:r>
          </w:p>
        </w:tc>
      </w:tr>
      <w:tr>
        <w:tblPrEx>
          <w:tblLayout w:type="fixed"/>
          <w:tblCellMar>
            <w:top w:w="0" w:type="dxa"/>
            <w:left w:w="0" w:type="dxa"/>
            <w:bottom w:w="0" w:type="dxa"/>
            <w:right w:w="0" w:type="dxa"/>
          </w:tblCellMar>
        </w:tblPrEx>
        <w:trPr>
          <w:trHeight w:val="98" w:hRule="atLeast"/>
        </w:trPr>
        <w:tc>
          <w:tcPr>
            <w:tcW w:w="862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194" w:hRule="atLeast"/>
        </w:trPr>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公益性岗位及就业创业项目</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6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龚雪萍18008277082</w:t>
            </w:r>
          </w:p>
        </w:tc>
      </w:tr>
      <w:tr>
        <w:tblPrEx>
          <w:tblLayout w:type="fixed"/>
          <w:tblCellMar>
            <w:top w:w="0" w:type="dxa"/>
            <w:left w:w="0" w:type="dxa"/>
            <w:bottom w:w="0" w:type="dxa"/>
            <w:right w:w="0" w:type="dxa"/>
          </w:tblCellMar>
        </w:tblPrEx>
        <w:trPr>
          <w:trHeight w:val="104" w:hRule="atLeast"/>
        </w:trPr>
        <w:tc>
          <w:tcPr>
            <w:tcW w:w="1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县社保局</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通江县长坪镇人民政府</w:t>
            </w:r>
          </w:p>
        </w:tc>
      </w:tr>
      <w:tr>
        <w:tblPrEx>
          <w:tblLayout w:type="fixed"/>
          <w:tblCellMar>
            <w:top w:w="0" w:type="dxa"/>
            <w:left w:w="0" w:type="dxa"/>
            <w:bottom w:w="0" w:type="dxa"/>
            <w:right w:w="0" w:type="dxa"/>
          </w:tblCellMar>
        </w:tblPrEx>
        <w:trPr>
          <w:trHeight w:val="194" w:hRule="atLeast"/>
        </w:trPr>
        <w:tc>
          <w:tcPr>
            <w:tcW w:w="19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104" w:hRule="atLeast"/>
        </w:trPr>
        <w:tc>
          <w:tcPr>
            <w:tcW w:w="1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104" w:hRule="atLeast"/>
        </w:trPr>
        <w:tc>
          <w:tcPr>
            <w:tcW w:w="1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04" w:hRule="atLeast"/>
        </w:trPr>
        <w:tc>
          <w:tcPr>
            <w:tcW w:w="1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104"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5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37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367"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拓展就业渠道，缓解就业矛盾，鼓励和推动就业</w:t>
            </w:r>
          </w:p>
        </w:tc>
        <w:tc>
          <w:tcPr>
            <w:tcW w:w="37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拓展就业渠道，缓解就业矛盾，鼓励和推动就业</w:t>
            </w:r>
          </w:p>
        </w:tc>
      </w:tr>
      <w:tr>
        <w:tblPrEx>
          <w:tblLayout w:type="fixed"/>
          <w:tblCellMar>
            <w:top w:w="0" w:type="dxa"/>
            <w:left w:w="0" w:type="dxa"/>
            <w:bottom w:w="0" w:type="dxa"/>
            <w:right w:w="0" w:type="dxa"/>
          </w:tblCellMar>
        </w:tblPrEx>
        <w:trPr>
          <w:trHeight w:val="194"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10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享受公益性岗位补贴人数</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公益性岗位补贴人均标准</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≥200元/人/月</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公益性岗位补贴发放准确率</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资金在规定时间内下达率</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补贴资金在规定时间内到位率</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Layout w:type="fixed"/>
          <w:tblCellMar>
            <w:top w:w="0" w:type="dxa"/>
            <w:left w:w="0" w:type="dxa"/>
            <w:bottom w:w="0" w:type="dxa"/>
            <w:right w:w="0" w:type="dxa"/>
          </w:tblCellMar>
        </w:tblPrEx>
        <w:trPr>
          <w:trHeight w:val="19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效益指标（30分）</w:t>
            </w:r>
          </w:p>
        </w:tc>
        <w:tc>
          <w:tcPr>
            <w:tcW w:w="9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发放公益性岗位补贴金额</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建档立卡贫困劳动力就业人数</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帮助就业人数</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74"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公共就业服务满意度（≥**%）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9" w:hRule="atLeast"/>
        </w:trPr>
        <w:tc>
          <w:tcPr>
            <w:tcW w:w="42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hint="eastAsia" w:ascii="楷体_GB2312" w:hAnsi="楷体_GB2312" w:eastAsia="楷体_GB2312" w:cs="楷体_GB2312"/>
          <w:sz w:val="32"/>
          <w:szCs w:val="32"/>
        </w:rPr>
      </w:pPr>
    </w:p>
    <w:p>
      <w:pPr>
        <w:numPr>
          <w:ilvl w:val="0"/>
          <w:numId w:val="5"/>
        </w:numPr>
        <w:spacing w:line="600" w:lineRule="exact"/>
        <w:ind w:firstLine="660" w:firstLineChars="150"/>
        <w:jc w:val="center"/>
        <w:outlineLvl w:val="0"/>
        <w:rPr>
          <w:rStyle w:val="25"/>
          <w:rFonts w:ascii="黑体" w:hAnsi="黑体" w:eastAsia="黑体"/>
          <w:b w:val="0"/>
        </w:rPr>
      </w:pPr>
      <w:bookmarkStart w:id="88" w:name="_Toc15377225"/>
      <w:bookmarkStart w:id="89" w:name="_Toc15396613"/>
      <w:bookmarkStart w:id="90" w:name="_Toc26496"/>
      <w:r>
        <w:rPr>
          <w:rFonts w:hint="eastAsia" w:ascii="黑体" w:hAnsi="黑体" w:eastAsia="黑体"/>
          <w:color w:val="000000"/>
          <w:sz w:val="44"/>
          <w:szCs w:val="44"/>
        </w:rPr>
        <w:t>名</w:t>
      </w:r>
      <w:r>
        <w:rPr>
          <w:rStyle w:val="25"/>
          <w:rFonts w:hint="eastAsia" w:ascii="黑体" w:hAnsi="黑体" w:eastAsia="黑体"/>
          <w:b w:val="0"/>
        </w:rPr>
        <w:t>词解释</w:t>
      </w:r>
      <w:bookmarkEnd w:id="88"/>
      <w:bookmarkEnd w:id="89"/>
      <w:bookmarkEnd w:id="9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人大事务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w:t>
      </w:r>
      <w:r>
        <w:rPr>
          <w:rFonts w:hint="eastAsia" w:ascii="仿宋_GB2312" w:eastAsia="仿宋_GB2312"/>
          <w:color w:val="000000"/>
          <w:sz w:val="32"/>
          <w:szCs w:val="32"/>
          <w:lang w:val="en-US" w:eastAsia="zh-CN"/>
        </w:rPr>
        <w:t>外交管理事务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w:t>
      </w:r>
      <w:r>
        <w:rPr>
          <w:rFonts w:hint="eastAsia" w:ascii="仿宋_GB2312" w:eastAsia="仿宋_GB2312"/>
          <w:color w:val="000000"/>
          <w:sz w:val="32"/>
          <w:szCs w:val="32"/>
          <w:lang w:val="en-US" w:eastAsia="zh-CN"/>
        </w:rPr>
        <w:t>国家安全</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机关服务</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为行政单位（包括实行公务员管理的事业单位）提供后勤服务的各类后期服务中心、医务室等附属事业单位的支出。其他事业单位的支出，凡单独设置了项级科目的，在单独设置的项级科目中反映。未单独设置项级科目的，在“其他”项级科目中反映</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普通教育</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小学教育</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反映各部门举办的小学教育支出。政府各部门对社会中介组织等举办的小学的资助，如各类捐赠、补贴等，也在本科目中反映</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w:t>
      </w:r>
      <w:r>
        <w:rPr>
          <w:rFonts w:hint="eastAsia" w:ascii="仿宋_GB2312" w:eastAsia="仿宋_GB2312"/>
          <w:color w:val="000000"/>
          <w:sz w:val="32"/>
          <w:szCs w:val="32"/>
          <w:lang w:val="en-US" w:eastAsia="zh-CN"/>
        </w:rPr>
        <w:t>科学技术管理事务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广播</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其他文化体育与传媒支出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反映除行政运行、一般行政管理事务、机关服务、广播、电视、其他广播电视支出项目以外其他文化体育与传媒方面的支出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民政管理事务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镇卫生院</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反映用于镇卫生院的支出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w:t>
      </w:r>
      <w:r>
        <w:rPr>
          <w:rFonts w:hint="eastAsia" w:ascii="仿宋_GB2312" w:eastAsia="仿宋_GB2312"/>
          <w:color w:val="000000"/>
          <w:sz w:val="32"/>
          <w:szCs w:val="32"/>
          <w:lang w:val="en-US" w:eastAsia="zh-CN"/>
        </w:rPr>
        <w:t>自然生态保护</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农村环境保护</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用于农村环境保护方面的支出。有关事项包括：农村环境综合整治，如生活垃圾、污水处理，农村饮用水源地检测与保护等；小城镇环境保护，如小城镇环境保护能力建设及环境基础设施建设，环境优美镇及生态村创建等；农用化学品（化肥、农药、农膜等）污染防治、畜禽养殖污染防治、土壤污染防治；农产品产地环境监测与监管，有机食品基地建设与管理，秸秆等农业废弃物综合利用；农村环境保护能力建设、宣教、试点示范等</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w:t>
      </w:r>
      <w:r>
        <w:rPr>
          <w:rFonts w:hint="eastAsia" w:ascii="仿宋_GB2312" w:eastAsia="仿宋_GB2312"/>
          <w:color w:val="000000"/>
          <w:sz w:val="32"/>
          <w:szCs w:val="32"/>
          <w:lang w:eastAsia="zh-CN"/>
        </w:rPr>
        <w:t>镇</w:t>
      </w:r>
      <w:r>
        <w:rPr>
          <w:rFonts w:hint="eastAsia" w:ascii="仿宋_GB2312" w:eastAsia="仿宋_GB2312"/>
          <w:color w:val="000000"/>
          <w:sz w:val="32"/>
          <w:szCs w:val="32"/>
        </w:rPr>
        <w:t>社区（类）</w:t>
      </w:r>
      <w:r>
        <w:rPr>
          <w:rFonts w:hint="eastAsia" w:ascii="仿宋_GB2312" w:eastAsia="仿宋_GB2312"/>
          <w:color w:val="000000"/>
          <w:sz w:val="32"/>
          <w:szCs w:val="32"/>
          <w:lang w:val="en-US" w:eastAsia="zh-CN"/>
        </w:rPr>
        <w:t>其他城镇社区支出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其他城镇社区支出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反映除上述项目以外其他用于城镇社区方面的支出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w:t>
      </w:r>
      <w:r>
        <w:rPr>
          <w:rFonts w:hint="eastAsia" w:ascii="仿宋_GB2312" w:eastAsia="仿宋_GB2312"/>
          <w:color w:val="000000"/>
          <w:sz w:val="32"/>
          <w:szCs w:val="32"/>
          <w:lang w:val="en-US" w:eastAsia="zh-CN"/>
        </w:rPr>
        <w:t>农业</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w:t>
      </w:r>
      <w:r>
        <w:rPr>
          <w:rFonts w:hint="eastAsia" w:ascii="仿宋_GB2312" w:eastAsia="仿宋_GB2312"/>
          <w:color w:val="000000"/>
          <w:sz w:val="32"/>
          <w:szCs w:val="32"/>
          <w:lang w:val="en-US" w:eastAsia="zh-CN"/>
        </w:rPr>
        <w:t>公路运输支出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反映公路运输管理支出和公路路政管理支出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商业服务业（类）</w:t>
      </w:r>
      <w:r>
        <w:rPr>
          <w:rFonts w:hint="eastAsia" w:ascii="仿宋_GB2312" w:eastAsia="仿宋_GB2312"/>
          <w:color w:val="000000"/>
          <w:sz w:val="32"/>
          <w:szCs w:val="32"/>
          <w:lang w:val="en-US" w:eastAsia="zh-CN"/>
        </w:rPr>
        <w:t>商业流通事务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其他商业流通事务支出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反映除上述项目以外其他用于商业流通事务方面的支出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反映行政事业单位按人力资源和社会保障部、财政部规定的基本工资和津补贴以及规定比例为职工缴纳的住房公积金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lang w:val="en-US" w:eastAsia="zh-CN"/>
        </w:rPr>
        <w:t>其他支出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彩票公益金安排的支出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用于扶贫的彩票公益金支出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反映除上述项目以外其他不能划分到具体功能科目中的支出项目</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 w:hAnsi="仿宋" w:eastAsia="仿宋"/>
          <w:b/>
          <w:color w:val="000000"/>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91" w:name="_Toc15396614"/>
      <w:bookmarkStart w:id="92"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bookmarkStart w:id="93" w:name="_Toc5905"/>
      <w:r>
        <w:rPr>
          <w:rFonts w:hint="eastAsia" w:ascii="黑体" w:hAnsi="黑体" w:eastAsia="黑体"/>
          <w:color w:val="000000"/>
          <w:sz w:val="44"/>
          <w:szCs w:val="44"/>
        </w:rPr>
        <w:t>第</w:t>
      </w:r>
      <w:r>
        <w:rPr>
          <w:rStyle w:val="25"/>
          <w:rFonts w:hint="eastAsia" w:ascii="黑体" w:hAnsi="黑体" w:eastAsia="黑体"/>
          <w:b w:val="0"/>
        </w:rPr>
        <w:t>四部分 附件</w:t>
      </w:r>
      <w:bookmarkEnd w:id="91"/>
      <w:bookmarkEnd w:id="93"/>
    </w:p>
    <w:p>
      <w:pPr>
        <w:pStyle w:val="3"/>
        <w:bidi w:val="0"/>
        <w:rPr>
          <w:rFonts w:hint="eastAsia" w:ascii="仿宋" w:hAnsi="仿宋" w:eastAsia="仿宋" w:cs="仿宋"/>
          <w:b w:val="0"/>
          <w:bCs w:val="0"/>
        </w:rPr>
      </w:pPr>
      <w:bookmarkStart w:id="94" w:name="_Toc7797"/>
      <w:r>
        <w:rPr>
          <w:rFonts w:hint="eastAsia" w:ascii="仿宋" w:hAnsi="仿宋" w:eastAsia="仿宋" w:cs="仿宋"/>
          <w:b w:val="0"/>
          <w:bCs w:val="0"/>
        </w:rPr>
        <w:t>附件1</w:t>
      </w:r>
      <w:bookmarkEnd w:id="94"/>
    </w:p>
    <w:p>
      <w:pPr>
        <w:spacing w:line="600" w:lineRule="exact"/>
        <w:jc w:val="left"/>
        <w:outlineLvl w:val="0"/>
        <w:rPr>
          <w:rFonts w:hint="eastAsia" w:ascii="黑体" w:hAnsi="黑体" w:eastAsia="黑体" w:cs="黑体"/>
          <w:sz w:val="32"/>
          <w:szCs w:val="32"/>
        </w:rPr>
      </w:pPr>
    </w:p>
    <w:p>
      <w:pPr>
        <w:spacing w:line="600" w:lineRule="exact"/>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eastAsia="zh-CN"/>
        </w:rPr>
        <w:t>通江县长坪镇人民政府</w:t>
      </w:r>
      <w:r>
        <w:rPr>
          <w:rFonts w:hint="eastAsia" w:ascii="宋体" w:hAnsi="宋体" w:eastAsia="宋体" w:cs="宋体"/>
          <w:b/>
          <w:bCs/>
          <w:color w:val="000000"/>
          <w:kern w:val="0"/>
          <w:sz w:val="44"/>
          <w:szCs w:val="44"/>
        </w:rPr>
        <w:t>2020年部门</w:t>
      </w:r>
    </w:p>
    <w:p>
      <w:pPr>
        <w:spacing w:line="600" w:lineRule="exact"/>
        <w:jc w:val="center"/>
        <w:rPr>
          <w:rFonts w:hint="eastAsia" w:ascii="宋体" w:hAnsi="宋体" w:eastAsia="宋体" w:cs="宋体"/>
          <w:b/>
          <w:bCs/>
          <w:color w:val="000000"/>
          <w:kern w:val="0"/>
          <w:sz w:val="44"/>
          <w:szCs w:val="44"/>
          <w:shd w:val="clear" w:color="auto" w:fill="FFFFFF"/>
        </w:rPr>
      </w:pPr>
      <w:r>
        <w:rPr>
          <w:rFonts w:hint="eastAsia" w:ascii="宋体" w:hAnsi="宋体" w:eastAsia="宋体" w:cs="宋体"/>
          <w:b/>
          <w:bCs/>
          <w:color w:val="000000"/>
          <w:kern w:val="0"/>
          <w:sz w:val="44"/>
          <w:szCs w:val="44"/>
          <w:lang w:val="zh-CN"/>
        </w:rPr>
        <w:t>整体支出绩效评价报告</w:t>
      </w:r>
    </w:p>
    <w:p>
      <w:pPr>
        <w:pStyle w:val="23"/>
        <w:keepNext w:val="0"/>
        <w:keepLines w:val="0"/>
        <w:pageBreakBefore w:val="0"/>
        <w:widowControl w:val="0"/>
        <w:kinsoku/>
        <w:wordWrap/>
        <w:overflowPunct/>
        <w:topLinePunct w:val="0"/>
        <w:bidi w:val="0"/>
        <w:adjustRightInd w:val="0"/>
        <w:spacing w:line="560" w:lineRule="exact"/>
        <w:textAlignment w:val="auto"/>
        <w:outlineLvl w:val="9"/>
        <w:rPr>
          <w:rFonts w:hint="eastAsia" w:ascii="仿宋_GB2312" w:hAnsi="宋体" w:eastAsia="仿宋_GB2312" w:cs="Times New Roman"/>
          <w:kern w:val="2"/>
          <w:sz w:val="32"/>
          <w:szCs w:val="32"/>
          <w:lang w:val="en-US" w:eastAsia="zh-CN" w:bidi="ar-SA"/>
        </w:rPr>
      </w:pPr>
    </w:p>
    <w:p>
      <w:pPr>
        <w:keepNext w:val="0"/>
        <w:keepLines w:val="0"/>
        <w:pageBreakBefore w:val="0"/>
        <w:widowControl w:val="0"/>
        <w:numPr>
          <w:ilvl w:val="0"/>
          <w:numId w:val="6"/>
        </w:numPr>
        <w:kinsoku/>
        <w:wordWrap/>
        <w:overflowPunct/>
        <w:topLinePunct w:val="0"/>
        <w:bidi w:val="0"/>
        <w:adjustRightInd w:val="0"/>
        <w:snapToGrid w:val="0"/>
        <w:spacing w:line="360" w:lineRule="auto"/>
        <w:ind w:firstLine="640" w:firstLineChars="200"/>
        <w:textAlignment w:val="auto"/>
        <w:outlineLvl w:val="9"/>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（一）</w:t>
      </w:r>
      <w:r>
        <w:rPr>
          <w:rFonts w:hint="eastAsia" w:ascii="仿宋" w:hAnsi="仿宋" w:eastAsia="仿宋" w:cs="仿宋"/>
          <w:sz w:val="32"/>
          <w:szCs w:val="32"/>
          <w:lang w:val="zh-CN"/>
        </w:rPr>
        <w:t>机构组成。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长坪</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人民政府属行政区划调整乡镇（由原长坪镇大兴乡合并）。</w:t>
      </w:r>
      <w:r>
        <w:rPr>
          <w:rFonts w:hint="eastAsia" w:ascii="仿宋" w:hAnsi="仿宋" w:eastAsia="仿宋" w:cs="仿宋"/>
          <w:sz w:val="32"/>
          <w:szCs w:val="32"/>
        </w:rPr>
        <w:t>政府内设党政办、民政办、社保办、卫计站、林业站、扶贫办、水利站、农业站、文化站、财政所、交管站等部门；</w:t>
      </w:r>
      <w:r>
        <w:rPr>
          <w:rFonts w:hint="eastAsia" w:ascii="仿宋" w:hAnsi="仿宋" w:eastAsia="仿宋" w:cs="仿宋"/>
          <w:sz w:val="32"/>
          <w:szCs w:val="32"/>
          <w:lang w:eastAsia="zh-CN"/>
        </w:rPr>
        <w:t>下属二级单位通江县长坪镇</w:t>
      </w:r>
      <w:r>
        <w:rPr>
          <w:rFonts w:hint="eastAsia" w:ascii="仿宋" w:hAnsi="仿宋" w:eastAsia="仿宋" w:cs="仿宋"/>
          <w:sz w:val="32"/>
          <w:szCs w:val="32"/>
          <w:lang w:val="en-US" w:eastAsia="zh-CN"/>
        </w:rPr>
        <w:t>新文</w:t>
      </w:r>
      <w:r>
        <w:rPr>
          <w:rFonts w:hint="eastAsia" w:ascii="仿宋" w:hAnsi="仿宋" w:eastAsia="仿宋" w:cs="仿宋"/>
          <w:sz w:val="32"/>
          <w:szCs w:val="32"/>
          <w:lang w:eastAsia="zh-CN"/>
        </w:rPr>
        <w:t>小学、通江县长坪镇卫生院、通江县长坪镇中心小学。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（二）机构职能。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长坪镇</w:t>
      </w:r>
      <w:r>
        <w:rPr>
          <w:rFonts w:hint="eastAsia" w:ascii="仿宋" w:hAnsi="仿宋" w:eastAsia="仿宋" w:cs="仿宋"/>
          <w:sz w:val="32"/>
          <w:szCs w:val="32"/>
        </w:rPr>
        <w:t>人民政府主要职责是：落实国家政策，严格依法行政，发挥经济管理职能，加强政策引导，制定发展规划，服务市场主体和营造发展环境，搞好市场监管，大力促进社会事业发展，发展</w:t>
      </w:r>
      <w:r>
        <w:rPr>
          <w:rFonts w:hint="eastAsia" w:ascii="仿宋" w:hAnsi="仿宋" w:eastAsia="仿宋" w:cs="仿宋"/>
          <w:sz w:val="32"/>
          <w:szCs w:val="32"/>
          <w:lang w:eastAsia="zh-CN"/>
        </w:rPr>
        <w:t>乡村</w:t>
      </w:r>
      <w:r>
        <w:rPr>
          <w:rFonts w:hint="eastAsia" w:ascii="仿宋" w:hAnsi="仿宋" w:eastAsia="仿宋" w:cs="仿宋"/>
          <w:sz w:val="32"/>
          <w:szCs w:val="32"/>
        </w:rPr>
        <w:t>经济、文化和社会事业，提供公共服务，维护社会稳定，构建社会主义和谐社会。</w:t>
      </w:r>
    </w:p>
    <w:p>
      <w:pPr>
        <w:widowControl/>
        <w:numPr>
          <w:ilvl w:val="0"/>
          <w:numId w:val="7"/>
        </w:numPr>
        <w:tabs>
          <w:tab w:val="left" w:pos="483"/>
          <w:tab w:val="clear" w:pos="312"/>
        </w:tabs>
        <w:spacing w:after="15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人员概况</w:t>
      </w:r>
    </w:p>
    <w:p>
      <w:pPr>
        <w:widowControl/>
        <w:numPr>
          <w:ilvl w:val="0"/>
          <w:numId w:val="0"/>
        </w:numPr>
        <w:tabs>
          <w:tab w:val="left" w:pos="483"/>
        </w:tabs>
        <w:spacing w:after="15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年末实有在职人员</w:t>
      </w:r>
      <w:r>
        <w:rPr>
          <w:rFonts w:hint="eastAsia" w:ascii="仿宋" w:hAnsi="仿宋" w:eastAsia="仿宋" w:cs="仿宋"/>
          <w:sz w:val="32"/>
          <w:szCs w:val="32"/>
          <w:lang w:val="en-US" w:eastAsia="zh-CN"/>
        </w:rPr>
        <w:t>83</w:t>
      </w:r>
      <w:r>
        <w:rPr>
          <w:rFonts w:hint="eastAsia" w:ascii="仿宋" w:hAnsi="仿宋" w:eastAsia="仿宋" w:cs="仿宋"/>
          <w:sz w:val="32"/>
          <w:szCs w:val="32"/>
          <w:lang w:eastAsia="zh-CN"/>
        </w:rPr>
        <w:t>人。</w:t>
      </w:r>
    </w:p>
    <w:p>
      <w:pPr>
        <w:keepNext w:val="0"/>
        <w:keepLines w:val="0"/>
        <w:pageBreakBefore w:val="0"/>
        <w:widowControl w:val="0"/>
        <w:kinsoku/>
        <w:wordWrap/>
        <w:overflowPunct/>
        <w:topLinePunct w:val="0"/>
        <w:bidi w:val="0"/>
        <w:adjustRightInd w:val="0"/>
        <w:snapToGrid w:val="0"/>
        <w:spacing w:line="360" w:lineRule="auto"/>
        <w:ind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部门财政</w:t>
      </w:r>
      <w:r>
        <w:rPr>
          <w:rFonts w:hint="eastAsia" w:ascii="仿宋" w:hAnsi="仿宋" w:eastAsia="仿宋" w:cs="仿宋"/>
          <w:sz w:val="32"/>
          <w:szCs w:val="32"/>
        </w:rPr>
        <w:t>资金</w:t>
      </w:r>
      <w:r>
        <w:rPr>
          <w:rFonts w:hint="eastAsia" w:ascii="仿宋" w:hAnsi="仿宋" w:eastAsia="仿宋" w:cs="仿宋"/>
          <w:sz w:val="32"/>
          <w:szCs w:val="32"/>
          <w:lang w:eastAsia="zh-CN"/>
        </w:rPr>
        <w:t>收支</w:t>
      </w:r>
      <w:r>
        <w:rPr>
          <w:rFonts w:hint="eastAsia" w:ascii="仿宋" w:hAnsi="仿宋" w:eastAsia="仿宋" w:cs="仿宋"/>
          <w:sz w:val="32"/>
          <w:szCs w:val="32"/>
        </w:rPr>
        <w:t>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年我镇财政一般公共预算财政拨款收入</w:t>
      </w:r>
      <w:r>
        <w:rPr>
          <w:rFonts w:hint="eastAsia" w:ascii="仿宋" w:hAnsi="仿宋" w:eastAsia="仿宋" w:cs="仿宋"/>
          <w:sz w:val="32"/>
          <w:szCs w:val="32"/>
          <w:lang w:val="en-US" w:eastAsia="zh-CN"/>
        </w:rPr>
        <w:t>2344.6</w:t>
      </w:r>
      <w:r>
        <w:rPr>
          <w:rFonts w:hint="eastAsia" w:ascii="仿宋" w:hAnsi="仿宋" w:eastAsia="仿宋" w:cs="仿宋"/>
          <w:sz w:val="32"/>
          <w:szCs w:val="32"/>
          <w:lang w:val="zh-CN"/>
        </w:rPr>
        <w:t>万元，事业收入</w:t>
      </w:r>
      <w:r>
        <w:rPr>
          <w:rFonts w:hint="eastAsia" w:ascii="仿宋" w:hAnsi="仿宋" w:eastAsia="仿宋" w:cs="仿宋"/>
          <w:sz w:val="32"/>
          <w:szCs w:val="32"/>
          <w:lang w:val="en-US" w:eastAsia="zh-CN"/>
        </w:rPr>
        <w:t>176.8万元，其他收入36.07万元。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（二）部门财政资金支出情况。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2020年我镇财政支出2344.6万元，其中</w:t>
      </w:r>
      <w:r>
        <w:rPr>
          <w:rFonts w:hint="eastAsia" w:ascii="仿宋" w:hAnsi="仿宋" w:eastAsia="仿宋" w:cs="仿宋"/>
          <w:sz w:val="32"/>
          <w:szCs w:val="32"/>
          <w:lang w:val="zh-CN"/>
        </w:rPr>
        <w:t>用于干部职工工资福利</w:t>
      </w:r>
      <w:r>
        <w:rPr>
          <w:rFonts w:hint="eastAsia" w:ascii="仿宋" w:hAnsi="仿宋" w:eastAsia="仿宋" w:cs="仿宋"/>
          <w:sz w:val="32"/>
          <w:szCs w:val="32"/>
          <w:lang w:val="en-US" w:eastAsia="zh-CN"/>
        </w:rPr>
        <w:t>1216.51</w:t>
      </w:r>
      <w:r>
        <w:rPr>
          <w:rFonts w:hint="eastAsia" w:ascii="仿宋" w:hAnsi="仿宋" w:eastAsia="仿宋" w:cs="仿宋"/>
          <w:sz w:val="32"/>
          <w:szCs w:val="32"/>
          <w:lang w:val="zh-CN"/>
        </w:rPr>
        <w:t>支出万元；商品和服务支出</w:t>
      </w:r>
      <w:r>
        <w:rPr>
          <w:rFonts w:hint="eastAsia" w:ascii="仿宋" w:hAnsi="仿宋" w:eastAsia="仿宋" w:cs="仿宋"/>
          <w:sz w:val="32"/>
          <w:szCs w:val="32"/>
          <w:lang w:val="en-US" w:eastAsia="zh-CN"/>
        </w:rPr>
        <w:t>163.34</w:t>
      </w:r>
      <w:r>
        <w:rPr>
          <w:rFonts w:hint="eastAsia" w:ascii="仿宋" w:hAnsi="仿宋" w:eastAsia="仿宋" w:cs="仿宋"/>
          <w:sz w:val="32"/>
          <w:szCs w:val="32"/>
          <w:lang w:val="zh-CN"/>
        </w:rPr>
        <w:t>万元；对个人和家庭的补助</w:t>
      </w:r>
      <w:r>
        <w:rPr>
          <w:rFonts w:hint="eastAsia" w:ascii="仿宋" w:hAnsi="仿宋" w:eastAsia="仿宋" w:cs="仿宋"/>
          <w:sz w:val="32"/>
          <w:szCs w:val="32"/>
          <w:lang w:val="en-US" w:eastAsia="zh-CN"/>
        </w:rPr>
        <w:t>171.49</w:t>
      </w:r>
      <w:r>
        <w:rPr>
          <w:rFonts w:hint="eastAsia" w:ascii="仿宋" w:hAnsi="仿宋" w:eastAsia="仿宋" w:cs="仿宋"/>
          <w:sz w:val="32"/>
          <w:szCs w:val="32"/>
          <w:lang w:val="zh-CN"/>
        </w:rPr>
        <w:t>万元；基本建设支出及其他资本性支出</w:t>
      </w:r>
      <w:r>
        <w:rPr>
          <w:rFonts w:hint="eastAsia" w:ascii="仿宋" w:hAnsi="仿宋" w:eastAsia="仿宋" w:cs="仿宋"/>
          <w:sz w:val="32"/>
          <w:szCs w:val="32"/>
          <w:lang w:val="en-US" w:eastAsia="zh-CN"/>
        </w:rPr>
        <w:t>792.26</w:t>
      </w:r>
      <w:r>
        <w:rPr>
          <w:rFonts w:hint="eastAsia" w:ascii="仿宋" w:hAnsi="仿宋" w:eastAsia="仿宋" w:cs="仿宋"/>
          <w:sz w:val="32"/>
          <w:szCs w:val="32"/>
          <w:lang w:val="zh-CN"/>
        </w:rPr>
        <w:t>万元（用于解决群众最基本的住房安全、生活保障、基础设施建设）。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三、</w:t>
      </w:r>
      <w:r>
        <w:rPr>
          <w:rFonts w:hint="eastAsia" w:ascii="仿宋" w:hAnsi="仿宋" w:eastAsia="仿宋" w:cs="仿宋"/>
          <w:color w:val="000000"/>
          <w:kern w:val="0"/>
          <w:sz w:val="32"/>
          <w:szCs w:val="32"/>
          <w:shd w:val="clear" w:color="auto" w:fill="FFFFFF"/>
        </w:rPr>
        <w:t>部门整体预算绩效管理情况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lang w:val="zh-CN"/>
        </w:rPr>
        <w:t>（一）</w:t>
      </w:r>
      <w:r>
        <w:rPr>
          <w:rFonts w:hint="eastAsia" w:ascii="仿宋_GB2312" w:hAnsi="宋体" w:eastAsia="仿宋_GB2312" w:cs="宋体"/>
          <w:color w:val="000000"/>
          <w:kern w:val="0"/>
          <w:sz w:val="32"/>
          <w:szCs w:val="32"/>
          <w:shd w:val="clear" w:color="auto" w:fill="FFFFFF"/>
          <w:lang w:val="zh-CN"/>
        </w:rPr>
        <w:t>部门预算管理。</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2020年全年，</w:t>
      </w:r>
      <w:r>
        <w:rPr>
          <w:rFonts w:hint="eastAsia" w:ascii="仿宋" w:hAnsi="仿宋" w:eastAsia="仿宋" w:cs="仿宋"/>
          <w:sz w:val="32"/>
          <w:szCs w:val="32"/>
          <w:lang w:val="zh-CN"/>
        </w:rPr>
        <w:t>保障单位职工</w:t>
      </w:r>
      <w:r>
        <w:rPr>
          <w:rFonts w:hint="eastAsia" w:ascii="仿宋" w:hAnsi="仿宋" w:eastAsia="仿宋" w:cs="仿宋"/>
          <w:sz w:val="32"/>
          <w:szCs w:val="32"/>
          <w:lang w:val="en-US" w:eastAsia="zh-CN"/>
        </w:rPr>
        <w:t>的</w:t>
      </w:r>
      <w:r>
        <w:rPr>
          <w:rFonts w:hint="eastAsia" w:ascii="仿宋" w:hAnsi="仿宋" w:eastAsia="仿宋" w:cs="仿宋"/>
          <w:sz w:val="32"/>
          <w:szCs w:val="32"/>
          <w:lang w:val="zh-CN"/>
        </w:rPr>
        <w:t>工资福利支出，做到足额及时发放；</w:t>
      </w:r>
      <w:r>
        <w:rPr>
          <w:rFonts w:hint="eastAsia" w:ascii="仿宋" w:hAnsi="仿宋" w:eastAsia="仿宋" w:cs="仿宋"/>
          <w:sz w:val="32"/>
          <w:szCs w:val="32"/>
          <w:lang w:val="en-US" w:eastAsia="zh-CN"/>
        </w:rPr>
        <w:t>工资福利、运转、民生保障率达到100%；</w:t>
      </w:r>
      <w:r>
        <w:rPr>
          <w:rFonts w:hint="eastAsia" w:ascii="仿宋" w:hAnsi="仿宋" w:eastAsia="仿宋" w:cs="仿宋"/>
          <w:sz w:val="32"/>
          <w:szCs w:val="32"/>
          <w:lang w:val="zh-CN"/>
        </w:rPr>
        <w:t>年内职工出差天数大于等于</w:t>
      </w:r>
      <w:r>
        <w:rPr>
          <w:rFonts w:hint="eastAsia" w:ascii="仿宋" w:hAnsi="仿宋" w:eastAsia="仿宋" w:cs="仿宋"/>
          <w:sz w:val="32"/>
          <w:szCs w:val="32"/>
          <w:lang w:val="en-US" w:eastAsia="zh-CN"/>
        </w:rPr>
        <w:t>2100天；我单位严格控制“三公”经费，推行节能环保措施，多举措提升基层群众对财政工作的满意度。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en-US" w:eastAsia="zh-CN"/>
        </w:rPr>
        <w:t>2020年全年，圆满完成原定目标绩效任务。各项指标均达到并超过合格要求线，</w:t>
      </w: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numPr>
          <w:ilvl w:val="0"/>
          <w:numId w:val="8"/>
        </w:numPr>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评价结论及建议</w:t>
      </w:r>
    </w:p>
    <w:p>
      <w:pPr>
        <w:widowControl/>
        <w:numPr>
          <w:ilvl w:val="0"/>
          <w:numId w:val="9"/>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评价结论。</w:t>
      </w:r>
    </w:p>
    <w:p>
      <w:pPr>
        <w:widowControl/>
        <w:numPr>
          <w:ilvl w:val="0"/>
          <w:numId w:val="0"/>
        </w:numPr>
        <w:adjustRightInd w:val="0"/>
        <w:snapToGrid w:val="0"/>
        <w:spacing w:line="580" w:lineRule="exact"/>
        <w:contextualSpacing/>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整体预算绩效管理，有效的将资金运用到工作中，确保各项工作顺利开展。</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000000"/>
          <w:kern w:val="0"/>
          <w:sz w:val="32"/>
          <w:szCs w:val="32"/>
          <w:shd w:val="clear" w:color="auto" w:fill="FFFFFF"/>
          <w:lang w:val="zh-CN"/>
        </w:rPr>
        <w:t>（二）存在问题。</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color w:val="auto"/>
          <w:sz w:val="32"/>
          <w:szCs w:val="32"/>
          <w:lang w:val="zh-CN" w:eastAsia="zh-CN"/>
        </w:rPr>
        <w:t>一是项目预算的准确性还不够高，如乡镇环境综合治理长效管理经费年初按照分类固定标准进</w:t>
      </w:r>
      <w:r>
        <w:rPr>
          <w:rFonts w:hint="eastAsia" w:ascii="仿宋" w:hAnsi="仿宋" w:eastAsia="仿宋" w:cs="仿宋"/>
          <w:sz w:val="32"/>
          <w:szCs w:val="32"/>
          <w:lang w:val="zh-CN"/>
        </w:rPr>
        <w:t>行预算，实际使用中乡镇存在较大缺口，支出责任与资金预算不成正比。</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二是项目管理不到位。如惠民惠农政策由于收集的基础资料和信息不完整、不准确，导致对部分受益人的补贴多次直发失败；导致群众满意度降低。</w:t>
      </w:r>
    </w:p>
    <w:p>
      <w:pPr>
        <w:keepNext w:val="0"/>
        <w:keepLines w:val="0"/>
        <w:pageBreakBefore w:val="0"/>
        <w:widowControl w:val="0"/>
        <w:kinsoku/>
        <w:wordWrap/>
        <w:overflowPunct/>
        <w:topLinePunct w:val="0"/>
        <w:bidi w:val="0"/>
        <w:adjustRightInd w:val="0"/>
        <w:snapToGrid w:val="0"/>
        <w:spacing w:line="560" w:lineRule="exact"/>
        <w:ind w:firstLine="72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三是预算执行进度慢。存在部分资金申报不及时，项目实施进度偏慢，报账不及时，补贴资金未及时兑现到农户的现象。</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（三）改进建议。</w:t>
      </w:r>
    </w:p>
    <w:p>
      <w:pPr>
        <w:pStyle w:val="12"/>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1、细化预算编制工作，认真做好预算的编制。进一步加强单位内部预算管理意识，严格按照预算编制的相关制度和要求进行预算编制。</w:t>
      </w:r>
    </w:p>
    <w:p>
      <w:pPr>
        <w:pStyle w:val="12"/>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12"/>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12"/>
        <w:keepNext w:val="0"/>
        <w:keepLines w:val="0"/>
        <w:pageBreakBefore w:val="0"/>
        <w:widowControl/>
        <w:suppressLineNumbers w:val="0"/>
        <w:shd w:val="clear" w:color="auto" w:fill="FFFFFF"/>
        <w:kinsoku/>
        <w:overflowPunct/>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4、对相关人员加强培训，特别是针对《</w:t>
      </w:r>
      <w:r>
        <w:rPr>
          <w:rFonts w:hint="eastAsia" w:ascii="仿宋" w:hAnsi="仿宋" w:eastAsia="仿宋" w:cs="仿宋"/>
          <w:sz w:val="32"/>
          <w:szCs w:val="32"/>
          <w:shd w:val="clear" w:color="auto" w:fill="FFFFFF"/>
          <w:lang w:eastAsia="zh-CN"/>
        </w:rPr>
        <w:t>中华人民共和国</w:t>
      </w:r>
      <w:r>
        <w:rPr>
          <w:rFonts w:hint="eastAsia" w:ascii="仿宋" w:hAnsi="仿宋" w:eastAsia="仿宋" w:cs="仿宋"/>
          <w:sz w:val="32"/>
          <w:szCs w:val="32"/>
          <w:shd w:val="clear" w:color="auto" w:fill="FFFFFF"/>
        </w:rPr>
        <w:t>预算法》《行政事业单位会计制度》等学习培训，规范部门预算收支核算，切实提高部门预算收支管理水平</w:t>
      </w:r>
      <w:r>
        <w:rPr>
          <w:rFonts w:hint="eastAsia" w:ascii="仿宋" w:hAnsi="仿宋" w:eastAsia="仿宋" w:cs="仿宋"/>
          <w:sz w:val="32"/>
          <w:szCs w:val="32"/>
          <w:shd w:val="clear" w:color="auto" w:fill="FFFFFF"/>
          <w:lang w:eastAsia="zh-CN"/>
        </w:rPr>
        <w:t>。</w:t>
      </w: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kinsoku/>
        <w:wordWrap w:val="0"/>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通江县长坪镇人民政府</w:t>
      </w:r>
    </w:p>
    <w:p>
      <w:pPr>
        <w:keepNext w:val="0"/>
        <w:keepLines w:val="0"/>
        <w:pageBreakBefore w:val="0"/>
        <w:kinsoku/>
        <w:wordWrap/>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bidi w:val="0"/>
        <w:spacing w:line="360" w:lineRule="auto"/>
        <w:ind w:firstLine="640" w:firstLineChars="200"/>
        <w:jc w:val="right"/>
        <w:textAlignment w:val="auto"/>
        <w:rPr>
          <w:rFonts w:hint="eastAsia" w:ascii="仿宋" w:hAnsi="仿宋" w:eastAsia="仿宋" w:cs="仿宋"/>
          <w:b w:val="0"/>
          <w:bCs w:val="0"/>
          <w:sz w:val="32"/>
          <w:szCs w:val="32"/>
          <w:lang w:val="en-US" w:eastAsia="zh-CN"/>
        </w:rPr>
      </w:pPr>
    </w:p>
    <w:p>
      <w:pPr>
        <w:pStyle w:val="3"/>
        <w:bidi w:val="0"/>
        <w:rPr>
          <w:rFonts w:hint="eastAsia" w:ascii="仿宋" w:hAnsi="仿宋" w:eastAsia="仿宋" w:cs="仿宋"/>
          <w:b w:val="0"/>
          <w:bCs w:val="0"/>
          <w:lang w:val="en-US" w:eastAsia="zh-CN"/>
        </w:rPr>
      </w:pPr>
      <w:bookmarkStart w:id="95" w:name="_Toc15086"/>
      <w:r>
        <w:rPr>
          <w:rFonts w:hint="eastAsia" w:ascii="仿宋" w:hAnsi="仿宋" w:eastAsia="仿宋" w:cs="仿宋"/>
          <w:b w:val="0"/>
          <w:bCs w:val="0"/>
          <w:lang w:val="zh-CN" w:eastAsia="zh-CN"/>
        </w:rPr>
        <w:t>附件</w:t>
      </w:r>
      <w:r>
        <w:rPr>
          <w:rFonts w:hint="eastAsia" w:ascii="仿宋" w:hAnsi="仿宋" w:eastAsia="仿宋" w:cs="仿宋"/>
          <w:b w:val="0"/>
          <w:bCs w:val="0"/>
          <w:lang w:val="en-US" w:eastAsia="zh-CN"/>
        </w:rPr>
        <w:t>2</w:t>
      </w:r>
      <w:bookmarkEnd w:id="95"/>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长坪镇</w:t>
      </w:r>
      <w:r>
        <w:rPr>
          <w:rFonts w:hint="eastAsia" w:ascii="宋体" w:hAnsi="宋体" w:eastAsia="宋体" w:cs="宋体"/>
          <w:b/>
          <w:bCs/>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2020年度新冠肺炎疫情防控专项</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资金</w:t>
      </w:r>
      <w:r>
        <w:rPr>
          <w:rFonts w:hint="eastAsia" w:ascii="宋体" w:hAnsi="宋体" w:eastAsia="宋体" w:cs="宋体"/>
          <w:b/>
          <w:bCs/>
          <w:sz w:val="44"/>
          <w:szCs w:val="44"/>
          <w:lang w:eastAsia="zh-CN"/>
        </w:rPr>
        <w:t>项目支出绩效评价的报告</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宋体" w:hAnsi="宋体" w:eastAsia="宋体" w:cs="宋体"/>
          <w:b/>
          <w:bCs/>
          <w:sz w:val="44"/>
          <w:szCs w:val="44"/>
          <w:lang w:val="en-US" w:eastAsia="zh-CN"/>
        </w:rPr>
      </w:pPr>
    </w:p>
    <w:p>
      <w:pPr>
        <w:keepNext w:val="0"/>
        <w:keepLines w:val="0"/>
        <w:pageBreakBefore w:val="0"/>
        <w:numPr>
          <w:ilvl w:val="0"/>
          <w:numId w:val="10"/>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333333"/>
          <w:kern w:val="2"/>
          <w:sz w:val="32"/>
          <w:szCs w:val="32"/>
          <w:lang w:val="en-US" w:eastAsia="zh-CN" w:bidi="ar"/>
        </w:rPr>
        <w:t>我镇积极加强新冠肺炎疫情防控专项资金项目绩效管理，不断提高财政资源配置效率和使用效益，</w:t>
      </w:r>
      <w:r>
        <w:rPr>
          <w:rFonts w:hint="eastAsia" w:ascii="仿宋" w:hAnsi="仿宋" w:eastAsia="仿宋" w:cs="仿宋"/>
          <w:b w:val="0"/>
          <w:bCs w:val="0"/>
          <w:color w:val="333333"/>
          <w:kern w:val="2"/>
          <w:sz w:val="32"/>
          <w:szCs w:val="32"/>
          <w:lang w:val="en-US" w:eastAsia="zh-CN" w:bidi="ar"/>
        </w:rPr>
        <w:t>我镇2020年</w:t>
      </w:r>
      <w:r>
        <w:rPr>
          <w:rFonts w:hint="eastAsia" w:ascii="仿宋" w:hAnsi="仿宋" w:eastAsia="仿宋" w:cs="仿宋"/>
          <w:color w:val="333333"/>
          <w:kern w:val="2"/>
          <w:sz w:val="32"/>
          <w:szCs w:val="32"/>
          <w:lang w:val="en-US" w:eastAsia="zh-CN" w:bidi="ar"/>
        </w:rPr>
        <w:t>新冠肺炎疫情防控专项资金</w:t>
      </w:r>
      <w:r>
        <w:rPr>
          <w:rFonts w:hint="eastAsia" w:ascii="仿宋" w:hAnsi="仿宋" w:eastAsia="仿宋" w:cs="仿宋"/>
          <w:b w:val="0"/>
          <w:bCs w:val="0"/>
          <w:color w:val="333333"/>
          <w:kern w:val="2"/>
          <w:sz w:val="32"/>
          <w:szCs w:val="32"/>
          <w:lang w:val="en-US" w:eastAsia="zh-CN" w:bidi="ar"/>
        </w:rPr>
        <w:t>项目绩效情况总体较好，有效解决了适龄劳动力解决就业问题，减少群众失业率，带动周边经济的发展。</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2019年我镇</w:t>
      </w:r>
      <w:r>
        <w:rPr>
          <w:rFonts w:hint="eastAsia" w:ascii="仿宋" w:hAnsi="仿宋" w:eastAsia="仿宋" w:cs="仿宋"/>
          <w:color w:val="333333"/>
          <w:kern w:val="2"/>
          <w:sz w:val="32"/>
          <w:szCs w:val="32"/>
          <w:lang w:val="en-US" w:eastAsia="zh-CN" w:bidi="ar"/>
        </w:rPr>
        <w:t>新冠肺炎疫情防控专项资金</w:t>
      </w:r>
      <w:r>
        <w:rPr>
          <w:rFonts w:hint="eastAsia" w:ascii="仿宋" w:hAnsi="仿宋" w:eastAsia="仿宋" w:cs="仿宋"/>
          <w:sz w:val="32"/>
          <w:szCs w:val="32"/>
          <w:lang w:val="zh-CN"/>
        </w:rPr>
        <w:t>项目支出</w:t>
      </w:r>
      <w:r>
        <w:rPr>
          <w:rFonts w:hint="eastAsia" w:ascii="仿宋" w:hAnsi="仿宋" w:eastAsia="仿宋" w:cs="仿宋"/>
          <w:sz w:val="32"/>
          <w:szCs w:val="32"/>
          <w:lang w:val="en-US" w:eastAsia="zh-CN"/>
        </w:rPr>
        <w:t>14.09</w:t>
      </w:r>
      <w:r>
        <w:rPr>
          <w:rFonts w:hint="eastAsia" w:ascii="仿宋" w:hAnsi="仿宋" w:eastAsia="仿宋" w:cs="仿宋"/>
          <w:sz w:val="32"/>
          <w:szCs w:val="32"/>
          <w:lang w:val="zh-CN"/>
        </w:rPr>
        <w:t>万元。</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镇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2020年全年，实现对农业生产支持的补贴，保障国家农业安全，提升受益群众社会满意度，提升区域经济发展。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项目管理不到位。如惠民惠农政策由于收集的基础资料和信息不完整、不准确，导致对部分受益人的补贴多次直发失败；导致群众满意度降低。</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（二）相关建议。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通江县长坪镇人民政府</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pStyle w:val="3"/>
        <w:bidi w:val="0"/>
        <w:rPr>
          <w:rFonts w:hint="eastAsia" w:ascii="仿宋" w:hAnsi="仿宋" w:eastAsia="仿宋" w:cs="仿宋"/>
          <w:sz w:val="32"/>
          <w:szCs w:val="32"/>
        </w:rPr>
      </w:pPr>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zh-CN" w:eastAsia="zh-CN"/>
        </w:rPr>
      </w:pPr>
      <w:r>
        <w:rPr>
          <w:rFonts w:hint="eastAsia" w:ascii="宋体" w:hAnsi="宋体" w:cs="宋体"/>
          <w:b/>
          <w:sz w:val="44"/>
          <w:szCs w:val="44"/>
          <w:lang w:val="zh-CN" w:eastAsia="zh-CN"/>
        </w:rPr>
        <w:t>通江县长坪</w:t>
      </w:r>
      <w:r>
        <w:rPr>
          <w:rFonts w:hint="eastAsia" w:ascii="宋体" w:hAnsi="宋体" w:eastAsia="宋体" w:cs="宋体"/>
          <w:b/>
          <w:sz w:val="44"/>
          <w:szCs w:val="44"/>
          <w:lang w:val="zh-CN" w:eastAsia="zh-CN"/>
        </w:rPr>
        <w:t>镇人民政府</w:t>
      </w:r>
      <w:r>
        <w:rPr>
          <w:rFonts w:hint="eastAsia" w:ascii="宋体" w:hAnsi="宋体" w:eastAsia="宋体" w:cs="宋体"/>
          <w:b/>
          <w:sz w:val="44"/>
          <w:szCs w:val="44"/>
          <w:lang w:eastAsia="zh-CN"/>
        </w:rPr>
        <w:t>20</w:t>
      </w:r>
      <w:r>
        <w:rPr>
          <w:rFonts w:hint="eastAsia" w:ascii="宋体" w:hAnsi="宋体" w:eastAsia="宋体" w:cs="宋体"/>
          <w:b/>
          <w:sz w:val="44"/>
          <w:szCs w:val="44"/>
          <w:lang w:val="en-US" w:eastAsia="zh-CN"/>
        </w:rPr>
        <w:t>20</w:t>
      </w:r>
      <w:r>
        <w:rPr>
          <w:rFonts w:hint="eastAsia" w:ascii="宋体" w:hAnsi="宋体" w:eastAsia="宋体" w:cs="宋体"/>
          <w:b/>
          <w:sz w:val="44"/>
          <w:szCs w:val="44"/>
          <w:lang w:eastAsia="zh-CN"/>
        </w:rPr>
        <w:t>年文化站免费开放项目</w:t>
      </w:r>
      <w:r>
        <w:rPr>
          <w:rFonts w:hint="eastAsia" w:ascii="宋体" w:hAnsi="宋体" w:eastAsia="宋体" w:cs="宋体"/>
          <w:b/>
          <w:sz w:val="44"/>
          <w:szCs w:val="44"/>
          <w:lang w:val="zh-CN" w:eastAsia="zh-CN"/>
        </w:rPr>
        <w:t>绩效评价报告</w:t>
      </w:r>
    </w:p>
    <w:p>
      <w:pPr>
        <w:keepNext w:val="0"/>
        <w:keepLines w:val="0"/>
        <w:pageBreakBefore w:val="0"/>
        <w:kinsoku/>
        <w:wordWrap/>
        <w:overflowPunct/>
        <w:topLinePunct w:val="0"/>
        <w:autoSpaceDE/>
        <w:autoSpaceDN/>
        <w:bidi w:val="0"/>
        <w:adjustRightInd w:val="0"/>
        <w:snapToGrid w:val="0"/>
        <w:spacing w:line="520" w:lineRule="exact"/>
        <w:ind w:firstLine="720"/>
        <w:jc w:val="righ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lang w:val="en-US" w:eastAsia="zh-CN"/>
        </w:rPr>
        <w:t xml:space="preserve"> 文化站免费开放项目</w:t>
      </w:r>
      <w:r>
        <w:rPr>
          <w:rFonts w:hint="eastAsia" w:ascii="仿宋" w:hAnsi="仿宋" w:eastAsia="仿宋" w:cs="仿宋"/>
          <w:b w:val="0"/>
          <w:bCs w:val="0"/>
          <w:kern w:val="2"/>
          <w:sz w:val="32"/>
          <w:szCs w:val="32"/>
          <w:lang w:val="en-US" w:eastAsia="zh-CN" w:bidi="ar"/>
        </w:rPr>
        <w:t>用于解决全镇文化宣传及文艺汇演且资金支付范围及依据合规合法</w:t>
      </w:r>
      <w:r>
        <w:rPr>
          <w:rFonts w:hint="eastAsia" w:ascii="仿宋" w:hAnsi="仿宋" w:eastAsia="仿宋" w:cs="仿宋"/>
          <w:b w:val="0"/>
          <w:bCs w:val="0"/>
          <w:color w:val="333333"/>
          <w:kern w:val="2"/>
          <w:sz w:val="32"/>
          <w:szCs w:val="32"/>
          <w:lang w:val="en-US" w:eastAsia="zh-CN" w:bidi="ar"/>
        </w:rPr>
        <w:t>。</w:t>
      </w:r>
      <w:r>
        <w:rPr>
          <w:rFonts w:hint="eastAsia" w:ascii="仿宋" w:hAnsi="仿宋" w:eastAsia="仿宋" w:cs="仿宋"/>
          <w:b w:val="0"/>
          <w:bCs w:val="0"/>
          <w:kern w:val="2"/>
          <w:sz w:val="32"/>
          <w:szCs w:val="32"/>
          <w:lang w:val="en-US" w:eastAsia="zh-CN" w:bidi="ar"/>
        </w:rPr>
        <w:t>使得政府能够更好</w:t>
      </w:r>
      <w:r>
        <w:rPr>
          <w:rFonts w:hint="eastAsia" w:ascii="仿宋" w:hAnsi="仿宋" w:eastAsia="仿宋" w:cs="仿宋"/>
          <w:b w:val="0"/>
          <w:bCs w:val="0"/>
          <w:color w:val="333333"/>
          <w:sz w:val="32"/>
          <w:szCs w:val="32"/>
          <w:shd w:val="clear" w:color="auto" w:fill="FFFFFF"/>
        </w:rPr>
        <w:t>组织指导</w:t>
      </w:r>
      <w:r>
        <w:rPr>
          <w:rFonts w:hint="eastAsia" w:ascii="仿宋" w:hAnsi="仿宋" w:eastAsia="仿宋" w:cs="仿宋"/>
          <w:b w:val="0"/>
          <w:bCs w:val="0"/>
          <w:color w:val="333333"/>
          <w:sz w:val="32"/>
          <w:szCs w:val="32"/>
          <w:shd w:val="clear" w:color="auto" w:fill="FFFFFF"/>
          <w:lang w:val="en-US" w:eastAsia="zh-CN"/>
        </w:rPr>
        <w:t>群众丰富业务生活</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提升群众幸福指数和满意度</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val="en-US" w:eastAsia="zh-CN"/>
        </w:rPr>
        <w:t>促进区域传统文化发扬和传承</w:t>
      </w:r>
      <w:r>
        <w:rPr>
          <w:rFonts w:hint="eastAsia" w:ascii="仿宋" w:hAnsi="仿宋" w:eastAsia="仿宋" w:cs="仿宋"/>
          <w:b w:val="0"/>
          <w:bCs w:val="0"/>
          <w:color w:val="333333"/>
          <w:sz w:val="32"/>
          <w:szCs w:val="32"/>
          <w:shd w:val="clear" w:color="auto" w:fill="FFFFFF"/>
        </w:rPr>
        <w:t>。</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2019年我镇文化站免费开放项目支出</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万元。</w:t>
      </w:r>
      <w:r>
        <w:rPr>
          <w:rFonts w:hint="eastAsia" w:ascii="仿宋" w:hAnsi="仿宋" w:eastAsia="仿宋" w:cs="仿宋"/>
          <w:b w:val="0"/>
          <w:bCs w:val="0"/>
          <w:kern w:val="2"/>
          <w:sz w:val="32"/>
          <w:szCs w:val="32"/>
          <w:lang w:val="en-US" w:eastAsia="zh-CN" w:bidi="ar"/>
        </w:rPr>
        <w:t>资金支付范围及依据合规合法，资金支付与预算相符。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color w:val="333333"/>
          <w:kern w:val="2"/>
          <w:sz w:val="32"/>
          <w:szCs w:val="32"/>
          <w:lang w:val="en-US" w:eastAsia="zh-CN" w:bidi="ar"/>
        </w:rPr>
        <w:t>预算下达之后，镇党委、镇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根据县级部门的</w:t>
      </w:r>
      <w:r>
        <w:rPr>
          <w:rFonts w:hint="eastAsia" w:ascii="仿宋" w:hAnsi="仿宋" w:eastAsia="仿宋" w:cs="仿宋"/>
          <w:b w:val="0"/>
          <w:bCs w:val="0"/>
          <w:sz w:val="32"/>
          <w:szCs w:val="32"/>
          <w:lang w:val="en-US" w:eastAsia="zh-CN"/>
        </w:rPr>
        <w:t>相关要求，我镇</w:t>
      </w:r>
      <w:r>
        <w:rPr>
          <w:rFonts w:hint="eastAsia" w:ascii="仿宋" w:hAnsi="仿宋" w:eastAsia="仿宋" w:cs="仿宋"/>
          <w:b w:val="0"/>
          <w:bCs w:val="0"/>
          <w:kern w:val="2"/>
          <w:sz w:val="32"/>
          <w:szCs w:val="32"/>
          <w:lang w:val="en-US" w:eastAsia="zh-CN" w:bidi="ar"/>
        </w:rPr>
        <w:t>文化站免费开放专项资金3万</w:t>
      </w:r>
      <w:r>
        <w:rPr>
          <w:rFonts w:hint="eastAsia" w:ascii="仿宋" w:hAnsi="仿宋" w:eastAsia="仿宋" w:cs="仿宋"/>
          <w:b w:val="0"/>
          <w:bCs w:val="0"/>
          <w:sz w:val="32"/>
          <w:szCs w:val="32"/>
          <w:lang w:val="en-US" w:eastAsia="zh-CN"/>
        </w:rPr>
        <w:t>全面落实到位，项目进度执行率达100%。年度资金拨付率达100%</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保障国家农业安全，提升受益群众社会满意度，维护基层稳定，提升社会形象，促进社会和谐发展。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文化站人员少，</w:t>
      </w:r>
      <w:r>
        <w:rPr>
          <w:rFonts w:hint="eastAsia" w:ascii="仿宋" w:hAnsi="仿宋" w:eastAsia="仿宋" w:cs="仿宋"/>
          <w:b w:val="0"/>
          <w:bCs w:val="0"/>
          <w:sz w:val="32"/>
          <w:szCs w:val="32"/>
        </w:rPr>
        <w:t>文化活动经费不足</w:t>
      </w:r>
      <w:r>
        <w:rPr>
          <w:rFonts w:hint="eastAsia" w:ascii="仿宋" w:hAnsi="仿宋" w:eastAsia="仿宋" w:cs="仿宋"/>
          <w:b w:val="0"/>
          <w:bCs w:val="0"/>
          <w:sz w:val="32"/>
          <w:szCs w:val="32"/>
          <w:lang w:val="zh-CN"/>
        </w:rPr>
        <w:t xml:space="preserve"> 。</w:t>
      </w:r>
    </w:p>
    <w:p>
      <w:pPr>
        <w:numPr>
          <w:ilvl w:val="0"/>
          <w:numId w:val="11"/>
        </w:num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b w:val="0"/>
          <w:bCs w:val="0"/>
          <w:sz w:val="32"/>
          <w:szCs w:val="32"/>
          <w:lang w:val="zh-CN" w:eastAsia="zh-CN"/>
        </w:rPr>
        <w:t>建议</w:t>
      </w:r>
      <w:r>
        <w:rPr>
          <w:rFonts w:hint="eastAsia" w:ascii="仿宋" w:hAnsi="仿宋" w:eastAsia="仿宋" w:cs="仿宋"/>
          <w:b w:val="0"/>
          <w:bCs w:val="0"/>
          <w:sz w:val="32"/>
          <w:szCs w:val="32"/>
          <w:lang w:val="zh-CN"/>
        </w:rPr>
        <w:t>招聘专业文化工作人员，有利于文化工作的开展，建设基层文化宣传场地，培养特色文化传承人，建设美丽文化院坝，丰富群众文化，提高群众文化素质。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通江县长坪镇人民政府</w:t>
      </w:r>
    </w:p>
    <w:p>
      <w:pPr>
        <w:widowControl/>
        <w:jc w:val="left"/>
        <w:rPr>
          <w:rStyle w:val="36"/>
          <w:rFonts w:ascii="黑体" w:hAnsi="黑体" w:eastAsia="黑体"/>
          <w:b w:val="0"/>
        </w:rPr>
      </w:pPr>
    </w:p>
    <w:p>
      <w:pPr>
        <w:widowControl/>
        <w:jc w:val="left"/>
        <w:rPr>
          <w:rStyle w:val="36"/>
          <w:rFonts w:ascii="黑体" w:hAnsi="黑体" w:eastAsia="黑体"/>
          <w:b w:val="0"/>
        </w:rPr>
      </w:pPr>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bCs/>
          <w:color w:val="333333"/>
          <w:kern w:val="2"/>
          <w:sz w:val="44"/>
          <w:szCs w:val="44"/>
          <w:lang w:val="en-US" w:eastAsia="zh-CN" w:bidi="ar"/>
        </w:rPr>
      </w:pPr>
      <w:r>
        <w:rPr>
          <w:rFonts w:hint="eastAsia" w:ascii="宋体" w:hAnsi="宋体" w:eastAsia="宋体" w:cs="宋体"/>
          <w:b/>
          <w:bCs/>
          <w:color w:val="333333"/>
          <w:kern w:val="2"/>
          <w:sz w:val="44"/>
          <w:szCs w:val="44"/>
          <w:lang w:val="en-US" w:eastAsia="zh-CN" w:bidi="ar"/>
        </w:rPr>
        <w:t>通江县长坪镇人民政府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bCs/>
          <w:color w:val="333333"/>
          <w:kern w:val="2"/>
          <w:sz w:val="44"/>
          <w:szCs w:val="44"/>
          <w:lang w:val="en-US" w:eastAsia="zh-CN" w:bidi="ar"/>
        </w:rPr>
      </w:pPr>
      <w:r>
        <w:rPr>
          <w:rFonts w:hint="eastAsia" w:ascii="宋体" w:hAnsi="宋体" w:eastAsia="宋体" w:cs="宋体"/>
          <w:b/>
          <w:bCs/>
          <w:color w:val="333333"/>
          <w:kern w:val="2"/>
          <w:sz w:val="44"/>
          <w:szCs w:val="44"/>
          <w:lang w:val="en-US" w:eastAsia="zh-CN" w:bidi="ar"/>
        </w:rPr>
        <w:t>2020年基层组织活动和公共服务运行绩效目标自评报告</w:t>
      </w:r>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基层组织活动和公共服务运行经费保障了我镇各级工作的正常运转，使得政府及各村委能够更好</w:t>
      </w:r>
      <w:r>
        <w:rPr>
          <w:rFonts w:hint="eastAsia" w:ascii="仿宋" w:hAnsi="仿宋" w:eastAsia="仿宋" w:cs="仿宋"/>
          <w:color w:val="333333"/>
          <w:sz w:val="32"/>
          <w:szCs w:val="32"/>
          <w:shd w:val="clear" w:color="auto" w:fill="FFFFFF"/>
        </w:rPr>
        <w:t>组织指导好</w:t>
      </w:r>
      <w:r>
        <w:rPr>
          <w:rFonts w:hint="eastAsia" w:ascii="仿宋" w:hAnsi="仿宋" w:eastAsia="仿宋" w:cs="仿宋"/>
          <w:color w:val="333333"/>
          <w:sz w:val="32"/>
          <w:szCs w:val="32"/>
          <w:shd w:val="clear" w:color="auto" w:fill="FFFFFF"/>
          <w:lang w:val="en-US" w:eastAsia="zh-CN"/>
        </w:rPr>
        <w:t>各村</w:t>
      </w:r>
      <w:r>
        <w:rPr>
          <w:rFonts w:hint="eastAsia" w:ascii="仿宋" w:hAnsi="仿宋" w:eastAsia="仿宋" w:cs="仿宋"/>
          <w:color w:val="333333"/>
          <w:sz w:val="32"/>
          <w:szCs w:val="32"/>
          <w:shd w:val="clear" w:color="auto" w:fill="FFFFFF"/>
        </w:rPr>
        <w:t>生产，</w:t>
      </w:r>
      <w:r>
        <w:rPr>
          <w:rFonts w:hint="eastAsia" w:ascii="仿宋" w:hAnsi="仿宋" w:eastAsia="仿宋" w:cs="仿宋"/>
          <w:color w:val="333333"/>
          <w:sz w:val="32"/>
          <w:szCs w:val="32"/>
          <w:shd w:val="clear" w:color="auto" w:fill="FFFFFF"/>
          <w:lang w:val="en-US" w:eastAsia="zh-CN"/>
        </w:rPr>
        <w:t>提升村社干部办公效率，真正做到为老百姓做好事、做实事</w:t>
      </w:r>
      <w:r>
        <w:rPr>
          <w:rFonts w:hint="eastAsia" w:ascii="仿宋" w:hAnsi="仿宋" w:eastAsia="仿宋" w:cs="仿宋"/>
          <w:color w:val="333333"/>
          <w:sz w:val="32"/>
          <w:szCs w:val="32"/>
          <w:shd w:val="clear" w:color="auto" w:fill="FFFFFF"/>
        </w:rPr>
        <w:t>，促进</w:t>
      </w:r>
      <w:r>
        <w:rPr>
          <w:rFonts w:hint="eastAsia" w:ascii="仿宋" w:hAnsi="仿宋" w:eastAsia="仿宋" w:cs="仿宋"/>
          <w:color w:val="333333"/>
          <w:sz w:val="32"/>
          <w:szCs w:val="32"/>
          <w:shd w:val="clear" w:color="auto" w:fill="FFFFFF"/>
          <w:lang w:val="en-US" w:eastAsia="zh-CN"/>
        </w:rPr>
        <w:t>当地</w:t>
      </w:r>
      <w:r>
        <w:rPr>
          <w:rFonts w:hint="eastAsia" w:ascii="仿宋" w:hAnsi="仿宋" w:eastAsia="仿宋" w:cs="仿宋"/>
          <w:color w:val="333333"/>
          <w:sz w:val="32"/>
          <w:szCs w:val="32"/>
          <w:shd w:val="clear" w:color="auto" w:fill="FFFFFF"/>
        </w:rPr>
        <w:t>经济发展。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highlight w:val="none"/>
          <w:lang w:val="zh-CN"/>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val="zh-CN"/>
        </w:rPr>
        <w:t>年我镇</w:t>
      </w:r>
      <w:r>
        <w:rPr>
          <w:rFonts w:hint="eastAsia" w:ascii="仿宋" w:hAnsi="仿宋" w:eastAsia="仿宋" w:cs="仿宋"/>
          <w:b w:val="0"/>
          <w:bCs w:val="0"/>
          <w:kern w:val="2"/>
          <w:sz w:val="32"/>
          <w:szCs w:val="32"/>
          <w:lang w:val="en-US" w:eastAsia="zh-CN" w:bidi="ar"/>
        </w:rPr>
        <w:t>基层组织活动和公共服务运行40</w:t>
      </w:r>
      <w:r>
        <w:rPr>
          <w:rFonts w:hint="eastAsia" w:ascii="仿宋" w:hAnsi="仿宋" w:eastAsia="仿宋" w:cs="仿宋"/>
          <w:sz w:val="32"/>
          <w:szCs w:val="32"/>
          <w:highlight w:val="none"/>
          <w:lang w:val="zh-CN"/>
        </w:rPr>
        <w:t>万元。</w:t>
      </w:r>
      <w:r>
        <w:rPr>
          <w:rFonts w:hint="eastAsia" w:ascii="仿宋" w:hAnsi="仿宋" w:eastAsia="仿宋" w:cs="仿宋"/>
          <w:sz w:val="32"/>
          <w:szCs w:val="32"/>
          <w:highlight w:val="none"/>
          <w:lang w:val="en-US" w:eastAsia="zh-CN"/>
        </w:rPr>
        <w:t>按时支付到位。</w:t>
      </w:r>
      <w:r>
        <w:rPr>
          <w:rFonts w:hint="eastAsia" w:ascii="仿宋" w:hAnsi="仿宋" w:eastAsia="仿宋" w:cs="仿宋"/>
          <w:b w:val="0"/>
          <w:bCs w:val="0"/>
          <w:kern w:val="2"/>
          <w:sz w:val="32"/>
          <w:szCs w:val="32"/>
          <w:lang w:val="en-US" w:eastAsia="zh-CN" w:bidi="ar"/>
        </w:rPr>
        <w:t>用于各村基础设施维护及日常人员经费且资金支付范围及依据合规合法，资金支付与预算相符。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default" w:ascii="仿宋" w:hAnsi="仿宋" w:eastAsia="仿宋" w:cs="仿宋"/>
          <w:sz w:val="32"/>
          <w:szCs w:val="32"/>
          <w:highlight w:val="none"/>
          <w:lang w:val="en-US"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在严格执行县委、县政府下发的有关财务制度的情况下，我镇出台了一系列的资金管理制度和措施，严格项目审批管理、费用管理，完善监管制度，坚持财务会审制度和单位财务公开制度。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2"/>
          <w:sz w:val="32"/>
          <w:szCs w:val="32"/>
          <w:lang w:val="en-US" w:eastAsia="zh-CN" w:bidi="ar"/>
        </w:rPr>
        <w:t>我镇2020年基层组织活动和公共服务运行项目绩效情况总体较好，按年初预期目标完成了基层组织活动和公共服务运行经费的支出。</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12"/>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受益群众生活质量有效提高；提升社会形象，促进社会和谐发展。</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五、问题及建议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（一）存在的问题。</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13"/>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通江县长坪镇人民政府</w:t>
      </w: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zh-CN" w:eastAsia="zh-CN"/>
        </w:rPr>
      </w:pPr>
    </w:p>
    <w:p>
      <w:pPr>
        <w:widowControl/>
        <w:jc w:val="left"/>
        <w:rPr>
          <w:rStyle w:val="36"/>
          <w:rFonts w:ascii="黑体" w:hAnsi="黑体" w:eastAsia="黑体"/>
          <w:b w:val="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宋体" w:hAnsi="宋体" w:eastAsia="宋体" w:cs="宋体"/>
          <w:b/>
          <w:bCs/>
          <w:color w:val="333333"/>
          <w:kern w:val="2"/>
          <w:sz w:val="44"/>
          <w:szCs w:val="44"/>
          <w:lang w:val="en-US" w:eastAsia="zh-CN" w:bidi="ar"/>
        </w:rPr>
      </w:pPr>
      <w:r>
        <w:rPr>
          <w:rFonts w:hint="eastAsia" w:ascii="宋体" w:hAnsi="宋体" w:eastAsia="宋体" w:cs="宋体"/>
          <w:b/>
          <w:bCs/>
          <w:color w:val="333333"/>
          <w:kern w:val="2"/>
          <w:sz w:val="44"/>
          <w:szCs w:val="44"/>
          <w:lang w:val="en-US" w:eastAsia="zh-CN" w:bidi="ar"/>
        </w:rPr>
        <w:t>长坪镇人民政府关于</w:t>
      </w:r>
      <w:r>
        <w:rPr>
          <w:rFonts w:hint="eastAsia" w:ascii="宋体" w:hAnsi="宋体" w:eastAsia="宋体" w:cs="宋体"/>
          <w:b/>
          <w:bCs/>
          <w:color w:val="333333"/>
          <w:kern w:val="2"/>
          <w:sz w:val="44"/>
          <w:szCs w:val="44"/>
          <w:lang w:val="zh-CN" w:eastAsia="zh-CN" w:bidi="ar"/>
        </w:rPr>
        <w:t>生猪调出大县奖励资金</w:t>
      </w:r>
      <w:r>
        <w:rPr>
          <w:rFonts w:hint="eastAsia" w:ascii="宋体" w:hAnsi="宋体" w:eastAsia="宋体" w:cs="宋体"/>
          <w:b/>
          <w:bCs/>
          <w:color w:val="333333"/>
          <w:kern w:val="2"/>
          <w:sz w:val="44"/>
          <w:szCs w:val="44"/>
          <w:lang w:val="en-US" w:eastAsia="zh-CN" w:bidi="ar"/>
        </w:rPr>
        <w:t>绩效目标自评报告</w:t>
      </w:r>
    </w:p>
    <w:p>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lang w:val="zh-CN" w:eastAsia="zh-CN"/>
        </w:rPr>
      </w:pP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w:t>
      </w:r>
      <w:r>
        <w:rPr>
          <w:rFonts w:hint="eastAsia" w:ascii="仿宋" w:hAnsi="仿宋" w:eastAsia="仿宋" w:cs="仿宋"/>
          <w:sz w:val="32"/>
          <w:szCs w:val="32"/>
        </w:rPr>
        <w:t>情况</w:t>
      </w:r>
    </w:p>
    <w:p>
      <w:pPr>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我镇2020</w:t>
      </w:r>
      <w:r>
        <w:rPr>
          <w:rFonts w:hint="eastAsia" w:ascii="仿宋" w:hAnsi="仿宋" w:eastAsia="仿宋" w:cs="仿宋"/>
          <w:sz w:val="32"/>
          <w:szCs w:val="32"/>
        </w:rPr>
        <w:t>年</w:t>
      </w:r>
      <w:r>
        <w:rPr>
          <w:rFonts w:hint="eastAsia" w:ascii="仿宋" w:hAnsi="仿宋" w:eastAsia="仿宋" w:cs="仿宋"/>
          <w:b w:val="0"/>
          <w:bCs w:val="0"/>
          <w:kern w:val="2"/>
          <w:sz w:val="32"/>
          <w:szCs w:val="32"/>
          <w:lang w:val="en-US" w:eastAsia="zh-CN" w:bidi="ar"/>
        </w:rPr>
        <w:t>生猪调出大县奖励资金</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0.7</w:t>
      </w:r>
      <w:r>
        <w:rPr>
          <w:rFonts w:hint="eastAsia" w:ascii="仿宋" w:hAnsi="仿宋" w:eastAsia="仿宋" w:cs="仿宋"/>
          <w:sz w:val="32"/>
          <w:szCs w:val="32"/>
        </w:rPr>
        <w:t>万元，</w:t>
      </w:r>
      <w:r>
        <w:rPr>
          <w:rFonts w:hint="eastAsia" w:ascii="仿宋" w:hAnsi="仿宋" w:eastAsia="仿宋" w:cs="仿宋"/>
          <w:sz w:val="32"/>
          <w:szCs w:val="32"/>
          <w:lang w:eastAsia="zh-CN"/>
        </w:rPr>
        <w:t>我镇</w:t>
      </w:r>
      <w:r>
        <w:rPr>
          <w:rFonts w:hint="eastAsia" w:ascii="仿宋" w:hAnsi="仿宋" w:eastAsia="仿宋" w:cs="仿宋"/>
          <w:sz w:val="32"/>
          <w:szCs w:val="32"/>
        </w:rPr>
        <w:t>积极</w:t>
      </w:r>
      <w:r>
        <w:rPr>
          <w:rFonts w:hint="eastAsia" w:ascii="仿宋" w:hAnsi="仿宋" w:eastAsia="仿宋" w:cs="仿宋"/>
          <w:sz w:val="32"/>
          <w:szCs w:val="32"/>
          <w:lang w:eastAsia="zh-CN"/>
        </w:rPr>
        <w:t>落实项目实施，以工代赈使得当地农民收入得到提高，生活水平得到改善。</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b w:val="0"/>
          <w:bCs w:val="0"/>
          <w:kern w:val="2"/>
          <w:sz w:val="32"/>
          <w:szCs w:val="32"/>
          <w:lang w:val="en-US" w:eastAsia="zh-CN" w:bidi="ar"/>
        </w:rPr>
        <w:t>生猪调出大县奖励资金</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0.7</w:t>
      </w:r>
      <w:r>
        <w:rPr>
          <w:rFonts w:hint="eastAsia" w:ascii="仿宋" w:hAnsi="仿宋" w:eastAsia="仿宋" w:cs="仿宋"/>
          <w:sz w:val="32"/>
          <w:szCs w:val="32"/>
        </w:rPr>
        <w:t>万元，均于</w:t>
      </w:r>
      <w:r>
        <w:rPr>
          <w:rFonts w:hint="eastAsia" w:ascii="仿宋" w:hAnsi="仿宋" w:eastAsia="仿宋" w:cs="仿宋"/>
          <w:sz w:val="32"/>
          <w:szCs w:val="32"/>
          <w:lang w:val="en-US" w:eastAsia="zh-CN"/>
        </w:rPr>
        <w:t>2020</w:t>
      </w:r>
      <w:r>
        <w:rPr>
          <w:rFonts w:hint="eastAsia" w:ascii="仿宋" w:hAnsi="仿宋" w:eastAsia="仿宋" w:cs="仿宋"/>
          <w:sz w:val="32"/>
          <w:szCs w:val="32"/>
        </w:rPr>
        <w:t>年内拨付到位</w:t>
      </w:r>
      <w:r>
        <w:rPr>
          <w:rFonts w:hint="eastAsia" w:ascii="仿宋" w:hAnsi="仿宋" w:eastAsia="仿宋" w:cs="仿宋"/>
          <w:sz w:val="32"/>
          <w:szCs w:val="32"/>
          <w:lang w:eastAsia="zh-CN"/>
        </w:rPr>
        <w:t>，</w:t>
      </w:r>
      <w:r>
        <w:rPr>
          <w:rFonts w:hint="eastAsia" w:ascii="仿宋" w:hAnsi="仿宋" w:eastAsia="仿宋" w:cs="仿宋"/>
          <w:sz w:val="32"/>
          <w:szCs w:val="32"/>
        </w:rPr>
        <w:t>支付依据合规合法，资金支付与预算相符。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仿宋" w:hAnsi="仿宋" w:eastAsia="仿宋" w:cs="仿宋"/>
          <w:color w:val="333333"/>
          <w:kern w:val="2"/>
          <w:sz w:val="32"/>
          <w:szCs w:val="32"/>
          <w:lang w:val="en-US" w:eastAsia="zh-CN" w:bidi="ar"/>
        </w:rPr>
      </w:pPr>
      <w:r>
        <w:rPr>
          <w:rFonts w:hint="eastAsia" w:ascii="仿宋" w:hAnsi="仿宋" w:eastAsia="仿宋" w:cs="仿宋"/>
          <w:color w:val="333333"/>
          <w:kern w:val="2"/>
          <w:sz w:val="32"/>
          <w:szCs w:val="32"/>
          <w:lang w:val="en-US" w:eastAsia="zh-CN" w:bidi="ar"/>
        </w:rPr>
        <w:t>项目预算下达之后，镇党委、镇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adjustRightInd w:val="0"/>
        <w:snapToGrid w:val="0"/>
        <w:spacing w:line="56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、目标完成情况</w:t>
      </w:r>
      <w:r>
        <w:rPr>
          <w:rFonts w:hint="eastAsia" w:ascii="仿宋" w:hAnsi="仿宋" w:eastAsia="仿宋" w:cs="仿宋"/>
          <w:b/>
          <w:bCs/>
          <w:sz w:val="32"/>
          <w:szCs w:val="32"/>
          <w:lang w:val="zh-CN"/>
        </w:rPr>
        <w:tab/>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adjustRightInd w:val="0"/>
        <w:snapToGrid w:val="0"/>
        <w:spacing w:line="560" w:lineRule="exact"/>
        <w:ind w:firstLine="720"/>
        <w:rPr>
          <w:rFonts w:hint="eastAsia" w:ascii="仿宋" w:hAnsi="仿宋" w:eastAsia="仿宋" w:cs="仿宋"/>
          <w:color w:val="FF0000"/>
          <w:sz w:val="32"/>
          <w:szCs w:val="32"/>
          <w:lang w:val="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b w:val="0"/>
          <w:bCs w:val="0"/>
          <w:kern w:val="2"/>
          <w:sz w:val="32"/>
          <w:szCs w:val="32"/>
          <w:lang w:val="en-US" w:eastAsia="zh-CN" w:bidi="ar"/>
        </w:rPr>
        <w:t>生猪调出大县奖励资金</w:t>
      </w:r>
      <w:r>
        <w:rPr>
          <w:rFonts w:hint="eastAsia" w:ascii="仿宋" w:hAnsi="仿宋" w:eastAsia="仿宋" w:cs="仿宋"/>
          <w:sz w:val="32"/>
          <w:szCs w:val="32"/>
          <w:lang w:val="zh-CN"/>
        </w:rPr>
        <w:t>，按</w:t>
      </w:r>
      <w:r>
        <w:rPr>
          <w:rFonts w:hint="eastAsia" w:ascii="仿宋" w:hAnsi="仿宋" w:eastAsia="仿宋" w:cs="仿宋"/>
          <w:sz w:val="32"/>
          <w:szCs w:val="32"/>
          <w:lang w:val="en-US" w:eastAsia="zh-CN"/>
        </w:rPr>
        <w:t>2020</w:t>
      </w:r>
      <w:r>
        <w:rPr>
          <w:rFonts w:hint="eastAsia" w:ascii="仿宋" w:hAnsi="仿宋" w:eastAsia="仿宋" w:cs="仿宋"/>
          <w:sz w:val="32"/>
          <w:szCs w:val="32"/>
          <w:lang w:val="zh-CN"/>
        </w:rPr>
        <w:t>年初计划实施，并于20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年底完成年度绩效目标。</w:t>
      </w:r>
      <w:r>
        <w:rPr>
          <w:rFonts w:hint="eastAsia" w:ascii="仿宋" w:hAnsi="仿宋" w:eastAsia="仿宋" w:cs="仿宋"/>
          <w:sz w:val="32"/>
          <w:szCs w:val="32"/>
        </w:rPr>
        <w:t>项目的开展主要根据镇党委、政府的安排，绩效总目标和阶段性目标按计划完成。</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05"/>
        <w:jc w:val="left"/>
        <w:textAlignment w:val="auto"/>
        <w:rPr>
          <w:rFonts w:hint="eastAsia" w:ascii="仿宋" w:hAnsi="仿宋" w:eastAsia="仿宋" w:cs="仿宋"/>
          <w:b w:val="0"/>
          <w:bCs w:val="0"/>
          <w:color w:val="333333"/>
          <w:kern w:val="2"/>
          <w:sz w:val="32"/>
          <w:szCs w:val="32"/>
          <w:lang w:val="en-US" w:eastAsia="zh-CN" w:bidi="ar"/>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b w:val="0"/>
          <w:bCs w:val="0"/>
          <w:kern w:val="2"/>
          <w:sz w:val="32"/>
          <w:szCs w:val="32"/>
          <w:lang w:val="en-US" w:eastAsia="zh-CN" w:bidi="ar"/>
        </w:rPr>
        <w:t>生猪调出大县奖励资金</w:t>
      </w:r>
      <w:r>
        <w:rPr>
          <w:rFonts w:hint="eastAsia" w:ascii="仿宋" w:hAnsi="仿宋" w:eastAsia="仿宋" w:cs="仿宋"/>
          <w:sz w:val="32"/>
          <w:szCs w:val="32"/>
        </w:rPr>
        <w:t>，年初计划</w:t>
      </w:r>
      <w:r>
        <w:rPr>
          <w:rFonts w:hint="eastAsia" w:ascii="仿宋" w:hAnsi="仿宋" w:eastAsia="仿宋" w:cs="仿宋"/>
          <w:sz w:val="32"/>
          <w:szCs w:val="32"/>
          <w:lang w:val="zh-CN"/>
        </w:rPr>
        <w:t>依据充分、</w:t>
      </w:r>
      <w:r>
        <w:rPr>
          <w:rFonts w:hint="eastAsia" w:ascii="仿宋" w:hAnsi="仿宋" w:eastAsia="仿宋" w:cs="仿宋"/>
          <w:sz w:val="32"/>
          <w:szCs w:val="32"/>
        </w:rPr>
        <w:t>制定科学、</w:t>
      </w:r>
      <w:r>
        <w:rPr>
          <w:rFonts w:hint="eastAsia" w:ascii="仿宋" w:hAnsi="仿宋" w:eastAsia="仿宋" w:cs="仿宋"/>
          <w:sz w:val="32"/>
          <w:szCs w:val="32"/>
          <w:lang w:val="zh-CN"/>
        </w:rPr>
        <w:t>目标明确，该项目实施后实现了预定的绩效目标符合预期质量要求。</w:t>
      </w:r>
      <w:r>
        <w:rPr>
          <w:rFonts w:hint="eastAsia" w:ascii="仿宋" w:hAnsi="仿宋" w:eastAsia="仿宋" w:cs="仿宋"/>
          <w:b w:val="0"/>
          <w:bCs w:val="0"/>
          <w:color w:val="333333"/>
          <w:kern w:val="2"/>
          <w:sz w:val="32"/>
          <w:szCs w:val="32"/>
          <w:lang w:val="en-US" w:eastAsia="zh-CN" w:bidi="ar"/>
        </w:rPr>
        <w:t>对专项使用范围的各类支出，严格规范费用的开支标准和审批权限，依法理财，保证账目真实、完整、规范。同时建立健全各项财务管理制度，并切实有效执行，杜绝违法违纪现象发生。</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、项目效益情况</w:t>
      </w:r>
    </w:p>
    <w:p>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年度</w:t>
      </w:r>
      <w:r>
        <w:rPr>
          <w:rFonts w:hint="eastAsia" w:ascii="仿宋" w:hAnsi="仿宋" w:eastAsia="仿宋" w:cs="仿宋"/>
          <w:b w:val="0"/>
          <w:bCs w:val="0"/>
          <w:kern w:val="2"/>
          <w:sz w:val="32"/>
          <w:szCs w:val="32"/>
          <w:lang w:val="en-US" w:eastAsia="zh-CN" w:bidi="ar"/>
        </w:rPr>
        <w:t>生猪调出大县奖励资金</w:t>
      </w:r>
      <w:r>
        <w:rPr>
          <w:rFonts w:hint="eastAsia" w:ascii="仿宋" w:hAnsi="仿宋" w:eastAsia="仿宋" w:cs="仿宋"/>
          <w:sz w:val="32"/>
          <w:szCs w:val="32"/>
        </w:rPr>
        <w:t>，是为了保障农村</w:t>
      </w:r>
      <w:r>
        <w:rPr>
          <w:rFonts w:hint="eastAsia" w:ascii="仿宋" w:hAnsi="仿宋" w:eastAsia="仿宋" w:cs="仿宋"/>
          <w:sz w:val="32"/>
          <w:szCs w:val="32"/>
          <w:lang w:eastAsia="zh-CN"/>
        </w:rPr>
        <w:t>经济发展</w:t>
      </w:r>
      <w:r>
        <w:rPr>
          <w:rFonts w:hint="eastAsia" w:ascii="仿宋" w:hAnsi="仿宋" w:eastAsia="仿宋" w:cs="仿宋"/>
          <w:sz w:val="32"/>
          <w:szCs w:val="32"/>
        </w:rPr>
        <w:t>，提升</w:t>
      </w:r>
      <w:r>
        <w:rPr>
          <w:rFonts w:hint="eastAsia" w:ascii="仿宋" w:hAnsi="仿宋" w:eastAsia="仿宋" w:cs="仿宋"/>
          <w:sz w:val="32"/>
          <w:szCs w:val="32"/>
          <w:lang w:eastAsia="zh-CN"/>
        </w:rPr>
        <w:t>辖区内居民的收入</w:t>
      </w:r>
      <w:r>
        <w:rPr>
          <w:rFonts w:hint="eastAsia" w:ascii="仿宋" w:hAnsi="仿宋" w:eastAsia="仿宋" w:cs="仿宋"/>
          <w:sz w:val="32"/>
          <w:szCs w:val="32"/>
        </w:rPr>
        <w:t>。</w:t>
      </w:r>
    </w:p>
    <w:p>
      <w:pPr>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、问题及建议</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（一）存在问题</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项目管理不到位，项目实施不够及时。</w:t>
      </w:r>
    </w:p>
    <w:p>
      <w:pPr>
        <w:adjustRightInd w:val="0"/>
        <w:snapToGrid w:val="0"/>
        <w:spacing w:line="540" w:lineRule="exact"/>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（二）相关建议。</w:t>
      </w:r>
    </w:p>
    <w:p>
      <w:pPr>
        <w:adjustRightInd w:val="0"/>
        <w:snapToGrid w:val="0"/>
        <w:spacing w:line="540" w:lineRule="exact"/>
        <w:ind w:firstLine="640" w:firstLineChars="200"/>
        <w:rPr>
          <w:rFonts w:ascii="仿宋_GB2312" w:hAnsi="宋体"/>
          <w:szCs w:val="32"/>
        </w:rPr>
      </w:pPr>
      <w:r>
        <w:rPr>
          <w:rFonts w:hint="eastAsia" w:ascii="仿宋" w:hAnsi="仿宋" w:eastAsia="仿宋" w:cs="仿宋"/>
          <w:sz w:val="32"/>
          <w:szCs w:val="32"/>
          <w:lang w:val="zh-CN"/>
        </w:rPr>
        <w:t>健全项目管理制度，制定项目用款计划、预期绩效目标，并对项目绩效实施实时监控。</w:t>
      </w:r>
    </w:p>
    <w:p>
      <w:pPr>
        <w:adjustRightInd w:val="0"/>
        <w:snapToGrid w:val="0"/>
        <w:spacing w:line="540" w:lineRule="exact"/>
        <w:ind w:firstLine="3150" w:firstLineChars="1500"/>
        <w:rPr>
          <w:rFonts w:hint="eastAsia" w:ascii="仿宋_GB2312" w:hAnsi="宋体"/>
          <w:szCs w:val="32"/>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b/>
          <w:color w:val="000000"/>
          <w:kern w:val="0"/>
          <w:sz w:val="36"/>
          <w:szCs w:val="36"/>
          <w:lang w:val="zh-CN"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宋体" w:hAnsi="宋体" w:eastAsia="宋体" w:cs="宋体"/>
          <w:b/>
          <w:bCs/>
          <w:color w:val="333333"/>
          <w:kern w:val="2"/>
          <w:sz w:val="44"/>
          <w:szCs w:val="44"/>
          <w:lang w:val="en-US" w:eastAsia="zh-CN" w:bidi="ar"/>
        </w:rPr>
      </w:pPr>
      <w:r>
        <w:rPr>
          <w:rFonts w:hint="eastAsia" w:ascii="宋体" w:hAnsi="宋体" w:eastAsia="宋体" w:cs="宋体"/>
          <w:b/>
          <w:bCs/>
          <w:color w:val="333333"/>
          <w:kern w:val="2"/>
          <w:sz w:val="44"/>
          <w:szCs w:val="44"/>
          <w:lang w:val="en-US" w:eastAsia="zh-CN" w:bidi="ar"/>
        </w:rPr>
        <w:t>通江县长坪镇人民政府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宋体" w:hAnsi="宋体" w:eastAsia="宋体" w:cs="宋体"/>
          <w:b/>
          <w:bCs/>
          <w:color w:val="333333"/>
          <w:kern w:val="2"/>
          <w:sz w:val="44"/>
          <w:szCs w:val="44"/>
          <w:lang w:val="en-US" w:eastAsia="zh-CN" w:bidi="ar"/>
        </w:rPr>
      </w:pPr>
      <w:r>
        <w:rPr>
          <w:rFonts w:hint="eastAsia" w:ascii="宋体" w:hAnsi="宋体" w:eastAsia="宋体" w:cs="宋体"/>
          <w:b/>
          <w:bCs/>
          <w:color w:val="333333"/>
          <w:kern w:val="2"/>
          <w:sz w:val="44"/>
          <w:szCs w:val="44"/>
          <w:lang w:val="en-US" w:eastAsia="zh-CN" w:bidi="ar"/>
        </w:rPr>
        <w:t>2020年公益性岗位及创业就业补助项目绩效目标自评报告</w:t>
      </w: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36"/>
          <w:szCs w:val="36"/>
          <w:lang w:val="zh-CN"/>
        </w:rPr>
      </w:pPr>
    </w:p>
    <w:p>
      <w:pPr>
        <w:keepNext w:val="0"/>
        <w:keepLines w:val="0"/>
        <w:pageBreakBefore w:val="0"/>
        <w:kinsoku/>
        <w:overflowPunct/>
        <w:topLinePunct w:val="0"/>
        <w:autoSpaceDE/>
        <w:autoSpaceDN/>
        <w:bidi w:val="0"/>
        <w:spacing w:line="520" w:lineRule="exact"/>
        <w:jc w:val="center"/>
        <w:textAlignment w:val="auto"/>
        <w:rPr>
          <w:rFonts w:hint="eastAsia" w:ascii="仿宋" w:hAnsi="仿宋" w:eastAsia="仿宋" w:cs="仿宋"/>
          <w:color w:val="000000"/>
          <w:kern w:val="0"/>
          <w:sz w:val="32"/>
          <w:szCs w:val="32"/>
          <w:lang w:val="zh-CN"/>
        </w:rPr>
      </w:pPr>
    </w:p>
    <w:p>
      <w:pPr>
        <w:keepNext w:val="0"/>
        <w:keepLines w:val="0"/>
        <w:pageBreakBefore w:val="0"/>
        <w:numPr>
          <w:ilvl w:val="0"/>
          <w:numId w:val="14"/>
        </w:numPr>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kern w:val="2"/>
          <w:sz w:val="32"/>
          <w:szCs w:val="32"/>
          <w:lang w:val="en-US" w:eastAsia="zh-CN" w:bidi="ar"/>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kern w:val="2"/>
          <w:sz w:val="32"/>
          <w:szCs w:val="32"/>
          <w:lang w:val="en-US" w:eastAsia="zh-CN" w:bidi="ar"/>
        </w:rPr>
        <w:t>公益性岗位项目绩效资金43.3万元。帮助未就业人员开展岗位培训工作，提高工作技能，建立非正规就业劳动组织，开展就业活动，鼓励老百姓掌握更多就业创业技能，给予相应的经费补助，发动广大劳动力发展生产，自给自足，实现在家也能挣大钱的目标。</w:t>
      </w:r>
    </w:p>
    <w:p>
      <w:pPr>
        <w:keepNext w:val="0"/>
        <w:keepLines w:val="0"/>
        <w:pageBreakBefore w:val="0"/>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二、资金使用情况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（一）资金使用。</w:t>
      </w:r>
    </w:p>
    <w:p>
      <w:pPr>
        <w:keepNext w:val="0"/>
        <w:keepLines w:val="0"/>
        <w:pageBreakBefore w:val="0"/>
        <w:kinsoku/>
        <w:overflowPunct/>
        <w:topLinePunct w:val="0"/>
        <w:autoSpaceDE/>
        <w:autoSpaceDN/>
        <w:bidi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年我镇对</w:t>
      </w:r>
      <w:r>
        <w:rPr>
          <w:rFonts w:hint="eastAsia" w:ascii="仿宋" w:hAnsi="仿宋" w:eastAsia="仿宋" w:cs="仿宋"/>
          <w:b w:val="0"/>
          <w:bCs w:val="0"/>
          <w:kern w:val="2"/>
          <w:sz w:val="32"/>
          <w:szCs w:val="32"/>
          <w:lang w:val="en-US" w:eastAsia="zh-CN" w:bidi="ar"/>
        </w:rPr>
        <w:t>公益性岗位项目</w:t>
      </w:r>
      <w:r>
        <w:rPr>
          <w:rFonts w:hint="eastAsia" w:ascii="仿宋" w:hAnsi="仿宋" w:eastAsia="仿宋" w:cs="仿宋"/>
          <w:sz w:val="32"/>
          <w:szCs w:val="32"/>
          <w:lang w:val="zh-CN"/>
        </w:rPr>
        <w:t>的补助</w:t>
      </w:r>
      <w:r>
        <w:rPr>
          <w:rFonts w:hint="eastAsia" w:ascii="仿宋" w:hAnsi="仿宋" w:eastAsia="仿宋" w:cs="仿宋"/>
          <w:sz w:val="32"/>
          <w:szCs w:val="32"/>
          <w:lang w:val="en-US" w:eastAsia="zh-CN"/>
        </w:rPr>
        <w:t>43.3万元。我镇按照财政规章制度，合法合理地</w:t>
      </w:r>
      <w:bookmarkStart w:id="124" w:name="_GoBack"/>
      <w:bookmarkEnd w:id="124"/>
      <w:r>
        <w:rPr>
          <w:rFonts w:hint="eastAsia" w:ascii="仿宋" w:hAnsi="仿宋" w:eastAsia="仿宋" w:cs="仿宋"/>
          <w:sz w:val="32"/>
          <w:szCs w:val="32"/>
          <w:lang w:val="en-US" w:eastAsia="zh-CN"/>
        </w:rPr>
        <w:t>使用资金，确保资金的专款专用。</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（二）组织实施情况。</w:t>
      </w:r>
    </w:p>
    <w:p>
      <w:pPr>
        <w:keepNext w:val="0"/>
        <w:keepLines w:val="0"/>
        <w:pageBreakBefore w:val="0"/>
        <w:numPr>
          <w:ilvl w:val="0"/>
          <w:numId w:val="0"/>
        </w:numPr>
        <w:kinsoku/>
        <w:overflowPunct/>
        <w:topLinePunct w:val="0"/>
        <w:autoSpaceDE/>
        <w:autoSpaceDN/>
        <w:bidi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资金严格按项目管理制度，</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rPr>
        <w:t>三、目标完成情况</w:t>
      </w:r>
      <w:r>
        <w:rPr>
          <w:rFonts w:hint="eastAsia" w:ascii="仿宋" w:hAnsi="仿宋" w:eastAsia="仿宋" w:cs="仿宋"/>
          <w:sz w:val="32"/>
          <w:szCs w:val="32"/>
          <w:lang w:val="zh-CN"/>
        </w:rPr>
        <w:tab/>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（一）目标任务量完成情况。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按时完成了目标任务。</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（二）目标质量完成情况。</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2020年全年，圆满完成原定目标绩效任务。各项指标均达到并超过合格要求线。</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（三）目标进度完成情况。</w:t>
      </w:r>
    </w:p>
    <w:p>
      <w:pPr>
        <w:keepNext w:val="0"/>
        <w:keepLines w:val="0"/>
        <w:pageBreakBefore w:val="0"/>
        <w:kinsoku/>
        <w:overflowPunct/>
        <w:topLinePunct w:val="0"/>
        <w:autoSpaceDE/>
        <w:autoSpaceDN/>
        <w:bidi w:val="0"/>
        <w:adjustRightInd w:val="0"/>
        <w:snapToGrid w:val="0"/>
        <w:spacing w:line="520" w:lineRule="exact"/>
        <w:ind w:firstLine="800" w:firstLineChars="25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我单位严格执行相关规定，及时考核目标任务执行进度情况，促使目标进度及时完成。</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项目效益情况</w:t>
      </w:r>
    </w:p>
    <w:p>
      <w:pPr>
        <w:keepNext w:val="0"/>
        <w:keepLines w:val="0"/>
        <w:pageBreakBefore w:val="0"/>
        <w:numPr>
          <w:ilvl w:val="0"/>
          <w:numId w:val="0"/>
        </w:numPr>
        <w:kinsoku/>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受益群众生活质量有效提高；提升社会形象，促进社会和谐发展。</w:t>
      </w:r>
    </w:p>
    <w:p>
      <w:pPr>
        <w:keepNext w:val="0"/>
        <w:keepLines w:val="0"/>
        <w:pageBreakBefore w:val="0"/>
        <w:numPr>
          <w:ilvl w:val="0"/>
          <w:numId w:val="0"/>
        </w:numPr>
        <w:kinsoku/>
        <w:overflowPunct/>
        <w:topLinePunct w:val="0"/>
        <w:autoSpaceDE/>
        <w:autoSpaceDN/>
        <w:bidi w:val="0"/>
        <w:adjustRightInd w:val="0"/>
        <w:snapToGrid w:val="0"/>
        <w:spacing w:line="520" w:lineRule="exact"/>
        <w:ind w:left="720" w:leftChars="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问题及建议</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rPr>
      </w:pPr>
      <w:r>
        <w:rPr>
          <w:rFonts w:hint="eastAsia" w:ascii="仿宋" w:hAnsi="仿宋" w:eastAsia="仿宋" w:cs="仿宋"/>
          <w:b/>
          <w:sz w:val="32"/>
          <w:szCs w:val="32"/>
          <w:lang w:val="zh-CN"/>
        </w:rPr>
        <w:t>（一）</w:t>
      </w:r>
      <w:r>
        <w:rPr>
          <w:rFonts w:hint="eastAsia" w:ascii="仿宋" w:hAnsi="仿宋" w:eastAsia="仿宋" w:cs="仿宋"/>
          <w:b/>
          <w:bCs/>
          <w:sz w:val="32"/>
          <w:szCs w:val="32"/>
          <w:lang w:val="zh-CN" w:eastAsia="zh-CN"/>
        </w:rPr>
        <w:t>存在的问题</w:t>
      </w:r>
      <w:r>
        <w:rPr>
          <w:rFonts w:hint="eastAsia" w:ascii="仿宋" w:hAnsi="仿宋" w:eastAsia="仿宋" w:cs="仿宋"/>
          <w:b/>
          <w:sz w:val="32"/>
          <w:szCs w:val="32"/>
          <w:lang w:val="zh-CN"/>
        </w:rPr>
        <w:t>。</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项目预算的准确性还不够高，实际使用中乡镇存在较大缺口，支出责任与资金预算不成正比。</w:t>
      </w:r>
    </w:p>
    <w:p>
      <w:pPr>
        <w:keepNext w:val="0"/>
        <w:keepLines w:val="0"/>
        <w:pageBreakBefore w:val="0"/>
        <w:numPr>
          <w:ilvl w:val="0"/>
          <w:numId w:val="0"/>
        </w:numPr>
        <w:tabs>
          <w:tab w:val="left" w:pos="1383"/>
        </w:tabs>
        <w:kinsoku/>
        <w:overflowPunct/>
        <w:topLinePunct w:val="0"/>
        <w:autoSpaceDE/>
        <w:autoSpaceDN/>
        <w:bidi w:val="0"/>
        <w:adjustRightInd w:val="0"/>
        <w:snapToGrid w:val="0"/>
        <w:spacing w:line="520" w:lineRule="exact"/>
        <w:ind w:firstLine="964" w:firstLineChars="300"/>
        <w:textAlignment w:val="auto"/>
        <w:rPr>
          <w:rFonts w:hint="eastAsia" w:ascii="仿宋" w:hAnsi="仿宋" w:eastAsia="仿宋" w:cs="仿宋"/>
          <w:b/>
          <w:sz w:val="32"/>
          <w:szCs w:val="32"/>
          <w:lang w:val="zh-CN"/>
        </w:rPr>
      </w:pPr>
      <w:r>
        <w:rPr>
          <w:rFonts w:hint="eastAsia" w:ascii="仿宋" w:hAnsi="仿宋" w:eastAsia="仿宋" w:cs="仿宋"/>
          <w:b/>
          <w:sz w:val="32"/>
          <w:szCs w:val="32"/>
          <w:lang w:val="en-US" w:eastAsia="zh-CN"/>
        </w:rPr>
        <w:t>(二)</w:t>
      </w:r>
      <w:r>
        <w:rPr>
          <w:rFonts w:hint="eastAsia" w:ascii="仿宋" w:hAnsi="仿宋" w:eastAsia="仿宋" w:cs="仿宋"/>
          <w:b/>
          <w:sz w:val="32"/>
          <w:szCs w:val="32"/>
          <w:lang w:val="zh-CN"/>
        </w:rPr>
        <w:t>相关建议。</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强化绩效理念，深入推进评价工作。</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强化事前准备，提升评价质量。</w:t>
      </w:r>
    </w:p>
    <w:p>
      <w:pPr>
        <w:keepNext w:val="0"/>
        <w:keepLines w:val="0"/>
        <w:pageBreakBefore w:val="0"/>
        <w:kinsoku/>
        <w:overflowPunct/>
        <w:topLinePunct w:val="0"/>
        <w:autoSpaceDE/>
        <w:autoSpaceDN/>
        <w:bidi w:val="0"/>
        <w:adjustRightInd w:val="0"/>
        <w:snapToGrid w:val="0"/>
        <w:spacing w:line="52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强化结果应用，巩固评价成效。</w:t>
      </w: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72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通江县长坪镇人民政府</w:t>
      </w:r>
    </w:p>
    <w:p>
      <w:pPr>
        <w:keepNext w:val="0"/>
        <w:keepLines w:val="0"/>
        <w:pageBreakBefore w:val="0"/>
        <w:kinsoku/>
        <w:wordWrap/>
        <w:overflowPunct/>
        <w:topLinePunct w:val="0"/>
        <w:bidi w:val="0"/>
        <w:spacing w:line="360" w:lineRule="auto"/>
        <w:jc w:val="both"/>
        <w:textAlignment w:val="auto"/>
        <w:rPr>
          <w:rFonts w:hint="default" w:ascii="仿宋" w:hAnsi="仿宋" w:eastAsia="仿宋" w:cs="仿宋"/>
          <w:b w:val="0"/>
          <w:bCs w:val="0"/>
          <w:sz w:val="32"/>
          <w:szCs w:val="32"/>
          <w:lang w:val="en-US" w:eastAsia="zh-CN"/>
        </w:rPr>
      </w:pPr>
    </w:p>
    <w:p>
      <w:pPr>
        <w:spacing w:line="600" w:lineRule="exact"/>
        <w:jc w:val="left"/>
        <w:outlineLvl w:val="0"/>
        <w:rPr>
          <w:rFonts w:hint="eastAsia" w:ascii="黑体" w:hAnsi="黑体" w:eastAsia="黑体" w:cs="黑体"/>
          <w:sz w:val="32"/>
          <w:szCs w:val="32"/>
        </w:rPr>
      </w:pP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Style w:val="25"/>
          <w:rFonts w:ascii="黑体" w:hAnsi="黑体" w:eastAsia="黑体"/>
          <w:b w:val="0"/>
        </w:rPr>
      </w:pPr>
    </w:p>
    <w:p>
      <w:pPr>
        <w:spacing w:line="600" w:lineRule="exact"/>
        <w:jc w:val="center"/>
        <w:outlineLvl w:val="0"/>
        <w:rPr>
          <w:rFonts w:hint="eastAsia" w:ascii="黑体" w:hAnsi="黑体" w:eastAsia="黑体"/>
          <w:color w:val="000000"/>
          <w:sz w:val="44"/>
          <w:szCs w:val="44"/>
        </w:rPr>
      </w:pPr>
      <w:bookmarkStart w:id="96"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bookmarkStart w:id="97" w:name="_Toc11968"/>
      <w:r>
        <w:rPr>
          <w:rFonts w:hint="eastAsia" w:ascii="黑体" w:hAnsi="黑体" w:eastAsia="黑体"/>
          <w:color w:val="000000"/>
          <w:sz w:val="44"/>
          <w:szCs w:val="44"/>
        </w:rPr>
        <w:t>第</w:t>
      </w:r>
      <w:r>
        <w:rPr>
          <w:rStyle w:val="25"/>
          <w:rFonts w:hint="eastAsia" w:ascii="黑体" w:hAnsi="黑体" w:eastAsia="黑体"/>
          <w:b w:val="0"/>
        </w:rPr>
        <w:t>五部分 附表</w:t>
      </w:r>
      <w:bookmarkEnd w:id="92"/>
      <w:bookmarkEnd w:id="96"/>
      <w:bookmarkEnd w:id="97"/>
    </w:p>
    <w:p>
      <w:pPr>
        <w:pStyle w:val="3"/>
        <w:rPr>
          <w:rFonts w:ascii="仿宋" w:hAnsi="仿宋" w:eastAsia="仿宋"/>
          <w:color w:val="000000"/>
        </w:rPr>
      </w:pPr>
      <w:bookmarkStart w:id="98" w:name="_Toc5127"/>
      <w:bookmarkStart w:id="9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98"/>
      <w:bookmarkEnd w:id="99"/>
    </w:p>
    <w:p>
      <w:pPr>
        <w:pStyle w:val="3"/>
        <w:rPr>
          <w:rFonts w:ascii="仿宋" w:hAnsi="仿宋" w:eastAsia="仿宋"/>
          <w:color w:val="000000"/>
        </w:rPr>
      </w:pPr>
      <w:bookmarkStart w:id="100" w:name="_Toc15396620"/>
      <w:bookmarkStart w:id="101" w:name="_Toc3248"/>
      <w:r>
        <w:rPr>
          <w:rFonts w:hint="eastAsia" w:ascii="仿宋" w:hAnsi="仿宋" w:eastAsia="仿宋"/>
          <w:b w:val="0"/>
          <w:color w:val="000000"/>
        </w:rPr>
        <w:t>二、收</w:t>
      </w:r>
      <w:r>
        <w:rPr>
          <w:rStyle w:val="26"/>
          <w:rFonts w:hint="eastAsia" w:ascii="仿宋" w:hAnsi="仿宋" w:eastAsia="仿宋"/>
          <w:b w:val="0"/>
          <w:bCs w:val="0"/>
        </w:rPr>
        <w:t>入决算表</w:t>
      </w:r>
      <w:bookmarkEnd w:id="100"/>
      <w:bookmarkEnd w:id="101"/>
    </w:p>
    <w:p>
      <w:pPr>
        <w:pStyle w:val="3"/>
        <w:rPr>
          <w:rFonts w:ascii="仿宋" w:hAnsi="仿宋" w:eastAsia="仿宋"/>
          <w:color w:val="000000"/>
        </w:rPr>
      </w:pPr>
      <w:bookmarkStart w:id="102" w:name="_Toc10534"/>
      <w:bookmarkStart w:id="10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102"/>
      <w:bookmarkEnd w:id="103"/>
    </w:p>
    <w:p>
      <w:pPr>
        <w:pStyle w:val="3"/>
        <w:rPr>
          <w:rFonts w:ascii="仿宋" w:hAnsi="仿宋" w:eastAsia="仿宋"/>
          <w:b w:val="0"/>
          <w:color w:val="000000"/>
        </w:rPr>
      </w:pPr>
      <w:bookmarkStart w:id="104" w:name="_Toc15396622"/>
      <w:bookmarkStart w:id="105" w:name="_Toc158"/>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04"/>
      <w:bookmarkEnd w:id="105"/>
    </w:p>
    <w:p>
      <w:pPr>
        <w:pStyle w:val="3"/>
        <w:rPr>
          <w:rStyle w:val="26"/>
          <w:rFonts w:ascii="仿宋" w:hAnsi="仿宋" w:eastAsia="仿宋"/>
          <w:b w:val="0"/>
          <w:bCs w:val="0"/>
        </w:rPr>
      </w:pPr>
      <w:bookmarkStart w:id="106" w:name="_Toc15396623"/>
      <w:bookmarkStart w:id="107" w:name="_Toc29467"/>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06"/>
      <w:bookmarkEnd w:id="107"/>
      <w:bookmarkStart w:id="108" w:name="_Toc15396624"/>
    </w:p>
    <w:p>
      <w:pPr>
        <w:pStyle w:val="3"/>
        <w:rPr>
          <w:rFonts w:ascii="仿宋" w:hAnsi="仿宋" w:eastAsia="仿宋"/>
          <w:color w:val="000000"/>
        </w:rPr>
      </w:pPr>
      <w:bookmarkStart w:id="109" w:name="_Toc29349"/>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108"/>
      <w:bookmarkEnd w:id="109"/>
    </w:p>
    <w:p>
      <w:pPr>
        <w:pStyle w:val="3"/>
        <w:rPr>
          <w:rFonts w:ascii="仿宋" w:hAnsi="仿宋" w:eastAsia="仿宋"/>
          <w:color w:val="000000"/>
        </w:rPr>
      </w:pPr>
      <w:bookmarkStart w:id="110" w:name="_Toc27123"/>
      <w:bookmarkStart w:id="11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110"/>
      <w:bookmarkEnd w:id="111"/>
    </w:p>
    <w:p>
      <w:pPr>
        <w:pStyle w:val="3"/>
        <w:rPr>
          <w:rFonts w:ascii="仿宋" w:hAnsi="仿宋" w:eastAsia="仿宋"/>
          <w:color w:val="000000"/>
        </w:rPr>
      </w:pPr>
      <w:bookmarkStart w:id="112" w:name="_Toc15396626"/>
      <w:bookmarkStart w:id="113" w:name="_Toc29052"/>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112"/>
      <w:bookmarkEnd w:id="113"/>
    </w:p>
    <w:p>
      <w:pPr>
        <w:pStyle w:val="3"/>
        <w:rPr>
          <w:rFonts w:ascii="仿宋" w:hAnsi="仿宋" w:eastAsia="仿宋"/>
          <w:color w:val="000000"/>
        </w:rPr>
      </w:pPr>
      <w:bookmarkStart w:id="114" w:name="_Toc25851"/>
      <w:bookmarkStart w:id="11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114"/>
      <w:bookmarkEnd w:id="115"/>
    </w:p>
    <w:p>
      <w:pPr>
        <w:pStyle w:val="3"/>
        <w:rPr>
          <w:rFonts w:ascii="仿宋" w:hAnsi="仿宋" w:eastAsia="仿宋"/>
          <w:color w:val="000000"/>
        </w:rPr>
      </w:pPr>
      <w:bookmarkStart w:id="116" w:name="_Toc15396628"/>
      <w:bookmarkStart w:id="117" w:name="_Toc13534"/>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116"/>
      <w:bookmarkEnd w:id="117"/>
    </w:p>
    <w:p>
      <w:pPr>
        <w:pStyle w:val="3"/>
        <w:rPr>
          <w:rFonts w:ascii="仿宋" w:hAnsi="仿宋" w:eastAsia="仿宋"/>
          <w:color w:val="000000"/>
        </w:rPr>
      </w:pPr>
      <w:bookmarkStart w:id="118" w:name="_Toc15396629"/>
      <w:bookmarkStart w:id="119" w:name="_Toc11267"/>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18"/>
      <w:bookmarkEnd w:id="119"/>
    </w:p>
    <w:p>
      <w:pPr>
        <w:pStyle w:val="3"/>
        <w:rPr>
          <w:rFonts w:ascii="仿宋" w:hAnsi="仿宋" w:eastAsia="仿宋"/>
          <w:color w:val="000000"/>
        </w:rPr>
      </w:pPr>
      <w:bookmarkStart w:id="120" w:name="_Toc8282"/>
      <w:bookmarkStart w:id="12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20"/>
      <w:bookmarkEnd w:id="121"/>
    </w:p>
    <w:p>
      <w:pPr>
        <w:pStyle w:val="3"/>
        <w:rPr>
          <w:rFonts w:ascii="仿宋" w:hAnsi="仿宋" w:eastAsia="仿宋"/>
          <w:color w:val="000000" w:themeColor="text1"/>
          <w14:textFill>
            <w14:solidFill>
              <w14:schemeClr w14:val="tx1"/>
            </w14:solidFill>
          </w14:textFill>
        </w:rPr>
      </w:pPr>
      <w:bookmarkStart w:id="122" w:name="_Toc19313"/>
      <w:bookmarkStart w:id="12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22"/>
      <w:bookmarkEnd w:id="12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2099C"/>
    <w:multiLevelType w:val="singleLevel"/>
    <w:tmpl w:val="8982099C"/>
    <w:lvl w:ilvl="0" w:tentative="0">
      <w:start w:val="2"/>
      <w:numFmt w:val="chineseCounting"/>
      <w:suff w:val="nothing"/>
      <w:lvlText w:val="%1、"/>
      <w:lvlJc w:val="left"/>
      <w:rPr>
        <w:rFonts w:hint="eastAsia"/>
      </w:rPr>
    </w:lvl>
  </w:abstractNum>
  <w:abstractNum w:abstractNumId="1">
    <w:nsid w:val="B03BE5B0"/>
    <w:multiLevelType w:val="singleLevel"/>
    <w:tmpl w:val="B03BE5B0"/>
    <w:lvl w:ilvl="0" w:tentative="0">
      <w:start w:val="1"/>
      <w:numFmt w:val="chineseCounting"/>
      <w:suff w:val="nothing"/>
      <w:lvlText w:val="（%1）"/>
      <w:lvlJc w:val="left"/>
      <w:rPr>
        <w:rFonts w:hint="eastAsia"/>
      </w:rPr>
    </w:lvl>
  </w:abstractNum>
  <w:abstractNum w:abstractNumId="2">
    <w:nsid w:val="B27BAA86"/>
    <w:multiLevelType w:val="singleLevel"/>
    <w:tmpl w:val="B27BAA86"/>
    <w:lvl w:ilvl="0" w:tentative="0">
      <w:start w:val="3"/>
      <w:numFmt w:val="chineseCounting"/>
      <w:lvlText w:val="(%1)"/>
      <w:lvlJc w:val="left"/>
      <w:pPr>
        <w:tabs>
          <w:tab w:val="left" w:pos="312"/>
        </w:tabs>
      </w:pPr>
      <w:rPr>
        <w:rFonts w:hint="eastAsia"/>
      </w:rPr>
    </w:lvl>
  </w:abstractNum>
  <w:abstractNum w:abstractNumId="3">
    <w:nsid w:val="BE0B9C0A"/>
    <w:multiLevelType w:val="singleLevel"/>
    <w:tmpl w:val="BE0B9C0A"/>
    <w:lvl w:ilvl="0" w:tentative="0">
      <w:start w:val="1"/>
      <w:numFmt w:val="decimal"/>
      <w:lvlText w:val="%1."/>
      <w:lvlJc w:val="left"/>
      <w:pPr>
        <w:tabs>
          <w:tab w:val="left" w:pos="312"/>
        </w:tabs>
      </w:pPr>
    </w:lvl>
  </w:abstractNum>
  <w:abstractNum w:abstractNumId="4">
    <w:nsid w:val="CD79EBDE"/>
    <w:multiLevelType w:val="singleLevel"/>
    <w:tmpl w:val="CD79EBDE"/>
    <w:lvl w:ilvl="0" w:tentative="0">
      <w:start w:val="4"/>
      <w:numFmt w:val="chineseCounting"/>
      <w:suff w:val="nothing"/>
      <w:lvlText w:val="%1、"/>
      <w:lvlJc w:val="left"/>
      <w:rPr>
        <w:rFonts w:hint="eastAsia"/>
      </w:rPr>
    </w:lvl>
  </w:abstractNum>
  <w:abstractNum w:abstractNumId="5">
    <w:nsid w:val="CF652CEC"/>
    <w:multiLevelType w:val="singleLevel"/>
    <w:tmpl w:val="CF652CEC"/>
    <w:lvl w:ilvl="0" w:tentative="0">
      <w:start w:val="9"/>
      <w:numFmt w:val="chineseCounting"/>
      <w:suff w:val="nothing"/>
      <w:lvlText w:val="%1、"/>
      <w:lvlJc w:val="left"/>
      <w:rPr>
        <w:rFonts w:hint="eastAsia"/>
      </w:rPr>
    </w:lvl>
  </w:abstractNum>
  <w:abstractNum w:abstractNumId="6">
    <w:nsid w:val="D5D184E0"/>
    <w:multiLevelType w:val="singleLevel"/>
    <w:tmpl w:val="D5D184E0"/>
    <w:lvl w:ilvl="0" w:tentative="0">
      <w:start w:val="4"/>
      <w:numFmt w:val="chineseCounting"/>
      <w:suff w:val="nothing"/>
      <w:lvlText w:val="%1、"/>
      <w:lvlJc w:val="left"/>
      <w:rPr>
        <w:rFonts w:hint="eastAsia"/>
      </w:rPr>
    </w:lvl>
  </w:abstractNum>
  <w:abstractNum w:abstractNumId="7">
    <w:nsid w:val="D95FB501"/>
    <w:multiLevelType w:val="singleLevel"/>
    <w:tmpl w:val="D95FB501"/>
    <w:lvl w:ilvl="0" w:tentative="0">
      <w:start w:val="1"/>
      <w:numFmt w:val="chineseCounting"/>
      <w:suff w:val="nothing"/>
      <w:lvlText w:val="%1、"/>
      <w:lvlJc w:val="left"/>
      <w:rPr>
        <w:rFonts w:hint="eastAsia"/>
      </w:rPr>
    </w:lvl>
  </w:abstractNum>
  <w:abstractNum w:abstractNumId="8">
    <w:nsid w:val="E2FA047D"/>
    <w:multiLevelType w:val="singleLevel"/>
    <w:tmpl w:val="E2FA047D"/>
    <w:lvl w:ilvl="0" w:tentative="0">
      <w:start w:val="3"/>
      <w:numFmt w:val="chineseCounting"/>
      <w:suff w:val="space"/>
      <w:lvlText w:val="第%1部分"/>
      <w:lvlJc w:val="left"/>
      <w:rPr>
        <w:rFonts w:hint="eastAsia"/>
      </w:rPr>
    </w:lvl>
  </w:abstractNum>
  <w:abstractNum w:abstractNumId="9">
    <w:nsid w:val="E6B0744A"/>
    <w:multiLevelType w:val="singleLevel"/>
    <w:tmpl w:val="E6B0744A"/>
    <w:lvl w:ilvl="0" w:tentative="0">
      <w:start w:val="1"/>
      <w:numFmt w:val="chineseCounting"/>
      <w:suff w:val="nothing"/>
      <w:lvlText w:val="%1、"/>
      <w:lvlJc w:val="left"/>
      <w:rPr>
        <w:rFonts w:hint="eastAsia"/>
      </w:rPr>
    </w:lvl>
  </w:abstractNum>
  <w:abstractNum w:abstractNumId="1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17C358C7"/>
    <w:multiLevelType w:val="singleLevel"/>
    <w:tmpl w:val="17C358C7"/>
    <w:lvl w:ilvl="0" w:tentative="0">
      <w:start w:val="2"/>
      <w:numFmt w:val="chineseCounting"/>
      <w:suff w:val="nothing"/>
      <w:lvlText w:val="（%1）"/>
      <w:lvlJc w:val="left"/>
      <w:rPr>
        <w:rFonts w:hint="eastAsia"/>
      </w:rPr>
    </w:lvl>
  </w:abstractNum>
  <w:abstractNum w:abstractNumId="12">
    <w:nsid w:val="71C44D13"/>
    <w:multiLevelType w:val="singleLevel"/>
    <w:tmpl w:val="71C44D13"/>
    <w:lvl w:ilvl="0" w:tentative="0">
      <w:start w:val="2"/>
      <w:numFmt w:val="chineseCounting"/>
      <w:suff w:val="nothing"/>
      <w:lvlText w:val="（%1）"/>
      <w:lvlJc w:val="left"/>
      <w:rPr>
        <w:rFonts w:hint="eastAsia"/>
      </w:rPr>
    </w:lvl>
  </w:abstractNum>
  <w:abstractNum w:abstractNumId="13">
    <w:nsid w:val="7D0F18E3"/>
    <w:multiLevelType w:val="singleLevel"/>
    <w:tmpl w:val="7D0F18E3"/>
    <w:lvl w:ilvl="0" w:tentative="0">
      <w:start w:val="1"/>
      <w:numFmt w:val="chineseCounting"/>
      <w:suff w:val="nothing"/>
      <w:lvlText w:val="%1、"/>
      <w:lvlJc w:val="left"/>
      <w:rPr>
        <w:rFonts w:hint="eastAsia"/>
      </w:rPr>
    </w:lvl>
  </w:abstractNum>
  <w:num w:numId="1">
    <w:abstractNumId w:val="0"/>
  </w:num>
  <w:num w:numId="2">
    <w:abstractNumId w:val="10"/>
  </w:num>
  <w:num w:numId="3">
    <w:abstractNumId w:val="5"/>
  </w:num>
  <w:num w:numId="4">
    <w:abstractNumId w:val="3"/>
  </w:num>
  <w:num w:numId="5">
    <w:abstractNumId w:val="8"/>
  </w:num>
  <w:num w:numId="6">
    <w:abstractNumId w:val="9"/>
  </w:num>
  <w:num w:numId="7">
    <w:abstractNumId w:val="2"/>
  </w:num>
  <w:num w:numId="8">
    <w:abstractNumId w:val="6"/>
  </w:num>
  <w:num w:numId="9">
    <w:abstractNumId w:val="1"/>
  </w:num>
  <w:num w:numId="10">
    <w:abstractNumId w:val="7"/>
  </w:num>
  <w:num w:numId="11">
    <w:abstractNumId w:val="11"/>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2385C55"/>
    <w:rsid w:val="052B32A5"/>
    <w:rsid w:val="080C1232"/>
    <w:rsid w:val="0A404A46"/>
    <w:rsid w:val="0A695F06"/>
    <w:rsid w:val="0CBA7891"/>
    <w:rsid w:val="1029279C"/>
    <w:rsid w:val="10C055FF"/>
    <w:rsid w:val="10EB6F18"/>
    <w:rsid w:val="16BB723D"/>
    <w:rsid w:val="18934E8B"/>
    <w:rsid w:val="198A435C"/>
    <w:rsid w:val="1DB16290"/>
    <w:rsid w:val="1DBE22C0"/>
    <w:rsid w:val="1E2133DD"/>
    <w:rsid w:val="1F523DCB"/>
    <w:rsid w:val="23CF3E1E"/>
    <w:rsid w:val="23F169F8"/>
    <w:rsid w:val="240371BF"/>
    <w:rsid w:val="2443374B"/>
    <w:rsid w:val="29FD04D3"/>
    <w:rsid w:val="2E7A0193"/>
    <w:rsid w:val="2EF703EC"/>
    <w:rsid w:val="319F7F4E"/>
    <w:rsid w:val="32A35CCF"/>
    <w:rsid w:val="34691D96"/>
    <w:rsid w:val="3AB7700C"/>
    <w:rsid w:val="3F552523"/>
    <w:rsid w:val="40274BE0"/>
    <w:rsid w:val="40FE0902"/>
    <w:rsid w:val="42967B32"/>
    <w:rsid w:val="45A9582A"/>
    <w:rsid w:val="4C0A6C13"/>
    <w:rsid w:val="4ECE2238"/>
    <w:rsid w:val="4F3240DA"/>
    <w:rsid w:val="5A120483"/>
    <w:rsid w:val="5C4D0474"/>
    <w:rsid w:val="601A305F"/>
    <w:rsid w:val="62324646"/>
    <w:rsid w:val="62B63C6B"/>
    <w:rsid w:val="64DB702B"/>
    <w:rsid w:val="65132B04"/>
    <w:rsid w:val="66BA6E84"/>
    <w:rsid w:val="6A7A5239"/>
    <w:rsid w:val="6BFC19E5"/>
    <w:rsid w:val="6D040A07"/>
    <w:rsid w:val="6ECE4D15"/>
    <w:rsid w:val="70DF5314"/>
    <w:rsid w:val="72734D90"/>
    <w:rsid w:val="73DA6BAC"/>
    <w:rsid w:val="7CC671E1"/>
    <w:rsid w:val="7F8660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01"/>
    <w:basedOn w:val="14"/>
    <w:qFormat/>
    <w:uiPriority w:val="0"/>
    <w:rPr>
      <w:rFonts w:hint="eastAsia" w:ascii="宋体" w:hAnsi="宋体" w:eastAsia="宋体" w:cs="宋体"/>
      <w:b/>
      <w:color w:val="000000"/>
      <w:sz w:val="32"/>
      <w:szCs w:val="32"/>
      <w:u w:val="none"/>
    </w:rPr>
  </w:style>
  <w:style w:type="character" w:customStyle="1" w:styleId="32">
    <w:name w:val="font51"/>
    <w:basedOn w:val="14"/>
    <w:qFormat/>
    <w:uiPriority w:val="0"/>
    <w:rPr>
      <w:rFonts w:hint="eastAsia" w:ascii="宋体" w:hAnsi="宋体" w:eastAsia="宋体" w:cs="宋体"/>
      <w:color w:val="000000"/>
      <w:sz w:val="32"/>
      <w:szCs w:val="32"/>
      <w:u w:val="none"/>
    </w:rPr>
  </w:style>
  <w:style w:type="character" w:customStyle="1" w:styleId="33">
    <w:name w:val="font61"/>
    <w:basedOn w:val="14"/>
    <w:qFormat/>
    <w:uiPriority w:val="0"/>
    <w:rPr>
      <w:rFonts w:hint="eastAsia" w:ascii="宋体" w:hAnsi="宋体" w:eastAsia="宋体" w:cs="宋体"/>
      <w:color w:val="000000"/>
      <w:sz w:val="20"/>
      <w:szCs w:val="20"/>
      <w:u w:val="none"/>
    </w:rPr>
  </w:style>
  <w:style w:type="character" w:customStyle="1" w:styleId="34">
    <w:name w:val="font11"/>
    <w:basedOn w:val="14"/>
    <w:qFormat/>
    <w:uiPriority w:val="0"/>
    <w:rPr>
      <w:rFonts w:hint="eastAsia" w:ascii="宋体" w:hAnsi="宋体" w:eastAsia="宋体" w:cs="宋体"/>
      <w:color w:val="000000"/>
      <w:sz w:val="20"/>
      <w:szCs w:val="20"/>
      <w:u w:val="none"/>
    </w:rPr>
  </w:style>
  <w:style w:type="paragraph" w:customStyle="1" w:styleId="35">
    <w:name w:val="四号正文"/>
    <w:basedOn w:val="1"/>
    <w:qFormat/>
    <w:uiPriority w:val="0"/>
    <w:pPr>
      <w:spacing w:line="360" w:lineRule="auto"/>
    </w:pPr>
    <w:rPr>
      <w:rFonts w:ascii="??" w:hAnsi="??" w:eastAsia="宋体" w:cs="宋体"/>
      <w:color w:val="000000"/>
      <w:kern w:val="0"/>
      <w:sz w:val="28"/>
      <w:szCs w:val="21"/>
    </w:rPr>
  </w:style>
  <w:style w:type="character" w:customStyle="1" w:styleId="36">
    <w:name w:val=" Char Char6"/>
    <w:basedOn w:val="14"/>
    <w:link w:val="2"/>
    <w:qFormat/>
    <w:locked/>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2019年</c:v>
                </c:pt>
              </c:strCache>
            </c:strRef>
          </c:tx>
          <c:spPr>
            <a:solidFill>
              <a:schemeClr val="accent1"/>
            </a:solidFill>
            <a:ln>
              <a:noFill/>
            </a:ln>
            <a:effectLst/>
          </c:spPr>
          <c:invertIfNegative val="0"/>
          <c:dLbls>
            <c:delete val="1"/>
          </c:dLbls>
          <c:cat>
            <c:strRef>
              <c:f>[工作簿1]Sheet1!$B$1:$C$1</c:f>
              <c:strCache>
                <c:ptCount val="2"/>
                <c:pt idx="0">
                  <c:v>收入</c:v>
                </c:pt>
                <c:pt idx="1">
                  <c:v>支出</c:v>
                </c:pt>
              </c:strCache>
            </c:strRef>
          </c:cat>
          <c:val>
            <c:numRef>
              <c:f>[工作簿1]Sheet1!$B$2:$C$2</c:f>
              <c:numCache>
                <c:formatCode>General</c:formatCode>
                <c:ptCount val="2"/>
                <c:pt idx="0">
                  <c:v>3722.09</c:v>
                </c:pt>
                <c:pt idx="1">
                  <c:v>3825.48</c:v>
                </c:pt>
              </c:numCache>
            </c:numRef>
          </c:val>
        </c:ser>
        <c:ser>
          <c:idx val="1"/>
          <c:order val="1"/>
          <c:tx>
            <c:strRef>
              <c:f>[工作簿1]Sheet1!$A$3</c:f>
              <c:strCache>
                <c:ptCount val="1"/>
                <c:pt idx="0">
                  <c:v>2020年</c:v>
                </c:pt>
              </c:strCache>
            </c:strRef>
          </c:tx>
          <c:spPr>
            <a:solidFill>
              <a:schemeClr val="accent2"/>
            </a:solidFill>
            <a:ln>
              <a:noFill/>
            </a:ln>
            <a:effectLst/>
          </c:spPr>
          <c:invertIfNegative val="0"/>
          <c:dLbls>
            <c:delete val="1"/>
          </c:dLbls>
          <c:cat>
            <c:strRef>
              <c:f>[工作簿1]Sheet1!$B$1:$C$1</c:f>
              <c:strCache>
                <c:ptCount val="2"/>
                <c:pt idx="0">
                  <c:v>收入</c:v>
                </c:pt>
                <c:pt idx="1">
                  <c:v>支出</c:v>
                </c:pt>
              </c:strCache>
            </c:strRef>
          </c:cat>
          <c:val>
            <c:numRef>
              <c:f>[工作簿1]Sheet1!$B$3:$C$3</c:f>
              <c:numCache>
                <c:formatCode>General</c:formatCode>
                <c:ptCount val="2"/>
                <c:pt idx="0">
                  <c:v>2557.47</c:v>
                </c:pt>
                <c:pt idx="1">
                  <c:v>2557.47</c:v>
                </c:pt>
              </c:numCache>
            </c:numRef>
          </c:val>
        </c:ser>
        <c:dLbls>
          <c:showLegendKey val="0"/>
          <c:showVal val="0"/>
          <c:showCatName val="0"/>
          <c:showSerName val="0"/>
          <c:showPercent val="0"/>
          <c:showBubbleSize val="0"/>
        </c:dLbls>
        <c:gapWidth val="219"/>
        <c:overlap val="-27"/>
        <c:axId val="835329228"/>
        <c:axId val="285673029"/>
      </c:barChart>
      <c:catAx>
        <c:axId val="8353292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673029"/>
        <c:crosses val="autoZero"/>
        <c:auto val="1"/>
        <c:lblAlgn val="ctr"/>
        <c:lblOffset val="100"/>
        <c:noMultiLvlLbl val="0"/>
      </c:catAx>
      <c:valAx>
        <c:axId val="2856730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3292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[工作簿1]Sheet1!$A$1:$A$3</c:f>
              <c:strCache>
                <c:ptCount val="3"/>
                <c:pt idx="0">
                  <c:v>一般公共预算财政拨款</c:v>
                </c:pt>
                <c:pt idx="1">
                  <c:v>事业收入</c:v>
                </c:pt>
                <c:pt idx="2">
                  <c:v>其他收入</c:v>
                </c:pt>
              </c:strCache>
            </c:strRef>
          </c:cat>
          <c:val>
            <c:numRef>
              <c:f>[工作簿1]Sheet1!$B$1:$B$3</c:f>
              <c:numCache>
                <c:formatCode>0%</c:formatCode>
                <c:ptCount val="3"/>
                <c:pt idx="0">
                  <c:v>0.91</c:v>
                </c:pt>
                <c:pt idx="1" c:formatCode="0.00%">
                  <c:v>0.069</c:v>
                </c:pt>
                <c:pt idx="2" c:formatCode="0.00%">
                  <c:v>0.021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5277777777778"/>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2019年</c:v>
                </c:pt>
              </c:strCache>
            </c:strRef>
          </c:tx>
          <c:spPr>
            <a:solidFill>
              <a:schemeClr val="accent1"/>
            </a:solidFill>
            <a:ln>
              <a:noFill/>
            </a:ln>
            <a:effectLst/>
          </c:spPr>
          <c:invertIfNegative val="0"/>
          <c:dLbls>
            <c:delete val="1"/>
          </c:dLbls>
          <c:cat>
            <c:strRef>
              <c:f>[工作簿1]Sheet1!$B$1:$C$1</c:f>
              <c:strCache>
                <c:ptCount val="2"/>
                <c:pt idx="0">
                  <c:v>收入</c:v>
                </c:pt>
                <c:pt idx="1">
                  <c:v>支出</c:v>
                </c:pt>
              </c:strCache>
            </c:strRef>
          </c:cat>
          <c:val>
            <c:numRef>
              <c:f>[工作簿1]Sheet1!$B$2:$C$2</c:f>
              <c:numCache>
                <c:formatCode>General</c:formatCode>
                <c:ptCount val="2"/>
                <c:pt idx="0">
                  <c:v>3722.09</c:v>
                </c:pt>
                <c:pt idx="1">
                  <c:v>3825.48</c:v>
                </c:pt>
              </c:numCache>
            </c:numRef>
          </c:val>
        </c:ser>
        <c:ser>
          <c:idx val="1"/>
          <c:order val="1"/>
          <c:tx>
            <c:strRef>
              <c:f>[工作簿1]Sheet1!$A$3</c:f>
              <c:strCache>
                <c:ptCount val="1"/>
                <c:pt idx="0">
                  <c:v>2020年</c:v>
                </c:pt>
              </c:strCache>
            </c:strRef>
          </c:tx>
          <c:spPr>
            <a:solidFill>
              <a:schemeClr val="accent2"/>
            </a:solidFill>
            <a:ln>
              <a:noFill/>
            </a:ln>
            <a:effectLst/>
          </c:spPr>
          <c:invertIfNegative val="0"/>
          <c:dLbls>
            <c:delete val="1"/>
          </c:dLbls>
          <c:cat>
            <c:strRef>
              <c:f>[工作簿1]Sheet1!$B$1:$C$1</c:f>
              <c:strCache>
                <c:ptCount val="2"/>
                <c:pt idx="0">
                  <c:v>收入</c:v>
                </c:pt>
                <c:pt idx="1">
                  <c:v>支出</c:v>
                </c:pt>
              </c:strCache>
            </c:strRef>
          </c:cat>
          <c:val>
            <c:numRef>
              <c:f>[工作簿1]Sheet1!$B$3:$C$3</c:f>
              <c:numCache>
                <c:formatCode>General</c:formatCode>
                <c:ptCount val="2"/>
                <c:pt idx="0">
                  <c:v>2557.47</c:v>
                </c:pt>
                <c:pt idx="1">
                  <c:v>2557.47</c:v>
                </c:pt>
              </c:numCache>
            </c:numRef>
          </c:val>
        </c:ser>
        <c:dLbls>
          <c:showLegendKey val="0"/>
          <c:showVal val="0"/>
          <c:showCatName val="0"/>
          <c:showSerName val="0"/>
          <c:showPercent val="0"/>
          <c:showBubbleSize val="0"/>
        </c:dLbls>
        <c:gapWidth val="219"/>
        <c:overlap val="-27"/>
        <c:axId val="835329228"/>
        <c:axId val="285673029"/>
      </c:barChart>
      <c:catAx>
        <c:axId val="8353292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673029"/>
        <c:crosses val="autoZero"/>
        <c:auto val="1"/>
        <c:lblAlgn val="ctr"/>
        <c:lblOffset val="100"/>
        <c:noMultiLvlLbl val="0"/>
      </c:catAx>
      <c:valAx>
        <c:axId val="2856730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3292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7DA4-7EC2-4A07-BA3B-28B96F11AC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1276</Words>
  <Characters>7279</Characters>
  <Lines>60</Lines>
  <Paragraphs>17</Paragraphs>
  <TotalTime>19</TotalTime>
  <ScaleCrop>false</ScaleCrop>
  <LinksUpToDate>false</LinksUpToDate>
  <CharactersWithSpaces>8538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2024-12-24T03:54:55Z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A2A1463ECE434D11980A402B681E1EE4</vt:lpwstr>
  </property>
</Properties>
</file>