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8CF14">
      <w:pPr>
        <w:spacing w:line="600" w:lineRule="exact"/>
        <w:jc w:val="center"/>
        <w:rPr>
          <w:rFonts w:ascii="方正小标宋简体" w:hAnsi="宋体" w:eastAsia="方正小标宋简体"/>
          <w:sz w:val="72"/>
          <w:szCs w:val="72"/>
        </w:rPr>
      </w:pPr>
      <w:bookmarkStart w:id="0" w:name="_Toc15306267"/>
    </w:p>
    <w:p w14:paraId="572CE4B1">
      <w:pPr>
        <w:spacing w:line="600" w:lineRule="exact"/>
        <w:jc w:val="center"/>
        <w:rPr>
          <w:rFonts w:ascii="方正小标宋简体" w:hAnsi="宋体" w:eastAsia="方正小标宋简体"/>
          <w:sz w:val="72"/>
          <w:szCs w:val="72"/>
        </w:rPr>
      </w:pPr>
    </w:p>
    <w:p w14:paraId="704E3D81">
      <w:pPr>
        <w:spacing w:line="600" w:lineRule="exact"/>
        <w:jc w:val="center"/>
        <w:rPr>
          <w:rFonts w:ascii="方正小标宋简体" w:hAnsi="宋体" w:eastAsia="方正小标宋简体"/>
          <w:sz w:val="72"/>
          <w:szCs w:val="72"/>
        </w:rPr>
      </w:pPr>
    </w:p>
    <w:p w14:paraId="049A6A97">
      <w:pPr>
        <w:spacing w:line="600" w:lineRule="exact"/>
        <w:jc w:val="center"/>
        <w:rPr>
          <w:rFonts w:ascii="方正小标宋简体" w:hAnsi="宋体" w:eastAsia="方正小标宋简体"/>
          <w:sz w:val="72"/>
          <w:szCs w:val="72"/>
        </w:rPr>
      </w:pPr>
    </w:p>
    <w:p w14:paraId="32F7C58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597"/>
      <w:bookmarkStart w:id="4" w:name="_Toc15396475"/>
      <w:bookmarkStart w:id="5" w:name="_Toc8117"/>
      <w:bookmarkStart w:id="6"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14:paraId="6662698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5378442"/>
      <w:bookmarkStart w:id="9" w:name="_Toc15377426"/>
      <w:bookmarkStart w:id="10" w:name="_Toc11826"/>
      <w:bookmarkStart w:id="11" w:name="_Toc15396598"/>
      <w:bookmarkStart w:id="12" w:name="_Toc15377194"/>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巴中市通江县诺水河中心卫生院单位决算</w:t>
      </w:r>
      <w:bookmarkEnd w:id="7"/>
      <w:bookmarkEnd w:id="8"/>
      <w:bookmarkEnd w:id="9"/>
      <w:bookmarkEnd w:id="10"/>
      <w:bookmarkEnd w:id="11"/>
      <w:bookmarkEnd w:id="12"/>
      <w:bookmarkEnd w:id="13"/>
    </w:p>
    <w:p w14:paraId="380A4FEF">
      <w:pPr>
        <w:widowControl/>
        <w:jc w:val="center"/>
        <w:rPr>
          <w:rFonts w:ascii="黑体" w:hAnsi="黑体"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14:paraId="4117CBD6">
      <w:pPr>
        <w:pStyle w:val="12"/>
        <w:jc w:val="center"/>
        <w:rPr>
          <w:rFonts w:ascii="黑体" w:hAnsi="黑体" w:eastAsia="黑体" w:cs="黑体"/>
          <w:color w:val="000000"/>
        </w:rPr>
      </w:pPr>
      <w:bookmarkStart w:id="14" w:name="_Toc21330"/>
      <w:bookmarkStart w:id="15" w:name="_Toc13257"/>
      <w:bookmarkStart w:id="16" w:name="_Toc13394"/>
      <w:bookmarkStart w:id="17" w:name="_Toc15377196"/>
      <w:bookmarkStart w:id="18" w:name="_Toc15396599"/>
      <w:r>
        <w:rPr>
          <w:rFonts w:hint="eastAsia" w:ascii="黑体" w:hAnsi="黑体" w:eastAsia="黑体" w:cs="黑体"/>
          <w:bCs w:val="0"/>
        </w:rPr>
        <w:t>第一部分</w:t>
      </w:r>
      <w:r>
        <w:rPr>
          <w:rStyle w:val="28"/>
          <w:rFonts w:hint="eastAsia" w:ascii="黑体" w:hAnsi="黑体" w:eastAsia="黑体" w:cs="黑体"/>
          <w:b/>
          <w:bCs w:val="0"/>
        </w:rPr>
        <w:t>部门概况</w:t>
      </w:r>
      <w:bookmarkEnd w:id="14"/>
      <w:bookmarkEnd w:id="15"/>
      <w:bookmarkEnd w:id="16"/>
    </w:p>
    <w:p w14:paraId="48F3B080">
      <w:pPr>
        <w:pStyle w:val="13"/>
        <w:spacing w:before="0" w:after="0" w:line="560" w:lineRule="exact"/>
        <w:ind w:firstLine="640" w:firstLineChars="200"/>
        <w:rPr>
          <w:rStyle w:val="29"/>
          <w:rFonts w:ascii="黑体" w:hAnsi="黑体" w:eastAsia="黑体" w:cs="黑体"/>
          <w:b w:val="0"/>
          <w:bCs/>
        </w:rPr>
      </w:pPr>
      <w:bookmarkStart w:id="19" w:name="_Toc28756"/>
      <w:bookmarkStart w:id="20" w:name="_Toc20180"/>
      <w:bookmarkStart w:id="21" w:name="_Toc284"/>
      <w:r>
        <w:rPr>
          <w:rFonts w:hint="eastAsia" w:ascii="黑体" w:hAnsi="黑体" w:eastAsia="黑体" w:cs="黑体"/>
          <w:b w:val="0"/>
          <w:color w:val="000000"/>
        </w:rPr>
        <w:t>一、</w:t>
      </w:r>
      <w:bookmarkEnd w:id="19"/>
      <w:bookmarkEnd w:id="20"/>
      <w:bookmarkStart w:id="22" w:name="_Toc12532"/>
      <w:bookmarkStart w:id="23" w:name="_Toc26272"/>
      <w:bookmarkStart w:id="24" w:name="_Toc15378445"/>
      <w:bookmarkStart w:id="25" w:name="_Toc15377198"/>
      <w:r>
        <w:rPr>
          <w:rFonts w:hint="eastAsia" w:ascii="黑体" w:hAnsi="黑体" w:eastAsia="黑体" w:cs="黑体"/>
          <w:b w:val="0"/>
          <w:color w:val="000000"/>
        </w:rPr>
        <w:t>职能简介</w:t>
      </w:r>
      <w:bookmarkEnd w:id="21"/>
      <w:bookmarkEnd w:id="22"/>
      <w:bookmarkEnd w:id="23"/>
      <w:bookmarkEnd w:id="24"/>
      <w:bookmarkEnd w:id="25"/>
    </w:p>
    <w:p w14:paraId="47C6FD95">
      <w:pPr>
        <w:pStyle w:val="13"/>
        <w:spacing w:before="0" w:after="0" w:line="560" w:lineRule="exact"/>
        <w:ind w:firstLine="640" w:firstLineChars="200"/>
        <w:rPr>
          <w:rFonts w:ascii="仿宋" w:hAnsi="仿宋" w:eastAsia="仿宋" w:cs="仿宋"/>
          <w:b w:val="0"/>
          <w:bCs w:val="0"/>
        </w:rPr>
      </w:pPr>
      <w:bookmarkStart w:id="26" w:name="_Toc13165"/>
      <w:bookmarkStart w:id="27" w:name="_Toc20561"/>
      <w:bookmarkStart w:id="28" w:name="_Toc15378446"/>
      <w:bookmarkStart w:id="29" w:name="_Toc20636"/>
      <w:bookmarkStart w:id="30" w:name="_Toc15377199"/>
      <w:r>
        <w:rPr>
          <w:rFonts w:hint="eastAsia" w:ascii="仿宋" w:hAnsi="仿宋" w:eastAsia="仿宋" w:cs="仿宋"/>
          <w:b w:val="0"/>
          <w:bCs w:val="0"/>
          <w:color w:val="000000"/>
        </w:rPr>
        <w:t>为人民身体健康提供医疗与预防保健服务，辖区内常见病多发病诊治、护理；院前急救、巡回医疗，辖区内的疾病控制、妇幼保健、健康教育、计划免疫，新型合作医疗的组织与管理等工作，承担辖区乡村医生业务培训及技术指导。承担辖区内围产期保健、妇女保健、儿童保健等妇幼保健和妇女儿童常见病防治任务；承担计划生育技术服务相关任务；落实妇幼重大公共卫生服务项目和基本公共卫生服务项目，配合承担孕前优生健康检查等任务；负责对村级卫健服务人员提供业务培训及技术指导。</w:t>
      </w:r>
      <w:bookmarkEnd w:id="26"/>
      <w:bookmarkEnd w:id="27"/>
      <w:bookmarkEnd w:id="28"/>
      <w:bookmarkEnd w:id="29"/>
      <w:bookmarkEnd w:id="30"/>
    </w:p>
    <w:p w14:paraId="37FB2A3A">
      <w:pPr>
        <w:pStyle w:val="13"/>
        <w:spacing w:before="0" w:after="0" w:line="560" w:lineRule="exact"/>
        <w:ind w:firstLine="640" w:firstLineChars="200"/>
        <w:rPr>
          <w:rFonts w:ascii="黑体" w:hAnsi="黑体" w:eastAsia="黑体"/>
          <w:b w:val="0"/>
        </w:rPr>
      </w:pPr>
      <w:bookmarkStart w:id="31" w:name="_Toc31457"/>
      <w:bookmarkStart w:id="32" w:name="_Toc28638"/>
      <w:r>
        <w:rPr>
          <w:rFonts w:hint="eastAsia" w:ascii="黑体" w:hAnsi="黑体" w:eastAsia="黑体"/>
          <w:b w:val="0"/>
        </w:rPr>
        <w:t>二、2021年重点工作完成情况</w:t>
      </w:r>
      <w:bookmarkEnd w:id="31"/>
      <w:bookmarkEnd w:id="32"/>
    </w:p>
    <w:p w14:paraId="398FB8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继续加强党风行风建设，认真学习中央、省、市、县全会精神，深刻领会、准确把握习近平新时代中国特色社会主义思想的丰富内涵。持续做好党建工作，坚持民主集中制，坚持“三会一课”制度，加强党的方针政策学习，加强党组织建设，2021发展1名党员和2名入党积极分子。</w:t>
      </w:r>
    </w:p>
    <w:p w14:paraId="59A6FB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坚决抓好党风廉政建设、行风评议和综合治理。加强医德医风建设，培养医务人员爱岗敬业、乐于奉献、认真负责的工作作风，切实改善服务态度，努力同病人及其家属沟通思想，避免因服务不周而引起医患纠纷。</w:t>
      </w:r>
    </w:p>
    <w:p w14:paraId="760AF28D">
      <w:pPr>
        <w:pStyle w:val="2"/>
        <w:spacing w:line="560" w:lineRule="exact"/>
        <w:ind w:firstLine="640"/>
        <w:textAlignment w:val="baseline"/>
        <w:rPr>
          <w:rFonts w:ascii="仿宋" w:hAnsi="仿宋" w:eastAsia="仿宋" w:cs="仿宋"/>
          <w:sz w:val="32"/>
          <w:szCs w:val="32"/>
        </w:rPr>
      </w:pPr>
      <w:r>
        <w:rPr>
          <w:rFonts w:hint="eastAsia" w:ascii="仿宋" w:hAnsi="仿宋" w:eastAsia="仿宋" w:cs="仿宋"/>
          <w:sz w:val="32"/>
          <w:szCs w:val="32"/>
        </w:rPr>
        <w:t>3.以创建二级乙等医院和县域医疗次中心建设为契机，强化科学管理，突出内涵建设，不断提高医疗服务质量。</w:t>
      </w:r>
    </w:p>
    <w:p w14:paraId="1D080D00">
      <w:pPr>
        <w:pStyle w:val="2"/>
        <w:spacing w:line="560" w:lineRule="exact"/>
        <w:ind w:firstLine="640"/>
        <w:textAlignment w:val="baseline"/>
        <w:rPr>
          <w:rFonts w:ascii="仿宋" w:hAnsi="仿宋" w:eastAsia="仿宋" w:cs="仿宋"/>
          <w:color w:val="000000"/>
          <w:sz w:val="32"/>
          <w:szCs w:val="32"/>
        </w:rPr>
      </w:pPr>
      <w:r>
        <w:rPr>
          <w:rFonts w:hint="eastAsia" w:ascii="仿宋" w:hAnsi="仿宋" w:eastAsia="仿宋" w:cs="仿宋"/>
          <w:sz w:val="32"/>
          <w:szCs w:val="32"/>
        </w:rPr>
        <w:t>4.继续抓好</w:t>
      </w:r>
      <w:r>
        <w:rPr>
          <w:rFonts w:hint="eastAsia" w:ascii="仿宋" w:hAnsi="仿宋" w:eastAsia="仿宋" w:cs="仿宋"/>
          <w:color w:val="000000"/>
          <w:sz w:val="32"/>
          <w:szCs w:val="32"/>
        </w:rPr>
        <w:t>疫情防控工作，深入贯彻落实“外防输入、内防反弹”总体防控策略，继续推进疫苗接种任务，有效阻断新冠疫情的传播，确保人民群众的生命安全。</w:t>
      </w:r>
    </w:p>
    <w:p w14:paraId="58E783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5.加强医疗质量治理，防范医疗差错、杜绝医疗事故，充分发挥医疗安全领导小组的职能，认真落实各项规章制度和岗位职责，严格落实各项技术操作规程。</w:t>
      </w:r>
    </w:p>
    <w:p w14:paraId="44AEAE29">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6.加强医务人员教育培训。重点加强对在职医务人员的继续教育及进修学习，培养急需的业务人才。积极鼓励职工参加各种形式的学历教育，支持参加执业医师、执业药师和执业护士等资格考试，提高医务人员文化素质和业务素质。</w:t>
      </w:r>
    </w:p>
    <w:p w14:paraId="7C5C30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7.认真推进本年度基本公共卫生服务项目工作，切实提高突发公共卫生事件的应急处置能力，加强突发公共卫生事件应急体系建设。</w:t>
      </w:r>
    </w:p>
    <w:p w14:paraId="77D028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8.持续推进</w:t>
      </w:r>
      <w:r>
        <w:rPr>
          <w:rFonts w:hint="eastAsia" w:ascii="仿宋" w:hAnsi="仿宋" w:eastAsia="仿宋" w:cs="仿宋"/>
          <w:sz w:val="32"/>
          <w:szCs w:val="32"/>
          <w:lang w:val="zh-CN"/>
        </w:rPr>
        <w:t>居民健康档案、健康教育、儿童保健、孕产妇保健、老年人健康管理、</w:t>
      </w:r>
      <w:r>
        <w:rPr>
          <w:rFonts w:hint="eastAsia" w:ascii="仿宋" w:hAnsi="仿宋" w:eastAsia="仿宋" w:cs="仿宋"/>
          <w:sz w:val="32"/>
          <w:szCs w:val="32"/>
        </w:rPr>
        <w:t>慢性病管理等服务工作，不断促进基本公共卫生服务</w:t>
      </w:r>
      <w:r>
        <w:rPr>
          <w:rFonts w:hint="eastAsia" w:ascii="仿宋" w:hAnsi="仿宋" w:eastAsia="仿宋" w:cs="仿宋"/>
          <w:sz w:val="32"/>
          <w:szCs w:val="32"/>
          <w:u w:color="46CD7E"/>
        </w:rPr>
        <w:t>效能</w:t>
      </w:r>
      <w:r>
        <w:rPr>
          <w:rFonts w:hint="eastAsia" w:ascii="仿宋" w:hAnsi="仿宋" w:eastAsia="仿宋" w:cs="仿宋"/>
          <w:sz w:val="32"/>
          <w:szCs w:val="32"/>
        </w:rPr>
        <w:t>提升。</w:t>
      </w:r>
    </w:p>
    <w:p w14:paraId="07AC11F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9.进一步做好重大疾病预防控制工作，做好传染病监测、预测、预警、流行病学调查、疫情报告与疫情处理，严格执行疫情监测、报告制度。有效地降低传染病</w:t>
      </w:r>
      <w:r>
        <w:rPr>
          <w:rFonts w:hint="eastAsia" w:ascii="仿宋" w:hAnsi="仿宋" w:eastAsia="仿宋" w:cs="仿宋"/>
          <w:sz w:val="32"/>
          <w:szCs w:val="32"/>
          <w:u w:color="46CD7E"/>
        </w:rPr>
        <w:t>发病率</w:t>
      </w:r>
      <w:r>
        <w:rPr>
          <w:rFonts w:hint="eastAsia" w:ascii="仿宋" w:hAnsi="仿宋" w:eastAsia="仿宋" w:cs="仿宋"/>
          <w:sz w:val="32"/>
          <w:szCs w:val="32"/>
        </w:rPr>
        <w:t>，控制传染病暴发流行。</w:t>
      </w:r>
    </w:p>
    <w:p w14:paraId="6F39793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10.抓好免疫规划工作，加强预防接种信息化管理，完成疫苗接种任务。</w:t>
      </w:r>
    </w:p>
    <w:p w14:paraId="0AEBCF9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11.针对上一年度安全生产工作，进一步修订和完善各种安全规章制度，全面落实安全生产责任制，明确划分岗位职责，坚决杜绝重特大安全事故的发生及医疗事故的发生。</w:t>
      </w:r>
    </w:p>
    <w:p w14:paraId="13882FC6">
      <w:pPr>
        <w:pStyle w:val="4"/>
        <w:adjustRightInd w:val="0"/>
        <w:snapToGrid w:val="0"/>
        <w:spacing w:before="93" w:line="600" w:lineRule="exact"/>
        <w:ind w:firstLine="672" w:firstLineChars="210"/>
        <w:outlineLvl w:val="2"/>
        <w:rPr>
          <w:rFonts w:ascii="仿宋" w:hAnsi="仿宋" w:eastAsia="仿宋" w:cs="仿宋"/>
          <w:sz w:val="32"/>
          <w:szCs w:val="32"/>
        </w:rPr>
      </w:pPr>
      <w:bookmarkStart w:id="33" w:name="_Toc21266"/>
      <w:bookmarkStart w:id="34" w:name="_Toc27554"/>
      <w:r>
        <w:rPr>
          <w:rFonts w:hint="eastAsia" w:ascii="仿宋" w:hAnsi="仿宋" w:eastAsia="仿宋" w:cs="仿宋"/>
          <w:sz w:val="32"/>
          <w:szCs w:val="32"/>
        </w:rPr>
        <w:t>12</w:t>
      </w:r>
      <w:r>
        <w:rPr>
          <w:rFonts w:ascii="仿宋" w:hAnsi="仿宋" w:eastAsia="仿宋" w:cs="仿宋"/>
          <w:sz w:val="32"/>
          <w:szCs w:val="32"/>
          <w:u w:color="46CD7E"/>
        </w:rPr>
        <w:t>.</w:t>
      </w:r>
      <w:r>
        <w:rPr>
          <w:rFonts w:hint="eastAsia" w:ascii="仿宋" w:hAnsi="仿宋" w:eastAsia="仿宋" w:cs="仿宋"/>
          <w:sz w:val="32"/>
          <w:szCs w:val="32"/>
        </w:rPr>
        <w:t>加强院内的安全知识学习，每季度对职工进行一次安全生产法及其相关法律法规知识培训，不断增强职工的安全意识。紧紧围绕“安全第一，预防为主”的方针开展安全工作，在新的一年里努力创建安全稳定、和谐健康的良好医疗环境。</w:t>
      </w:r>
      <w:bookmarkEnd w:id="17"/>
      <w:bookmarkEnd w:id="18"/>
      <w:bookmarkEnd w:id="33"/>
      <w:bookmarkEnd w:id="34"/>
    </w:p>
    <w:p w14:paraId="6A9D76D3">
      <w:pPr>
        <w:pStyle w:val="12"/>
        <w:ind w:right="440"/>
        <w:jc w:val="center"/>
        <w:rPr>
          <w:rStyle w:val="28"/>
          <w:rFonts w:ascii="黑体" w:hAnsi="黑体" w:eastAsia="黑体"/>
          <w:b w:val="0"/>
          <w:bCs/>
        </w:rPr>
      </w:pPr>
      <w:bookmarkStart w:id="35" w:name="_Toc14441"/>
      <w:bookmarkStart w:id="36" w:name="_Toc27920"/>
      <w:bookmarkStart w:id="37" w:name="_Toc15396602"/>
      <w:bookmarkStart w:id="38" w:name="_Toc15396603"/>
      <w:bookmarkStart w:id="39" w:name="_Toc15377204"/>
      <w:bookmarkStart w:id="40" w:name="_Toc15377205"/>
      <w:r>
        <w:rPr>
          <w:rFonts w:hint="eastAsia" w:ascii="黑体" w:hAnsi="黑体" w:eastAsia="黑体"/>
          <w:b w:val="0"/>
        </w:rPr>
        <w:t>第二部分2021年度</w:t>
      </w:r>
      <w:r>
        <w:rPr>
          <w:rStyle w:val="28"/>
          <w:rFonts w:hint="eastAsia" w:ascii="黑体" w:hAnsi="黑体" w:eastAsia="黑体"/>
          <w:b w:val="0"/>
          <w:bCs/>
        </w:rPr>
        <w:t>单位决算</w:t>
      </w:r>
      <w:r>
        <w:rPr>
          <w:rFonts w:hint="eastAsia" w:ascii="黑体" w:hAnsi="黑体" w:eastAsia="黑体"/>
          <w:b w:val="0"/>
        </w:rPr>
        <w:t>情况说明</w:t>
      </w:r>
      <w:bookmarkEnd w:id="35"/>
      <w:bookmarkEnd w:id="36"/>
      <w:bookmarkEnd w:id="37"/>
      <w:bookmarkEnd w:id="38"/>
      <w:bookmarkEnd w:id="39"/>
      <w:bookmarkEnd w:id="40"/>
    </w:p>
    <w:p w14:paraId="35E469D3">
      <w:pPr>
        <w:pStyle w:val="27"/>
        <w:numPr>
          <w:ilvl w:val="0"/>
          <w:numId w:val="1"/>
        </w:numPr>
        <w:spacing w:line="600" w:lineRule="exact"/>
        <w:ind w:firstLineChars="0"/>
        <w:outlineLvl w:val="1"/>
        <w:rPr>
          <w:rStyle w:val="29"/>
          <w:rFonts w:ascii="黑体" w:hAnsi="黑体" w:eastAsia="黑体"/>
          <w:b w:val="0"/>
        </w:rPr>
      </w:pPr>
      <w:bookmarkStart w:id="41" w:name="_Toc19500"/>
      <w:bookmarkStart w:id="42" w:name="_Toc6104"/>
      <w:r>
        <w:rPr>
          <w:rFonts w:hint="eastAsia" w:ascii="黑体" w:hAnsi="黑体" w:eastAsia="黑体"/>
          <w:sz w:val="32"/>
          <w:szCs w:val="32"/>
        </w:rPr>
        <w:t>收</w:t>
      </w:r>
      <w:r>
        <w:rPr>
          <w:rStyle w:val="29"/>
          <w:rFonts w:hint="eastAsia" w:ascii="黑体" w:hAnsi="黑体" w:eastAsia="黑体"/>
          <w:b w:val="0"/>
        </w:rPr>
        <w:t>入支出决算</w:t>
      </w:r>
      <w:r>
        <w:rPr>
          <w:rFonts w:hint="eastAsia" w:ascii="黑体" w:hAnsi="黑体" w:eastAsia="黑体"/>
        </w:rPr>
        <w:t>总体情况说明</w:t>
      </w:r>
      <w:bookmarkEnd w:id="41"/>
      <w:bookmarkEnd w:id="42"/>
    </w:p>
    <w:p w14:paraId="5AF03398">
      <w:pPr>
        <w:spacing w:line="600" w:lineRule="exact"/>
        <w:ind w:firstLine="640" w:firstLineChars="200"/>
      </w:pPr>
      <w:r>
        <w:rPr>
          <w:rFonts w:hint="eastAsia" w:ascii="仿宋" w:hAnsi="仿宋" w:eastAsia="仿宋" w:cs="仿宋"/>
          <w:color w:val="000000"/>
          <w:sz w:val="32"/>
          <w:szCs w:val="32"/>
        </w:rPr>
        <w:t>2021年度总收入1309.46万元（其中：财政补助收入427.08万元；营业收入882.38万元）；全年总支出1389.34万元。与2020年相比，收入减少58.29万元、支出总计增加101.47万元，收入减少0.4%，支出增长0.7%。收入减少主要变动原因是医保控费；支出增加原因为职工薪级工资及工资标准调整等</w:t>
      </w:r>
      <w:r>
        <w:rPr>
          <w:rFonts w:hint="eastAsia" w:ascii="仿宋" w:hAnsi="仿宋" w:eastAsia="仿宋" w:cs="仿宋"/>
          <w:sz w:val="32"/>
          <w:szCs w:val="32"/>
          <w:lang w:eastAsia="zh-CN"/>
        </w:rPr>
        <w:t>。</w:t>
      </w:r>
    </w:p>
    <w:p w14:paraId="4BF83060">
      <w:pPr>
        <w:pStyle w:val="27"/>
        <w:numPr>
          <w:ilvl w:val="0"/>
          <w:numId w:val="1"/>
        </w:numPr>
        <w:spacing w:line="600" w:lineRule="exact"/>
        <w:ind w:firstLineChars="0"/>
        <w:outlineLvl w:val="1"/>
        <w:rPr>
          <w:rStyle w:val="29"/>
          <w:rFonts w:ascii="黑体" w:hAnsi="黑体" w:eastAsia="黑体"/>
          <w:b w:val="0"/>
        </w:rPr>
      </w:pPr>
      <w:bookmarkStart w:id="43" w:name="_Toc15377206"/>
      <w:bookmarkStart w:id="44" w:name="_Toc20480"/>
      <w:bookmarkStart w:id="45" w:name="_Toc17046"/>
      <w:bookmarkStart w:id="46" w:name="_Toc15396604"/>
      <w:bookmarkStart w:id="47" w:name="_Toc24360"/>
      <w:bookmarkStart w:id="48" w:name="_Toc29877"/>
      <w:bookmarkStart w:id="49" w:name="_Toc18327"/>
      <w:r>
        <w:rPr>
          <w:rFonts w:hint="eastAsia" w:ascii="黑体" w:hAnsi="黑体" w:eastAsia="黑体"/>
          <w:sz w:val="32"/>
          <w:szCs w:val="32"/>
        </w:rPr>
        <w:t>收</w:t>
      </w:r>
      <w:r>
        <w:rPr>
          <w:rStyle w:val="29"/>
          <w:rFonts w:hint="eastAsia" w:ascii="黑体" w:hAnsi="黑体" w:eastAsia="黑体"/>
          <w:b w:val="0"/>
        </w:rPr>
        <w:t>入决算</w:t>
      </w:r>
      <w:r>
        <w:rPr>
          <w:rFonts w:hint="eastAsia" w:ascii="黑体" w:hAnsi="黑体" w:eastAsia="黑体"/>
        </w:rPr>
        <w:t>情况说明</w:t>
      </w:r>
      <w:bookmarkEnd w:id="43"/>
      <w:bookmarkEnd w:id="44"/>
      <w:bookmarkEnd w:id="45"/>
      <w:bookmarkEnd w:id="46"/>
    </w:p>
    <w:p w14:paraId="0B64AAC5">
      <w:pPr>
        <w:spacing w:line="600" w:lineRule="exact"/>
        <w:ind w:firstLine="640" w:firstLineChars="200"/>
        <w:outlineLvl w:val="1"/>
        <w:rPr>
          <w:rFonts w:ascii="仿宋" w:hAnsi="仿宋" w:eastAsia="仿宋" w:cs="仿宋"/>
          <w:bCs/>
          <w:sz w:val="32"/>
          <w:szCs w:val="32"/>
        </w:rPr>
      </w:pPr>
      <w:bookmarkStart w:id="50" w:name="_Toc19088"/>
      <w:r>
        <w:rPr>
          <w:rFonts w:hint="eastAsia" w:ascii="仿宋" w:hAnsi="仿宋" w:eastAsia="仿宋" w:cs="仿宋"/>
          <w:color w:val="000000"/>
          <w:sz w:val="32"/>
          <w:szCs w:val="32"/>
        </w:rPr>
        <w:t>2021年本年收入合计1309.46万元，其中：一般公共预算财政拨款收入427.08万元，占32.6%；政府性基金预算财政拨款收入0万元，占0%；上级补助收入0万元，占0%；事业收入882.38万元，占67.4%；经营收入0万元，占比0%；附属单位上缴收入0万元，占0%；其他收入0万元，占0%。</w:t>
      </w:r>
      <w:bookmarkEnd w:id="47"/>
      <w:bookmarkEnd w:id="48"/>
      <w:bookmarkEnd w:id="49"/>
      <w:bookmarkEnd w:id="50"/>
    </w:p>
    <w:p w14:paraId="2FF7FD84">
      <w:pPr>
        <w:pStyle w:val="4"/>
        <w:spacing w:before="93"/>
        <w:rPr>
          <w:b/>
        </w:rPr>
      </w:pPr>
      <w:r>
        <w:rPr>
          <w:b/>
        </w:rPr>
        <w:drawing>
          <wp:inline distT="0" distB="0" distL="0" distR="0">
            <wp:extent cx="4572000" cy="2743200"/>
            <wp:effectExtent l="0" t="0" r="19050" b="19050"/>
            <wp:docPr id="566" name="_x0000_i21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286DE7">
      <w:pPr>
        <w:pStyle w:val="27"/>
        <w:numPr>
          <w:ilvl w:val="0"/>
          <w:numId w:val="1"/>
        </w:numPr>
        <w:spacing w:line="600" w:lineRule="exact"/>
        <w:ind w:firstLineChars="0"/>
        <w:outlineLvl w:val="1"/>
        <w:rPr>
          <w:rStyle w:val="29"/>
          <w:rFonts w:ascii="黑体" w:hAnsi="黑体" w:eastAsia="黑体"/>
          <w:b w:val="0"/>
        </w:rPr>
      </w:pPr>
      <w:bookmarkStart w:id="51" w:name="_Toc15396605"/>
      <w:bookmarkStart w:id="52" w:name="_Toc30727"/>
      <w:bookmarkStart w:id="53" w:name="_Toc15377207"/>
      <w:bookmarkStart w:id="54" w:name="_Toc6155"/>
      <w:bookmarkStart w:id="55" w:name="_Toc26723"/>
      <w:bookmarkStart w:id="56" w:name="_Toc25417"/>
      <w:bookmarkStart w:id="57" w:name="_Toc12269"/>
      <w:r>
        <w:rPr>
          <w:rFonts w:hint="eastAsia" w:ascii="黑体" w:hAnsi="黑体" w:eastAsia="黑体"/>
          <w:sz w:val="32"/>
          <w:szCs w:val="32"/>
        </w:rPr>
        <w:t>支</w:t>
      </w:r>
      <w:r>
        <w:rPr>
          <w:rStyle w:val="29"/>
          <w:rFonts w:hint="eastAsia" w:ascii="黑体" w:hAnsi="黑体" w:eastAsia="黑体"/>
          <w:b w:val="0"/>
        </w:rPr>
        <w:t>出决算情况说明</w:t>
      </w:r>
      <w:bookmarkEnd w:id="51"/>
      <w:bookmarkEnd w:id="52"/>
      <w:bookmarkEnd w:id="53"/>
      <w:bookmarkEnd w:id="54"/>
    </w:p>
    <w:p w14:paraId="5D0D1181">
      <w:pPr>
        <w:spacing w:line="600" w:lineRule="exact"/>
        <w:ind w:firstLine="640" w:firstLineChars="200"/>
        <w:outlineLvl w:val="1"/>
        <w:rPr>
          <w:rFonts w:ascii="仿宋" w:hAnsi="仿宋" w:eastAsia="仿宋" w:cs="仿宋"/>
          <w:b/>
          <w:color w:val="FF0000"/>
          <w:sz w:val="32"/>
          <w:szCs w:val="32"/>
        </w:rPr>
      </w:pPr>
      <w:bookmarkStart w:id="58" w:name="_Toc12021"/>
      <w:r>
        <w:rPr>
          <w:rFonts w:hint="eastAsia" w:ascii="仿宋" w:hAnsi="仿宋" w:eastAsia="仿宋" w:cs="仿宋"/>
          <w:color w:val="000000"/>
          <w:sz w:val="32"/>
          <w:szCs w:val="32"/>
        </w:rPr>
        <w:t>2021年本年支出合计1389.34万元，其中：基本支出962.06万元，占69.24%；项目支出427.27万元，占30.76%；上缴上级支出0万元，占0%；经营支出0万元，占0%；对附属单位补助支出0万元，占0%。</w:t>
      </w:r>
      <w:bookmarkEnd w:id="55"/>
      <w:bookmarkEnd w:id="56"/>
      <w:bookmarkEnd w:id="57"/>
      <w:bookmarkEnd w:id="58"/>
    </w:p>
    <w:p w14:paraId="596572DB">
      <w:pPr>
        <w:pStyle w:val="4"/>
        <w:spacing w:before="93"/>
      </w:pPr>
      <w:r>
        <w:drawing>
          <wp:inline distT="0" distB="0" distL="0" distR="0">
            <wp:extent cx="4438650" cy="2267585"/>
            <wp:effectExtent l="4445" t="4445" r="14605" b="13970"/>
            <wp:docPr id="567" name="_x0000_i21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67416A">
      <w:pPr>
        <w:spacing w:line="600" w:lineRule="exact"/>
        <w:ind w:firstLine="640" w:firstLineChars="200"/>
        <w:outlineLvl w:val="1"/>
        <w:rPr>
          <w:rStyle w:val="29"/>
          <w:rFonts w:ascii="黑体" w:hAnsi="黑体" w:eastAsia="黑体"/>
          <w:b w:val="0"/>
        </w:rPr>
      </w:pPr>
      <w:bookmarkStart w:id="59" w:name="_Toc14999"/>
      <w:bookmarkStart w:id="60" w:name="_Toc29898"/>
      <w:bookmarkStart w:id="61" w:name="_Toc15396606"/>
      <w:bookmarkStart w:id="62" w:name="_Toc15377208"/>
      <w:r>
        <w:rPr>
          <w:rFonts w:hint="eastAsia" w:ascii="黑体" w:hAnsi="黑体" w:eastAsia="黑体"/>
          <w:sz w:val="32"/>
          <w:szCs w:val="32"/>
        </w:rPr>
        <w:t>四、财</w:t>
      </w:r>
      <w:r>
        <w:rPr>
          <w:rStyle w:val="29"/>
          <w:rFonts w:hint="eastAsia" w:ascii="黑体" w:hAnsi="黑体" w:eastAsia="黑体"/>
          <w:b w:val="0"/>
        </w:rPr>
        <w:t>政拨款收入支出决算</w:t>
      </w:r>
      <w:r>
        <w:rPr>
          <w:rFonts w:hint="eastAsia" w:ascii="黑体" w:hAnsi="黑体" w:eastAsia="黑体"/>
          <w:sz w:val="32"/>
          <w:szCs w:val="32"/>
        </w:rPr>
        <w:t>总体情况说明</w:t>
      </w:r>
      <w:bookmarkEnd w:id="59"/>
      <w:bookmarkEnd w:id="60"/>
      <w:bookmarkEnd w:id="61"/>
      <w:bookmarkEnd w:id="62"/>
    </w:p>
    <w:p w14:paraId="454574C5">
      <w:pPr>
        <w:ind w:firstLine="640" w:firstLineChars="200"/>
        <w:rPr>
          <w:rFonts w:ascii="仿宋" w:hAnsi="仿宋" w:eastAsia="仿宋" w:cs="仿宋"/>
          <w:sz w:val="32"/>
          <w:szCs w:val="32"/>
        </w:rPr>
      </w:pPr>
      <w:r>
        <w:rPr>
          <w:rFonts w:hint="eastAsia" w:ascii="仿宋" w:hAnsi="仿宋" w:eastAsia="仿宋" w:cs="仿宋"/>
          <w:sz w:val="32"/>
          <w:szCs w:val="32"/>
        </w:rPr>
        <w:t>2021年财政拨款收入总计427.08万元（含上年结转资金79.88万元）。与2020年相比，财政拨款收入总计增加65.23万元，增长15.27%，主要原因是财政</w:t>
      </w:r>
      <w:r>
        <w:rPr>
          <w:rFonts w:hint="eastAsia" w:ascii="仿宋" w:hAnsi="仿宋" w:eastAsia="仿宋" w:cs="仿宋"/>
          <w:sz w:val="32"/>
          <w:szCs w:val="32"/>
          <w:u w:val="thick" w:color="FFB03A"/>
          <w:shd w:val="clear" w:color="auto" w:fill="FFEFD8"/>
        </w:rPr>
        <w:t>供给人员</w:t>
      </w:r>
      <w:r>
        <w:rPr>
          <w:rFonts w:hint="eastAsia" w:ascii="仿宋" w:hAnsi="仿宋" w:eastAsia="仿宋" w:cs="仿宋"/>
          <w:sz w:val="32"/>
          <w:szCs w:val="32"/>
        </w:rPr>
        <w:t>增加、人员经费标准调整、基本公共卫生服务补助标准提高等；财政拨款支出总计增加506.96万元，财政拨款支出总计增加90.6万元，增长26.92%。主要变动原因是人员经费支出增加、基本公共卫生服务补助标准提高。</w:t>
      </w:r>
    </w:p>
    <w:p w14:paraId="65CB2C8D">
      <w:pPr>
        <w:spacing w:line="600" w:lineRule="exact"/>
        <w:ind w:firstLine="640" w:firstLineChars="200"/>
        <w:outlineLvl w:val="1"/>
        <w:rPr>
          <w:rStyle w:val="29"/>
          <w:rFonts w:ascii="黑体" w:hAnsi="黑体" w:eastAsia="黑体"/>
          <w:b w:val="0"/>
        </w:rPr>
      </w:pPr>
      <w:bookmarkStart w:id="63" w:name="_Toc26366"/>
      <w:bookmarkStart w:id="64" w:name="_Toc20033"/>
      <w:bookmarkStart w:id="65" w:name="_Toc15377210"/>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财政拨款支出决算情况说明</w:t>
      </w:r>
      <w:bookmarkEnd w:id="63"/>
      <w:bookmarkEnd w:id="64"/>
    </w:p>
    <w:p w14:paraId="3E78F890">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bookmarkEnd w:id="65"/>
    </w:p>
    <w:p w14:paraId="41E46FE6">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一般公共预算财政拨款支出427.27万元，占本年支出合计的30.75%。与2020年相比，一般公共预算财政拨款增加90.6万元，增长26.92%。主要变动原因是基本公共卫生服务补助经费标准提高、在职人员工资标准调整等。</w:t>
      </w:r>
    </w:p>
    <w:p w14:paraId="73A59E3F">
      <w:pPr>
        <w:pStyle w:val="4"/>
        <w:spacing w:before="93"/>
      </w:pPr>
      <w:r>
        <w:drawing>
          <wp:inline distT="0" distB="0" distL="0" distR="0">
            <wp:extent cx="4572000" cy="2581275"/>
            <wp:effectExtent l="0" t="0" r="19050" b="9525"/>
            <wp:docPr id="569" name="_x0000_i21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0E4624">
      <w:pPr>
        <w:spacing w:line="600" w:lineRule="exact"/>
        <w:ind w:firstLine="643" w:firstLineChars="200"/>
        <w:outlineLvl w:val="2"/>
        <w:rPr>
          <w:rFonts w:ascii="仿宋" w:hAnsi="仿宋" w:eastAsia="仿宋"/>
          <w:b/>
          <w:sz w:val="32"/>
          <w:szCs w:val="32"/>
        </w:rPr>
      </w:pPr>
      <w:bookmarkStart w:id="66" w:name="_Toc15377211"/>
      <w:r>
        <w:rPr>
          <w:rFonts w:hint="eastAsia" w:ascii="仿宋" w:hAnsi="仿宋" w:eastAsia="仿宋"/>
          <w:b/>
          <w:sz w:val="32"/>
          <w:szCs w:val="32"/>
        </w:rPr>
        <w:t>（二）一般公共预算财政拨款支出决算结构情况</w:t>
      </w:r>
      <w:bookmarkEnd w:id="66"/>
    </w:p>
    <w:p w14:paraId="2DA5A8F3">
      <w:pPr>
        <w:spacing w:line="600" w:lineRule="exact"/>
        <w:ind w:firstLine="640"/>
        <w:rPr>
          <w:rFonts w:ascii="仿宋" w:hAnsi="仿宋" w:eastAsia="仿宋" w:cs="仿宋"/>
          <w:b/>
          <w:color w:val="000000"/>
          <w:sz w:val="32"/>
          <w:szCs w:val="32"/>
        </w:rPr>
      </w:pPr>
      <w:r>
        <w:rPr>
          <w:rFonts w:hint="eastAsia" w:ascii="仿宋" w:hAnsi="仿宋" w:eastAsia="仿宋" w:cs="仿宋"/>
          <w:color w:val="000000"/>
          <w:sz w:val="32"/>
          <w:szCs w:val="32"/>
        </w:rPr>
        <w:t>一般公共预算财政拨款主要用于以下方面</w:t>
      </w:r>
      <w:r>
        <w:t>：</w:t>
      </w:r>
      <w:r>
        <w:rPr>
          <w:rFonts w:hint="eastAsia" w:ascii="仿宋" w:hAnsi="仿宋" w:eastAsia="仿宋" w:cs="仿宋"/>
          <w:b/>
          <w:bCs/>
          <w:color w:val="000000"/>
          <w:sz w:val="32"/>
          <w:szCs w:val="32"/>
        </w:rPr>
        <w:t>卫生健康支出</w:t>
      </w:r>
      <w:r>
        <w:rPr>
          <w:rFonts w:hint="eastAsia" w:ascii="仿宋" w:hAnsi="仿宋" w:eastAsia="仿宋" w:cs="仿宋"/>
          <w:color w:val="000000"/>
          <w:sz w:val="32"/>
          <w:szCs w:val="32"/>
        </w:rPr>
        <w:t>505.46万元，占99%；农林水支出1.5万元，占一般公共预算财政拨款支出的1%。卫生健康支出中</w:t>
      </w:r>
      <w:r>
        <w:rPr>
          <w:rFonts w:hint="eastAsia" w:ascii="仿宋" w:hAnsi="仿宋" w:eastAsia="仿宋" w:cs="仿宋"/>
          <w:color w:val="000000"/>
          <w:sz w:val="32"/>
          <w:szCs w:val="32"/>
          <w:u w:val="thick" w:color="909090"/>
          <w:shd w:val="clear" w:color="auto" w:fill="DDDDDD"/>
        </w:rPr>
        <w:t>，</w:t>
      </w:r>
      <w:r>
        <w:rPr>
          <w:rFonts w:hint="eastAsia" w:ascii="仿宋" w:hAnsi="仿宋" w:eastAsia="仿宋" w:cs="仿宋"/>
          <w:color w:val="000000"/>
          <w:sz w:val="32"/>
          <w:szCs w:val="32"/>
        </w:rPr>
        <w:t>基本支出：基层医疗卫生机构-乡镇卫生院267.77万元；项目支出</w:t>
      </w:r>
      <w:r>
        <w:t>：</w:t>
      </w:r>
      <w:r>
        <w:rPr>
          <w:rFonts w:hint="eastAsia" w:ascii="仿宋" w:hAnsi="仿宋" w:eastAsia="仿宋" w:cs="仿宋"/>
          <w:color w:val="000000"/>
          <w:sz w:val="32"/>
          <w:szCs w:val="32"/>
        </w:rPr>
        <w:t>1</w:t>
      </w:r>
      <w:r>
        <w:rPr>
          <w:rFonts w:ascii="仿宋" w:hAnsi="仿宋" w:eastAsia="仿宋" w:cs="仿宋"/>
          <w:color w:val="000000"/>
          <w:sz w:val="32"/>
          <w:szCs w:val="32"/>
          <w:u w:color="46CD7E"/>
        </w:rPr>
        <w:t>.</w:t>
      </w:r>
      <w:r>
        <w:rPr>
          <w:rFonts w:hint="eastAsia" w:ascii="仿宋" w:hAnsi="仿宋" w:eastAsia="仿宋" w:cs="仿宋"/>
          <w:color w:val="000000"/>
          <w:sz w:val="32"/>
          <w:szCs w:val="32"/>
        </w:rPr>
        <w:t>其他基层医疗卫生机构-村卫生室定额补助及实施基本药物制度项目补助经费96.31万元；2</w:t>
      </w:r>
      <w:r>
        <w:rPr>
          <w:rFonts w:ascii="仿宋" w:hAnsi="仿宋" w:eastAsia="仿宋" w:cs="仿宋"/>
          <w:color w:val="000000"/>
          <w:sz w:val="32"/>
          <w:szCs w:val="32"/>
          <w:u w:color="46CD7E"/>
        </w:rPr>
        <w:t>.</w:t>
      </w:r>
      <w:r>
        <w:rPr>
          <w:rFonts w:hint="eastAsia" w:ascii="仿宋" w:hAnsi="仿宋" w:eastAsia="仿宋" w:cs="仿宋"/>
          <w:color w:val="000000"/>
          <w:sz w:val="32"/>
          <w:szCs w:val="32"/>
        </w:rPr>
        <w:t>基本公共卫生服务项目补助经费141.38万元； 3</w:t>
      </w:r>
      <w:r>
        <w:rPr>
          <w:rFonts w:ascii="仿宋" w:hAnsi="仿宋" w:eastAsia="仿宋" w:cs="仿宋"/>
          <w:color w:val="000000"/>
          <w:sz w:val="32"/>
          <w:szCs w:val="32"/>
          <w:u w:color="46CD7E"/>
        </w:rPr>
        <w:t>.</w:t>
      </w:r>
      <w:r>
        <w:rPr>
          <w:rFonts w:hint="eastAsia" w:ascii="仿宋" w:hAnsi="仿宋" w:eastAsia="仿宋" w:cs="仿宋"/>
          <w:color w:val="000000"/>
          <w:sz w:val="32"/>
          <w:szCs w:val="32"/>
        </w:rPr>
        <w:t>农林水支出-其他扶贫支出1.5万元。</w:t>
      </w:r>
    </w:p>
    <w:p w14:paraId="4353E42E">
      <w:pPr>
        <w:pStyle w:val="4"/>
        <w:spacing w:before="93"/>
        <w:rPr>
          <w:rFonts w:ascii="仿宋" w:hAnsi="仿宋" w:eastAsia="仿宋"/>
          <w:sz w:val="32"/>
          <w:szCs w:val="32"/>
        </w:rPr>
      </w:pPr>
      <w:r>
        <w:drawing>
          <wp:inline distT="0" distB="0" distL="0" distR="0">
            <wp:extent cx="4572000" cy="2743200"/>
            <wp:effectExtent l="0" t="0" r="19050" b="19050"/>
            <wp:docPr id="570" name="_x0000_i21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659973">
      <w:pPr>
        <w:spacing w:line="600" w:lineRule="exact"/>
        <w:outlineLvl w:val="2"/>
        <w:rPr>
          <w:rFonts w:ascii="仿宋" w:hAnsi="仿宋" w:eastAsia="仿宋"/>
          <w:b/>
          <w:sz w:val="32"/>
          <w:szCs w:val="32"/>
        </w:rPr>
      </w:pPr>
      <w:bookmarkStart w:id="67" w:name="_Toc15377212"/>
      <w:r>
        <w:rPr>
          <w:rFonts w:hint="eastAsia" w:ascii="仿宋" w:hAnsi="仿宋" w:eastAsia="仿宋"/>
          <w:b/>
          <w:sz w:val="32"/>
          <w:szCs w:val="32"/>
        </w:rPr>
        <w:t>（三）一般公共预算财政拨款支出决算具体情况</w:t>
      </w:r>
      <w:bookmarkEnd w:id="67"/>
    </w:p>
    <w:p w14:paraId="48BC70FF">
      <w:pPr>
        <w:spacing w:line="600" w:lineRule="exact"/>
        <w:ind w:firstLine="643" w:firstLineChars="200"/>
        <w:outlineLvl w:val="1"/>
        <w:rPr>
          <w:rFonts w:ascii="仿宋" w:hAnsi="仿宋" w:eastAsia="仿宋"/>
          <w:b/>
          <w:sz w:val="32"/>
          <w:szCs w:val="32"/>
        </w:rPr>
      </w:pPr>
      <w:bookmarkStart w:id="68" w:name="_Toc8423"/>
      <w:bookmarkStart w:id="69" w:name="_Toc15377444"/>
      <w:bookmarkStart w:id="70" w:name="_Toc15377213"/>
      <w:bookmarkStart w:id="71" w:name="_Toc15378460"/>
      <w:r>
        <w:rPr>
          <w:rFonts w:hint="eastAsia" w:ascii="仿宋" w:hAnsi="仿宋" w:eastAsia="仿宋"/>
          <w:b/>
          <w:sz w:val="32"/>
          <w:szCs w:val="32"/>
        </w:rPr>
        <w:t>2021年一般公共预算支出决算数为506.96，完成预算总额的100%。其中：</w:t>
      </w:r>
      <w:bookmarkEnd w:id="68"/>
    </w:p>
    <w:p w14:paraId="0047C487">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u w:color="46CD7E"/>
        </w:rPr>
        <w:t>.</w:t>
      </w:r>
      <w:r>
        <w:rPr>
          <w:rFonts w:hint="eastAsia" w:ascii="仿宋" w:hAnsi="仿宋" w:eastAsia="仿宋"/>
          <w:b/>
          <w:sz w:val="32"/>
          <w:szCs w:val="32"/>
        </w:rPr>
        <w:t>卫生健康（类）基层医疗卫生机构（款）乡镇卫生院（项）：267.77万元，完成预算100%。</w:t>
      </w:r>
    </w:p>
    <w:p w14:paraId="5C4B1302">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u w:color="46CD7E"/>
        </w:rPr>
        <w:t>.</w:t>
      </w:r>
      <w:r>
        <w:rPr>
          <w:rFonts w:hint="eastAsia" w:ascii="仿宋" w:hAnsi="仿宋" w:eastAsia="仿宋"/>
          <w:b/>
          <w:sz w:val="32"/>
          <w:szCs w:val="32"/>
        </w:rPr>
        <w:t>卫生健康（类）基层医疗卫生机构（款）其他基层医疗卫生机构（项）:96.31万元，完成预算100%。</w:t>
      </w:r>
    </w:p>
    <w:p w14:paraId="472514C3">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3</w:t>
      </w:r>
      <w:r>
        <w:t>.</w:t>
      </w:r>
      <w:r>
        <w:rPr>
          <w:rFonts w:hint="eastAsia" w:ascii="仿宋" w:hAnsi="仿宋" w:eastAsia="仿宋"/>
          <w:b/>
          <w:sz w:val="32"/>
          <w:szCs w:val="32"/>
        </w:rPr>
        <w:t>（卫生健康（类）公共卫生（款）基本公共卫生服务（项）:141.38万元，完成预算100%。</w:t>
      </w:r>
    </w:p>
    <w:p w14:paraId="749A4751">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4</w:t>
      </w:r>
      <w:r>
        <w:t>.</w:t>
      </w:r>
      <w:r>
        <w:rPr>
          <w:rFonts w:hint="eastAsia" w:ascii="仿宋" w:hAnsi="仿宋" w:eastAsia="仿宋"/>
          <w:b/>
          <w:sz w:val="32"/>
          <w:szCs w:val="32"/>
        </w:rPr>
        <w:t>（农林水（类）扶贫（款）其他扶贫支出（项）:1.5万元，完成预算100%。</w:t>
      </w:r>
    </w:p>
    <w:p w14:paraId="5DAEDD65">
      <w:pPr>
        <w:spacing w:line="600" w:lineRule="exact"/>
        <w:ind w:firstLine="643" w:firstLineChars="200"/>
        <w:outlineLvl w:val="2"/>
        <w:rPr>
          <w:rStyle w:val="9"/>
          <w:rFonts w:ascii="仿宋" w:hAnsi="仿宋" w:eastAsia="仿宋"/>
          <w:b w:val="0"/>
          <w:bCs/>
          <w:sz w:val="32"/>
          <w:szCs w:val="32"/>
        </w:rPr>
      </w:pPr>
      <w:r>
        <w:rPr>
          <w:rFonts w:hint="eastAsia" w:ascii="仿宋" w:hAnsi="仿宋" w:eastAsia="仿宋"/>
          <w:b/>
          <w:sz w:val="32"/>
          <w:szCs w:val="32"/>
        </w:rPr>
        <w:t>本年决算数为506.96万元，其中完成预算100%，决算数等于预算数。</w:t>
      </w:r>
      <w:bookmarkEnd w:id="69"/>
      <w:bookmarkEnd w:id="70"/>
      <w:bookmarkEnd w:id="71"/>
    </w:p>
    <w:p w14:paraId="187045FC">
      <w:pPr>
        <w:tabs>
          <w:tab w:val="right" w:pos="8306"/>
        </w:tabs>
        <w:spacing w:line="600" w:lineRule="exact"/>
        <w:ind w:firstLine="640"/>
        <w:outlineLvl w:val="1"/>
        <w:rPr>
          <w:rStyle w:val="29"/>
        </w:rPr>
      </w:pPr>
      <w:bookmarkStart w:id="72" w:name="_Toc11270"/>
      <w:bookmarkStart w:id="73" w:name="_Toc15396608"/>
      <w:bookmarkStart w:id="74"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财政拨款基本支出决算情况说明</w:t>
      </w:r>
      <w:bookmarkEnd w:id="72"/>
      <w:bookmarkEnd w:id="73"/>
      <w:bookmarkEnd w:id="74"/>
      <w:r>
        <w:rPr>
          <w:rStyle w:val="29"/>
          <w:rFonts w:ascii="黑体" w:hAnsi="黑体" w:eastAsia="黑体"/>
          <w:b w:val="0"/>
        </w:rPr>
        <w:tab/>
      </w:r>
    </w:p>
    <w:p w14:paraId="2639834E">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2021年一般公共预算财政拨款基本支出267.77万元，其中：</w:t>
      </w:r>
    </w:p>
    <w:p w14:paraId="076F0801">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人员缴费267.77万元，主要包括：基本工资179.36万元、津贴补贴30.35万元、绩效工资0万元、机关事业单位基本养老保险缴费24.5万元、职业年金缴费8.67万元、职工基本医疗保险金缴费6.44万元、其他社会保障缴费0万元、住房公积金缴费18.44万元等。</w:t>
      </w:r>
    </w:p>
    <w:p w14:paraId="4992B879">
      <w:pPr>
        <w:spacing w:line="600" w:lineRule="exact"/>
        <w:ind w:firstLine="640"/>
        <w:outlineLvl w:val="1"/>
        <w:rPr>
          <w:rStyle w:val="29"/>
          <w:rFonts w:ascii="黑体" w:hAnsi="黑体" w:eastAsia="黑体"/>
          <w:b w:val="0"/>
        </w:rPr>
      </w:pPr>
      <w:bookmarkStart w:id="75" w:name="_Toc15377215"/>
      <w:bookmarkStart w:id="76" w:name="_Toc15396609"/>
      <w:bookmarkStart w:id="77" w:name="_Toc24805"/>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w:t>
      </w:r>
      <w:r>
        <w:rPr>
          <w:rFonts w:hint="eastAsia" w:ascii="黑体" w:hAnsi="黑体" w:eastAsia="黑体"/>
        </w:rPr>
        <w:t>情况说明</w:t>
      </w:r>
      <w:bookmarkEnd w:id="75"/>
      <w:bookmarkEnd w:id="76"/>
      <w:bookmarkEnd w:id="77"/>
    </w:p>
    <w:p w14:paraId="1CBBD6F2">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2021年“三公”经费财政拨款支出决算为0万元，决算数等于预算数的主要原因是财政未安排“三公”经费预算</w:t>
      </w:r>
      <w:bookmarkStart w:id="78" w:name="_Toc15377216"/>
      <w:r>
        <w:rPr>
          <w:rFonts w:hint="eastAsia" w:ascii="仿宋" w:hAnsi="仿宋" w:eastAsia="仿宋" w:cs="仿宋"/>
          <w:color w:val="000000"/>
          <w:sz w:val="32"/>
          <w:szCs w:val="32"/>
        </w:rPr>
        <w:t>。</w:t>
      </w:r>
    </w:p>
    <w:p w14:paraId="6D31C559">
      <w:pPr>
        <w:spacing w:line="600" w:lineRule="exact"/>
        <w:ind w:firstLine="643" w:firstLineChars="200"/>
        <w:rPr>
          <w:rFonts w:ascii="仿宋" w:hAnsi="仿宋" w:eastAsia="仿宋"/>
          <w:b/>
          <w:sz w:val="32"/>
          <w:szCs w:val="32"/>
        </w:rPr>
      </w:pPr>
      <w:r>
        <w:rPr>
          <w:rFonts w:hint="eastAsia" w:ascii="仿宋" w:hAnsi="仿宋" w:eastAsia="仿宋"/>
          <w:b/>
          <w:sz w:val="32"/>
          <w:szCs w:val="32"/>
        </w:rPr>
        <w:t>（一）“三公”经费财政拨款支出决算总体情况说明</w:t>
      </w:r>
      <w:bookmarkEnd w:id="78"/>
    </w:p>
    <w:p w14:paraId="296CD375">
      <w:pPr>
        <w:spacing w:line="600" w:lineRule="exact"/>
        <w:ind w:firstLine="640" w:firstLineChars="200"/>
        <w:rPr>
          <w:rFonts w:ascii="仿宋" w:hAnsi="仿宋" w:eastAsia="仿宋"/>
          <w:sz w:val="32"/>
          <w:szCs w:val="32"/>
        </w:rPr>
      </w:pPr>
      <w:r>
        <w:rPr>
          <w:rFonts w:hint="eastAsia" w:ascii="仿宋" w:hAnsi="仿宋" w:eastAsia="仿宋"/>
          <w:sz w:val="32"/>
          <w:szCs w:val="32"/>
        </w:rPr>
        <w:t>2021年“三公”经费财政拨款支出决算中，因公出国（境）费支出决算0万元，占0%；公务用车购置及运行维护费支出决算0万元，占0%；公务接待费支出决算0万元，占0%。具体情况如下：</w:t>
      </w:r>
    </w:p>
    <w:p w14:paraId="4EF8E72D">
      <w:pPr>
        <w:spacing w:line="600" w:lineRule="exact"/>
        <w:ind w:firstLine="640"/>
        <w:rPr>
          <w:rFonts w:ascii="仿宋" w:hAnsi="仿宋" w:eastAsia="仿宋"/>
          <w:sz w:val="32"/>
          <w:szCs w:val="32"/>
        </w:rPr>
      </w:pPr>
      <w:r>
        <w:rPr>
          <w:rFonts w:hint="eastAsia" w:ascii="仿宋" w:hAnsi="仿宋" w:eastAsia="仿宋"/>
          <w:sz w:val="32"/>
          <w:szCs w:val="32"/>
        </w:rPr>
        <w:t>1.因公出国（境）经费支出0万元，完成预算100%。全年安排因公出国（境）团组0次，出国（境）0人。因公出国（境）支出决算与2020年相比无变化。主要原因是本单位未安排职工出国（境）。</w:t>
      </w:r>
    </w:p>
    <w:p w14:paraId="3DC9819D">
      <w:pPr>
        <w:spacing w:line="600" w:lineRule="exact"/>
        <w:ind w:firstLine="640"/>
        <w:rPr>
          <w:rFonts w:ascii="仿宋" w:hAnsi="仿宋" w:eastAsia="仿宋"/>
          <w:sz w:val="32"/>
          <w:szCs w:val="32"/>
        </w:rPr>
      </w:pPr>
      <w:r>
        <w:rPr>
          <w:rFonts w:hint="eastAsia" w:ascii="仿宋" w:hAnsi="仿宋" w:eastAsia="仿宋"/>
          <w:sz w:val="32"/>
          <w:szCs w:val="32"/>
        </w:rPr>
        <w:t>2.公务用车购置及运行维护费支出0万元</w:t>
      </w:r>
      <w:r>
        <w:t>，</w:t>
      </w:r>
      <w:r>
        <w:rPr>
          <w:rFonts w:hint="eastAsia" w:ascii="仿宋" w:hAnsi="仿宋" w:eastAsia="仿宋"/>
          <w:sz w:val="32"/>
          <w:szCs w:val="32"/>
        </w:rPr>
        <w:t>完成预算100%。公务用车购置及运行维护费支出决算与2020年相比无变化。主要原因是财政未安排公务用车购置及运行维护费支出预算。</w:t>
      </w:r>
    </w:p>
    <w:p w14:paraId="767E3CD2">
      <w:pPr>
        <w:spacing w:line="600" w:lineRule="exact"/>
        <w:ind w:firstLine="640"/>
        <w:rPr>
          <w:rFonts w:ascii="仿宋" w:hAnsi="仿宋" w:eastAsia="仿宋"/>
          <w:sz w:val="32"/>
          <w:szCs w:val="32"/>
        </w:rPr>
      </w:pPr>
      <w:r>
        <w:rPr>
          <w:rFonts w:hint="eastAsia" w:ascii="仿宋" w:hAnsi="仿宋" w:eastAsia="仿宋"/>
          <w:sz w:val="32"/>
          <w:szCs w:val="32"/>
        </w:rPr>
        <w:t>其中：公务用车购置支出0万元。全年按规定更新购置公务用车0辆，截至2021年12月底，单位共有公务用车1辆，其中：轿车0辆、越野车0辆、载客汽车0辆。</w:t>
      </w:r>
    </w:p>
    <w:p w14:paraId="63F04DDB">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公务用车运行维护费支出0万元。主要用于所需的公务用车燃料费、维修费、过路过桥费、保险费等支出。</w:t>
      </w:r>
    </w:p>
    <w:p w14:paraId="14E7B748">
      <w:pPr>
        <w:spacing w:line="600" w:lineRule="exact"/>
        <w:ind w:firstLine="640"/>
        <w:rPr>
          <w:rFonts w:ascii="仿宋" w:hAnsi="仿宋" w:eastAsia="仿宋"/>
          <w:sz w:val="32"/>
          <w:szCs w:val="32"/>
        </w:rPr>
      </w:pPr>
      <w:r>
        <w:rPr>
          <w:rFonts w:hint="eastAsia" w:ascii="仿宋" w:hAnsi="仿宋" w:eastAsia="仿宋"/>
          <w:sz w:val="32"/>
          <w:szCs w:val="32"/>
        </w:rPr>
        <w:t>3.公务接待费支出0万元，公务接待费支出决算比2020年增加/减少0万元。其中：</w:t>
      </w:r>
    </w:p>
    <w:p w14:paraId="186F0E24">
      <w:pPr>
        <w:spacing w:line="600" w:lineRule="exact"/>
        <w:ind w:firstLine="640"/>
        <w:rPr>
          <w:rFonts w:ascii="仿宋" w:hAnsi="仿宋" w:eastAsia="仿宋"/>
          <w:sz w:val="32"/>
          <w:szCs w:val="32"/>
        </w:rPr>
      </w:pPr>
      <w:r>
        <w:rPr>
          <w:rFonts w:hint="eastAsia" w:ascii="仿宋" w:hAnsi="仿宋" w:eastAsia="仿宋"/>
          <w:sz w:val="32"/>
          <w:szCs w:val="32"/>
        </w:rPr>
        <w:t>国内公务接待支出0万元，主要用于执行公务、开展业务活动开支的交通费、住宿费、用餐费等。国内公务接待0批次，0人次（不包括陪同人员），共计支出0万元。</w:t>
      </w:r>
    </w:p>
    <w:p w14:paraId="777E2B67">
      <w:pPr>
        <w:spacing w:line="600" w:lineRule="exact"/>
        <w:ind w:firstLine="640"/>
        <w:rPr>
          <w:rFonts w:ascii="仿宋" w:hAnsi="仿宋" w:eastAsia="仿宋"/>
          <w:sz w:val="32"/>
          <w:szCs w:val="32"/>
        </w:rPr>
      </w:pPr>
      <w:r>
        <w:rPr>
          <w:rFonts w:hint="eastAsia" w:ascii="仿宋" w:hAnsi="仿宋" w:eastAsia="仿宋"/>
          <w:sz w:val="32"/>
          <w:szCs w:val="32"/>
        </w:rPr>
        <w:t>外事接待支出0万元，外事接待0批次，0人，共计支出0万元。</w:t>
      </w:r>
    </w:p>
    <w:p w14:paraId="3E5414B1">
      <w:pPr>
        <w:spacing w:line="600" w:lineRule="exact"/>
        <w:ind w:firstLine="640"/>
        <w:outlineLvl w:val="1"/>
        <w:rPr>
          <w:rStyle w:val="29"/>
          <w:rFonts w:ascii="黑体" w:hAnsi="黑体" w:eastAsia="黑体"/>
        </w:rPr>
      </w:pPr>
      <w:bookmarkStart w:id="79" w:name="_Toc24898"/>
      <w:bookmarkStart w:id="80" w:name="_Toc15377218"/>
      <w:bookmarkStart w:id="81" w:name="_Toc15396610"/>
      <w:r>
        <w:rPr>
          <w:rFonts w:hint="eastAsia" w:ascii="黑体" w:eastAsia="黑体"/>
          <w:sz w:val="32"/>
          <w:szCs w:val="32"/>
        </w:rPr>
        <w:t>八、</w:t>
      </w:r>
      <w:r>
        <w:rPr>
          <w:rStyle w:val="29"/>
          <w:rFonts w:hint="eastAsia" w:ascii="黑体" w:hAnsi="黑体" w:eastAsia="黑体"/>
          <w:b w:val="0"/>
        </w:rPr>
        <w:t>政府性基金预算</w:t>
      </w:r>
      <w:r>
        <w:rPr>
          <w:rFonts w:hint="eastAsia" w:ascii="黑体" w:hAnsi="黑体" w:eastAsia="黑体"/>
          <w:sz w:val="32"/>
          <w:szCs w:val="32"/>
        </w:rPr>
        <w:t>支出决算情况说明</w:t>
      </w:r>
      <w:bookmarkEnd w:id="79"/>
      <w:bookmarkEnd w:id="80"/>
      <w:bookmarkEnd w:id="81"/>
    </w:p>
    <w:p w14:paraId="3AAA90F5">
      <w:pPr>
        <w:spacing w:line="600" w:lineRule="exact"/>
        <w:ind w:firstLine="640"/>
        <w:rPr>
          <w:rFonts w:ascii="仿宋" w:hAnsi="仿宋" w:eastAsia="仿宋" w:cs="仿宋"/>
          <w:sz w:val="32"/>
          <w:szCs w:val="32"/>
        </w:rPr>
      </w:pPr>
      <w:r>
        <w:rPr>
          <w:rFonts w:hint="eastAsia" w:ascii="仿宋" w:hAnsi="仿宋" w:eastAsia="仿宋" w:cs="仿宋"/>
          <w:sz w:val="32"/>
          <w:szCs w:val="32"/>
        </w:rPr>
        <w:t>2021年政府性基金预算财政拨款支出0万元。</w:t>
      </w:r>
    </w:p>
    <w:p w14:paraId="3C87EBDC">
      <w:pPr>
        <w:numPr>
          <w:ilvl w:val="0"/>
          <w:numId w:val="2"/>
        </w:numPr>
        <w:spacing w:line="600" w:lineRule="exact"/>
        <w:ind w:firstLine="640"/>
        <w:outlineLvl w:val="1"/>
        <w:rPr>
          <w:rStyle w:val="29"/>
          <w:rFonts w:ascii="黑体" w:hAnsi="黑体" w:eastAsia="黑体"/>
          <w:b w:val="0"/>
        </w:rPr>
      </w:pPr>
      <w:bookmarkStart w:id="82" w:name="_Toc15396611"/>
      <w:bookmarkStart w:id="83" w:name="_Toc15377219"/>
      <w:bookmarkStart w:id="84" w:name="_Toc24110"/>
      <w:r>
        <w:rPr>
          <w:rStyle w:val="29"/>
          <w:rFonts w:hint="eastAsia" w:ascii="黑体" w:hAnsi="黑体" w:eastAsia="黑体"/>
          <w:b w:val="0"/>
        </w:rPr>
        <w:t>国有资本经营预算</w:t>
      </w:r>
      <w:r>
        <w:rPr>
          <w:rFonts w:hint="eastAsia" w:ascii="黑体" w:hAnsi="黑体" w:eastAsia="黑体"/>
          <w:sz w:val="32"/>
          <w:szCs w:val="32"/>
        </w:rPr>
        <w:t>支出决算情况说明</w:t>
      </w:r>
      <w:bookmarkEnd w:id="82"/>
      <w:bookmarkEnd w:id="83"/>
      <w:bookmarkEnd w:id="84"/>
    </w:p>
    <w:p w14:paraId="45701D21">
      <w:pPr>
        <w:spacing w:line="600" w:lineRule="exact"/>
        <w:ind w:firstLine="640"/>
        <w:rPr>
          <w:rFonts w:ascii="仿宋" w:hAnsi="仿宋" w:eastAsia="仿宋" w:cs="仿宋"/>
          <w:sz w:val="32"/>
          <w:szCs w:val="32"/>
        </w:rPr>
      </w:pPr>
      <w:r>
        <w:rPr>
          <w:rFonts w:hint="eastAsia" w:ascii="仿宋" w:hAnsi="仿宋" w:eastAsia="仿宋" w:cs="仿宋"/>
          <w:sz w:val="32"/>
          <w:szCs w:val="32"/>
        </w:rPr>
        <w:t>2021年国有资本经营预算财政拨款支出0万元。</w:t>
      </w:r>
    </w:p>
    <w:p w14:paraId="791A5C64">
      <w:pPr>
        <w:numPr>
          <w:ilvl w:val="0"/>
          <w:numId w:val="2"/>
        </w:numPr>
        <w:spacing w:line="600" w:lineRule="exact"/>
        <w:ind w:firstLine="640"/>
        <w:outlineLvl w:val="1"/>
        <w:rPr>
          <w:rStyle w:val="29"/>
          <w:rFonts w:ascii="黑体" w:hAnsi="黑体" w:eastAsia="黑体"/>
          <w:b w:val="0"/>
        </w:rPr>
      </w:pPr>
      <w:bookmarkStart w:id="85" w:name="_Toc7315"/>
      <w:bookmarkStart w:id="86" w:name="_Toc15377221"/>
      <w:bookmarkStart w:id="87" w:name="_Toc15396612"/>
      <w:r>
        <w:rPr>
          <w:rStyle w:val="29"/>
          <w:rFonts w:hint="eastAsia" w:ascii="黑体" w:hAnsi="黑体" w:eastAsia="黑体"/>
          <w:b w:val="0"/>
        </w:rPr>
        <w:t>其</w:t>
      </w:r>
      <w:r>
        <w:rPr>
          <w:rFonts w:hint="eastAsia" w:ascii="黑体" w:hAnsi="黑体" w:eastAsia="黑体"/>
          <w:sz w:val="32"/>
          <w:szCs w:val="32"/>
        </w:rPr>
        <w:t>他重要事项的情况说明</w:t>
      </w:r>
      <w:bookmarkEnd w:id="85"/>
      <w:bookmarkEnd w:id="86"/>
      <w:bookmarkEnd w:id="87"/>
    </w:p>
    <w:p w14:paraId="03576DA1">
      <w:pPr>
        <w:spacing w:line="600" w:lineRule="exact"/>
        <w:ind w:firstLine="643" w:firstLineChars="200"/>
        <w:outlineLvl w:val="2"/>
        <w:rPr>
          <w:rFonts w:ascii="仿宋" w:hAnsi="仿宋" w:eastAsia="仿宋"/>
          <w:sz w:val="32"/>
          <w:szCs w:val="32"/>
        </w:rPr>
      </w:pPr>
      <w:bookmarkStart w:id="88" w:name="_Toc15377222"/>
      <w:r>
        <w:rPr>
          <w:rFonts w:hint="eastAsia" w:ascii="仿宋" w:hAnsi="仿宋" w:eastAsia="仿宋"/>
          <w:b/>
          <w:sz w:val="32"/>
          <w:szCs w:val="32"/>
        </w:rPr>
        <w:t>（一）机关运行经费支出情况</w:t>
      </w:r>
      <w:bookmarkEnd w:id="88"/>
    </w:p>
    <w:p w14:paraId="4C15725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2021年，通江县诺水河中心卫生院机关运行经费支出0万元，与2020年相比无变化。主要原因是本单位属于财政拨款事业单位，无机关运行经费支出。</w:t>
      </w:r>
    </w:p>
    <w:p w14:paraId="6DD10817">
      <w:pPr>
        <w:autoSpaceDE w:val="0"/>
        <w:autoSpaceDN w:val="0"/>
        <w:adjustRightInd w:val="0"/>
        <w:spacing w:line="600" w:lineRule="exact"/>
        <w:ind w:firstLine="643" w:firstLineChars="200"/>
        <w:jc w:val="left"/>
        <w:outlineLvl w:val="2"/>
        <w:rPr>
          <w:rFonts w:ascii="仿宋" w:hAnsi="仿宋" w:eastAsia="仿宋"/>
          <w:b/>
          <w:sz w:val="32"/>
          <w:szCs w:val="32"/>
        </w:rPr>
      </w:pPr>
      <w:bookmarkStart w:id="89" w:name="_Toc15377223"/>
      <w:r>
        <w:rPr>
          <w:rFonts w:hint="eastAsia" w:ascii="仿宋" w:hAnsi="仿宋" w:eastAsia="仿宋"/>
          <w:b/>
          <w:sz w:val="32"/>
          <w:szCs w:val="32"/>
        </w:rPr>
        <w:t>（二）政府采购支出情况</w:t>
      </w:r>
      <w:bookmarkEnd w:id="89"/>
    </w:p>
    <w:p w14:paraId="07303DF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2021年，政府采购支出总额0万元，其中：政府采购货物支出0万元、政府采购工程支出0万元、政府采购服务支出0万元。主要用于（具体工作）。授予中小微企业合同金额0万元，占政府采购支出总额的0%。</w:t>
      </w:r>
    </w:p>
    <w:p w14:paraId="60C4E319">
      <w:pPr>
        <w:autoSpaceDE w:val="0"/>
        <w:autoSpaceDN w:val="0"/>
        <w:adjustRightInd w:val="0"/>
        <w:spacing w:line="600" w:lineRule="exact"/>
        <w:ind w:firstLine="643" w:firstLineChars="200"/>
        <w:jc w:val="left"/>
        <w:outlineLvl w:val="2"/>
        <w:rPr>
          <w:rFonts w:ascii="仿宋" w:hAnsi="仿宋" w:eastAsia="仿宋"/>
          <w:b/>
          <w:sz w:val="32"/>
          <w:szCs w:val="32"/>
        </w:rPr>
      </w:pPr>
      <w:bookmarkStart w:id="90" w:name="_Toc15377224"/>
      <w:r>
        <w:rPr>
          <w:rFonts w:hint="eastAsia" w:ascii="仿宋" w:hAnsi="仿宋" w:eastAsia="仿宋"/>
          <w:b/>
          <w:sz w:val="32"/>
          <w:szCs w:val="32"/>
        </w:rPr>
        <w:t>（三）国有资产占有使用情况</w:t>
      </w:r>
      <w:bookmarkEnd w:id="90"/>
    </w:p>
    <w:p w14:paraId="7C4917C9">
      <w:pPr>
        <w:autoSpaceDE w:val="0"/>
        <w:autoSpaceDN w:val="0"/>
        <w:adjustRightInd w:val="0"/>
        <w:spacing w:line="600" w:lineRule="exact"/>
        <w:ind w:firstLine="640" w:firstLineChars="200"/>
        <w:jc w:val="left"/>
        <w:rPr>
          <w:rFonts w:ascii="仿宋" w:hAnsi="仿宋" w:eastAsia="仿宋" w:cs="仿宋"/>
          <w:b/>
          <w:color w:val="FF0000"/>
          <w:sz w:val="32"/>
          <w:szCs w:val="32"/>
        </w:rPr>
      </w:pPr>
      <w:r>
        <w:rPr>
          <w:rFonts w:hint="eastAsia" w:ascii="仿宋" w:hAnsi="仿宋" w:eastAsia="仿宋" w:cs="仿宋"/>
          <w:color w:val="000000"/>
          <w:sz w:val="32"/>
          <w:szCs w:val="32"/>
        </w:rPr>
        <w:t>截至2021年12月31日，通江县诺水河中心卫生院共有车辆1辆，其中：主要领导干部用车0辆、机要通信用车0辆、应急保障用车0辆、其他用车1辆。主要是用于医疗急救（救护车）。单价50万元以上通用设备1台（套），单价100万元以上专用设备1台（套）。</w:t>
      </w:r>
    </w:p>
    <w:p w14:paraId="1B2274D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3E8B7C5">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根据预算绩效管理要求，本部门（单位）在年初预算编制阶段，组织</w:t>
      </w:r>
      <w:bookmarkStart w:id="98" w:name="_GoBack"/>
      <w:r>
        <w:rPr>
          <w:rFonts w:hint="eastAsia" w:ascii="仿宋" w:hAnsi="仿宋" w:eastAsia="仿宋" w:cs="仿宋"/>
          <w:sz w:val="32"/>
          <w:szCs w:val="32"/>
        </w:rPr>
        <w:t>对（</w:t>
      </w:r>
      <w:r>
        <w:rPr>
          <w:rFonts w:hint="eastAsia" w:ascii="仿宋" w:hAnsi="仿宋" w:eastAsia="仿宋" w:cs="仿宋"/>
          <w:sz w:val="32"/>
          <w:szCs w:val="32"/>
        </w:rPr>
        <w:t>1.</w:t>
      </w:r>
      <w:r>
        <w:rPr>
          <w:rFonts w:hint="eastAsia" w:ascii="仿宋" w:hAnsi="仿宋" w:eastAsia="仿宋" w:cs="仿宋"/>
          <w:sz w:val="32"/>
          <w:szCs w:val="32"/>
        </w:rPr>
        <w:t>基本公共卫生服务项目2.</w:t>
      </w:r>
      <w:r>
        <w:rPr>
          <w:rFonts w:hint="eastAsia" w:ascii="仿宋" w:hAnsi="仿宋" w:eastAsia="仿宋" w:cs="仿宋"/>
          <w:sz w:val="32"/>
          <w:szCs w:val="32"/>
        </w:rPr>
        <w:t>实施基本药物制度项目3.</w:t>
      </w:r>
      <w:r>
        <w:rPr>
          <w:rFonts w:hint="eastAsia" w:ascii="仿宋" w:hAnsi="仿宋" w:eastAsia="仿宋" w:cs="仿宋"/>
          <w:sz w:val="32"/>
          <w:szCs w:val="32"/>
        </w:rPr>
        <w:t>村卫生室补助项目4.</w:t>
      </w:r>
      <w:r>
        <w:rPr>
          <w:rFonts w:hint="eastAsia" w:ascii="仿宋" w:hAnsi="仿宋" w:eastAsia="仿宋" w:cs="仿宋"/>
          <w:sz w:val="32"/>
          <w:szCs w:val="32"/>
        </w:rPr>
        <w:t>农林水驻村工作项目）开展了预算事前绩效评估，对</w:t>
      </w:r>
      <w:bookmarkEnd w:id="98"/>
      <w:r>
        <w:rPr>
          <w:rFonts w:hint="eastAsia" w:ascii="仿宋" w:hAnsi="仿宋" w:eastAsia="仿宋" w:cs="仿宋"/>
          <w:sz w:val="32"/>
          <w:szCs w:val="32"/>
        </w:rPr>
        <w:t>4个项目编制了绩效目标，预算执行过程中，选取4个项目开展绩效监控，年终执行完毕后，对4个项目开展了绩效目标完成情况自评。</w:t>
      </w:r>
    </w:p>
    <w:p w14:paraId="61DEB05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本部门按要求对2021年部门整体支出开展绩效自评，从评价情况来看，全年完成年度预算目标，1</w:t>
      </w:r>
      <w:r>
        <w:rPr>
          <w:rFonts w:ascii="仿宋" w:hAnsi="仿宋" w:eastAsia="仿宋" w:cs="仿宋"/>
          <w:sz w:val="32"/>
          <w:szCs w:val="32"/>
          <w:u w:color="46CD7E"/>
        </w:rPr>
        <w:t>.</w:t>
      </w:r>
      <w:r>
        <w:rPr>
          <w:rFonts w:hint="eastAsia" w:ascii="仿宋" w:hAnsi="仿宋" w:eastAsia="仿宋" w:cs="仿宋"/>
          <w:sz w:val="32"/>
          <w:szCs w:val="32"/>
        </w:rPr>
        <w:t>保障了在职人员工资福利费用的按时、足额发放，及时缴纳职工基</w:t>
      </w:r>
      <w:r>
        <w:rPr>
          <w:rFonts w:hint="eastAsia" w:ascii="仿宋" w:hAnsi="仿宋" w:eastAsia="仿宋" w:cs="仿宋"/>
          <w:sz w:val="32"/>
          <w:szCs w:val="32"/>
          <w:lang w:val="en-US" w:eastAsia="zh-CN"/>
        </w:rPr>
        <w:t>本</w:t>
      </w:r>
      <w:r>
        <w:rPr>
          <w:rFonts w:hint="eastAsia" w:ascii="仿宋" w:hAnsi="仿宋" w:eastAsia="仿宋" w:cs="仿宋"/>
          <w:sz w:val="32"/>
          <w:szCs w:val="32"/>
        </w:rPr>
        <w:t>养老保险金、医疗保险金、职业年金、住房公积金；2</w:t>
      </w:r>
      <w:r>
        <w:rPr>
          <w:rFonts w:ascii="仿宋" w:hAnsi="仿宋" w:eastAsia="仿宋" w:cs="仿宋"/>
          <w:sz w:val="32"/>
          <w:szCs w:val="32"/>
          <w:u w:color="46CD7E"/>
        </w:rPr>
        <w:t>.</w:t>
      </w:r>
      <w:r>
        <w:rPr>
          <w:rFonts w:hint="eastAsia" w:ascii="仿宋" w:hAnsi="仿宋" w:eastAsia="仿宋" w:cs="仿宋"/>
          <w:sz w:val="32"/>
          <w:szCs w:val="32"/>
        </w:rPr>
        <w:t>及时足额兑现村卫生室定额补助经费22.8万元；3</w:t>
      </w:r>
      <w:r>
        <w:rPr>
          <w:rFonts w:ascii="仿宋" w:hAnsi="仿宋" w:eastAsia="仿宋" w:cs="仿宋"/>
          <w:sz w:val="32"/>
          <w:szCs w:val="32"/>
          <w:u w:color="46CD7E"/>
        </w:rPr>
        <w:t>.</w:t>
      </w:r>
      <w:r>
        <w:rPr>
          <w:rFonts w:hint="eastAsia" w:ascii="仿宋" w:hAnsi="仿宋" w:eastAsia="仿宋" w:cs="仿宋"/>
          <w:sz w:val="32"/>
          <w:szCs w:val="32"/>
        </w:rPr>
        <w:t>严格执行基本药物制度，药品实行零差率，药品实行网上采购；4</w:t>
      </w:r>
      <w:r>
        <w:rPr>
          <w:rFonts w:ascii="仿宋" w:hAnsi="仿宋" w:eastAsia="仿宋" w:cs="仿宋"/>
          <w:sz w:val="32"/>
          <w:szCs w:val="32"/>
          <w:u w:color="46CD7E"/>
        </w:rPr>
        <w:t>.</w:t>
      </w:r>
      <w:r>
        <w:rPr>
          <w:rFonts w:hint="eastAsia" w:ascii="仿宋" w:hAnsi="仿宋" w:eastAsia="仿宋" w:cs="仿宋"/>
          <w:sz w:val="32"/>
          <w:szCs w:val="32"/>
        </w:rPr>
        <w:t>全年完成十四项基本公共卫生服务，服务人口2万余人，</w:t>
      </w:r>
      <w:r>
        <w:rPr>
          <w:rFonts w:hint="eastAsia" w:ascii="仿宋" w:hAnsi="仿宋" w:eastAsia="仿宋" w:cs="仿宋"/>
          <w:sz w:val="32"/>
          <w:szCs w:val="32"/>
          <w:u w:color="46CD7E"/>
        </w:rPr>
        <w:t>其中</w:t>
      </w:r>
      <w:r>
        <w:rPr>
          <w:rFonts w:hint="eastAsia" w:ascii="仿宋" w:hAnsi="仿宋" w:eastAsia="仿宋" w:cs="仿宋"/>
          <w:sz w:val="32"/>
          <w:szCs w:val="32"/>
        </w:rPr>
        <w:t>基本公共卫生服务项目经费48%下沉到</w:t>
      </w:r>
      <w:r>
        <w:rPr>
          <w:rFonts w:hint="eastAsia" w:ascii="仿宋" w:hAnsi="仿宋" w:eastAsia="仿宋" w:cs="仿宋"/>
          <w:sz w:val="32"/>
          <w:szCs w:val="32"/>
          <w:u w:color="FFB03A"/>
        </w:rPr>
        <w:t>乡村医生</w:t>
      </w:r>
      <w:r>
        <w:rPr>
          <w:rFonts w:hint="eastAsia" w:ascii="仿宋" w:hAnsi="仿宋" w:eastAsia="仿宋" w:cs="仿宋"/>
          <w:sz w:val="32"/>
          <w:szCs w:val="32"/>
        </w:rPr>
        <w:t>实行基本公共卫生购买服务；5</w:t>
      </w:r>
      <w:r>
        <w:rPr>
          <w:rFonts w:ascii="仿宋" w:hAnsi="仿宋" w:eastAsia="仿宋" w:cs="仿宋"/>
          <w:sz w:val="32"/>
          <w:szCs w:val="32"/>
          <w:u w:color="46CD7E"/>
        </w:rPr>
        <w:t>.</w:t>
      </w:r>
      <w:r>
        <w:rPr>
          <w:rFonts w:hint="eastAsia" w:ascii="仿宋" w:hAnsi="仿宋" w:eastAsia="仿宋" w:cs="仿宋"/>
          <w:sz w:val="32"/>
          <w:szCs w:val="32"/>
        </w:rPr>
        <w:t>农林水驻村工作人员补助经费1.5万元。</w:t>
      </w:r>
    </w:p>
    <w:p w14:paraId="37210201">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1.项目绩效目标完成情况。</w:t>
      </w:r>
      <w:r>
        <w:rPr>
          <w:rFonts w:hint="eastAsia" w:ascii="仿宋" w:hAnsi="仿宋" w:eastAsia="仿宋" w:cs="仿宋"/>
          <w:sz w:val="32"/>
          <w:szCs w:val="32"/>
        </w:rPr>
        <w:br w:type="textWrapping"/>
      </w:r>
      <w:r>
        <w:rPr>
          <w:rFonts w:hint="eastAsia" w:ascii="仿宋" w:hAnsi="仿宋" w:eastAsia="仿宋" w:cs="仿宋"/>
          <w:sz w:val="32"/>
          <w:szCs w:val="32"/>
        </w:rPr>
        <w:t>本部门在2021年度部门决算中反映“村卫生室定额补助项目”“实施基本药物补助项目”“基本公共卫生服务项目”“驻村工作补助项目”等4个项目绩效目标实际完成情况。</w:t>
      </w:r>
    </w:p>
    <w:p w14:paraId="0856C3D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村卫生室定额补助项目：项目绩效目标完成情况综述。项目全年预算数为22.8万元，执行数为22.8万元，完成预算的100%。通过项目实施，稳定了乡村医生队伍，巩固了基础医疗卫生健康网底建设，保障了村卫生室基本办公、人员经费的运转。发现的主要问题：村卫生室建设、服务能力、服务水平还相对落后、乡村医生业务技术水平较低、乡村医生收入、待遇较低。下一步改进措施：积极争取财政投入，加强村卫生室建设及乡村医生业务技能培训。</w:t>
      </w:r>
    </w:p>
    <w:p w14:paraId="03A4FDE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实施基本药物制度项目绩效目标完成情况综述。项目全年预算数为22.94万元，执行数为73.51万元，完成预算的100%。通过项目实施，坚持国家实施基本药物制度的有效实施，严格实行药品集中网上采购、药品实行零差率销售，减轻了老百姓医药费用负担，保证了药品质量，加强了村级医疗卫生机构药品监管。发现的主要问题：村医药品网采率较低，村医药品零差率销售政策监管不够到位。下一步改进措施：继续实施基药网采及实施基本药物制度；加强对乡村医生实施基药制度监管，严格落实基药零差率销售制度。</w:t>
      </w:r>
    </w:p>
    <w:p w14:paraId="6BAC7F98">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基本公共卫生服务项目绩效目标完成情况综述。项目全年预算数为105.08万元，执行数为141.38万元，完成预算的100%。通过项目实施，保障了基本公共卫生服务项目的有效开展，促进基本公共卫生服务均等化，实施了乡村医生基本公共卫生服务购买服务，按照项目48%下沉到村卫生室。发现的主要问题：基本公共卫生服务项目补助经费不足，尚不能满足乡村医生基本待遇；服务对象认识不够到位。下一步改进措施：进一步加强基本公共卫生服务宣传教育力度，让全民参与，共同促进，加大基本公共卫生服务财政投入力度，保障乡村医生待遇水平。</w:t>
      </w:r>
    </w:p>
    <w:p w14:paraId="53A7E8C6">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农林水-扶贫-驻村工作项目绩效目标完成情况综述，通过该项目的有效实施，保障了驻村人员的基本办公费用，加快了农村脱贫攻坚进程，巩固了脱贫攻坚成果、改善了乡村面貌。发现的主要问题：等、靠、要现象存在；项目资金严重不足。下一步改进措施：加强群众</w:t>
      </w:r>
      <w:r>
        <w:rPr>
          <w:rFonts w:hint="eastAsia" w:ascii="仿宋" w:hAnsi="仿宋" w:eastAsia="仿宋" w:cs="仿宋"/>
          <w:sz w:val="32"/>
          <w:szCs w:val="32"/>
          <w:u w:color="FFB03A"/>
        </w:rPr>
        <w:t>对</w:t>
      </w:r>
      <w:r>
        <w:rPr>
          <w:rFonts w:hint="eastAsia" w:ascii="仿宋" w:hAnsi="仿宋" w:eastAsia="仿宋" w:cs="仿宋"/>
          <w:sz w:val="32"/>
          <w:szCs w:val="32"/>
        </w:rPr>
        <w:t>脱贫攻坚政策的学习教育，提高群众认识；积极争取经费投入。</w:t>
      </w:r>
    </w:p>
    <w:p w14:paraId="6B99C5D3">
      <w:pPr>
        <w:widowControl/>
        <w:jc w:val="left"/>
        <w:rPr>
          <w:rFonts w:ascii="仿宋_GB2312" w:eastAsia="仿宋_GB2312"/>
          <w:b/>
          <w:sz w:val="18"/>
          <w:szCs w:val="18"/>
        </w:rPr>
      </w:pPr>
      <w:r>
        <w:br w:type="page"/>
      </w:r>
    </w:p>
    <w:p w14:paraId="05471DF3">
      <w:pPr>
        <w:numPr>
          <w:ilvl w:val="0"/>
          <w:numId w:val="3"/>
        </w:numPr>
        <w:spacing w:line="600" w:lineRule="exact"/>
        <w:ind w:firstLine="660" w:firstLineChars="150"/>
        <w:jc w:val="center"/>
        <w:outlineLvl w:val="0"/>
        <w:rPr>
          <w:rFonts w:ascii="黑体" w:hAnsi="黑体" w:eastAsia="黑体"/>
          <w:bCs/>
          <w:kern w:val="44"/>
          <w:sz w:val="44"/>
          <w:szCs w:val="44"/>
        </w:rPr>
      </w:pPr>
      <w:bookmarkStart w:id="91" w:name="_Toc15396613"/>
      <w:bookmarkStart w:id="92" w:name="_Toc15377225"/>
      <w:bookmarkStart w:id="93" w:name="_Toc29782"/>
      <w:r>
        <w:rPr>
          <w:rFonts w:hint="eastAsia" w:ascii="黑体" w:hAnsi="黑体" w:eastAsia="黑体"/>
          <w:sz w:val="44"/>
          <w:szCs w:val="44"/>
        </w:rPr>
        <w:t>名</w:t>
      </w:r>
      <w:r>
        <w:rPr>
          <w:rStyle w:val="28"/>
          <w:rFonts w:hint="eastAsia" w:ascii="黑体" w:hAnsi="黑体" w:eastAsia="黑体"/>
          <w:b w:val="0"/>
        </w:rPr>
        <w:t>词解释</w:t>
      </w:r>
      <w:bookmarkEnd w:id="91"/>
      <w:bookmarkEnd w:id="92"/>
      <w:bookmarkEnd w:id="93"/>
    </w:p>
    <w:p w14:paraId="1454B524">
      <w:pPr>
        <w:pStyle w:val="26"/>
        <w:spacing w:line="560" w:lineRule="exact"/>
        <w:ind w:firstLine="640" w:firstLineChars="200"/>
        <w:rPr>
          <w:rFonts w:ascii="仿宋_GB2312" w:eastAsia="仿宋_GB2312"/>
          <w:color w:val="auto"/>
          <w:sz w:val="32"/>
          <w:szCs w:val="32"/>
        </w:rPr>
      </w:pPr>
    </w:p>
    <w:p w14:paraId="10B5F2F5">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14:paraId="2F36626B">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546A6C4D">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11C9A01D">
      <w:pPr>
        <w:pStyle w:val="26"/>
        <w:spacing w:line="560" w:lineRule="exact"/>
        <w:ind w:left="638" w:leftChars="304"/>
        <w:rPr>
          <w:rFonts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14:paraId="7F103FB7">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5.使用非财政拨款结余：指事业单位使用以前年度积累的非财政拨款结余弥补当年收支差额的金额。</w:t>
      </w:r>
    </w:p>
    <w:p w14:paraId="2D693EC0">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6.年初结转和结余：指以前年度尚未完成、结转到</w:t>
      </w:r>
      <w:r>
        <w:rPr>
          <w:rFonts w:hint="eastAsia" w:ascii="仿宋_GB2312" w:eastAsia="仿宋_GB2312"/>
          <w:color w:val="auto"/>
          <w:sz w:val="32"/>
          <w:szCs w:val="32"/>
          <w:u w:color="46CD7E"/>
        </w:rPr>
        <w:t>本年度</w:t>
      </w:r>
      <w:r>
        <w:rPr>
          <w:rFonts w:hint="eastAsia" w:ascii="仿宋_GB2312" w:eastAsia="仿宋_GB2312"/>
          <w:color w:val="auto"/>
          <w:sz w:val="32"/>
          <w:szCs w:val="32"/>
        </w:rPr>
        <w:t>有关规定继续使用的资金。</w:t>
      </w:r>
    </w:p>
    <w:p w14:paraId="39991B8D">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7.结余分配：指事业单位按照会计制度规定缴纳的所得税、提取的专用结余以及转入非财政拨款结余的金额等。</w:t>
      </w:r>
    </w:p>
    <w:p w14:paraId="41C2B4DB">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u w:color="46CD7E"/>
        </w:rPr>
        <w:t>.</w:t>
      </w:r>
      <w:r>
        <w:rPr>
          <w:rFonts w:hint="eastAsia" w:ascii="仿宋_GB2312" w:eastAsia="仿宋_GB2312"/>
          <w:color w:val="auto"/>
          <w:sz w:val="32"/>
          <w:szCs w:val="32"/>
        </w:rPr>
        <w:t>年末结转和结余：指单位按有关规定结转到下年或以后年度继续使用的资金。</w:t>
      </w:r>
    </w:p>
    <w:p w14:paraId="65A11E15">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color="FFB03A"/>
        </w:rPr>
        <w:t>9.</w:t>
      </w:r>
      <w:r>
        <w:rPr>
          <w:rFonts w:hint="eastAsia" w:ascii="仿宋_GB2312" w:eastAsia="仿宋_GB2312"/>
          <w:color w:val="auto"/>
          <w:sz w:val="32"/>
          <w:szCs w:val="32"/>
        </w:rPr>
        <w:t>卫生健康支出（类）基层医疗卫生机构（款）乡镇卫生院（项）：反映用于乡镇卫生院的支出。</w:t>
      </w:r>
    </w:p>
    <w:p w14:paraId="710BF460">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10.卫生健康支出（类）基层医疗卫生机构（款）其他基层医疗卫生机构（项）：指用于村卫生室方面的支出。</w:t>
      </w:r>
    </w:p>
    <w:p w14:paraId="72AB0487">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11.卫生健康支出（类）公共卫生（款）基本公共卫生服务（项）:指用于基本公共卫生服务支出。</w:t>
      </w:r>
    </w:p>
    <w:p w14:paraId="25D9A069">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12.农林水支出（类）扶贫（款）其他扶贫支出（项）:指其他用于扶贫方面的支出。</w:t>
      </w:r>
    </w:p>
    <w:p w14:paraId="28EBAF3E">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13.基本支出：指为保障机构正常运转、完成日常工作任务而发生的人员支出和公用支出。</w:t>
      </w:r>
    </w:p>
    <w:p w14:paraId="74AEA1DB">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14.项目支出：指在基本支出之外为完成特定行政任务和事业发展目标所发生的支出。</w:t>
      </w:r>
    </w:p>
    <w:p w14:paraId="6A84419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15.经营支出：指事业单位在专业业务活动及其辅助活动之外开展非独立核算经营活动发生的支出。</w:t>
      </w:r>
    </w:p>
    <w:p w14:paraId="6ED47758">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7F36E17">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val="thick" w:color="FFB03A"/>
          <w:shd w:val="clear" w:color="auto" w:fill="FFEFD8"/>
        </w:rPr>
        <w:t>17.</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D363C4">
      <w:pPr>
        <w:rPr>
          <w:rFonts w:ascii="仿宋" w:hAnsi="仿宋" w:eastAsia="仿宋"/>
          <w:b/>
          <w:sz w:val="32"/>
          <w:szCs w:val="32"/>
        </w:rPr>
      </w:pPr>
    </w:p>
    <w:p w14:paraId="48A70FE6">
      <w:pPr>
        <w:spacing w:line="600" w:lineRule="exact"/>
        <w:jc w:val="center"/>
        <w:outlineLvl w:val="0"/>
        <w:rPr>
          <w:rFonts w:ascii="黑体" w:hAnsi="黑体" w:eastAsia="黑体"/>
          <w:bCs/>
          <w:kern w:val="44"/>
          <w:sz w:val="44"/>
          <w:szCs w:val="44"/>
        </w:rPr>
      </w:pPr>
      <w:bookmarkStart w:id="94" w:name="_Toc15377226"/>
      <w:r>
        <w:br w:type="page"/>
      </w:r>
      <w:bookmarkStart w:id="95" w:name="_Toc15396614"/>
      <w:bookmarkStart w:id="96" w:name="_Toc23784"/>
      <w:r>
        <w:rPr>
          <w:rFonts w:hint="eastAsia" w:ascii="黑体" w:hAnsi="黑体" w:eastAsia="黑体"/>
          <w:sz w:val="44"/>
          <w:szCs w:val="44"/>
        </w:rPr>
        <w:t>第</w:t>
      </w:r>
      <w:r>
        <w:rPr>
          <w:rStyle w:val="28"/>
          <w:rFonts w:hint="eastAsia" w:ascii="黑体" w:hAnsi="黑体" w:eastAsia="黑体"/>
          <w:b w:val="0"/>
        </w:rPr>
        <w:t>四部分附件</w:t>
      </w:r>
      <w:bookmarkEnd w:id="95"/>
      <w:bookmarkEnd w:id="96"/>
    </w:p>
    <w:tbl>
      <w:tblPr>
        <w:tblStyle w:val="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9"/>
        <w:gridCol w:w="992"/>
        <w:gridCol w:w="142"/>
        <w:gridCol w:w="1276"/>
        <w:gridCol w:w="141"/>
        <w:gridCol w:w="2835"/>
        <w:gridCol w:w="821"/>
        <w:gridCol w:w="2409"/>
        <w:gridCol w:w="236"/>
      </w:tblGrid>
      <w:tr w14:paraId="76E0290A">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14:paraId="4C19BF26">
            <w:pPr>
              <w:widowControl/>
              <w:textAlignment w:val="center"/>
              <w:rPr>
                <w:rFonts w:ascii="宋体" w:hAnsi="宋体" w:cs="宋体"/>
                <w:b/>
                <w:sz w:val="32"/>
                <w:szCs w:val="32"/>
              </w:rPr>
            </w:pPr>
            <w:bookmarkStart w:id="97" w:name="_Toc15396618"/>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12C6FCE2">
            <w:pPr>
              <w:widowControl/>
              <w:jc w:val="center"/>
              <w:textAlignment w:val="center"/>
              <w:rPr>
                <w:rFonts w:ascii="宋体" w:hAnsi="宋体" w:cs="宋体"/>
                <w:b/>
                <w:kern w:val="0"/>
                <w:sz w:val="32"/>
                <w:szCs w:val="32"/>
              </w:rPr>
            </w:pPr>
          </w:p>
        </w:tc>
      </w:tr>
      <w:tr w14:paraId="779813A6">
        <w:tblPrEx>
          <w:tblCellMar>
            <w:top w:w="0" w:type="dxa"/>
            <w:left w:w="108" w:type="dxa"/>
            <w:bottom w:w="0" w:type="dxa"/>
            <w:right w:w="108" w:type="dxa"/>
          </w:tblCellMar>
        </w:tblPrEx>
        <w:trPr>
          <w:gridAfter w:val="1"/>
          <w:wAfter w:w="236" w:type="dxa"/>
          <w:trHeight w:val="254" w:hRule="atLeast"/>
        </w:trPr>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354A7">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主管部门及代码</w:t>
            </w:r>
          </w:p>
        </w:tc>
        <w:tc>
          <w:tcPr>
            <w:tcW w:w="4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3536B">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通江县卫生健康局</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3E63">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2207">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通江县诺水河中心卫生院</w:t>
            </w:r>
          </w:p>
        </w:tc>
      </w:tr>
      <w:tr w14:paraId="1827AD20">
        <w:tblPrEx>
          <w:tblCellMar>
            <w:top w:w="0" w:type="dxa"/>
            <w:left w:w="108" w:type="dxa"/>
            <w:bottom w:w="0" w:type="dxa"/>
            <w:right w:w="108" w:type="dxa"/>
          </w:tblCellMar>
        </w:tblPrEx>
        <w:trPr>
          <w:gridAfter w:val="1"/>
          <w:wAfter w:w="236" w:type="dxa"/>
          <w:trHeight w:val="341" w:hRule="atLeast"/>
        </w:trPr>
        <w:tc>
          <w:tcPr>
            <w:tcW w:w="20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6AE7C">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项目预算</w:t>
            </w:r>
            <w:r>
              <w:rPr>
                <w:rFonts w:hint="eastAsia" w:ascii="仿宋" w:hAnsi="仿宋" w:eastAsia="仿宋" w:cs="仿宋"/>
                <w:kern w:val="0"/>
                <w:sz w:val="24"/>
              </w:rPr>
              <w:br w:type="textWrapping"/>
            </w:r>
            <w:r>
              <w:rPr>
                <w:rFonts w:hint="eastAsia" w:ascii="仿宋" w:hAnsi="仿宋" w:eastAsia="仿宋" w:cs="仿宋"/>
                <w:kern w:val="0"/>
                <w:sz w:val="24"/>
              </w:rPr>
              <w:t>执行情况</w:t>
            </w:r>
            <w:r>
              <w:rPr>
                <w:rFonts w:hint="eastAsia" w:ascii="仿宋" w:hAnsi="仿宋" w:eastAsia="仿宋" w:cs="仿宋"/>
                <w:kern w:val="0"/>
                <w:sz w:val="24"/>
              </w:rPr>
              <w:br w:type="textWrapping"/>
            </w:r>
            <w:r>
              <w:rPr>
                <w:rFonts w:hint="eastAsia" w:ascii="仿宋" w:hAnsi="仿宋" w:eastAsia="仿宋" w:cs="仿宋"/>
                <w:kern w:val="0"/>
                <w:sz w:val="24"/>
              </w:rPr>
              <w:t>（万元）</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0832A">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预算数：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E456">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105.08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74E">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0CA">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141.38</w:t>
            </w:r>
          </w:p>
        </w:tc>
      </w:tr>
      <w:tr w14:paraId="1F0CC0B7">
        <w:tblPrEx>
          <w:tblCellMar>
            <w:top w:w="0" w:type="dxa"/>
            <w:left w:w="108" w:type="dxa"/>
            <w:bottom w:w="0" w:type="dxa"/>
            <w:right w:w="108" w:type="dxa"/>
          </w:tblCellMar>
        </w:tblPrEx>
        <w:trPr>
          <w:gridAfter w:val="1"/>
          <w:wAfter w:w="236" w:type="dxa"/>
          <w:trHeight w:val="555"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7300">
            <w:pPr>
              <w:spacing w:line="320" w:lineRule="exact"/>
              <w:jc w:val="center"/>
              <w:rPr>
                <w:rFonts w:ascii="仿宋" w:hAnsi="仿宋" w:eastAsia="仿宋" w:cs="仿宋"/>
                <w:sz w:val="24"/>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DA0B0">
            <w:pPr>
              <w:widowControl/>
              <w:spacing w:line="320" w:lineRule="exact"/>
              <w:jc w:val="left"/>
              <w:textAlignment w:val="center"/>
              <w:rPr>
                <w:rFonts w:ascii="仿宋" w:hAnsi="仿宋" w:eastAsia="仿宋" w:cs="仿宋"/>
                <w:kern w:val="0"/>
                <w:sz w:val="24"/>
              </w:rPr>
            </w:pPr>
            <w:r>
              <w:rPr>
                <w:rFonts w:hint="eastAsia" w:ascii="仿宋" w:hAnsi="仿宋" w:eastAsia="仿宋" w:cs="仿宋"/>
                <w:kern w:val="0"/>
                <w:sz w:val="24"/>
              </w:rPr>
              <w:t>其中：</w:t>
            </w:r>
          </w:p>
          <w:p w14:paraId="0B7A6A0A">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财政拨款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BCE6">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105.08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B766">
            <w:pPr>
              <w:widowControl/>
              <w:spacing w:line="320" w:lineRule="exact"/>
              <w:jc w:val="left"/>
              <w:textAlignment w:val="center"/>
              <w:rPr>
                <w:rFonts w:ascii="仿宋" w:hAnsi="仿宋" w:eastAsia="仿宋" w:cs="仿宋"/>
                <w:kern w:val="0"/>
                <w:sz w:val="24"/>
              </w:rPr>
            </w:pPr>
            <w:r>
              <w:rPr>
                <w:rFonts w:hint="eastAsia" w:ascii="仿宋" w:hAnsi="仿宋" w:eastAsia="仿宋" w:cs="仿宋"/>
                <w:kern w:val="0"/>
                <w:sz w:val="24"/>
              </w:rPr>
              <w:t>其中：</w:t>
            </w:r>
          </w:p>
          <w:p w14:paraId="446970A3">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F9FB">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141.38</w:t>
            </w:r>
          </w:p>
        </w:tc>
      </w:tr>
      <w:tr w14:paraId="12ABEF57">
        <w:tblPrEx>
          <w:tblCellMar>
            <w:top w:w="0" w:type="dxa"/>
            <w:left w:w="108" w:type="dxa"/>
            <w:bottom w:w="0" w:type="dxa"/>
            <w:right w:w="108" w:type="dxa"/>
          </w:tblCellMar>
        </w:tblPrEx>
        <w:trPr>
          <w:gridAfter w:val="1"/>
          <w:wAfter w:w="236" w:type="dxa"/>
          <w:trHeight w:val="341"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9FE9A">
            <w:pPr>
              <w:spacing w:line="320" w:lineRule="exact"/>
              <w:jc w:val="center"/>
              <w:rPr>
                <w:rFonts w:ascii="仿宋" w:hAnsi="仿宋" w:eastAsia="仿宋" w:cs="仿宋"/>
                <w:sz w:val="24"/>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936C7">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其他资金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7284">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677">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8E62">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0</w:t>
            </w:r>
          </w:p>
        </w:tc>
      </w:tr>
      <w:tr w14:paraId="0D2642B0">
        <w:tblPrEx>
          <w:tblCellMar>
            <w:top w:w="0" w:type="dxa"/>
            <w:left w:w="108" w:type="dxa"/>
            <w:bottom w:w="0" w:type="dxa"/>
            <w:right w:w="108" w:type="dxa"/>
          </w:tblCellMar>
        </w:tblPrEx>
        <w:trPr>
          <w:gridAfter w:val="1"/>
          <w:wAfter w:w="236" w:type="dxa"/>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996BF">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年度总体目标</w:t>
            </w:r>
          </w:p>
          <w:p w14:paraId="2FE91BCB">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完成情况</w:t>
            </w:r>
          </w:p>
        </w:tc>
        <w:tc>
          <w:tcPr>
            <w:tcW w:w="5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BFEA2">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预期目标</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4560F">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目标实际完成情况</w:t>
            </w:r>
          </w:p>
        </w:tc>
      </w:tr>
      <w:tr w14:paraId="2938FDA4">
        <w:tblPrEx>
          <w:tblCellMar>
            <w:top w:w="0" w:type="dxa"/>
            <w:left w:w="108" w:type="dxa"/>
            <w:bottom w:w="0" w:type="dxa"/>
            <w:right w:w="108" w:type="dxa"/>
          </w:tblCellMar>
        </w:tblPrEx>
        <w:trPr>
          <w:gridAfter w:val="1"/>
          <w:wAfter w:w="236" w:type="dxa"/>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071F">
            <w:pPr>
              <w:spacing w:line="320" w:lineRule="exact"/>
              <w:jc w:val="center"/>
              <w:rPr>
                <w:rFonts w:ascii="仿宋" w:hAnsi="仿宋" w:eastAsia="仿宋" w:cs="仿宋"/>
                <w:sz w:val="24"/>
              </w:rPr>
            </w:pPr>
          </w:p>
        </w:tc>
        <w:tc>
          <w:tcPr>
            <w:tcW w:w="5386" w:type="dxa"/>
            <w:gridSpan w:val="5"/>
            <w:tcBorders>
              <w:top w:val="single" w:color="000000" w:sz="4" w:space="0"/>
              <w:left w:val="single" w:color="000000" w:sz="4" w:space="0"/>
              <w:bottom w:val="single" w:color="000000" w:sz="4" w:space="0"/>
              <w:right w:val="single" w:color="000000" w:sz="4" w:space="0"/>
            </w:tcBorders>
            <w:shd w:val="clear" w:color="auto" w:fill="auto"/>
          </w:tcPr>
          <w:p w14:paraId="13F2F80C">
            <w:pPr>
              <w:widowControl/>
              <w:spacing w:line="320" w:lineRule="exact"/>
              <w:jc w:val="left"/>
              <w:textAlignment w:val="top"/>
              <w:rPr>
                <w:rFonts w:ascii="仿宋" w:hAnsi="仿宋" w:eastAsia="仿宋" w:cs="仿宋"/>
                <w:sz w:val="24"/>
              </w:rPr>
            </w:pPr>
            <w:r>
              <w:rPr>
                <w:rFonts w:hint="eastAsia" w:ascii="仿宋" w:hAnsi="仿宋" w:eastAsia="仿宋" w:cs="仿宋"/>
                <w:sz w:val="24"/>
              </w:rPr>
              <w:t>1</w:t>
            </w:r>
            <w:r>
              <w:rPr>
                <w:rFonts w:ascii="仿宋" w:hAnsi="仿宋" w:eastAsia="仿宋" w:cs="仿宋"/>
                <w:sz w:val="24"/>
                <w:u w:color="46CD7E"/>
              </w:rPr>
              <w:t>.</w:t>
            </w:r>
            <w:r>
              <w:rPr>
                <w:rFonts w:hint="eastAsia" w:ascii="仿宋" w:hAnsi="仿宋" w:eastAsia="仿宋" w:cs="仿宋"/>
                <w:sz w:val="24"/>
              </w:rPr>
              <w:t>提升公共卫生服务能力水平；2</w:t>
            </w:r>
            <w:r>
              <w:rPr>
                <w:rFonts w:ascii="仿宋" w:hAnsi="仿宋" w:eastAsia="仿宋" w:cs="仿宋"/>
                <w:sz w:val="24"/>
                <w:u w:color="46CD7E"/>
              </w:rPr>
              <w:t>.</w:t>
            </w:r>
            <w:r>
              <w:rPr>
                <w:rFonts w:hint="eastAsia" w:ascii="仿宋" w:hAnsi="仿宋" w:eastAsia="仿宋" w:cs="仿宋"/>
                <w:sz w:val="24"/>
              </w:rPr>
              <w:t>基本公共卫生服务覆盖率100%；3</w:t>
            </w:r>
            <w:r>
              <w:rPr>
                <w:rFonts w:ascii="仿宋" w:hAnsi="仿宋" w:eastAsia="仿宋" w:cs="仿宋"/>
                <w:sz w:val="24"/>
                <w:u w:color="46CD7E"/>
              </w:rPr>
              <w:t>.</w:t>
            </w:r>
            <w:r>
              <w:rPr>
                <w:rFonts w:hint="eastAsia" w:ascii="仿宋" w:hAnsi="仿宋" w:eastAsia="仿宋" w:cs="仿宋"/>
                <w:sz w:val="24"/>
              </w:rPr>
              <w:t>基本公共卫生服务项目资金兑现及时率100</w:t>
            </w:r>
            <w:r>
              <w:rPr>
                <w:rFonts w:ascii="仿宋" w:hAnsi="仿宋" w:eastAsia="仿宋" w:cs="仿宋"/>
                <w:sz w:val="24"/>
                <w:u w:color="46CD7E"/>
              </w:rPr>
              <w:t>%。</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tcPr>
          <w:p w14:paraId="6B229848">
            <w:pPr>
              <w:widowControl/>
              <w:spacing w:line="320" w:lineRule="exact"/>
              <w:jc w:val="left"/>
              <w:textAlignment w:val="top"/>
              <w:rPr>
                <w:rFonts w:ascii="仿宋" w:hAnsi="仿宋" w:eastAsia="仿宋" w:cs="仿宋"/>
                <w:sz w:val="24"/>
              </w:rPr>
            </w:pPr>
            <w:r>
              <w:rPr>
                <w:rFonts w:hint="eastAsia" w:ascii="仿宋" w:hAnsi="仿宋" w:eastAsia="仿宋" w:cs="仿宋"/>
                <w:sz w:val="24"/>
              </w:rPr>
              <w:t>1、提升公共卫生服务能力水平；2、基本公共卫生服务覆盖率100%；3、基本公共卫生服务项目资金兑现及时率100%</w:t>
            </w:r>
          </w:p>
        </w:tc>
      </w:tr>
      <w:tr w14:paraId="673FAF42">
        <w:tblPrEx>
          <w:tblCellMar>
            <w:top w:w="0" w:type="dxa"/>
            <w:left w:w="108" w:type="dxa"/>
            <w:bottom w:w="0" w:type="dxa"/>
            <w:right w:w="108" w:type="dxa"/>
          </w:tblCellMar>
        </w:tblPrEx>
        <w:trPr>
          <w:gridAfter w:val="1"/>
          <w:wAfter w:w="236" w:type="dxa"/>
          <w:trHeight w:val="693" w:hRule="atLeast"/>
        </w:trPr>
        <w:tc>
          <w:tcPr>
            <w:tcW w:w="959" w:type="dxa"/>
            <w:vMerge w:val="restart"/>
            <w:tcBorders>
              <w:top w:val="single" w:color="000000" w:sz="4" w:space="0"/>
              <w:left w:val="single" w:color="000000" w:sz="4" w:space="0"/>
              <w:right w:val="single" w:color="000000" w:sz="4" w:space="0"/>
            </w:tcBorders>
            <w:shd w:val="clear" w:color="auto" w:fill="auto"/>
            <w:vAlign w:val="center"/>
          </w:tcPr>
          <w:p w14:paraId="0A673D3F">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35A543FF">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一级</w:t>
            </w:r>
          </w:p>
          <w:p w14:paraId="202E6AA0">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D3F90">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二级</w:t>
            </w:r>
          </w:p>
          <w:p w14:paraId="0A3C3D13">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B980">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三级</w:t>
            </w:r>
          </w:p>
          <w:p w14:paraId="447C34CC">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305">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9A6">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实际完成指标值</w:t>
            </w:r>
          </w:p>
        </w:tc>
      </w:tr>
      <w:tr w14:paraId="6BCA5DD9">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14:paraId="11335B89">
            <w:pPr>
              <w:spacing w:line="320" w:lineRule="exact"/>
              <w:jc w:val="center"/>
              <w:rPr>
                <w:rFonts w:ascii="仿宋" w:hAnsi="仿宋" w:eastAsia="仿宋" w:cs="仿宋"/>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B411A">
            <w:pPr>
              <w:widowControl/>
              <w:spacing w:line="320" w:lineRule="exact"/>
              <w:jc w:val="center"/>
              <w:textAlignment w:val="bottom"/>
              <w:rPr>
                <w:rFonts w:ascii="仿宋" w:hAnsi="仿宋" w:eastAsia="仿宋" w:cs="仿宋"/>
                <w:kern w:val="0"/>
                <w:sz w:val="24"/>
              </w:rPr>
            </w:pPr>
            <w:r>
              <w:rPr>
                <w:rFonts w:hint="eastAsia" w:ascii="仿宋" w:hAnsi="仿宋" w:eastAsia="仿宋" w:cs="仿宋"/>
                <w:kern w:val="0"/>
                <w:sz w:val="24"/>
              </w:rPr>
              <w:t>完成</w:t>
            </w:r>
          </w:p>
          <w:p w14:paraId="340D7456">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334E4AF">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数量指标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F35AE18">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服务人口、预算金额、预算补助标准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4A21D">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C29BF">
            <w:pPr>
              <w:widowControl/>
              <w:spacing w:line="320" w:lineRule="exact"/>
              <w:textAlignment w:val="bottom"/>
              <w:rPr>
                <w:rFonts w:ascii="仿宋" w:hAnsi="仿宋" w:eastAsia="仿宋" w:cs="仿宋"/>
                <w:sz w:val="24"/>
              </w:rPr>
            </w:pPr>
            <w:r>
              <w:rPr>
                <w:rFonts w:hint="eastAsia" w:ascii="仿宋" w:hAnsi="仿宋" w:eastAsia="仿宋" w:cs="仿宋"/>
                <w:sz w:val="24"/>
              </w:rPr>
              <w:t>完成预算金额141.4万元，服务人口19103人、完成率100%</w:t>
            </w:r>
            <w:r>
              <w:t>。</w:t>
            </w:r>
          </w:p>
        </w:tc>
      </w:tr>
      <w:tr w14:paraId="5CB5B074">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14:paraId="4D7F4963">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72F4909">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11B197">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质量指标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DD6C719">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预算金额、服务人口、资金兑现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0CA5F">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07281">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实际完成预算指标的100%</w:t>
            </w:r>
          </w:p>
        </w:tc>
      </w:tr>
      <w:tr w14:paraId="1F5E60CC">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14:paraId="413F3A11">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1A3758B">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6E12764">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u w:val="thick" w:color="FFB03A"/>
                <w:shd w:val="clear" w:color="auto" w:fill="FFEFD8"/>
              </w:rPr>
              <w:t>时效</w:t>
            </w:r>
            <w:r>
              <w:rPr>
                <w:rFonts w:hint="eastAsia" w:ascii="仿宋" w:hAnsi="仿宋" w:eastAsia="仿宋" w:cs="仿宋"/>
                <w:kern w:val="0"/>
                <w:sz w:val="24"/>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6B1159F">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财政拨付、资金支付、及时率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75CFD">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722C9">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资金支付兑现在2021年12月31日前</w:t>
            </w:r>
          </w:p>
        </w:tc>
      </w:tr>
      <w:tr w14:paraId="2B3B6FA1">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02B43B9E">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75FD724">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2CD6982">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成本指标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555A25">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人均补助标准、补助资金总额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026F0">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92BBCD">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人均55元、总额141.4万元</w:t>
            </w:r>
          </w:p>
        </w:tc>
      </w:tr>
      <w:tr w14:paraId="768C7901">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22364A42">
            <w:pPr>
              <w:spacing w:line="320" w:lineRule="exact"/>
              <w:jc w:val="center"/>
              <w:rPr>
                <w:rFonts w:ascii="仿宋" w:hAnsi="仿宋" w:eastAsia="仿宋" w:cs="仿宋"/>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B867E">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效益</w:t>
            </w:r>
            <w:r>
              <w:rPr>
                <w:rFonts w:hint="eastAsia" w:ascii="仿宋" w:hAnsi="仿宋" w:eastAsia="仿宋" w:cs="仿宋"/>
                <w:kern w:val="0"/>
                <w:sz w:val="24"/>
              </w:rPr>
              <w:br w:type="textWrapping"/>
            </w:r>
            <w:r>
              <w:rPr>
                <w:rFonts w:hint="eastAsia" w:ascii="仿宋" w:hAnsi="仿宋" w:eastAsia="仿宋" w:cs="仿宋"/>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5F3524F">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经济效益指标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2A985EE">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基本公共卫生服务兑现资金总额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3BE3A">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5647A">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兑现基本公共卫生服务金额141.4万元；医药费下降31.6</w:t>
            </w:r>
          </w:p>
        </w:tc>
      </w:tr>
      <w:tr w14:paraId="3C58D141">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060B0FA8">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1644FE8">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05A7A1B">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社会效益指标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A0B3D58">
            <w:pPr>
              <w:widowControl/>
              <w:spacing w:line="320" w:lineRule="exact"/>
              <w:jc w:val="center"/>
              <w:textAlignment w:val="bottom"/>
              <w:rPr>
                <w:rFonts w:ascii="仿宋" w:hAnsi="仿宋" w:eastAsia="仿宋" w:cs="仿宋"/>
                <w:sz w:val="24"/>
              </w:rPr>
            </w:pPr>
            <w:r>
              <w:rPr>
                <w:rFonts w:hint="eastAsia" w:ascii="仿宋" w:hAnsi="仿宋" w:eastAsia="仿宋" w:cs="仿宋"/>
                <w:sz w:val="24"/>
                <w:u w:val="thick" w:color="909090"/>
                <w:shd w:val="clear" w:color="auto" w:fill="DDDDDD"/>
              </w:rPr>
              <w:t>基本公共卫生服务社会满意度、普及率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D2326">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A3BE7">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社会满意度95%、普及率98%</w:t>
            </w:r>
          </w:p>
        </w:tc>
      </w:tr>
      <w:tr w14:paraId="08DE1C8B">
        <w:tblPrEx>
          <w:tblCellMar>
            <w:top w:w="0" w:type="dxa"/>
            <w:left w:w="108" w:type="dxa"/>
            <w:bottom w:w="0" w:type="dxa"/>
            <w:right w:w="108" w:type="dxa"/>
          </w:tblCellMar>
        </w:tblPrEx>
        <w:trPr>
          <w:gridAfter w:val="1"/>
          <w:wAfter w:w="236" w:type="dxa"/>
          <w:trHeight w:val="577" w:hRule="atLeast"/>
        </w:trPr>
        <w:tc>
          <w:tcPr>
            <w:tcW w:w="959" w:type="dxa"/>
            <w:vMerge w:val="continue"/>
            <w:tcBorders>
              <w:left w:val="single" w:color="000000" w:sz="4" w:space="0"/>
              <w:right w:val="single" w:color="000000" w:sz="4" w:space="0"/>
            </w:tcBorders>
            <w:shd w:val="clear" w:color="auto" w:fill="auto"/>
            <w:vAlign w:val="center"/>
          </w:tcPr>
          <w:p w14:paraId="36607744">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DCC3E93">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F896333">
            <w:pPr>
              <w:widowControl/>
              <w:spacing w:line="320" w:lineRule="exact"/>
              <w:ind w:left="423" w:leftChars="87" w:hanging="240" w:hangingChars="100"/>
              <w:jc w:val="left"/>
              <w:textAlignment w:val="bottom"/>
              <w:rPr>
                <w:rFonts w:ascii="仿宋" w:hAnsi="仿宋" w:eastAsia="仿宋" w:cs="仿宋"/>
                <w:sz w:val="24"/>
              </w:rPr>
            </w:pPr>
            <w:r>
              <w:rPr>
                <w:rFonts w:hint="eastAsia" w:ascii="仿宋" w:hAnsi="仿宋" w:eastAsia="仿宋" w:cs="仿宋"/>
                <w:kern w:val="0"/>
                <w:sz w:val="24"/>
              </w:rPr>
              <w:t>生态效益指标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4AF4E2E">
            <w:pPr>
              <w:widowControl/>
              <w:spacing w:line="320" w:lineRule="exact"/>
              <w:jc w:val="center"/>
              <w:textAlignment w:val="bottom"/>
              <w:rPr>
                <w:rFonts w:ascii="仿宋" w:hAnsi="仿宋" w:eastAsia="仿宋" w:cs="仿宋"/>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70C74">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5C4DD">
            <w:pPr>
              <w:widowControl/>
              <w:spacing w:line="320" w:lineRule="exact"/>
              <w:jc w:val="center"/>
              <w:textAlignment w:val="bottom"/>
              <w:rPr>
                <w:rFonts w:ascii="仿宋" w:hAnsi="仿宋" w:eastAsia="仿宋" w:cs="仿宋"/>
                <w:sz w:val="24"/>
              </w:rPr>
            </w:pPr>
          </w:p>
        </w:tc>
      </w:tr>
      <w:tr w14:paraId="5710EBC4">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4BF9B432">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82C8BE">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55BEE0D">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可持续影响指标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2C83812">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基本公共卫生服务政策延续性、服务项目增减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BF218">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33764">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政策持续推进、增加服务项目</w:t>
            </w:r>
          </w:p>
        </w:tc>
      </w:tr>
      <w:tr w14:paraId="32A07410">
        <w:tblPrEx>
          <w:tblCellMar>
            <w:top w:w="0" w:type="dxa"/>
            <w:left w:w="108" w:type="dxa"/>
            <w:bottom w:w="0" w:type="dxa"/>
            <w:right w:w="108" w:type="dxa"/>
          </w:tblCellMar>
        </w:tblPrEx>
        <w:trPr>
          <w:gridAfter w:val="1"/>
          <w:wAfter w:w="236" w:type="dxa"/>
          <w:trHeight w:val="530" w:hRule="atLeast"/>
        </w:trPr>
        <w:tc>
          <w:tcPr>
            <w:tcW w:w="959" w:type="dxa"/>
            <w:vMerge w:val="continue"/>
            <w:tcBorders>
              <w:left w:val="single" w:color="000000" w:sz="4" w:space="0"/>
              <w:bottom w:val="single" w:color="000000" w:sz="4" w:space="0"/>
              <w:right w:val="single" w:color="000000" w:sz="4" w:space="0"/>
            </w:tcBorders>
            <w:shd w:val="clear" w:color="auto" w:fill="auto"/>
            <w:vAlign w:val="center"/>
          </w:tcPr>
          <w:p w14:paraId="3F31A288">
            <w:pPr>
              <w:spacing w:line="320" w:lineRule="exact"/>
              <w:jc w:val="center"/>
              <w:rPr>
                <w:rFonts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51D8F">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满意</w:t>
            </w:r>
            <w:r>
              <w:rPr>
                <w:rFonts w:hint="eastAsia" w:ascii="仿宋" w:hAnsi="仿宋" w:eastAsia="仿宋" w:cs="仿宋"/>
                <w:kern w:val="0"/>
                <w:sz w:val="24"/>
              </w:rPr>
              <w:br w:type="textWrapping"/>
            </w:r>
            <w:r>
              <w:rPr>
                <w:rFonts w:hint="eastAsia" w:ascii="仿宋" w:hAnsi="仿宋" w:eastAsia="仿宋" w:cs="仿宋"/>
                <w:kern w:val="0"/>
                <w:sz w:val="24"/>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6BBF535">
            <w:pPr>
              <w:widowControl/>
              <w:spacing w:line="320" w:lineRule="exact"/>
              <w:jc w:val="center"/>
              <w:textAlignment w:val="bottom"/>
              <w:rPr>
                <w:rFonts w:ascii="仿宋" w:hAnsi="仿宋" w:eastAsia="仿宋" w:cs="仿宋"/>
                <w:kern w:val="0"/>
                <w:sz w:val="24"/>
              </w:rPr>
            </w:pPr>
            <w:r>
              <w:rPr>
                <w:rFonts w:hint="eastAsia" w:ascii="仿宋" w:hAnsi="仿宋" w:eastAsia="仿宋" w:cs="仿宋"/>
                <w:kern w:val="0"/>
                <w:sz w:val="24"/>
              </w:rPr>
              <w:t>满意度</w:t>
            </w:r>
          </w:p>
          <w:p w14:paraId="73BAA846">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D68435">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群众社会满意度、职工满意度、政府购买服务完成满意度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ACBFA">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903726">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分别完成90%；95%；98%</w:t>
            </w:r>
            <w:r>
              <w:t>。</w:t>
            </w:r>
          </w:p>
        </w:tc>
      </w:tr>
      <w:bookmarkEnd w:id="94"/>
      <w:bookmarkEnd w:id="97"/>
    </w:tbl>
    <w:p w14:paraId="06BD7A3E">
      <w:pPr>
        <w:spacing w:line="600" w:lineRule="exact"/>
        <w:jc w:val="center"/>
        <w:outlineLvl w:val="0"/>
        <w:rPr>
          <w:rFonts w:ascii="黑体" w:hAnsi="黑体" w:eastAsia="黑体"/>
          <w:sz w:val="44"/>
          <w:szCs w:val="44"/>
        </w:rPr>
      </w:pPr>
    </w:p>
    <w:sectPr>
      <w:footerReference r:id="rId10" w:type="first"/>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BA184">
    <w:pPr>
      <w:pStyle w:val="16"/>
      <w:jc w:val="center"/>
    </w:pPr>
    <w:r>
      <w:fldChar w:fldCharType="begin"/>
    </w:r>
    <w:r>
      <w:instrText xml:space="preserve">PAGE   \* MERGEFORMAT</w:instrText>
    </w:r>
    <w:r>
      <w:fldChar w:fldCharType="separate"/>
    </w:r>
    <w:r>
      <w:rPr>
        <w:lang w:val="zh-CN"/>
      </w:rPr>
      <w:t>2</w:t>
    </w:r>
    <w:r>
      <w:fldChar w:fldCharType="end"/>
    </w:r>
  </w:p>
  <w:p w14:paraId="6EF0003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19634">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B4A8">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6C68E30">
        <w:pPr>
          <w:pStyle w:val="16"/>
          <w:jc w:val="center"/>
        </w:pPr>
        <w:r>
          <w:fldChar w:fldCharType="begin"/>
        </w:r>
        <w:r>
          <w:instrText xml:space="preserve">PAGE   \* MERGEFORMAT</w:instrText>
        </w:r>
        <w:r>
          <w:fldChar w:fldCharType="separate"/>
        </w:r>
        <w:r>
          <w:rPr>
            <w:lang w:val="zh-CN"/>
          </w:rPr>
          <w:t>12</w:t>
        </w:r>
        <w:r>
          <w:fldChar w:fldCharType="end"/>
        </w:r>
      </w:p>
    </w:sdtContent>
  </w:sdt>
  <w:p w14:paraId="6A49A745">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FAFDF">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877C">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E785">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D605">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9679E"/>
    <w:multiLevelType w:val="singleLevel"/>
    <w:tmpl w:val="0A79679E"/>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2D2512F3"/>
    <w:multiLevelType w:val="multilevel"/>
    <w:tmpl w:val="2D2512F3"/>
    <w:lvl w:ilvl="0" w:tentative="0">
      <w:start w:val="1"/>
      <w:numFmt w:val="japaneseCounting"/>
      <w:lvlText w:val="%1、"/>
      <w:lvlJc w:val="left"/>
      <w:pPr>
        <w:ind w:left="1571"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C286C53"/>
    <w:multiLevelType w:val="singleLevel"/>
    <w:tmpl w:val="4C286C53"/>
    <w:lvl w:ilvl="0" w:tentative="0">
      <w:start w:val="9"/>
      <w:numFmt w:val="chineseCounting"/>
      <w:suff w:val="nothing"/>
      <w:lvlText w:val="%1、"/>
      <w:lvlJc w:val="left"/>
      <w:rPr>
        <w:rFonts w:hint="eastAsia"/>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hZjIxYzBhMzI4ZTVhZjJmZDNjNTdmNjM0MzhhMWUifQ=="/>
  </w:docVars>
  <w:rsids>
    <w:rsidRoot w:val="00494084"/>
    <w:rsid w:val="00126FA5"/>
    <w:rsid w:val="00141F14"/>
    <w:rsid w:val="003449B9"/>
    <w:rsid w:val="00494084"/>
    <w:rsid w:val="009B1636"/>
    <w:rsid w:val="00C3480A"/>
    <w:rsid w:val="00D77E7D"/>
    <w:rsid w:val="20EE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unhideWhenUsed/>
    <w:uiPriority w:val="99"/>
    <w:pPr>
      <w:jc w:val="left"/>
    </w:p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semiHidden/>
    <w:unhideWhenUsed/>
    <w:qFormat/>
    <w:uiPriority w:val="99"/>
    <w:rPr>
      <w:sz w:val="18"/>
      <w:szCs w:val="1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99"/>
    <w:rPr>
      <w:b/>
    </w:rPr>
  </w:style>
  <w:style w:type="character" w:styleId="10">
    <w:name w:val="Hyperlink"/>
    <w:basedOn w:val="8"/>
    <w:unhideWhenUsed/>
    <w:qFormat/>
    <w:uiPriority w:val="99"/>
    <w:rPr>
      <w:color w:val="0000FF" w:themeColor="hyperlink"/>
      <w:u w:val="single"/>
    </w:rPr>
  </w:style>
  <w:style w:type="character" w:styleId="11">
    <w:name w:val="annotation reference"/>
    <w:basedOn w:val="8"/>
    <w:semiHidden/>
    <w:unhideWhenUsed/>
    <w:uiPriority w:val="99"/>
    <w:rPr>
      <w:sz w:val="21"/>
      <w:szCs w:val="21"/>
    </w:rPr>
  </w:style>
  <w:style w:type="paragraph" w:customStyle="1" w:styleId="12">
    <w:name w:val="标题 11"/>
    <w:basedOn w:val="1"/>
    <w:next w:val="1"/>
    <w:link w:val="28"/>
    <w:qFormat/>
    <w:uiPriority w:val="9"/>
    <w:pPr>
      <w:keepNext/>
      <w:keepLines/>
      <w:spacing w:before="340" w:after="330" w:line="578" w:lineRule="auto"/>
      <w:outlineLvl w:val="0"/>
    </w:pPr>
    <w:rPr>
      <w:b/>
      <w:bCs/>
      <w:kern w:val="44"/>
      <w:sz w:val="44"/>
      <w:szCs w:val="44"/>
    </w:rPr>
  </w:style>
  <w:style w:type="paragraph" w:customStyle="1" w:styleId="13">
    <w:name w:val="标题 21"/>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4">
    <w:name w:val="标题 31"/>
    <w:basedOn w:val="1"/>
    <w:next w:val="1"/>
    <w:link w:val="32"/>
    <w:unhideWhenUsed/>
    <w:qFormat/>
    <w:uiPriority w:val="9"/>
    <w:pPr>
      <w:keepNext/>
      <w:keepLines/>
      <w:spacing w:before="260" w:after="260" w:line="416" w:lineRule="auto"/>
      <w:outlineLvl w:val="2"/>
    </w:pPr>
    <w:rPr>
      <w:b/>
      <w:bCs/>
      <w:sz w:val="32"/>
      <w:szCs w:val="32"/>
    </w:rPr>
  </w:style>
  <w:style w:type="paragraph" w:customStyle="1" w:styleId="15">
    <w:name w:val="TOC 31"/>
    <w:basedOn w:val="1"/>
    <w:next w:val="1"/>
    <w:unhideWhenUsed/>
    <w:qFormat/>
    <w:uiPriority w:val="39"/>
    <w:pPr>
      <w:tabs>
        <w:tab w:val="right" w:leader="dot" w:pos="8296"/>
      </w:tabs>
      <w:ind w:left="840" w:leftChars="400"/>
    </w:pPr>
  </w:style>
  <w:style w:type="paragraph" w:customStyle="1" w:styleId="16">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7">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8">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9">
    <w:name w:val="TOC 21"/>
    <w:basedOn w:val="1"/>
    <w:next w:val="1"/>
    <w:unhideWhenUsed/>
    <w:qFormat/>
    <w:uiPriority w:val="39"/>
    <w:pPr>
      <w:tabs>
        <w:tab w:val="right" w:leader="dot" w:pos="8296"/>
      </w:tabs>
      <w:ind w:left="420" w:leftChars="200"/>
    </w:pPr>
  </w:style>
  <w:style w:type="character" w:customStyle="1" w:styleId="20">
    <w:name w:val="Header Char"/>
    <w:basedOn w:val="8"/>
    <w:semiHidden/>
    <w:qFormat/>
    <w:uiPriority w:val="99"/>
    <w:rPr>
      <w:rFonts w:ascii="Times New Roman" w:hAnsi="Times New Roman"/>
      <w:sz w:val="18"/>
      <w:szCs w:val="18"/>
    </w:rPr>
  </w:style>
  <w:style w:type="character" w:customStyle="1" w:styleId="21">
    <w:name w:val="页眉 Char"/>
    <w:semiHidden/>
    <w:qFormat/>
    <w:locked/>
    <w:uiPriority w:val="99"/>
    <w:rPr>
      <w:sz w:val="18"/>
    </w:rPr>
  </w:style>
  <w:style w:type="character" w:customStyle="1" w:styleId="22">
    <w:name w:val="Footer Char"/>
    <w:basedOn w:val="8"/>
    <w:semiHidden/>
    <w:qFormat/>
    <w:uiPriority w:val="99"/>
    <w:rPr>
      <w:rFonts w:ascii="Times New Roman" w:hAnsi="Times New Roman"/>
      <w:sz w:val="18"/>
      <w:szCs w:val="18"/>
    </w:rPr>
  </w:style>
  <w:style w:type="character" w:customStyle="1" w:styleId="23">
    <w:name w:val="页脚 Char"/>
    <w:qFormat/>
    <w:locked/>
    <w:uiPriority w:val="99"/>
    <w:rPr>
      <w:sz w:val="18"/>
    </w:rPr>
  </w:style>
  <w:style w:type="character" w:customStyle="1" w:styleId="24">
    <w:name w:val="Body Text Char"/>
    <w:basedOn w:val="8"/>
    <w:semiHidden/>
    <w:qFormat/>
    <w:uiPriority w:val="99"/>
    <w:rPr>
      <w:rFonts w:ascii="Times New Roman" w:hAnsi="Times New Roman"/>
      <w:szCs w:val="24"/>
    </w:rPr>
  </w:style>
  <w:style w:type="character" w:customStyle="1" w:styleId="25">
    <w:name w:val="正文文本 Char"/>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8"/>
    <w:link w:val="12"/>
    <w:qFormat/>
    <w:uiPriority w:val="9"/>
    <w:rPr>
      <w:rFonts w:ascii="Times New Roman" w:hAnsi="Times New Roman"/>
      <w:b/>
      <w:bCs/>
      <w:kern w:val="44"/>
      <w:sz w:val="44"/>
      <w:szCs w:val="44"/>
    </w:rPr>
  </w:style>
  <w:style w:type="character" w:customStyle="1" w:styleId="29">
    <w:name w:val="标题 2 Char"/>
    <w:basedOn w:val="8"/>
    <w:link w:val="13"/>
    <w:qFormat/>
    <w:uiPriority w:val="9"/>
    <w:rPr>
      <w:rFonts w:asciiTheme="majorHAnsi" w:hAnsiTheme="majorHAnsi" w:eastAsiaTheme="majorEastAsia" w:cstheme="majorBidi"/>
      <w:b/>
      <w:bCs/>
      <w:kern w:val="2"/>
      <w:sz w:val="32"/>
      <w:szCs w:val="32"/>
    </w:rPr>
  </w:style>
  <w:style w:type="paragraph" w:customStyle="1" w:styleId="30">
    <w:name w:val="TOC 标题1"/>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8"/>
    <w:semiHidden/>
    <w:qFormat/>
    <w:uiPriority w:val="99"/>
    <w:rPr>
      <w:rFonts w:ascii="Times New Roman" w:hAnsi="Times New Roman"/>
      <w:kern w:val="2"/>
      <w:sz w:val="18"/>
      <w:szCs w:val="18"/>
    </w:rPr>
  </w:style>
  <w:style w:type="character" w:customStyle="1" w:styleId="32">
    <w:name w:val="标题 3 Char"/>
    <w:basedOn w:val="8"/>
    <w:link w:val="14"/>
    <w:qFormat/>
    <w:uiPriority w:val="9"/>
    <w:rPr>
      <w:rFonts w:ascii="Times New Roman" w:hAnsi="Times New Roman"/>
      <w:b/>
      <w:bCs/>
      <w:kern w:val="2"/>
      <w:sz w:val="32"/>
      <w:szCs w:val="32"/>
    </w:rPr>
  </w:style>
  <w:style w:type="paragraph" w:customStyle="1" w:styleId="33">
    <w:name w:val="TOC 标题2"/>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6">
    <w:name w:val="批注文字 Char"/>
    <w:basedOn w:val="8"/>
    <w:semiHidden/>
    <w:uiPriority w:val="99"/>
    <w:rPr>
      <w:rFonts w:ascii="Times New Roman" w:hAnsi="Times New Roman" w:eastAsia="宋体" w:cs="Times New Roman"/>
      <w:kern w:val="2"/>
      <w:sz w:val="21"/>
      <w:szCs w:val="24"/>
    </w:rPr>
  </w:style>
  <w:style w:type="paragraph" w:customStyle="1" w:styleId="37">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38">
    <w:name w:val="页眉 Char1"/>
    <w:basedOn w:val="8"/>
    <w:semiHidden/>
    <w:uiPriority w:val="99"/>
    <w:rPr>
      <w:rFonts w:ascii="Times New Roman" w:hAnsi="Times New Roman" w:eastAsia="宋体" w:cs="Times New Roman"/>
      <w:kern w:val="2"/>
      <w:sz w:val="18"/>
      <w:szCs w:val="18"/>
    </w:rPr>
  </w:style>
  <w:style w:type="paragraph" w:customStyle="1" w:styleId="39">
    <w:name w:val="Footer0"/>
    <w:basedOn w:val="1"/>
    <w:qFormat/>
    <w:uiPriority w:val="99"/>
    <w:pPr>
      <w:tabs>
        <w:tab w:val="center" w:pos="4153"/>
        <w:tab w:val="right" w:pos="8306"/>
      </w:tabs>
      <w:snapToGrid w:val="0"/>
      <w:jc w:val="left"/>
    </w:pPr>
    <w:rPr>
      <w:sz w:val="18"/>
      <w:szCs w:val="18"/>
    </w:rPr>
  </w:style>
  <w:style w:type="character" w:customStyle="1" w:styleId="40">
    <w:name w:val="页脚 Char1"/>
    <w:basedOn w:val="8"/>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2  2021</a:t>
            </a:r>
            <a:r>
              <a:rPr lang="zh-CN" altLang="en-US" sz="1400" b="0"/>
              <a:t>年度收入构成图</a:t>
            </a:r>
            <a:endParaRPr lang="zh-CN" altLang="en-US" sz="1400" b="0"/>
          </a:p>
        </c:rich>
      </c:tx>
      <c:layout/>
      <c:overlay val="0"/>
    </c:title>
    <c:autoTitleDeleted val="0"/>
    <c:plotArea>
      <c:layout>
        <c:manualLayout>
          <c:layoutTarget val="inner"/>
          <c:xMode val="edge"/>
          <c:yMode val="edge"/>
          <c:x val="0.212521434820647"/>
          <c:y val="0.162037037037037"/>
          <c:w val="0.447222222222222"/>
          <c:h val="0.74537037037037"/>
        </c:manualLayout>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427.08</a:t>
                    </a:r>
                    <a:r>
                      <a:rPr lang="zh-CN" altLang="en-US"/>
                      <a:t>万元</a:t>
                    </a:r>
                    <a:endParaRPr lang="zh-CN" altLang="en-US"/>
                  </a:p>
                  <a:p>
                    <a:pPr>
                      <a:defRPr lang="zh-CN" sz="1000" b="0" i="0" u="none" strike="noStrike" kern="1200" baseline="0">
                        <a:solidFill>
                          <a:schemeClr val="tx1"/>
                        </a:solidFill>
                        <a:latin typeface="+mn-lt"/>
                        <a:ea typeface="+mn-ea"/>
                        <a:cs typeface="+mn-cs"/>
                      </a:defRPr>
                    </a:pPr>
                    <a:r>
                      <a:rPr lang="en-US" altLang="zh-CN"/>
                      <a:t>32.60%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882.38</a:t>
                    </a:r>
                    <a:r>
                      <a:rPr lang="zh-CN" altLang="en-US"/>
                      <a:t>万元</a:t>
                    </a:r>
                    <a:r>
                      <a:rPr lang="en-US" altLang="zh-CN"/>
                      <a:t>67.40%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Sheet1!$A$27:$A$28</c:f>
              <c:strCache>
                <c:ptCount val="2"/>
                <c:pt idx="0">
                  <c:v>一般公共预算</c:v>
                </c:pt>
                <c:pt idx="1">
                  <c:v>事业收入</c:v>
                </c:pt>
              </c:strCache>
            </c:strRef>
          </c:cat>
          <c:val>
            <c:numRef>
              <c:f>Sheet1!$C$27:$C$28</c:f>
              <c:numCache>
                <c:formatCode>0.00%</c:formatCode>
                <c:ptCount val="2"/>
                <c:pt idx="0">
                  <c:v>0.326</c:v>
                </c:pt>
                <c:pt idx="1">
                  <c:v>0.674000000000001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8316eb6-9172-481a-82d6-33e63075974e}"/>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3  2021</a:t>
            </a:r>
            <a:r>
              <a:rPr lang="zh-CN" altLang="en-US" sz="1400" b="0"/>
              <a:t>年度支出决算结构图</a:t>
            </a:r>
            <a:endParaRPr lang="zh-CN" altLang="en-US" sz="1400" b="0"/>
          </a:p>
        </c:rich>
      </c:tx>
      <c:layout/>
      <c:overlay val="0"/>
    </c:title>
    <c:autoTitleDeleted val="0"/>
    <c:plotArea>
      <c:layout>
        <c:manualLayout>
          <c:layoutTarget val="inner"/>
          <c:xMode val="edge"/>
          <c:yMode val="edge"/>
          <c:x val="0.245854768153981"/>
          <c:y val="0.222222222222222"/>
          <c:w val="0.436111111111111"/>
          <c:h val="0.726851851851852"/>
        </c:manualLayout>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962.06</a:t>
                    </a:r>
                    <a:r>
                      <a:rPr lang="zh-CN" altLang="en-US"/>
                      <a:t>万元</a:t>
                    </a:r>
                    <a:r>
                      <a:rPr lang="en-US" altLang="zh-CN"/>
                      <a:t>69.24%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427.27</a:t>
                    </a:r>
                    <a:r>
                      <a:rPr lang="zh-CN" altLang="en-US"/>
                      <a:t>万元</a:t>
                    </a:r>
                    <a:r>
                      <a:rPr lang="en-US" altLang="zh-CN"/>
                      <a:t>30.76%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Sheet1!$A$42:$A$43</c:f>
              <c:strCache>
                <c:ptCount val="2"/>
                <c:pt idx="0">
                  <c:v>基本支出</c:v>
                </c:pt>
                <c:pt idx="1">
                  <c:v>项目支出</c:v>
                </c:pt>
              </c:strCache>
            </c:strRef>
          </c:cat>
          <c:val>
            <c:numRef>
              <c:f>Sheet1!$C$42:$C$43</c:f>
              <c:numCache>
                <c:formatCode>0.00%</c:formatCode>
                <c:ptCount val="2"/>
                <c:pt idx="0">
                  <c:v>0.6924</c:v>
                </c:pt>
                <c:pt idx="1">
                  <c:v>0.3076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470b2db-9632-4e71-957f-aca5347b68d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5</a:t>
            </a:r>
            <a:r>
              <a:rPr lang="en-US" altLang="zh-CN" sz="1400" b="0" baseline="0"/>
              <a:t> </a:t>
            </a:r>
            <a:r>
              <a:rPr lang="zh-CN" altLang="en-US" sz="1400" b="0"/>
              <a:t>一般公共预算财政拨款支出决算图</a:t>
            </a:r>
            <a:endParaRPr lang="zh-CN" altLang="en-US" sz="1400" b="0"/>
          </a:p>
        </c:rich>
      </c:tx>
      <c:layout/>
      <c:overlay val="0"/>
    </c:title>
    <c:autoTitleDeleted val="0"/>
    <c:plotArea>
      <c:layout>
        <c:manualLayout>
          <c:layoutTarget val="inner"/>
          <c:xMode val="edge"/>
          <c:yMode val="edge"/>
          <c:x val="0.133293963254593"/>
          <c:y val="0.256030183727034"/>
          <c:w val="0.836150481189851"/>
          <c:h val="0.624309565470983"/>
        </c:manualLayout>
      </c:layout>
      <c:barChart>
        <c:barDir val="col"/>
        <c:grouping val="clustered"/>
        <c:varyColors val="0"/>
        <c:ser>
          <c:idx val="0"/>
          <c:order val="0"/>
          <c:tx>
            <c:strRef>
              <c:f>Sheet1!$A$76</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Sheet1!$B$75:$C$75</c:f>
              <c:strCache>
                <c:ptCount val="2"/>
                <c:pt idx="0">
                  <c:v>2021年</c:v>
                </c:pt>
                <c:pt idx="1">
                  <c:v>2020年</c:v>
                </c:pt>
              </c:strCache>
            </c:strRef>
          </c:cat>
          <c:val>
            <c:numRef>
              <c:f>Sheet1!$B$76:$C$76</c:f>
              <c:numCache>
                <c:formatCode>General</c:formatCode>
                <c:ptCount val="2"/>
                <c:pt idx="0">
                  <c:v>427.27</c:v>
                </c:pt>
                <c:pt idx="1">
                  <c:v>336.67</c:v>
                </c:pt>
              </c:numCache>
            </c:numRef>
          </c:val>
        </c:ser>
        <c:dLbls>
          <c:showLegendKey val="0"/>
          <c:showVal val="0"/>
          <c:showCatName val="0"/>
          <c:showSerName val="0"/>
          <c:showPercent val="0"/>
          <c:showBubbleSize val="0"/>
        </c:dLbls>
        <c:gapWidth val="150"/>
        <c:axId val="701223680"/>
        <c:axId val="701225600"/>
      </c:barChart>
      <c:catAx>
        <c:axId val="70122368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1225600"/>
        <c:crosses val="autoZero"/>
        <c:auto val="1"/>
        <c:lblAlgn val="ctr"/>
        <c:lblOffset val="100"/>
        <c:noMultiLvlLbl val="0"/>
      </c:catAx>
      <c:valAx>
        <c:axId val="701225600"/>
        <c:scaling>
          <c:orientation val="minMax"/>
        </c:scaling>
        <c:delete val="0"/>
        <c:axPos val="l"/>
        <c:majorGridlines/>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a:t>万元</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1223680"/>
        <c:crosses val="autoZero"/>
        <c:crossBetween val="between"/>
      </c:valAx>
    </c:plotArea>
    <c:plotVisOnly val="1"/>
    <c:dispBlanksAs val="gap"/>
    <c:showDLblsOverMax val="0"/>
    <c:extLst>
      <c:ext uri="{0b15fc19-7d7d-44ad-8c2d-2c3a37ce22c3}">
        <chartProps xmlns="https://web.wps.cn/et/2018/main" chartId="{93125b07-56ef-4443-8908-43a53e07230d}"/>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6</a:t>
            </a:r>
            <a:r>
              <a:rPr lang="zh-CN" altLang="en-US" sz="1400" b="0"/>
              <a:t>一般公共预算财政拨款支出决算图</a:t>
            </a:r>
            <a:endParaRPr lang="zh-CN" altLang="en-US" sz="1400" b="0"/>
          </a:p>
        </c:rich>
      </c:tx>
      <c:layout/>
      <c:overlay val="0"/>
    </c:title>
    <c:autoTitleDeleted val="0"/>
    <c:plotArea>
      <c:layout>
        <c:manualLayout>
          <c:layoutTarget val="inner"/>
          <c:xMode val="edge"/>
          <c:yMode val="edge"/>
          <c:x val="0.186132545931759"/>
          <c:y val="0.215277777777778"/>
          <c:w val="0.43888888888889"/>
          <c:h val="0.731481481481482"/>
        </c:manualLayout>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267.77</a:t>
                    </a:r>
                    <a:r>
                      <a:rPr lang="zh-CN" altLang="en-US"/>
                      <a:t>万元</a:t>
                    </a:r>
                    <a:r>
                      <a:rPr lang="en-US" altLang="zh-CN"/>
                      <a:t>52.98%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141.38</a:t>
                    </a:r>
                    <a:r>
                      <a:rPr lang="zh-CN" altLang="en-US"/>
                      <a:t>万元</a:t>
                    </a:r>
                    <a:r>
                      <a:rPr lang="en-US" altLang="zh-CN"/>
                      <a:t>27.97%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22.8</a:t>
                    </a:r>
                    <a:r>
                      <a:rPr lang="zh-CN" altLang="en-US"/>
                      <a:t>万元</a:t>
                    </a:r>
                    <a:r>
                      <a:rPr lang="en-US" altLang="zh-CN"/>
                      <a:t>4.51%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73.51</a:t>
                    </a:r>
                    <a:r>
                      <a:rPr lang="zh-CN" altLang="en-US"/>
                      <a:t>万元</a:t>
                    </a:r>
                    <a:r>
                      <a:rPr lang="en-US" altLang="zh-CN"/>
                      <a:t>14.54%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1.5</a:t>
                    </a:r>
                    <a:r>
                      <a:rPr lang="zh-CN" altLang="en-US"/>
                      <a:t>万元</a:t>
                    </a:r>
                    <a:r>
                      <a:rPr lang="en-US" altLang="zh-CN"/>
                      <a:t>0.30%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Sheet1!$A$92:$A$96</c:f>
              <c:strCache>
                <c:ptCount val="5"/>
                <c:pt idx="0">
                  <c:v>乡镇卫生院</c:v>
                </c:pt>
                <c:pt idx="1">
                  <c:v>基本公共卫生服务</c:v>
                </c:pt>
                <c:pt idx="2">
                  <c:v>村卫生室定额补助</c:v>
                </c:pt>
                <c:pt idx="3">
                  <c:v>实施基本药物制度补助</c:v>
                </c:pt>
                <c:pt idx="4">
                  <c:v>扶贫补助</c:v>
                </c:pt>
              </c:strCache>
            </c:strRef>
          </c:cat>
          <c:val>
            <c:numRef>
              <c:f>Sheet1!$C$92:$C$96</c:f>
              <c:numCache>
                <c:formatCode>0.00%</c:formatCode>
                <c:ptCount val="5"/>
                <c:pt idx="0">
                  <c:v>0.529755074585527</c:v>
                </c:pt>
                <c:pt idx="1">
                  <c:v>0.279705614687611</c:v>
                </c:pt>
                <c:pt idx="2">
                  <c:v>0.0451074268982709</c:v>
                </c:pt>
                <c:pt idx="3">
                  <c:v>0.145431883828592</c:v>
                </c:pt>
                <c:pt idx="4">
                  <c:v>0.00296759387488624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99356938-b07d-4fd8-a023-720a3b7e4a1b}"/>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8D57F7AB239048F8BA4085C882B1660C</vt:lpwstr>
  </proper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70</cp:revision>
  <cp:lastPrinted>2022-08-06T02:23:00Z</cp:lastPrinted>
  <dcterms:created xsi:type="dcterms:W3CDTF">2020-08-05T01:49:00Z</dcterms:created>
  <dcterms:modified xsi:type="dcterms:W3CDTF">2022-11-02T02:32:33Z</dcterms:modified>
</cp:core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roperties xmlns="http://schemas.openxmlformats.org/officeDocument/2006/extended-properties" xmlns:vt="http://schemas.openxmlformats.org/officeDocument/2006/docPropsVTypes">
  <Template>Normal</Template>
  <TotalTime>10</TotalTime>
  <Pages>18</Pages>
  <Words>1432</Words>
  <Characters>8164</Characters>
  <Application>Microsoft Office Word</Application>
  <DocSecurity>0</DocSecurity>
  <Lines>68</Lines>
  <Paragraphs>19</Paragraphs>
  <ScaleCrop>false</ScaleCrop>
  <Company>四川省财政厅</Company>
  <LinksUpToDate>false</LinksUpToDate>
  <CharactersWithSpaces>9577</CharactersWithSpaces>
  <SharedDoc>false</SharedDoc>
  <HyperlinksChanged>false</HyperlinksChanged>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73</cp:revision>
  <cp:lastPrinted>2022-08-06T02:23:00Z</cp:lastPrinted>
  <dcterms:created xsi:type="dcterms:W3CDTF">2020-08-05T01:49:00Z</dcterms:created>
  <dcterms:modified xsi:type="dcterms:W3CDTF">2023-02-24T07:07:00Z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2022-11-02T02:32:33Z</dcterms:modified>
  <dc:title>四川省***</dc:title>
  <cp:revision>70</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8D57F7AB239048F8BA4085C882B1660C</vt:lpwstr>
  </property>
</Properties>
</file>

<file path=customXml/item4.xml><?xml version="1.0" encoding="utf-8"?>
<Properties xmlns:vt="http://schemas.openxmlformats.org/officeDocument/2006/docPropsVTypes" xmlns="http://schemas.openxmlformats.org/officeDocument/2006/extended-properties">
  <Template>Normal</Template>
  <TotalTime>6</TotalTime>
  <Pages>23</Pages>
  <Words>8933</Words>
  <Characters>9664</Characters>
  <Application>WPS Office_11.1.0.9208_F1E327BC-269C-435d-A152-05C5408002CA</Application>
  <DocSecurity>0</DocSecurity>
  <Lines>71</Lines>
  <Paragraphs>20</Paragraphs>
  <Company>四川省财政厅</Company>
  <CharactersWithSpaces>9693</CharactersWithSpaces>
  <AppVersion>14.0000</AppVersion>
</Properties>
</file>

<file path=customXml/item5.xml><?xml version="1.0" encoding="utf-8"?>
<Properties xmlns:vt="http://schemas.openxmlformats.org/officeDocument/2006/docPropsVTypes" xmlns="http://schemas.openxmlformats.org/officeDocument/2006/extended-properties">
  <Template>Normal</Template>
  <TotalTime>10</TotalTime>
  <Pages>18</Pages>
  <Words>1432</Words>
  <Characters>8164</Characters>
  <Application>Microsoft Office Word</Application>
  <DocSecurity>0</DocSecurity>
  <Lines>68</Lines>
  <Paragraphs>19</Paragraphs>
  <Company>四川省财政厅</Company>
  <CharactersWithSpaces>9577</CharactersWithSpaces>
  <AppVersion>12.0000</AppVersion>
</Properties>
</file>

<file path=customXml/item6.xml><?xml version="1.0" encoding="utf-8"?>
<Properties xmlns="http://schemas.openxmlformats.org/officeDocument/2006/extended-properties" xmlns:vt="http://schemas.openxmlformats.org/officeDocument/2006/docPropsVTypes">
  <Template>Normal</Template>
  <Company>四川省财政厅</Company>
  <Pages>23</Pages>
  <Words>8933</Words>
  <Characters>9664</Characters>
  <Lines>71</Lines>
  <Paragraphs>20</Paragraphs>
  <TotalTime>6</TotalTime>
  <ScaleCrop>false</ScaleCrop>
  <LinksUpToDate>false</LinksUpToDate>
  <CharactersWithSpaces>9693</CharactersWithSpaces>
  <Application>WPS Office_11.1.0.9208_F1E327BC-269C-435d-A152-05C5408002CA</Application>
  <DocSecurity>0</DocSecuri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8D57F7AB239048F8BA4085C882B1660C</vt:lp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73</cp:revision>
  <cp:lastPrinted>2022-08-06T02:23:00Z</cp:lastPrinted>
  <dcterms:created xsi:type="dcterms:W3CDTF">2020-08-05T01:49:00Z</dcterms:created>
  <dcterms:modified xsi:type="dcterms:W3CDTF">2023-02-24T07:07:00Z</dcterms:modified>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8D57F7AB239048F8BA4085C882B1660C</vt:lpstr>
  </property>
</Properties>
</file>

<file path=customXml/itemProps1.xml><?xml version="1.0" encoding="utf-8"?>
<ds:datastoreItem xmlns:ds="http://schemas.openxmlformats.org/officeDocument/2006/customXml" ds:itemID="{944EC394-01E5-4A92-B473-EABDA026FB3E}">
  <ds:schemaRefs/>
</ds:datastoreItem>
</file>

<file path=customXml/itemProps10.xml><?xml version="1.0" encoding="utf-8"?>
<ds:datastoreItem xmlns:ds="http://schemas.openxmlformats.org/officeDocument/2006/customXml" ds:itemID="{170D0C8C-DCD2-4C09-8FB8-86CDD29658E0}">
  <ds:schemaRefs/>
</ds:datastoreItem>
</file>

<file path=customXml/itemProps11.xml><?xml version="1.0" encoding="utf-8"?>
<ds:datastoreItem xmlns:ds="http://schemas.openxmlformats.org/officeDocument/2006/customXml" ds:itemID="{EF970E5F-B2D3-45BE-8844-3754FC5852B7}">
  <ds:schemaRefs/>
</ds:datastoreItem>
</file>

<file path=customXml/itemProps12.xml><?xml version="1.0" encoding="utf-8"?>
<ds:datastoreItem xmlns:ds="http://schemas.openxmlformats.org/officeDocument/2006/customXml" ds:itemID="{6A19826F-01AC-45DF-8748-BB63556287C1}">
  <ds:schemaRefs/>
</ds:datastoreItem>
</file>

<file path=customXml/itemProps13.xml><?xml version="1.0" encoding="utf-8"?>
<ds:datastoreItem xmlns:ds="http://schemas.openxmlformats.org/officeDocument/2006/customXml" ds:itemID="{24B8EEA2-1A43-4C7D-8716-C4632E2C46AE}">
  <ds:schemaRefs/>
</ds:datastoreItem>
</file>

<file path=customXml/itemProps2.xml><?xml version="1.0" encoding="utf-8"?>
<ds:datastoreItem xmlns:ds="http://schemas.openxmlformats.org/officeDocument/2006/customXml" ds:itemID="{A4470665-1EE4-4B50-8187-3EF6C55A3045}">
  <ds:schemaRefs/>
</ds:datastoreItem>
</file>

<file path=customXml/itemProps3.xml><?xml version="1.0" encoding="utf-8"?>
<ds:datastoreItem xmlns:ds="http://schemas.openxmlformats.org/officeDocument/2006/customXml" ds:itemID="{8CBC6334-27C1-4205-B32A-B5B7CC52A295}">
  <ds:schemaRefs/>
</ds:datastoreItem>
</file>

<file path=customXml/itemProps4.xml><?xml version="1.0" encoding="utf-8"?>
<ds:datastoreItem xmlns:ds="http://schemas.openxmlformats.org/officeDocument/2006/customXml" ds:itemID="{1888CE9D-60C4-48FA-8754-48100865C278}">
  <ds:schemaRefs/>
</ds:datastoreItem>
</file>

<file path=customXml/itemProps5.xml><?xml version="1.0" encoding="utf-8"?>
<ds:datastoreItem xmlns:ds="http://schemas.openxmlformats.org/officeDocument/2006/customXml" ds:itemID="{7C511F3F-ADDE-40BB-B1B5-44411C25E670}">
  <ds:schemaRefs/>
</ds:datastoreItem>
</file>

<file path=customXml/itemProps6.xml><?xml version="1.0" encoding="utf-8"?>
<ds:datastoreItem xmlns:ds="http://schemas.openxmlformats.org/officeDocument/2006/customXml" ds:itemID="{A3EDF170-9596-4097-A4C0-CABFFBFB90FD}">
  <ds:schemaRefs/>
</ds:datastoreItem>
</file>

<file path=customXml/itemProps7.xml><?xml version="1.0" encoding="utf-8"?>
<ds:datastoreItem xmlns:ds="http://schemas.openxmlformats.org/officeDocument/2006/customXml" ds:itemID="{57B8AA16-E835-42DA-81FB-B40B50F06182}">
  <ds:schemaRefs/>
</ds:datastoreItem>
</file>

<file path=customXml/itemProps8.xml><?xml version="1.0" encoding="utf-8"?>
<ds:datastoreItem xmlns:ds="http://schemas.openxmlformats.org/officeDocument/2006/customXml" ds:itemID="{415B7625-9B04-4F62-973C-4B881CFA46E8}">
  <ds:schemaRefs/>
</ds:datastoreItem>
</file>

<file path=customXml/itemProps9.xml><?xml version="1.0" encoding="utf-8"?>
<ds:datastoreItem xmlns:ds="http://schemas.openxmlformats.org/officeDocument/2006/customXml" ds:itemID="{2B7F6320-6B7F-4404-A839-AD5FD6F1C20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7021</Words>
  <Characters>7586</Characters>
  <Lines>67</Lines>
  <Paragraphs>19</Paragraphs>
  <TotalTime>1</TotalTime>
  <ScaleCrop>false</ScaleCrop>
  <LinksUpToDate>false</LinksUpToDate>
  <CharactersWithSpaces>7681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cp:lastModifiedBy>
  <cp:lastPrinted>2022-08-06T02:23:00Z</cp:lastPrinted>
  <dcterms:modified xsi:type="dcterms:W3CDTF">2024-12-24T09:31:01Z</dcterms:modified>
  <dc:title>四川省***</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8D57F7AB239048F8BA4085C882B1660C</vt:lpwstr>
  </property>
</Properties>
</file>