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E3B4D">
      <w:pPr>
        <w:spacing w:line="600" w:lineRule="exact"/>
        <w:jc w:val="center"/>
        <w:rPr>
          <w:rFonts w:ascii="方正小标宋简体" w:hAnsi="宋体" w:eastAsia="方正小标宋简体"/>
          <w:sz w:val="72"/>
          <w:szCs w:val="72"/>
        </w:rPr>
      </w:pPr>
      <w:bookmarkStart w:id="0" w:name="_Toc15377425"/>
      <w:bookmarkStart w:id="1" w:name="_Toc15396597"/>
      <w:bookmarkStart w:id="2" w:name="_Toc15396475"/>
      <w:bookmarkStart w:id="3" w:name="_Toc15306267"/>
      <w:bookmarkStart w:id="4" w:name="_Toc15378441"/>
      <w:bookmarkStart w:id="5" w:name="_Toc15377193"/>
    </w:p>
    <w:p w14:paraId="5015BCEF">
      <w:pPr>
        <w:spacing w:line="600" w:lineRule="exact"/>
        <w:jc w:val="center"/>
        <w:rPr>
          <w:rFonts w:ascii="方正小标宋简体" w:hAnsi="宋体" w:eastAsia="方正小标宋简体"/>
          <w:sz w:val="72"/>
          <w:szCs w:val="72"/>
        </w:rPr>
      </w:pPr>
    </w:p>
    <w:p w14:paraId="6CFDECFF">
      <w:pPr>
        <w:spacing w:line="600" w:lineRule="exact"/>
        <w:jc w:val="center"/>
        <w:rPr>
          <w:rFonts w:ascii="方正小标宋简体" w:hAnsi="宋体" w:eastAsia="方正小标宋简体"/>
          <w:sz w:val="72"/>
          <w:szCs w:val="72"/>
        </w:rPr>
      </w:pPr>
    </w:p>
    <w:p w14:paraId="6479DA1C">
      <w:pPr>
        <w:spacing w:line="600" w:lineRule="exact"/>
        <w:jc w:val="center"/>
        <w:rPr>
          <w:rFonts w:ascii="方正小标宋简体" w:hAnsi="宋体" w:eastAsia="方正小标宋简体"/>
          <w:sz w:val="72"/>
          <w:szCs w:val="72"/>
        </w:rPr>
      </w:pPr>
    </w:p>
    <w:p w14:paraId="31B15E8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3276"/>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5"/>
      <w:bookmarkEnd w:id="6"/>
    </w:p>
    <w:p w14:paraId="7C8452A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710"/>
      <w:bookmarkStart w:id="8" w:name="_Toc15396476"/>
      <w:bookmarkStart w:id="9" w:name="_Toc15377426"/>
      <w:bookmarkStart w:id="10" w:name="_Toc15396598"/>
      <w:bookmarkStart w:id="11" w:name="_Toc15378442"/>
      <w:bookmarkStart w:id="12" w:name="_Toc15377194"/>
      <w:bookmarkStart w:id="13" w:name="_Toc15306268"/>
      <w:r>
        <w:rPr>
          <w:rFonts w:hint="eastAsia" w:ascii="方正小标宋简体" w:hAnsi="方正小标宋简体" w:eastAsia="方正小标宋简体" w:cs="方正小标宋简体"/>
          <w:sz w:val="72"/>
          <w:szCs w:val="72"/>
        </w:rPr>
        <w:t>通江县兴隆镇人民政府</w:t>
      </w:r>
      <w:bookmarkEnd w:id="7"/>
    </w:p>
    <w:p w14:paraId="7B62F8C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31212"/>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p>
    <w:p w14:paraId="11E26986">
      <w:pPr>
        <w:widowControl/>
        <w:spacing w:line="440" w:lineRule="exact"/>
        <w:jc w:val="left"/>
        <w:rPr>
          <w:rFonts w:ascii="仿宋" w:hAnsi="仿宋" w:eastAsia="仿宋"/>
          <w:bCs/>
          <w:kern w:val="44"/>
          <w:sz w:val="24"/>
        </w:rPr>
      </w:pPr>
      <w:r>
        <w:br w:type="page"/>
      </w:r>
      <w:bookmarkStart w:id="15" w:name="_Toc15396599"/>
      <w:bookmarkStart w:id="16" w:name="_Toc15377196"/>
    </w:p>
    <w:p w14:paraId="35F706DB">
      <w:pPr>
        <w:pStyle w:val="14"/>
        <w:jc w:val="center"/>
        <w:rPr>
          <w:rStyle w:val="30"/>
          <w:rFonts w:ascii="黑体" w:hAnsi="黑体" w:eastAsia="黑体"/>
          <w:b/>
          <w:bCs w:val="0"/>
        </w:rPr>
      </w:pPr>
      <w:bookmarkStart w:id="17" w:name="_Toc20951"/>
      <w:r>
        <w:rPr>
          <w:rFonts w:hint="eastAsia" w:ascii="黑体" w:hAnsi="黑体" w:eastAsia="黑体"/>
          <w:b w:val="0"/>
        </w:rPr>
        <w:t>第一部分</w:t>
      </w:r>
      <w:r>
        <w:rPr>
          <w:rStyle w:val="30"/>
          <w:rFonts w:hint="eastAsia" w:ascii="黑体" w:hAnsi="黑体" w:eastAsia="黑体"/>
          <w:b w:val="0"/>
          <w:bCs w:val="0"/>
        </w:rPr>
        <w:t>部门概况</w:t>
      </w:r>
      <w:bookmarkEnd w:id="15"/>
      <w:bookmarkEnd w:id="16"/>
      <w:bookmarkEnd w:id="17"/>
    </w:p>
    <w:p w14:paraId="60CEDCD8">
      <w:pPr>
        <w:widowControl/>
        <w:jc w:val="left"/>
        <w:rPr>
          <w:rFonts w:ascii="黑体" w:eastAsia="黑体"/>
          <w:sz w:val="32"/>
          <w:szCs w:val="32"/>
        </w:rPr>
      </w:pPr>
    </w:p>
    <w:p w14:paraId="7AFB29C6">
      <w:pPr>
        <w:pStyle w:val="15"/>
        <w:rPr>
          <w:rStyle w:val="31"/>
          <w:rFonts w:ascii="仿宋" w:hAnsi="仿宋" w:eastAsia="仿宋"/>
          <w:b w:val="0"/>
          <w:bCs w:val="0"/>
        </w:rPr>
      </w:pPr>
      <w:bookmarkStart w:id="18" w:name="_Toc15396600"/>
      <w:bookmarkStart w:id="19" w:name="_Toc15377197"/>
      <w:bookmarkStart w:id="20" w:name="_Toc13717"/>
      <w:r>
        <w:rPr>
          <w:rFonts w:hint="eastAsia" w:ascii="黑体" w:hAnsi="黑体" w:eastAsia="黑体"/>
          <w:b w:val="0"/>
        </w:rPr>
        <w:t>一、基</w:t>
      </w:r>
      <w:r>
        <w:rPr>
          <w:rStyle w:val="31"/>
          <w:rFonts w:hint="eastAsia" w:ascii="黑体" w:hAnsi="黑体" w:eastAsia="黑体"/>
          <w:b w:val="0"/>
          <w:bCs w:val="0"/>
        </w:rPr>
        <w:t>本职能及</w:t>
      </w:r>
      <w:r>
        <w:rPr>
          <w:rFonts w:hint="eastAsia" w:ascii="黑体" w:hAnsi="黑体" w:eastAsia="黑体"/>
          <w:b w:val="0"/>
          <w:bCs w:val="0"/>
        </w:rPr>
        <w:t>主要工作</w:t>
      </w:r>
      <w:bookmarkEnd w:id="18"/>
      <w:bookmarkEnd w:id="19"/>
      <w:bookmarkEnd w:id="20"/>
    </w:p>
    <w:p w14:paraId="107E92EF">
      <w:pPr>
        <w:pStyle w:val="3"/>
        <w:adjustRightInd w:val="0"/>
        <w:snapToGrid w:val="0"/>
        <w:spacing w:before="93" w:line="600" w:lineRule="exact"/>
        <w:ind w:firstLine="675" w:firstLineChars="210"/>
        <w:outlineLvl w:val="2"/>
        <w:rPr>
          <w:rFonts w:ascii="仿宋" w:hAnsi="仿宋" w:eastAsia="仿宋"/>
          <w:bCs/>
          <w:sz w:val="32"/>
          <w:szCs w:val="32"/>
        </w:rPr>
      </w:pPr>
      <w:bookmarkStart w:id="21" w:name="_Toc15378445"/>
      <w:bookmarkStart w:id="22" w:name="_Toc15377198"/>
      <w:r>
        <w:rPr>
          <w:rFonts w:hint="eastAsia" w:ascii="仿宋" w:hAnsi="仿宋" w:eastAsia="仿宋"/>
          <w:b/>
          <w:sz w:val="32"/>
          <w:szCs w:val="32"/>
        </w:rPr>
        <w:t>（一）主要职能</w:t>
      </w:r>
      <w:r>
        <w:rPr>
          <w:rFonts w:hint="eastAsia" w:ascii="仿宋" w:hAnsi="仿宋" w:eastAsia="仿宋"/>
          <w:bCs/>
          <w:sz w:val="32"/>
          <w:szCs w:val="32"/>
        </w:rPr>
        <w:t>。</w:t>
      </w:r>
      <w:bookmarkEnd w:id="21"/>
      <w:bookmarkEnd w:id="22"/>
    </w:p>
    <w:p w14:paraId="62D793FE">
      <w:pPr>
        <w:pStyle w:val="3"/>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1.落实政策。宣传、落实好党的路线方针政策</w:t>
      </w:r>
      <w:r>
        <w:rPr>
          <w:rFonts w:hint="eastAsia" w:ascii="仿宋" w:hAnsi="仿宋" w:eastAsia="仿宋"/>
          <w:bCs/>
          <w:sz w:val="32"/>
          <w:szCs w:val="32"/>
        </w:rPr>
        <w:t>和国家的法律、法规，稳定农村基本经济制度，坚持依法行政，推进政务公开，加强对村民委员会的指导，提高、培育村民委员会自治能力。</w:t>
      </w:r>
    </w:p>
    <w:p w14:paraId="035567D2">
      <w:pPr>
        <w:pStyle w:val="3"/>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2.促发展。科学制定发展规划，营造农村经济发展环境，加强农村市场监管，培育、提升市场功能，搞活市场流通，推广农业技术，完善农业社会化服务体系，引导农民发展现代农业，调整产业结构，加强农村劳动力技能培训，引导农村劳动力转移和就业，不断提高社会主义新农村建设水平。</w:t>
      </w:r>
    </w:p>
    <w:p w14:paraId="7E7C9005">
      <w:pPr>
        <w:pStyle w:val="3"/>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3.维护稳定。要坚持“立党为公、执政为民”，紧紧围绕实现和维护群众利益开展工作，突出解决人民群众最关心、最直接、最现实的利益问题。加强和巩固农村基层政权建设和民主法治建设</w:t>
      </w:r>
      <w:r>
        <w:rPr>
          <w:rFonts w:hint="eastAsia" w:ascii="仿宋" w:hAnsi="仿宋" w:eastAsia="仿宋"/>
          <w:bCs/>
          <w:sz w:val="32"/>
          <w:szCs w:val="32"/>
        </w:rPr>
        <w:t>，加强社会治安综合治理，加强对突发事件的预警和管理，建立健全各种应急机制，加强民事纠纷调解，化解农村社会矛盾，开展农村扶贫和社会救助，切实保障农民合法权益，维护农村社会稳定。</w:t>
      </w:r>
    </w:p>
    <w:p w14:paraId="0BADFA85">
      <w:pPr>
        <w:pStyle w:val="3"/>
        <w:adjustRightInd w:val="0"/>
        <w:snapToGrid w:val="0"/>
        <w:spacing w:before="93" w:line="600" w:lineRule="exact"/>
        <w:ind w:firstLine="672" w:firstLineChars="210"/>
        <w:outlineLvl w:val="2"/>
        <w:rPr>
          <w:rFonts w:hint="eastAsia" w:ascii="仿宋" w:hAnsi="仿宋" w:eastAsia="仿宋"/>
          <w:bCs/>
          <w:sz w:val="32"/>
          <w:szCs w:val="32"/>
        </w:rPr>
      </w:pPr>
    </w:p>
    <w:p w14:paraId="2C707DAF">
      <w:pPr>
        <w:pStyle w:val="3"/>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4.加强管理。加强民政、教育、科技、文化、卫生、计划生育、安全生产、劳动保障和乡村规划等社会管理，加强社会主义精神文明建设，做好防灾减灾工作，加强环境保护，努力改善农村人居环境，不断提高农村人口素质和农民生活质量。</w:t>
      </w:r>
    </w:p>
    <w:p w14:paraId="72927358">
      <w:pPr>
        <w:pStyle w:val="3"/>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5.提供服务。进一步发展和完善农</w:t>
      </w:r>
      <w:r>
        <w:rPr>
          <w:rFonts w:hint="eastAsia" w:ascii="仿宋" w:hAnsi="仿宋" w:eastAsia="仿宋"/>
          <w:bCs/>
          <w:sz w:val="32"/>
          <w:szCs w:val="32"/>
          <w:lang w:val="en-US" w:eastAsia="zh-CN"/>
        </w:rPr>
        <w:t>业</w:t>
      </w:r>
      <w:r>
        <w:rPr>
          <w:rFonts w:hint="eastAsia" w:ascii="仿宋" w:hAnsi="仿宋" w:eastAsia="仿宋"/>
          <w:bCs/>
          <w:sz w:val="32"/>
          <w:szCs w:val="32"/>
        </w:rPr>
        <w:t>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14:paraId="775FEFD3">
      <w:pPr>
        <w:pStyle w:val="3"/>
        <w:adjustRightInd w:val="0"/>
        <w:snapToGrid w:val="0"/>
        <w:spacing w:before="93" w:line="600" w:lineRule="exact"/>
        <w:ind w:firstLine="675" w:firstLineChars="210"/>
        <w:outlineLvl w:val="2"/>
        <w:rPr>
          <w:rFonts w:ascii="仿宋" w:hAnsi="仿宋" w:eastAsia="仿宋"/>
          <w:b/>
          <w:sz w:val="32"/>
          <w:szCs w:val="32"/>
        </w:rPr>
      </w:pPr>
      <w:bookmarkStart w:id="23" w:name="_Toc15378446"/>
      <w:bookmarkStart w:id="24" w:name="_Toc15377199"/>
      <w:r>
        <w:rPr>
          <w:rFonts w:hint="eastAsia" w:ascii="仿宋" w:hAnsi="仿宋" w:eastAsia="仿宋"/>
          <w:b/>
          <w:sz w:val="32"/>
          <w:szCs w:val="32"/>
        </w:rPr>
        <w:t>（二）</w:t>
      </w:r>
      <w:r>
        <w:rPr>
          <w:rFonts w:ascii="仿宋" w:hAnsi="仿宋" w:eastAsia="仿宋"/>
          <w:b/>
          <w:sz w:val="32"/>
          <w:szCs w:val="32"/>
        </w:rPr>
        <w:t>20</w:t>
      </w:r>
      <w:r>
        <w:rPr>
          <w:rFonts w:hint="eastAsia" w:ascii="仿宋" w:hAnsi="仿宋" w:eastAsia="仿宋"/>
          <w:b/>
          <w:sz w:val="32"/>
          <w:szCs w:val="32"/>
        </w:rPr>
        <w:t>21年重点工作完成情况。</w:t>
      </w:r>
      <w:bookmarkEnd w:id="23"/>
      <w:bookmarkEnd w:id="24"/>
    </w:p>
    <w:p w14:paraId="36807168">
      <w:pPr>
        <w:widowControl/>
        <w:ind w:firstLine="643" w:firstLineChars="200"/>
        <w:jc w:val="left"/>
        <w:rPr>
          <w:rFonts w:ascii="仿宋" w:hAnsi="仿宋" w:eastAsia="仿宋"/>
          <w:sz w:val="32"/>
          <w:szCs w:val="32"/>
        </w:rPr>
      </w:pPr>
      <w:r>
        <w:rPr>
          <w:rFonts w:hint="eastAsia" w:ascii="楷体" w:hAnsi="楷体" w:eastAsia="楷体" w:cs="楷体"/>
          <w:b/>
          <w:bCs/>
          <w:sz w:val="32"/>
          <w:szCs w:val="32"/>
        </w:rPr>
        <w:t>1.基层党建着力推进。</w:t>
      </w:r>
      <w:r>
        <w:rPr>
          <w:rFonts w:hint="eastAsia" w:ascii="仿宋" w:hAnsi="仿宋" w:eastAsia="仿宋"/>
          <w:sz w:val="32"/>
          <w:szCs w:val="32"/>
        </w:rPr>
        <w:t>落实党的</w:t>
      </w:r>
      <w:r>
        <w:rPr>
          <w:rFonts w:hint="eastAsia" w:ascii="仿宋" w:hAnsi="仿宋" w:eastAsia="仿宋"/>
          <w:sz w:val="32"/>
          <w:szCs w:val="32"/>
          <w:lang w:val="en-US" w:eastAsia="zh-CN"/>
        </w:rPr>
        <w:t>领导</w:t>
      </w:r>
      <w:r>
        <w:rPr>
          <w:rFonts w:hint="eastAsia" w:ascii="仿宋" w:hAnsi="仿宋" w:eastAsia="仿宋"/>
          <w:sz w:val="32"/>
          <w:szCs w:val="32"/>
        </w:rPr>
        <w:t>责任，夯实基层党建。年初，镇党委与各部门、村（居）签订4+X责任书7余份、党建责任书7份。党委会专题研究党建工作10次，班子成员讲党课15余次。集中组织新任村“两委”干部集中培训1次，村“三职”县级培训1人次。发展党员12名，培养入党积极分子15名。持续深入推进“两学一做”学习教育常态化制度化，全年召开5次中心组学习会议，组织党政班子成员深入细致学习习近平新时代中国特色社会主义思想、党的十九届六中全会精神、贯彻落实省委“一干多支、五区协同”“四向拓展、全域开放”精神、市第五次党代会精神、县第十四次党代会精神。按照“党要管党、全面从严治党”的要求，切实落实党委的主体责任，先后约谈党员干部30余人次，全覆盖</w:t>
      </w:r>
      <w:r>
        <w:rPr>
          <w:rFonts w:hint="eastAsia" w:ascii="仿宋" w:hAnsi="仿宋" w:eastAsia="仿宋" w:cs="Times New Roman"/>
          <w:bCs/>
          <w:kern w:val="0"/>
          <w:sz w:val="32"/>
          <w:szCs w:val="32"/>
          <w:lang w:val="en-US" w:eastAsia="zh-CN" w:bidi="ar-SA"/>
        </w:rPr>
        <w:t>交心谈心2次以上，召开镇村两级干部警示教育大会3次，约谈村党员干部6人，立案查处党员干部1名；共调处了13件重点信访问题。坚持做到了件件有落实，件件有交代，将不廉政行为遏制在萌芽状态。</w:t>
      </w:r>
    </w:p>
    <w:p w14:paraId="788B7114">
      <w:pPr>
        <w:widowControl/>
        <w:ind w:firstLine="643" w:firstLineChars="200"/>
        <w:jc w:val="left"/>
        <w:rPr>
          <w:rFonts w:ascii="仿宋" w:hAnsi="仿宋" w:eastAsia="仿宋"/>
          <w:sz w:val="32"/>
          <w:szCs w:val="32"/>
        </w:rPr>
      </w:pPr>
      <w:r>
        <w:rPr>
          <w:rFonts w:hint="eastAsia" w:ascii="楷体" w:hAnsi="楷体" w:eastAsia="楷体" w:cs="楷体"/>
          <w:b/>
          <w:bCs/>
          <w:sz w:val="32"/>
          <w:szCs w:val="32"/>
        </w:rPr>
        <w:t>2.镇村换届顺利完成。</w:t>
      </w:r>
      <w:r>
        <w:rPr>
          <w:rFonts w:hint="eastAsia" w:ascii="仿宋" w:hAnsi="仿宋" w:eastAsia="仿宋"/>
          <w:sz w:val="32"/>
          <w:szCs w:val="32"/>
        </w:rPr>
        <w:t>全镇6个村、1个社区党组织、村（居）民委员会顺利完成换届工作，选出了一批年轻化、高学历、懂技术、有能力的农村基层党组织和村（居）民自治组织班子队伍，为扎实做好两项改革“后半篇”文章提供了人才支撑和组织保障。</w:t>
      </w:r>
    </w:p>
    <w:p w14:paraId="187E055A">
      <w:pPr>
        <w:widowControl/>
        <w:ind w:firstLine="643" w:firstLineChars="200"/>
        <w:jc w:val="left"/>
        <w:rPr>
          <w:rFonts w:ascii="仿宋" w:hAnsi="仿宋" w:eastAsia="仿宋"/>
          <w:sz w:val="32"/>
          <w:szCs w:val="32"/>
        </w:rPr>
      </w:pPr>
      <w:r>
        <w:rPr>
          <w:rFonts w:hint="eastAsia" w:ascii="楷体" w:hAnsi="楷体" w:eastAsia="楷体" w:cs="楷体"/>
          <w:b/>
          <w:bCs/>
          <w:sz w:val="32"/>
          <w:szCs w:val="32"/>
        </w:rPr>
        <w:t>3.脱贫巩固有序开展。</w:t>
      </w:r>
      <w:r>
        <w:rPr>
          <w:rFonts w:hint="eastAsia" w:ascii="仿宋" w:hAnsi="仿宋" w:eastAsia="仿宋"/>
          <w:sz w:val="32"/>
          <w:szCs w:val="32"/>
        </w:rPr>
        <w:t>持续做好全镇603户建档立卡精准贫困户、20户监测户的动态监测工作和联系帮扶工作，排查整改困难群众在住房、饮水、医疗、教育、收入等方面存在的问题和困难，做实做细了巩固拓展脱贫攻坚成果同乡村振兴有效衔接各项工作。</w:t>
      </w:r>
    </w:p>
    <w:p w14:paraId="35A0158D">
      <w:pPr>
        <w:widowControl/>
        <w:ind w:firstLine="643" w:firstLineChars="200"/>
        <w:jc w:val="left"/>
        <w:rPr>
          <w:rFonts w:ascii="仿宋" w:hAnsi="仿宋" w:eastAsia="仿宋"/>
          <w:sz w:val="32"/>
          <w:szCs w:val="32"/>
        </w:rPr>
      </w:pPr>
      <w:r>
        <w:rPr>
          <w:rFonts w:hint="eastAsia" w:ascii="楷体" w:hAnsi="楷体" w:eastAsia="楷体" w:cs="楷体"/>
          <w:b/>
          <w:bCs/>
          <w:sz w:val="32"/>
          <w:szCs w:val="32"/>
        </w:rPr>
        <w:t>4.疫情防控态势良好。</w:t>
      </w:r>
      <w:r>
        <w:rPr>
          <w:rFonts w:hint="eastAsia" w:ascii="仿宋" w:hAnsi="仿宋" w:eastAsia="仿宋"/>
          <w:sz w:val="32"/>
          <w:szCs w:val="32"/>
        </w:rPr>
        <w:t>常态化开展疫情防控工作，完善包村包片责任体系，严格落实重点人群动态摸排工作。推广使用“四川天府健康通”13000余人，组织接种</w:t>
      </w:r>
      <w:r>
        <w:rPr>
          <w:rFonts w:hint="eastAsia" w:ascii="仿宋" w:hAnsi="仿宋" w:eastAsia="仿宋"/>
          <w:sz w:val="32"/>
          <w:szCs w:val="32"/>
          <w:u w:color="46CD7E"/>
        </w:rPr>
        <w:t>疫苗</w:t>
      </w:r>
      <w:r>
        <w:rPr>
          <w:rFonts w:ascii="仿宋" w:hAnsi="仿宋" w:eastAsia="仿宋"/>
          <w:sz w:val="32"/>
          <w:szCs w:val="32"/>
          <w:u w:color="46CD7E"/>
        </w:rPr>
        <w:t>13000</w:t>
      </w:r>
      <w:r>
        <w:rPr>
          <w:rFonts w:hint="eastAsia" w:ascii="仿宋" w:hAnsi="仿宋" w:eastAsia="仿宋"/>
          <w:sz w:val="32"/>
          <w:szCs w:val="32"/>
        </w:rPr>
        <w:t>余人，实现新冠肺炎“零疫情”。</w:t>
      </w:r>
    </w:p>
    <w:p w14:paraId="5967A37A">
      <w:pPr>
        <w:widowControl/>
        <w:ind w:firstLine="643" w:firstLineChars="200"/>
        <w:jc w:val="left"/>
        <w:rPr>
          <w:rFonts w:hint="eastAsia" w:ascii="仿宋" w:hAnsi="仿宋" w:eastAsia="仿宋" w:cs="Times New Roman"/>
          <w:bCs/>
          <w:kern w:val="0"/>
          <w:sz w:val="32"/>
          <w:szCs w:val="32"/>
          <w:lang w:val="en-US" w:eastAsia="zh-CN" w:bidi="ar-SA"/>
        </w:rPr>
      </w:pPr>
      <w:r>
        <w:rPr>
          <w:rFonts w:hint="eastAsia" w:ascii="楷体" w:hAnsi="楷体" w:eastAsia="楷体" w:cs="楷体"/>
          <w:b/>
          <w:bCs/>
          <w:sz w:val="32"/>
          <w:szCs w:val="32"/>
        </w:rPr>
        <w:t>5.民生项目稳步推进。</w:t>
      </w:r>
      <w:r>
        <w:rPr>
          <w:rFonts w:hint="eastAsia" w:ascii="仿宋" w:hAnsi="仿宋" w:eastAsia="仿宋"/>
          <w:sz w:val="32"/>
          <w:szCs w:val="32"/>
        </w:rPr>
        <w:t>建成场镇人行道，污水处理厂即将投入运营。整治团结塘、船子石、肖家沟、锁口田4座病</w:t>
      </w:r>
      <w:r>
        <w:rPr>
          <w:rFonts w:hint="eastAsia" w:ascii="仿宋" w:hAnsi="仿宋" w:eastAsia="仿宋" w:cs="Times New Roman"/>
          <w:bCs/>
          <w:kern w:val="0"/>
          <w:sz w:val="32"/>
          <w:szCs w:val="32"/>
          <w:lang w:val="en-US" w:eastAsia="zh-CN" w:bidi="ar-SA"/>
        </w:rPr>
        <w:t>险塘库，维修堰渠7.8公里。整合设置6个村便民服务室和8个村代办点。争取资金近40万元，完成敬老院安全适老化改造。推进实施“厕所革命”，新建改造农厕246户。</w:t>
      </w:r>
    </w:p>
    <w:p w14:paraId="77F776AE">
      <w:pPr>
        <w:widowControl/>
        <w:ind w:firstLine="643" w:firstLineChars="200"/>
        <w:jc w:val="left"/>
        <w:rPr>
          <w:rFonts w:ascii="仿宋" w:hAnsi="仿宋" w:eastAsia="仿宋"/>
          <w:sz w:val="32"/>
          <w:szCs w:val="32"/>
        </w:rPr>
      </w:pPr>
      <w:r>
        <w:rPr>
          <w:rFonts w:hint="eastAsia" w:ascii="楷体" w:hAnsi="楷体" w:eastAsia="楷体" w:cs="楷体"/>
          <w:b/>
          <w:bCs/>
          <w:sz w:val="32"/>
          <w:szCs w:val="32"/>
        </w:rPr>
        <w:t>6.产业振兴成效明显。</w:t>
      </w:r>
      <w:r>
        <w:rPr>
          <w:rFonts w:hint="eastAsia" w:ascii="仿宋" w:hAnsi="仿宋" w:eastAsia="仿宋"/>
          <w:sz w:val="32"/>
          <w:szCs w:val="32"/>
        </w:rPr>
        <w:t>新植茶叶300余亩，补植500亩，培育幼龄丰产茶园8000亩，改造低产茶园1100亩。全镇产业布局更趋合理，基础配套更加完善。</w:t>
      </w:r>
    </w:p>
    <w:p w14:paraId="6B90D89C">
      <w:pPr>
        <w:pStyle w:val="3"/>
        <w:adjustRightInd w:val="0"/>
        <w:snapToGrid w:val="0"/>
        <w:spacing w:before="93" w:line="600" w:lineRule="exact"/>
        <w:ind w:firstLine="675" w:firstLineChars="210"/>
        <w:outlineLvl w:val="2"/>
        <w:rPr>
          <w:rFonts w:ascii="仿宋" w:hAnsi="仿宋" w:eastAsia="仿宋"/>
          <w:bCs/>
          <w:sz w:val="32"/>
          <w:szCs w:val="32"/>
        </w:rPr>
      </w:pPr>
      <w:r>
        <w:rPr>
          <w:rFonts w:hint="eastAsia" w:ascii="楷体" w:hAnsi="楷体" w:eastAsia="楷体" w:cs="楷体"/>
          <w:b/>
          <w:bCs/>
          <w:sz w:val="32"/>
          <w:szCs w:val="32"/>
        </w:rPr>
        <w:t>7.社会治理稳定有序。</w:t>
      </w:r>
      <w:r>
        <w:rPr>
          <w:rFonts w:hint="eastAsia" w:ascii="仿宋" w:hAnsi="仿宋" w:eastAsia="仿宋"/>
          <w:sz w:val="32"/>
          <w:szCs w:val="32"/>
        </w:rPr>
        <w:t>开展农用车非法载客专项整治行动43次、客车超载专项整治行动18次。检查烟花爆竹安全生产工作10次，规范申报设立烟花爆竹经营点6个。开展安全生产知识宣讲“五进”活动，发放宣传资料5000余份，开展安全巡逻10余次，组织应急演练2次，排查整改风险点50余个。大力开展防诈禁毒宣传工作，提升了群众安全感和满意度。</w:t>
      </w:r>
    </w:p>
    <w:p w14:paraId="2ED2CBFD">
      <w:pPr>
        <w:pStyle w:val="15"/>
        <w:rPr>
          <w:rStyle w:val="31"/>
          <w:b w:val="0"/>
          <w:bCs w:val="0"/>
        </w:rPr>
      </w:pPr>
      <w:bookmarkStart w:id="25" w:name="_Toc15377200"/>
      <w:bookmarkStart w:id="26" w:name="_Toc15396601"/>
      <w:bookmarkStart w:id="27" w:name="_Toc1674"/>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25"/>
      <w:bookmarkEnd w:id="26"/>
      <w:bookmarkEnd w:id="27"/>
    </w:p>
    <w:p w14:paraId="67E8715D">
      <w:pPr>
        <w:ind w:firstLine="800" w:firstLineChars="250"/>
        <w:rPr>
          <w:rFonts w:ascii="仿宋" w:hAnsi="仿宋" w:eastAsia="仿宋"/>
          <w:sz w:val="32"/>
          <w:szCs w:val="32"/>
        </w:rPr>
      </w:pPr>
      <w:r>
        <w:rPr>
          <w:rFonts w:hint="eastAsia" w:ascii="仿宋" w:hAnsi="仿宋" w:eastAsia="仿宋"/>
          <w:sz w:val="32"/>
          <w:szCs w:val="32"/>
        </w:rPr>
        <w:t>通江县兴隆镇人民政府部门下属二级单位4个，其中行政单位1个，参照公务员法管理的事业单位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个，其他事业单位3个。</w:t>
      </w:r>
    </w:p>
    <w:p w14:paraId="5B51EF6D">
      <w:pPr>
        <w:pStyle w:val="3"/>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纳入兴隆镇人民政府2021年度部门决算编制范围的二级预算单位包括：</w:t>
      </w:r>
    </w:p>
    <w:p w14:paraId="715AFEFD">
      <w:pPr>
        <w:pStyle w:val="3"/>
        <w:numPr>
          <w:ilvl w:val="0"/>
          <w:numId w:val="1"/>
        </w:numPr>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通江县兴隆镇人民政府</w:t>
      </w:r>
    </w:p>
    <w:p w14:paraId="4AF51A4F">
      <w:pPr>
        <w:pStyle w:val="3"/>
        <w:numPr>
          <w:ilvl w:val="0"/>
          <w:numId w:val="1"/>
        </w:numPr>
        <w:adjustRightInd w:val="0"/>
        <w:snapToGrid w:val="0"/>
        <w:spacing w:before="93" w:line="600" w:lineRule="exact"/>
        <w:ind w:firstLine="672" w:firstLineChars="210"/>
        <w:outlineLvl w:val="2"/>
        <w:rPr>
          <w:rFonts w:ascii="仿宋" w:hAnsi="仿宋" w:eastAsia="仿宋"/>
          <w:color w:val="000000"/>
          <w:sz w:val="32"/>
          <w:szCs w:val="32"/>
        </w:rPr>
      </w:pPr>
      <w:bookmarkStart w:id="28" w:name="_Toc15377433"/>
      <w:bookmarkStart w:id="29" w:name="_Toc15377202"/>
      <w:bookmarkStart w:id="30" w:name="_Toc15378449"/>
      <w:bookmarkStart w:id="31" w:name="_Toc15306276"/>
      <w:r>
        <w:rPr>
          <w:rFonts w:hint="eastAsia" w:ascii="仿宋" w:hAnsi="仿宋" w:eastAsia="仿宋"/>
          <w:color w:val="000000"/>
          <w:sz w:val="32"/>
          <w:szCs w:val="32"/>
        </w:rPr>
        <w:t>通江县兴隆镇中心小学</w:t>
      </w:r>
    </w:p>
    <w:p w14:paraId="37FF1FD7">
      <w:pPr>
        <w:pStyle w:val="3"/>
        <w:numPr>
          <w:ilvl w:val="0"/>
          <w:numId w:val="1"/>
        </w:numPr>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通江县兴隆镇浴溪小学</w:t>
      </w:r>
    </w:p>
    <w:p w14:paraId="51755E76">
      <w:pPr>
        <w:pStyle w:val="3"/>
        <w:numPr>
          <w:ilvl w:val="0"/>
          <w:numId w:val="1"/>
        </w:numPr>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通江县兴隆镇卫生院</w:t>
      </w:r>
      <w:bookmarkEnd w:id="28"/>
      <w:bookmarkEnd w:id="29"/>
      <w:bookmarkEnd w:id="30"/>
      <w:bookmarkEnd w:id="31"/>
    </w:p>
    <w:p w14:paraId="1EB5A92A">
      <w:pPr>
        <w:pStyle w:val="3"/>
        <w:adjustRightInd w:val="0"/>
        <w:snapToGrid w:val="0"/>
        <w:spacing w:before="93" w:line="600" w:lineRule="exact"/>
        <w:ind w:firstLine="1120" w:firstLineChars="350"/>
        <w:rPr>
          <w:rFonts w:ascii="仿宋" w:hAnsi="仿宋" w:eastAsia="仿宋"/>
          <w:sz w:val="32"/>
          <w:szCs w:val="32"/>
        </w:rPr>
      </w:pPr>
    </w:p>
    <w:p w14:paraId="3A2770FF">
      <w:pPr>
        <w:widowControl/>
        <w:jc w:val="left"/>
        <w:rPr>
          <w:rFonts w:ascii="仿宋" w:hAnsi="仿宋" w:eastAsia="仿宋"/>
          <w:kern w:val="0"/>
          <w:sz w:val="32"/>
          <w:szCs w:val="32"/>
        </w:rPr>
      </w:pPr>
      <w:r>
        <w:br w:type="page"/>
      </w:r>
    </w:p>
    <w:p w14:paraId="1626BE15">
      <w:pPr>
        <w:pStyle w:val="14"/>
        <w:ind w:right="440"/>
        <w:jc w:val="center"/>
        <w:rPr>
          <w:rStyle w:val="30"/>
          <w:rFonts w:ascii="黑体" w:hAnsi="黑体" w:eastAsia="黑体"/>
          <w:b w:val="0"/>
          <w:bCs/>
        </w:rPr>
      </w:pPr>
      <w:bookmarkStart w:id="32" w:name="_Toc15396602"/>
      <w:bookmarkStart w:id="33" w:name="_Toc15377204"/>
      <w:bookmarkStart w:id="34" w:name="_Toc8971"/>
      <w:r>
        <w:rPr>
          <w:rFonts w:hint="eastAsia" w:ascii="黑体" w:hAnsi="黑体" w:eastAsia="黑体"/>
          <w:b w:val="0"/>
        </w:rPr>
        <w:t>第二部分2021年度</w:t>
      </w:r>
      <w:r>
        <w:rPr>
          <w:rStyle w:val="30"/>
          <w:rFonts w:hint="eastAsia" w:ascii="黑体" w:hAnsi="黑体" w:eastAsia="黑体"/>
          <w:b w:val="0"/>
          <w:bCs/>
        </w:rPr>
        <w:t>部门决算情况说明</w:t>
      </w:r>
      <w:bookmarkEnd w:id="32"/>
      <w:bookmarkEnd w:id="33"/>
      <w:bookmarkEnd w:id="34"/>
    </w:p>
    <w:p w14:paraId="6756DE21"/>
    <w:p w14:paraId="0A94822A">
      <w:pPr>
        <w:pStyle w:val="29"/>
        <w:numPr>
          <w:ilvl w:val="0"/>
          <w:numId w:val="2"/>
        </w:numPr>
        <w:spacing w:line="600" w:lineRule="exact"/>
        <w:ind w:firstLineChars="0"/>
        <w:outlineLvl w:val="1"/>
        <w:rPr>
          <w:rStyle w:val="31"/>
          <w:rFonts w:ascii="黑体" w:hAnsi="黑体" w:eastAsia="黑体"/>
          <w:b w:val="0"/>
        </w:rPr>
      </w:pPr>
      <w:bookmarkStart w:id="35" w:name="_Toc21403"/>
      <w:bookmarkStart w:id="36" w:name="_Toc15377205"/>
      <w:bookmarkStart w:id="37"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35"/>
      <w:bookmarkEnd w:id="36"/>
      <w:bookmarkEnd w:id="37"/>
    </w:p>
    <w:p w14:paraId="73D469C3">
      <w:pPr>
        <w:spacing w:line="600" w:lineRule="exact"/>
        <w:ind w:firstLine="640" w:firstLineChars="200"/>
        <w:rPr>
          <w:sz w:val="32"/>
          <w:szCs w:val="32"/>
        </w:rPr>
      </w:pPr>
      <w:r>
        <w:rPr>
          <w:rFonts w:hint="eastAsia" w:ascii="仿宋" w:hAnsi="仿宋" w:eastAsia="仿宋"/>
          <w:sz w:val="32"/>
          <w:szCs w:val="32"/>
        </w:rPr>
        <w:t>2021年度收、支总计3128.16万元。与2020年相比，收、支总计各增加558.85万元，增长21.75</w:t>
      </w:r>
      <w:r>
        <w:rPr>
          <w:rFonts w:ascii="仿宋" w:hAnsi="仿宋" w:eastAsia="仿宋"/>
          <w:sz w:val="32"/>
          <w:szCs w:val="32"/>
        </w:rPr>
        <w:t>%</w:t>
      </w:r>
      <w:r>
        <w:rPr>
          <w:rFonts w:hint="eastAsia" w:ascii="仿宋" w:hAnsi="仿宋" w:eastAsia="仿宋"/>
          <w:sz w:val="32"/>
          <w:szCs w:val="32"/>
        </w:rPr>
        <w:t>。主要变动原因是乡村振兴发展对农村住房保障、基础设施建设投入增加。</w:t>
      </w:r>
    </w:p>
    <w:p w14:paraId="36EA57D3">
      <w:pPr>
        <w:pStyle w:val="29"/>
        <w:numPr>
          <w:ilvl w:val="0"/>
          <w:numId w:val="2"/>
        </w:numPr>
        <w:spacing w:line="600" w:lineRule="exact"/>
        <w:ind w:firstLineChars="0"/>
        <w:outlineLvl w:val="1"/>
        <w:rPr>
          <w:rStyle w:val="31"/>
          <w:rFonts w:ascii="黑体" w:hAnsi="黑体" w:eastAsia="黑体"/>
          <w:b w:val="0"/>
        </w:rPr>
      </w:pPr>
      <w:bookmarkStart w:id="38" w:name="_Toc15396604"/>
      <w:bookmarkStart w:id="39" w:name="_Toc15377206"/>
      <w:bookmarkStart w:id="40" w:name="_Toc21285"/>
      <w:r>
        <w:rPr>
          <w:rFonts w:hint="eastAsia" w:ascii="黑体" w:hAnsi="黑体" w:eastAsia="黑体"/>
          <w:sz w:val="32"/>
          <w:szCs w:val="32"/>
        </w:rPr>
        <w:t>收</w:t>
      </w:r>
      <w:r>
        <w:rPr>
          <w:rStyle w:val="31"/>
          <w:rFonts w:hint="eastAsia" w:ascii="黑体" w:hAnsi="黑体" w:eastAsia="黑体"/>
          <w:b w:val="0"/>
        </w:rPr>
        <w:t>入决算情况说明</w:t>
      </w:r>
      <w:bookmarkEnd w:id="38"/>
      <w:bookmarkEnd w:id="39"/>
      <w:bookmarkEnd w:id="40"/>
    </w:p>
    <w:p w14:paraId="57380867">
      <w:pPr>
        <w:spacing w:line="600" w:lineRule="exact"/>
        <w:ind w:firstLine="640" w:firstLineChars="200"/>
        <w:outlineLvl w:val="1"/>
        <w:rPr>
          <w:rFonts w:ascii="仿宋" w:hAnsi="仿宋" w:eastAsia="仿宋"/>
          <w:sz w:val="32"/>
          <w:szCs w:val="32"/>
        </w:rPr>
      </w:pPr>
      <w:bookmarkStart w:id="41" w:name="_Toc30345"/>
      <w:r>
        <w:rPr>
          <w:rFonts w:ascii="仿宋" w:hAnsi="仿宋" w:eastAsia="仿宋"/>
          <w:sz w:val="32"/>
          <w:szCs w:val="32"/>
        </w:rPr>
        <w:t>20</w:t>
      </w:r>
      <w:r>
        <w:rPr>
          <w:rFonts w:hint="eastAsia" w:ascii="仿宋" w:hAnsi="仿宋" w:eastAsia="仿宋"/>
          <w:sz w:val="32"/>
          <w:szCs w:val="32"/>
        </w:rPr>
        <w:t>21年本年收入合计3128.16万元，其中：一般公共预算财政拨款收入2932.74万元，占93.75</w:t>
      </w:r>
      <w:r>
        <w:rPr>
          <w:rFonts w:ascii="仿宋" w:hAnsi="仿宋" w:eastAsia="仿宋"/>
          <w:sz w:val="32"/>
          <w:szCs w:val="32"/>
        </w:rPr>
        <w:t>%</w:t>
      </w:r>
      <w:r>
        <w:rPr>
          <w:rFonts w:hint="eastAsia" w:ascii="仿宋" w:hAnsi="仿宋" w:eastAsia="仿宋"/>
          <w:sz w:val="32"/>
          <w:szCs w:val="32"/>
        </w:rPr>
        <w:t>；政府性基金预算财政拨款收入8万元，占0.26</w:t>
      </w:r>
      <w:r>
        <w:rPr>
          <w:rFonts w:ascii="仿宋" w:hAnsi="仿宋" w:eastAsia="仿宋"/>
          <w:sz w:val="32"/>
          <w:szCs w:val="32"/>
        </w:rPr>
        <w:t>%</w:t>
      </w:r>
      <w:r>
        <w:rPr>
          <w:rFonts w:hint="eastAsia" w:ascii="仿宋" w:hAnsi="仿宋" w:eastAsia="仿宋"/>
          <w:sz w:val="32"/>
          <w:szCs w:val="32"/>
        </w:rPr>
        <w:t>；事业收入113.13万元，占3.26</w:t>
      </w:r>
      <w:r>
        <w:rPr>
          <w:rFonts w:ascii="仿宋" w:hAnsi="仿宋" w:eastAsia="仿宋"/>
          <w:sz w:val="32"/>
          <w:szCs w:val="32"/>
        </w:rPr>
        <w:t>%</w:t>
      </w:r>
      <w:r>
        <w:rPr>
          <w:rFonts w:hint="eastAsia" w:ascii="仿宋" w:hAnsi="仿宋" w:eastAsia="仿宋"/>
          <w:sz w:val="32"/>
          <w:szCs w:val="32"/>
        </w:rPr>
        <w:t>；其他收入74.29万元，占2.37</w:t>
      </w:r>
      <w:r>
        <w:rPr>
          <w:rFonts w:ascii="仿宋" w:hAnsi="仿宋" w:eastAsia="仿宋"/>
          <w:sz w:val="32"/>
          <w:szCs w:val="32"/>
        </w:rPr>
        <w:t>%</w:t>
      </w:r>
      <w:r>
        <w:rPr>
          <w:rFonts w:hint="eastAsia" w:ascii="仿宋" w:hAnsi="仿宋" w:eastAsia="仿宋"/>
          <w:sz w:val="32"/>
          <w:szCs w:val="32"/>
        </w:rPr>
        <w:t>。</w:t>
      </w:r>
      <w:bookmarkEnd w:id="41"/>
    </w:p>
    <w:p w14:paraId="778CA8FB">
      <w:pPr>
        <w:pStyle w:val="3"/>
        <w:spacing w:before="93"/>
        <w:jc w:val="center"/>
        <w:rPr>
          <w:rFonts w:ascii="仿宋" w:hAnsi="仿宋" w:eastAsia="仿宋"/>
          <w:sz w:val="32"/>
          <w:szCs w:val="32"/>
        </w:rPr>
      </w:pPr>
      <w:r>
        <w:drawing>
          <wp:anchor distT="0" distB="0" distL="114300" distR="114300" simplePos="0" relativeHeight="251660288" behindDoc="1" locked="0" layoutInCell="1" allowOverlap="1">
            <wp:simplePos x="0" y="0"/>
            <wp:positionH relativeFrom="column">
              <wp:posOffset>346075</wp:posOffset>
            </wp:positionH>
            <wp:positionV relativeFrom="paragraph">
              <wp:posOffset>69850</wp:posOffset>
            </wp:positionV>
            <wp:extent cx="4572000" cy="2743200"/>
            <wp:effectExtent l="4445" t="4445" r="14605" b="14605"/>
            <wp:wrapTight wrapText="bothSides">
              <wp:wrapPolygon>
                <wp:start x="-21" y="-35"/>
                <wp:lineTo x="-21" y="21565"/>
                <wp:lineTo x="21579" y="21565"/>
                <wp:lineTo x="21579" y="-35"/>
                <wp:lineTo x="-21" y="-35"/>
              </wp:wrapPolygon>
            </wp:wrapTight>
            <wp:docPr id="97" name="_x0000_s15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6A3BAF0D">
      <w:pPr>
        <w:pStyle w:val="3"/>
        <w:spacing w:before="93"/>
        <w:rPr>
          <w:rFonts w:ascii="仿宋" w:hAnsi="仿宋" w:eastAsia="仿宋"/>
          <w:sz w:val="32"/>
          <w:szCs w:val="32"/>
        </w:rPr>
      </w:pPr>
    </w:p>
    <w:p w14:paraId="0EB767F5">
      <w:pPr>
        <w:pStyle w:val="3"/>
        <w:spacing w:before="93"/>
        <w:rPr>
          <w:rFonts w:ascii="仿宋" w:hAnsi="仿宋" w:eastAsia="仿宋"/>
          <w:sz w:val="32"/>
          <w:szCs w:val="32"/>
        </w:rPr>
      </w:pPr>
    </w:p>
    <w:p w14:paraId="2D1BDA80">
      <w:pPr>
        <w:pStyle w:val="3"/>
        <w:spacing w:before="93"/>
        <w:rPr>
          <w:rFonts w:ascii="仿宋" w:hAnsi="仿宋" w:eastAsia="仿宋"/>
          <w:sz w:val="32"/>
          <w:szCs w:val="32"/>
        </w:rPr>
      </w:pPr>
    </w:p>
    <w:p w14:paraId="209A38B1">
      <w:pPr>
        <w:pStyle w:val="3"/>
        <w:spacing w:before="93"/>
        <w:rPr>
          <w:rFonts w:ascii="仿宋" w:hAnsi="仿宋" w:eastAsia="仿宋"/>
          <w:sz w:val="32"/>
          <w:szCs w:val="32"/>
        </w:rPr>
      </w:pPr>
    </w:p>
    <w:p w14:paraId="577DB01F">
      <w:pPr>
        <w:spacing w:line="600" w:lineRule="exact"/>
        <w:ind w:firstLine="420" w:firstLineChars="200"/>
      </w:pPr>
    </w:p>
    <w:p w14:paraId="0BDA7C97">
      <w:pPr>
        <w:pStyle w:val="3"/>
        <w:spacing w:before="93"/>
      </w:pPr>
    </w:p>
    <w:p w14:paraId="57EA72D6">
      <w:pPr>
        <w:pStyle w:val="29"/>
        <w:numPr>
          <w:ilvl w:val="0"/>
          <w:numId w:val="2"/>
        </w:numPr>
        <w:spacing w:line="600" w:lineRule="exact"/>
        <w:ind w:firstLineChars="0"/>
        <w:outlineLvl w:val="1"/>
        <w:rPr>
          <w:rStyle w:val="31"/>
          <w:rFonts w:ascii="黑体" w:hAnsi="黑体" w:eastAsia="黑体"/>
          <w:b w:val="0"/>
        </w:rPr>
      </w:pPr>
      <w:bookmarkStart w:id="42" w:name="_Toc15377207"/>
      <w:bookmarkStart w:id="43" w:name="_Toc15396605"/>
      <w:bookmarkStart w:id="44" w:name="_Toc25924"/>
      <w:r>
        <w:rPr>
          <w:rFonts w:hint="eastAsia" w:ascii="黑体" w:hAnsi="黑体" w:eastAsia="黑体"/>
          <w:sz w:val="32"/>
          <w:szCs w:val="32"/>
        </w:rPr>
        <w:t>支</w:t>
      </w:r>
      <w:r>
        <w:rPr>
          <w:rStyle w:val="31"/>
          <w:rFonts w:hint="eastAsia" w:ascii="黑体" w:hAnsi="黑体" w:eastAsia="黑体"/>
          <w:b w:val="0"/>
        </w:rPr>
        <w:t>出决算情况说明</w:t>
      </w:r>
      <w:bookmarkEnd w:id="42"/>
      <w:bookmarkEnd w:id="43"/>
      <w:bookmarkEnd w:id="44"/>
    </w:p>
    <w:p w14:paraId="58446E9B">
      <w:pPr>
        <w:spacing w:line="600" w:lineRule="exact"/>
        <w:ind w:firstLine="640" w:firstLineChars="200"/>
        <w:outlineLvl w:val="1"/>
        <w:rPr>
          <w:rFonts w:ascii="仿宋" w:hAnsi="仿宋" w:eastAsia="仿宋"/>
          <w:sz w:val="32"/>
          <w:szCs w:val="32"/>
        </w:rPr>
      </w:pPr>
      <w:bookmarkStart w:id="45" w:name="_Toc4494"/>
      <w:r>
        <w:rPr>
          <w:rFonts w:ascii="仿宋" w:hAnsi="仿宋" w:eastAsia="仿宋"/>
          <w:sz w:val="32"/>
          <w:szCs w:val="32"/>
        </w:rPr>
        <w:t>20</w:t>
      </w:r>
      <w:r>
        <w:rPr>
          <w:rFonts w:hint="eastAsia" w:ascii="仿宋" w:hAnsi="仿宋" w:eastAsia="仿宋"/>
          <w:sz w:val="32"/>
          <w:szCs w:val="32"/>
        </w:rPr>
        <w:t>21年本年支出合计3128.16万元，其中：基本支出1718万元，占55</w:t>
      </w:r>
      <w:r>
        <w:rPr>
          <w:rFonts w:ascii="仿宋" w:hAnsi="仿宋" w:eastAsia="仿宋"/>
          <w:sz w:val="32"/>
          <w:szCs w:val="32"/>
        </w:rPr>
        <w:t>%</w:t>
      </w:r>
      <w:r>
        <w:rPr>
          <w:rFonts w:hint="eastAsia" w:ascii="仿宋" w:hAnsi="仿宋" w:eastAsia="仿宋"/>
          <w:sz w:val="32"/>
          <w:szCs w:val="32"/>
        </w:rPr>
        <w:t>；项目支出1410.16万元，占45</w:t>
      </w:r>
      <w:r>
        <w:rPr>
          <w:rFonts w:ascii="仿宋" w:hAnsi="仿宋" w:eastAsia="仿宋"/>
          <w:sz w:val="32"/>
          <w:szCs w:val="32"/>
        </w:rPr>
        <w:t>%</w:t>
      </w:r>
      <w:bookmarkEnd w:id="45"/>
      <w:r>
        <w:t>。</w:t>
      </w:r>
    </w:p>
    <w:p w14:paraId="39B3E758">
      <w:pPr>
        <w:spacing w:line="600" w:lineRule="exact"/>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194945</wp:posOffset>
            </wp:positionH>
            <wp:positionV relativeFrom="paragraph">
              <wp:posOffset>225425</wp:posOffset>
            </wp:positionV>
            <wp:extent cx="4572000" cy="2743200"/>
            <wp:effectExtent l="4445" t="4445" r="14605" b="14605"/>
            <wp:wrapTight wrapText="bothSides">
              <wp:wrapPolygon>
                <wp:start x="-21" y="-35"/>
                <wp:lineTo x="-21" y="21565"/>
                <wp:lineTo x="21579" y="21565"/>
                <wp:lineTo x="21579" y="-35"/>
                <wp:lineTo x="-21" y="-35"/>
              </wp:wrapPolygon>
            </wp:wrapTight>
            <wp:docPr id="98" name="_x0000_s15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5BEF33C">
      <w:pPr>
        <w:pStyle w:val="3"/>
        <w:spacing w:before="93"/>
        <w:rPr>
          <w:sz w:val="32"/>
          <w:szCs w:val="32"/>
        </w:rPr>
      </w:pPr>
    </w:p>
    <w:p w14:paraId="49861D96">
      <w:pPr>
        <w:pStyle w:val="3"/>
        <w:spacing w:before="93"/>
        <w:rPr>
          <w:sz w:val="32"/>
          <w:szCs w:val="32"/>
        </w:rPr>
      </w:pPr>
    </w:p>
    <w:p w14:paraId="3929E6B3">
      <w:pPr>
        <w:pStyle w:val="3"/>
        <w:spacing w:before="93"/>
        <w:rPr>
          <w:sz w:val="32"/>
          <w:szCs w:val="32"/>
        </w:rPr>
      </w:pPr>
    </w:p>
    <w:p w14:paraId="17842763">
      <w:pPr>
        <w:pStyle w:val="3"/>
        <w:spacing w:before="93"/>
        <w:rPr>
          <w:sz w:val="32"/>
          <w:szCs w:val="32"/>
        </w:rPr>
      </w:pPr>
    </w:p>
    <w:p w14:paraId="43E7C9F2">
      <w:pPr>
        <w:pStyle w:val="3"/>
        <w:spacing w:before="93"/>
        <w:rPr>
          <w:sz w:val="32"/>
          <w:szCs w:val="32"/>
        </w:rPr>
      </w:pPr>
    </w:p>
    <w:p w14:paraId="2E3B1F9C">
      <w:pPr>
        <w:spacing w:line="600" w:lineRule="exact"/>
        <w:ind w:firstLine="640" w:firstLineChars="200"/>
        <w:rPr>
          <w:rFonts w:ascii="黑体" w:hAnsi="黑体" w:eastAsia="黑体"/>
          <w:sz w:val="32"/>
          <w:szCs w:val="32"/>
        </w:rPr>
      </w:pPr>
      <w:bookmarkStart w:id="46" w:name="_Toc15377208"/>
      <w:bookmarkStart w:id="47" w:name="_Toc15396606"/>
    </w:p>
    <w:p w14:paraId="2D385D38">
      <w:pPr>
        <w:spacing w:line="600" w:lineRule="exact"/>
        <w:ind w:firstLine="640" w:firstLineChars="200"/>
        <w:rPr>
          <w:rFonts w:ascii="黑体" w:hAnsi="黑体" w:eastAsia="黑体"/>
          <w:sz w:val="32"/>
          <w:szCs w:val="32"/>
        </w:rPr>
      </w:pPr>
    </w:p>
    <w:p w14:paraId="665CF400">
      <w:pPr>
        <w:spacing w:line="600" w:lineRule="exact"/>
        <w:ind w:firstLine="640" w:firstLineChars="200"/>
        <w:outlineLvl w:val="1"/>
        <w:rPr>
          <w:rStyle w:val="31"/>
          <w:rFonts w:ascii="黑体" w:hAnsi="黑体" w:eastAsia="黑体"/>
          <w:b w:val="0"/>
        </w:rPr>
      </w:pPr>
      <w:bookmarkStart w:id="48" w:name="_Toc2295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46"/>
      <w:bookmarkEnd w:id="47"/>
      <w:bookmarkEnd w:id="48"/>
    </w:p>
    <w:p w14:paraId="5D713777">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21年财政拨款收、支总计2940.74万元。与</w:t>
      </w:r>
      <w:r>
        <w:rPr>
          <w:rFonts w:ascii="仿宋" w:hAnsi="仿宋" w:eastAsia="仿宋"/>
          <w:sz w:val="32"/>
          <w:szCs w:val="32"/>
        </w:rPr>
        <w:t>20</w:t>
      </w:r>
      <w:r>
        <w:rPr>
          <w:rFonts w:hint="eastAsia" w:ascii="仿宋" w:hAnsi="仿宋" w:eastAsia="仿宋"/>
          <w:sz w:val="32"/>
          <w:szCs w:val="32"/>
        </w:rPr>
        <w:t>20年相比，财政拨款收、支总计各增加501.86万元，增长20.58</w:t>
      </w:r>
      <w:r>
        <w:rPr>
          <w:rFonts w:ascii="仿宋" w:hAnsi="仿宋" w:eastAsia="仿宋"/>
          <w:sz w:val="32"/>
          <w:szCs w:val="32"/>
        </w:rPr>
        <w:t>%</w:t>
      </w:r>
      <w:r>
        <w:rPr>
          <w:rFonts w:hint="eastAsia" w:ascii="仿宋" w:hAnsi="仿宋" w:eastAsia="仿宋"/>
          <w:sz w:val="32"/>
          <w:szCs w:val="32"/>
        </w:rPr>
        <w:t>。主要变动原因是乡村振兴发展对农村住房保障、基础设施建设投入增加。</w:t>
      </w:r>
    </w:p>
    <w:p w14:paraId="5B69C44B">
      <w:pPr>
        <w:spacing w:line="600" w:lineRule="exact"/>
        <w:ind w:firstLine="640" w:firstLineChars="200"/>
        <w:outlineLvl w:val="1"/>
        <w:rPr>
          <w:rStyle w:val="31"/>
          <w:rFonts w:ascii="黑体" w:hAnsi="黑体" w:eastAsia="黑体"/>
          <w:b w:val="0"/>
        </w:rPr>
      </w:pPr>
      <w:bookmarkStart w:id="49" w:name="_Toc15396607"/>
      <w:bookmarkStart w:id="50" w:name="_Toc15377209"/>
      <w:bookmarkStart w:id="51" w:name="_Toc14080"/>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财政拨款支出决算情况说明</w:t>
      </w:r>
      <w:bookmarkEnd w:id="49"/>
      <w:bookmarkEnd w:id="50"/>
      <w:bookmarkEnd w:id="51"/>
    </w:p>
    <w:p w14:paraId="039C58F3">
      <w:pPr>
        <w:spacing w:line="600" w:lineRule="exact"/>
        <w:ind w:firstLine="643" w:firstLineChars="200"/>
        <w:outlineLvl w:val="2"/>
        <w:rPr>
          <w:rFonts w:ascii="仿宋" w:hAnsi="仿宋" w:eastAsia="仿宋"/>
          <w:b/>
          <w:sz w:val="32"/>
          <w:szCs w:val="32"/>
        </w:rPr>
      </w:pPr>
      <w:bookmarkStart w:id="52" w:name="_Toc15377210"/>
      <w:r>
        <w:rPr>
          <w:rFonts w:hint="eastAsia" w:ascii="仿宋" w:hAnsi="仿宋" w:eastAsia="仿宋"/>
          <w:b/>
          <w:sz w:val="32"/>
          <w:szCs w:val="32"/>
        </w:rPr>
        <w:t>（一）一般公共预算财政拨款支出决算总体情况</w:t>
      </w:r>
      <w:bookmarkEnd w:id="52"/>
    </w:p>
    <w:p w14:paraId="200D24BE">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21年一般公共预算财政拨款支出2932.74万元，占本年支出合计的99.73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20年相比，一般公共预算财政拨款支出增加493.86万元，增长20.25</w:t>
      </w:r>
      <w:r>
        <w:rPr>
          <w:rFonts w:ascii="仿宋" w:hAnsi="仿宋" w:eastAsia="仿宋"/>
          <w:sz w:val="32"/>
          <w:szCs w:val="32"/>
        </w:rPr>
        <w:t>%</w:t>
      </w:r>
      <w:r>
        <w:rPr>
          <w:rFonts w:hint="eastAsia" w:ascii="仿宋" w:hAnsi="仿宋" w:eastAsia="仿宋"/>
          <w:sz w:val="32"/>
          <w:szCs w:val="32"/>
        </w:rPr>
        <w:t>。主要变动原因是乡村振兴发展对农村住房保障、基础设施建设投入增加</w:t>
      </w:r>
      <w:r>
        <w:t>。</w:t>
      </w:r>
    </w:p>
    <w:p w14:paraId="502BD88A">
      <w:pPr>
        <w:pStyle w:val="3"/>
        <w:spacing w:before="93"/>
        <w:jc w:val="both"/>
        <w:rPr>
          <w:rFonts w:ascii="仿宋" w:hAnsi="仿宋" w:eastAsia="仿宋"/>
          <w:sz w:val="32"/>
          <w:szCs w:val="32"/>
        </w:rPr>
      </w:pPr>
      <w:r>
        <w:drawing>
          <wp:anchor distT="0" distB="0" distL="114300" distR="114300" simplePos="0" relativeHeight="251662336" behindDoc="1" locked="0" layoutInCell="1" allowOverlap="1">
            <wp:simplePos x="0" y="0"/>
            <wp:positionH relativeFrom="column">
              <wp:posOffset>381000</wp:posOffset>
            </wp:positionH>
            <wp:positionV relativeFrom="paragraph">
              <wp:posOffset>-316865</wp:posOffset>
            </wp:positionV>
            <wp:extent cx="4572000" cy="2743200"/>
            <wp:effectExtent l="4445" t="4445" r="8255" b="8255"/>
            <wp:wrapTight wrapText="bothSides">
              <wp:wrapPolygon>
                <wp:start x="-21" y="-35"/>
                <wp:lineTo x="-21" y="21565"/>
                <wp:lineTo x="21579" y="21565"/>
                <wp:lineTo x="21579" y="-35"/>
                <wp:lineTo x="-21" y="-35"/>
              </wp:wrapPolygon>
            </wp:wrapTight>
            <wp:docPr id="100" name="_x0000_s15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D1F18EC">
      <w:pPr>
        <w:spacing w:line="600" w:lineRule="exact"/>
        <w:ind w:firstLine="643" w:firstLineChars="200"/>
        <w:outlineLvl w:val="2"/>
        <w:rPr>
          <w:rFonts w:ascii="仿宋" w:hAnsi="仿宋" w:eastAsia="仿宋"/>
          <w:b/>
          <w:sz w:val="32"/>
          <w:szCs w:val="32"/>
        </w:rPr>
      </w:pPr>
      <w:bookmarkStart w:id="53" w:name="_Toc15377211"/>
      <w:r>
        <w:rPr>
          <w:rFonts w:hint="eastAsia" w:ascii="仿宋" w:hAnsi="仿宋" w:eastAsia="仿宋"/>
          <w:b/>
          <w:sz w:val="32"/>
          <w:szCs w:val="32"/>
        </w:rPr>
        <w:t>（二）一般公共预算财政拨款支出决算结构情况</w:t>
      </w:r>
      <w:bookmarkEnd w:id="53"/>
    </w:p>
    <w:p w14:paraId="7F8519F7">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w:t>
      </w:r>
      <w:r>
        <w:rPr>
          <w:rFonts w:hint="eastAsia" w:ascii="仿宋" w:hAnsi="仿宋" w:eastAsia="仿宋"/>
          <w:b/>
          <w:bCs/>
          <w:sz w:val="32"/>
          <w:szCs w:val="32"/>
        </w:rPr>
        <w:t>一般公共预算财政拨款支出2932.74万元</w:t>
      </w:r>
      <w:r>
        <w:rPr>
          <w:rFonts w:hint="eastAsia" w:ascii="仿宋" w:hAnsi="仿宋" w:eastAsia="仿宋"/>
          <w:sz w:val="32"/>
          <w:szCs w:val="32"/>
        </w:rPr>
        <w:t>，主要用于以下方面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支出381.48万元，占13.01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教育（类）</w:t>
      </w:r>
      <w:r>
        <w:rPr>
          <w:rFonts w:hint="eastAsia" w:ascii="仿宋" w:hAnsi="仿宋" w:eastAsia="仿宋"/>
          <w:bCs/>
          <w:sz w:val="32"/>
          <w:szCs w:val="32"/>
        </w:rPr>
        <w:t>支出594.96</w:t>
      </w:r>
      <w:r>
        <w:rPr>
          <w:rFonts w:hint="eastAsia" w:ascii="仿宋" w:hAnsi="仿宋" w:eastAsia="仿宋"/>
          <w:sz w:val="32"/>
          <w:szCs w:val="32"/>
        </w:rPr>
        <w:t>万元，占20.29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sz w:val="32"/>
          <w:szCs w:val="32"/>
        </w:rPr>
        <w:t>支出12.39万元，占0.42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支出159.42万元，占5.44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214.69万元，占7.32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w:t>
      </w:r>
      <w:r>
        <w:rPr>
          <w:rFonts w:hint="eastAsia" w:ascii="仿宋" w:hAnsi="仿宋" w:eastAsia="仿宋"/>
          <w:b/>
          <w:sz w:val="32"/>
          <w:szCs w:val="32"/>
        </w:rPr>
        <w:t>（类）</w:t>
      </w:r>
      <w:r>
        <w:rPr>
          <w:rFonts w:hint="eastAsia" w:ascii="仿宋" w:hAnsi="仿宋" w:eastAsia="仿宋"/>
          <w:sz w:val="32"/>
          <w:szCs w:val="32"/>
        </w:rPr>
        <w:t>支出1267.99万元，占43.24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交通运输</w:t>
      </w:r>
      <w:r>
        <w:rPr>
          <w:rFonts w:hint="eastAsia" w:ascii="仿宋" w:hAnsi="仿宋" w:eastAsia="仿宋"/>
          <w:b/>
          <w:sz w:val="32"/>
          <w:szCs w:val="32"/>
        </w:rPr>
        <w:t>（类）</w:t>
      </w:r>
      <w:r>
        <w:rPr>
          <w:rFonts w:hint="eastAsia" w:ascii="仿宋" w:hAnsi="仿宋" w:eastAsia="仿宋"/>
          <w:sz w:val="32"/>
          <w:szCs w:val="32"/>
        </w:rPr>
        <w:t>支出5.58万元，占0.19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支出296.26万元，占10.10</w:t>
      </w:r>
      <w:r>
        <w:rPr>
          <w:rFonts w:ascii="仿宋" w:hAnsi="仿宋" w:eastAsia="仿宋"/>
          <w:sz w:val="32"/>
          <w:szCs w:val="32"/>
        </w:rPr>
        <w:t>%</w:t>
      </w:r>
      <w:r>
        <w:t>。</w:t>
      </w:r>
      <w:r>
        <w:drawing>
          <wp:anchor distT="0" distB="0" distL="114300" distR="114300" simplePos="0" relativeHeight="251661312" behindDoc="1" locked="0" layoutInCell="1" allowOverlap="1">
            <wp:simplePos x="0" y="0"/>
            <wp:positionH relativeFrom="column">
              <wp:posOffset>284480</wp:posOffset>
            </wp:positionH>
            <wp:positionV relativeFrom="paragraph">
              <wp:posOffset>378460</wp:posOffset>
            </wp:positionV>
            <wp:extent cx="4471035" cy="2684145"/>
            <wp:effectExtent l="0" t="0" r="0" b="0"/>
            <wp:wrapTight wrapText="bothSides">
              <wp:wrapPolygon>
                <wp:start x="0" y="0"/>
                <wp:lineTo x="0" y="21462"/>
                <wp:lineTo x="21536" y="21462"/>
                <wp:lineTo x="21536" y="0"/>
                <wp:lineTo x="0" y="0"/>
              </wp:wrapPolygon>
            </wp:wrapTight>
            <wp:docPr id="101" name="_x0000_s15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0421723">
      <w:pPr>
        <w:spacing w:line="600" w:lineRule="exact"/>
        <w:ind w:firstLine="640" w:firstLineChars="200"/>
        <w:rPr>
          <w:rFonts w:ascii="仿宋" w:hAnsi="仿宋" w:eastAsia="仿宋"/>
          <w:sz w:val="32"/>
          <w:szCs w:val="32"/>
        </w:rPr>
      </w:pPr>
    </w:p>
    <w:p w14:paraId="727E5DAC">
      <w:pPr>
        <w:pStyle w:val="3"/>
        <w:spacing w:before="93"/>
        <w:jc w:val="center"/>
        <w:rPr>
          <w:rFonts w:ascii="仿宋" w:hAnsi="仿宋" w:eastAsia="仿宋"/>
          <w:sz w:val="32"/>
          <w:szCs w:val="32"/>
        </w:rPr>
      </w:pPr>
    </w:p>
    <w:p w14:paraId="74DC8605">
      <w:pPr>
        <w:pStyle w:val="3"/>
        <w:spacing w:before="93"/>
        <w:rPr>
          <w:rFonts w:ascii="仿宋" w:hAnsi="仿宋" w:eastAsia="仿宋"/>
          <w:sz w:val="32"/>
          <w:szCs w:val="32"/>
        </w:rPr>
      </w:pPr>
    </w:p>
    <w:p w14:paraId="4B0E5571">
      <w:pPr>
        <w:pStyle w:val="3"/>
        <w:spacing w:before="93"/>
        <w:rPr>
          <w:rFonts w:ascii="仿宋" w:hAnsi="仿宋" w:eastAsia="仿宋"/>
          <w:sz w:val="32"/>
          <w:szCs w:val="32"/>
        </w:rPr>
      </w:pPr>
    </w:p>
    <w:p w14:paraId="7FF0B1FA">
      <w:pPr>
        <w:pStyle w:val="3"/>
        <w:spacing w:before="93"/>
        <w:rPr>
          <w:rFonts w:ascii="仿宋" w:hAnsi="仿宋" w:eastAsia="仿宋"/>
          <w:sz w:val="32"/>
          <w:szCs w:val="32"/>
        </w:rPr>
      </w:pPr>
    </w:p>
    <w:p w14:paraId="4FE8D388">
      <w:pPr>
        <w:pStyle w:val="3"/>
        <w:spacing w:before="93"/>
        <w:rPr>
          <w:rFonts w:ascii="仿宋" w:hAnsi="仿宋" w:eastAsia="仿宋"/>
          <w:sz w:val="32"/>
          <w:szCs w:val="32"/>
        </w:rPr>
      </w:pPr>
    </w:p>
    <w:p w14:paraId="3207F13B">
      <w:pPr>
        <w:spacing w:line="600" w:lineRule="exact"/>
        <w:ind w:firstLine="643" w:firstLineChars="200"/>
        <w:outlineLvl w:val="2"/>
        <w:rPr>
          <w:rFonts w:ascii="仿宋" w:hAnsi="仿宋" w:eastAsia="仿宋"/>
          <w:b/>
          <w:sz w:val="32"/>
          <w:szCs w:val="32"/>
        </w:rPr>
      </w:pPr>
      <w:bookmarkStart w:id="54" w:name="_Toc15377212"/>
      <w:r>
        <w:rPr>
          <w:rFonts w:hint="eastAsia" w:ascii="仿宋" w:hAnsi="仿宋" w:eastAsia="仿宋"/>
          <w:b/>
          <w:sz w:val="32"/>
          <w:szCs w:val="32"/>
        </w:rPr>
        <w:t>（三）一般公共预算财政拨款支出决算具体情况</w:t>
      </w:r>
      <w:bookmarkEnd w:id="54"/>
    </w:p>
    <w:p w14:paraId="75BE42B1">
      <w:pPr>
        <w:spacing w:line="600" w:lineRule="exact"/>
        <w:ind w:firstLine="643" w:firstLineChars="200"/>
        <w:outlineLvl w:val="1"/>
        <w:rPr>
          <w:rFonts w:ascii="仿宋" w:hAnsi="仿宋" w:eastAsia="仿宋"/>
          <w:sz w:val="32"/>
          <w:szCs w:val="32"/>
        </w:rPr>
      </w:pPr>
      <w:bookmarkStart w:id="55" w:name="_Toc15378460"/>
      <w:bookmarkStart w:id="56" w:name="_Toc15377444"/>
      <w:bookmarkStart w:id="57" w:name="_Toc15377213"/>
      <w:bookmarkStart w:id="58" w:name="_Toc26597"/>
      <w:r>
        <w:rPr>
          <w:rFonts w:hint="eastAsia" w:ascii="仿宋" w:hAnsi="仿宋" w:eastAsia="仿宋"/>
          <w:b/>
          <w:sz w:val="32"/>
          <w:szCs w:val="32"/>
        </w:rPr>
        <w:t>2021年一般公共预算支出决算数为2932.74万元</w:t>
      </w:r>
      <w:r>
        <w:rPr>
          <w:rFonts w:hint="eastAsia" w:ascii="仿宋" w:hAnsi="仿宋" w:eastAsia="仿宋"/>
          <w:sz w:val="32"/>
          <w:szCs w:val="32"/>
        </w:rPr>
        <w:t>，</w:t>
      </w:r>
      <w:r>
        <w:rPr>
          <w:rStyle w:val="11"/>
          <w:rFonts w:hint="eastAsia" w:ascii="仿宋" w:hAnsi="仿宋" w:eastAsia="仿宋"/>
          <w:bCs/>
          <w:sz w:val="32"/>
          <w:szCs w:val="32"/>
        </w:rPr>
        <w:t>完成预算的</w:t>
      </w:r>
      <w:r>
        <w:rPr>
          <w:rFonts w:hint="eastAsia" w:ascii="仿宋" w:hAnsi="仿宋" w:eastAsia="仿宋"/>
          <w:bCs/>
          <w:sz w:val="32"/>
          <w:szCs w:val="32"/>
        </w:rPr>
        <w:t>100%</w:t>
      </w:r>
      <w:r>
        <w:rPr>
          <w:rStyle w:val="11"/>
          <w:rFonts w:hint="eastAsia" w:ascii="仿宋" w:hAnsi="仿宋" w:eastAsia="仿宋"/>
          <w:bCs/>
          <w:sz w:val="32"/>
          <w:szCs w:val="32"/>
        </w:rPr>
        <w:t>。</w:t>
      </w:r>
      <w:bookmarkEnd w:id="55"/>
      <w:bookmarkEnd w:id="56"/>
      <w:bookmarkEnd w:id="57"/>
      <w:bookmarkEnd w:id="58"/>
    </w:p>
    <w:p w14:paraId="1F116D79">
      <w:pPr>
        <w:spacing w:line="600" w:lineRule="exact"/>
        <w:ind w:firstLine="643" w:firstLineChars="200"/>
        <w:rPr>
          <w:rFonts w:ascii="仿宋" w:hAnsi="仿宋" w:eastAsia="仿宋"/>
          <w:b/>
          <w:sz w:val="32"/>
          <w:szCs w:val="32"/>
          <w:highlight w:val="yellow"/>
        </w:rPr>
      </w:pPr>
      <w:r>
        <w:rPr>
          <w:rStyle w:val="11"/>
          <w:rFonts w:ascii="仿宋" w:hAnsi="仿宋" w:eastAsia="仿宋"/>
          <w:bCs/>
          <w:sz w:val="32"/>
          <w:szCs w:val="32"/>
        </w:rPr>
        <w:t>1.</w:t>
      </w:r>
      <w:r>
        <w:rPr>
          <w:rStyle w:val="11"/>
          <w:rFonts w:hint="eastAsia" w:ascii="仿宋" w:hAnsi="仿宋" w:eastAsia="仿宋"/>
          <w:bCs/>
          <w:sz w:val="32"/>
          <w:szCs w:val="32"/>
        </w:rPr>
        <w:t>一般公共服务</w:t>
      </w:r>
      <w:r>
        <w:rPr>
          <w:rFonts w:hint="eastAsia" w:ascii="仿宋" w:hAnsi="仿宋" w:eastAsia="仿宋"/>
          <w:bCs/>
          <w:sz w:val="32"/>
          <w:szCs w:val="32"/>
        </w:rPr>
        <w:t>（类）人大事务（款）行政运行（项）</w:t>
      </w:r>
      <w:r>
        <w:rPr>
          <w:rStyle w:val="11"/>
          <w:rFonts w:ascii="仿宋" w:hAnsi="仿宋" w:eastAsia="仿宋"/>
          <w:bCs/>
          <w:sz w:val="32"/>
          <w:szCs w:val="32"/>
        </w:rPr>
        <w:t>:</w:t>
      </w:r>
      <w:r>
        <w:rPr>
          <w:rStyle w:val="11"/>
          <w:rFonts w:hint="eastAsia" w:ascii="仿宋" w:hAnsi="仿宋" w:eastAsia="仿宋"/>
          <w:b w:val="0"/>
          <w:bCs/>
          <w:sz w:val="32"/>
          <w:szCs w:val="32"/>
        </w:rPr>
        <w:t>支出决算为7.</w:t>
      </w:r>
      <w:r>
        <w:rPr>
          <w:rFonts w:hint="eastAsia" w:ascii="仿宋" w:hAnsi="仿宋" w:eastAsia="仿宋"/>
          <w:bCs/>
          <w:sz w:val="32"/>
          <w:szCs w:val="32"/>
        </w:rPr>
        <w:t>47</w:t>
      </w:r>
      <w:r>
        <w:rPr>
          <w:rStyle w:val="11"/>
          <w:rFonts w:hint="eastAsia" w:ascii="仿宋" w:hAnsi="仿宋" w:eastAsia="仿宋"/>
          <w:b w:val="0"/>
          <w:bCs/>
          <w:sz w:val="32"/>
          <w:szCs w:val="32"/>
        </w:rPr>
        <w:t>万元，完成预算</w:t>
      </w:r>
      <w:r>
        <w:rPr>
          <w:rFonts w:hint="eastAsia" w:ascii="仿宋" w:hAnsi="仿宋" w:eastAsia="仿宋"/>
          <w:bCs/>
          <w:sz w:val="32"/>
          <w:szCs w:val="32"/>
        </w:rPr>
        <w:t>100%</w:t>
      </w:r>
      <w:r>
        <w:rPr>
          <w:rStyle w:val="11"/>
          <w:rFonts w:hint="eastAsia" w:ascii="仿宋" w:hAnsi="仿宋" w:eastAsia="仿宋"/>
          <w:b w:val="0"/>
          <w:bCs/>
          <w:sz w:val="32"/>
          <w:szCs w:val="32"/>
        </w:rPr>
        <w:t>。</w:t>
      </w:r>
    </w:p>
    <w:p w14:paraId="7AA18775">
      <w:pPr>
        <w:spacing w:line="600" w:lineRule="exact"/>
        <w:ind w:firstLine="643" w:firstLineChars="200"/>
        <w:rPr>
          <w:rStyle w:val="11"/>
          <w:rFonts w:ascii="仿宋" w:hAnsi="仿宋" w:eastAsia="仿宋"/>
          <w:b w:val="0"/>
          <w:bCs/>
          <w:sz w:val="32"/>
          <w:szCs w:val="32"/>
        </w:rPr>
      </w:pPr>
      <w:r>
        <w:rPr>
          <w:rStyle w:val="11"/>
          <w:rFonts w:ascii="仿宋" w:hAnsi="仿宋" w:eastAsia="仿宋"/>
          <w:bCs/>
          <w:sz w:val="32"/>
          <w:szCs w:val="32"/>
        </w:rPr>
        <w:t>2.</w:t>
      </w:r>
      <w:r>
        <w:rPr>
          <w:rStyle w:val="11"/>
          <w:rFonts w:hint="eastAsia" w:ascii="仿宋" w:hAnsi="仿宋" w:eastAsia="仿宋"/>
          <w:bCs/>
          <w:sz w:val="32"/>
          <w:szCs w:val="32"/>
        </w:rPr>
        <w:t>教育（类）普通教育（款）学前教育（项）</w:t>
      </w:r>
      <w:r>
        <w:rPr>
          <w:rStyle w:val="11"/>
          <w:rFonts w:ascii="仿宋" w:hAnsi="仿宋" w:eastAsia="仿宋"/>
          <w:bCs/>
          <w:sz w:val="32"/>
          <w:szCs w:val="32"/>
        </w:rPr>
        <w:t>:</w:t>
      </w:r>
      <w:r>
        <w:rPr>
          <w:rStyle w:val="11"/>
          <w:rFonts w:hint="eastAsia" w:ascii="仿宋" w:hAnsi="仿宋" w:eastAsia="仿宋"/>
          <w:b w:val="0"/>
          <w:bCs/>
          <w:sz w:val="32"/>
          <w:szCs w:val="32"/>
        </w:rPr>
        <w:t>支出决算为2.</w:t>
      </w:r>
      <w:r>
        <w:rPr>
          <w:rFonts w:hint="eastAsia" w:ascii="仿宋" w:hAnsi="仿宋" w:eastAsia="仿宋"/>
          <w:bCs/>
          <w:sz w:val="32"/>
          <w:szCs w:val="32"/>
        </w:rPr>
        <w:t>71</w:t>
      </w:r>
      <w:r>
        <w:rPr>
          <w:rStyle w:val="11"/>
          <w:rFonts w:hint="eastAsia" w:ascii="仿宋" w:hAnsi="仿宋" w:eastAsia="仿宋"/>
          <w:b w:val="0"/>
          <w:bCs/>
          <w:sz w:val="32"/>
          <w:szCs w:val="32"/>
        </w:rPr>
        <w:t>万元；</w:t>
      </w:r>
      <w:r>
        <w:rPr>
          <w:rStyle w:val="11"/>
          <w:rFonts w:hint="eastAsia" w:ascii="仿宋" w:hAnsi="仿宋" w:eastAsia="仿宋"/>
          <w:bCs/>
          <w:sz w:val="32"/>
          <w:szCs w:val="32"/>
        </w:rPr>
        <w:t>教育（类）普通教育（款）小学教育（项）</w:t>
      </w:r>
      <w:r>
        <w:rPr>
          <w:rStyle w:val="11"/>
          <w:rFonts w:ascii="仿宋" w:hAnsi="仿宋" w:eastAsia="仿宋"/>
          <w:bCs/>
          <w:sz w:val="32"/>
          <w:szCs w:val="32"/>
        </w:rPr>
        <w:t>:</w:t>
      </w:r>
      <w:r>
        <w:rPr>
          <w:rStyle w:val="11"/>
          <w:rFonts w:hint="eastAsia" w:ascii="仿宋" w:hAnsi="仿宋" w:eastAsia="仿宋"/>
          <w:b w:val="0"/>
          <w:bCs/>
          <w:sz w:val="32"/>
          <w:szCs w:val="32"/>
        </w:rPr>
        <w:t>支出决算为557.</w:t>
      </w:r>
      <w:r>
        <w:rPr>
          <w:rFonts w:hint="eastAsia" w:ascii="仿宋" w:hAnsi="仿宋" w:eastAsia="仿宋"/>
          <w:bCs/>
          <w:sz w:val="32"/>
          <w:szCs w:val="32"/>
        </w:rPr>
        <w:t>93</w:t>
      </w:r>
      <w:r>
        <w:rPr>
          <w:rStyle w:val="11"/>
          <w:rFonts w:hint="eastAsia" w:ascii="仿宋" w:hAnsi="仿宋" w:eastAsia="仿宋"/>
          <w:b w:val="0"/>
          <w:bCs/>
          <w:sz w:val="32"/>
          <w:szCs w:val="32"/>
        </w:rPr>
        <w:t>万元；</w:t>
      </w:r>
      <w:r>
        <w:rPr>
          <w:rStyle w:val="11"/>
          <w:rFonts w:hint="eastAsia" w:ascii="仿宋" w:hAnsi="仿宋" w:eastAsia="仿宋"/>
          <w:bCs/>
          <w:sz w:val="32"/>
          <w:szCs w:val="32"/>
        </w:rPr>
        <w:t>教育（类）普通教育（款）其他普通教育支出（项）</w:t>
      </w:r>
      <w:r>
        <w:rPr>
          <w:rStyle w:val="11"/>
          <w:rFonts w:ascii="仿宋" w:hAnsi="仿宋" w:eastAsia="仿宋"/>
          <w:bCs/>
          <w:sz w:val="32"/>
          <w:szCs w:val="32"/>
        </w:rPr>
        <w:t>:</w:t>
      </w:r>
      <w:r>
        <w:rPr>
          <w:rStyle w:val="11"/>
          <w:rFonts w:hint="eastAsia" w:ascii="仿宋" w:hAnsi="仿宋" w:eastAsia="仿宋"/>
          <w:b w:val="0"/>
          <w:bCs/>
          <w:sz w:val="32"/>
          <w:szCs w:val="32"/>
        </w:rPr>
        <w:t>支出决算为34.</w:t>
      </w:r>
      <w:r>
        <w:rPr>
          <w:rFonts w:hint="eastAsia" w:ascii="仿宋" w:hAnsi="仿宋" w:eastAsia="仿宋"/>
          <w:bCs/>
          <w:sz w:val="32"/>
          <w:szCs w:val="32"/>
        </w:rPr>
        <w:t>32</w:t>
      </w:r>
      <w:r>
        <w:rPr>
          <w:rStyle w:val="11"/>
          <w:rFonts w:hint="eastAsia" w:ascii="仿宋" w:hAnsi="仿宋" w:eastAsia="仿宋"/>
          <w:b w:val="0"/>
          <w:bCs/>
          <w:sz w:val="32"/>
          <w:szCs w:val="32"/>
        </w:rPr>
        <w:t>万元，完成预算</w:t>
      </w:r>
      <w:r>
        <w:rPr>
          <w:rFonts w:hint="eastAsia" w:ascii="仿宋" w:hAnsi="仿宋" w:eastAsia="仿宋"/>
          <w:bCs/>
          <w:sz w:val="32"/>
          <w:szCs w:val="32"/>
        </w:rPr>
        <w:t>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21D67ECE">
      <w:pPr>
        <w:spacing w:line="600" w:lineRule="exact"/>
        <w:ind w:firstLine="643" w:firstLineChars="200"/>
        <w:rPr>
          <w:rFonts w:ascii="仿宋" w:hAnsi="仿宋" w:eastAsia="仿宋"/>
          <w:b/>
          <w:sz w:val="32"/>
          <w:szCs w:val="32"/>
          <w:highlight w:val="yellow"/>
        </w:rPr>
      </w:pPr>
      <w:r>
        <w:rPr>
          <w:rStyle w:val="11"/>
          <w:rFonts w:hint="eastAsia" w:ascii="仿宋" w:hAnsi="仿宋" w:eastAsia="仿宋"/>
          <w:bCs/>
          <w:sz w:val="32"/>
          <w:szCs w:val="32"/>
        </w:rPr>
        <w:t>3</w:t>
      </w:r>
      <w:r>
        <w:rPr>
          <w:rStyle w:val="11"/>
          <w:rFonts w:ascii="仿宋" w:hAnsi="仿宋" w:eastAsia="仿宋"/>
          <w:bCs/>
          <w:sz w:val="32"/>
          <w:szCs w:val="32"/>
        </w:rPr>
        <w:t>.</w:t>
      </w:r>
      <w:r>
        <w:rPr>
          <w:rStyle w:val="11"/>
          <w:rFonts w:hint="eastAsia" w:ascii="仿宋" w:hAnsi="仿宋" w:eastAsia="仿宋"/>
          <w:bCs/>
          <w:sz w:val="32"/>
          <w:szCs w:val="32"/>
        </w:rPr>
        <w:t>文化旅游体育与传媒（类）文化和旅游（款）行政运行（项）</w:t>
      </w:r>
      <w:r>
        <w:rPr>
          <w:rStyle w:val="11"/>
          <w:rFonts w:ascii="仿宋" w:hAnsi="仿宋" w:eastAsia="仿宋"/>
          <w:bCs/>
          <w:sz w:val="32"/>
          <w:szCs w:val="32"/>
        </w:rPr>
        <w:t>:</w:t>
      </w:r>
      <w:r>
        <w:rPr>
          <w:rStyle w:val="11"/>
          <w:rFonts w:hint="eastAsia" w:ascii="仿宋" w:hAnsi="仿宋" w:eastAsia="仿宋"/>
          <w:b w:val="0"/>
          <w:bCs/>
          <w:sz w:val="32"/>
          <w:szCs w:val="32"/>
        </w:rPr>
        <w:t>支出决算为6.</w:t>
      </w:r>
      <w:r>
        <w:rPr>
          <w:rFonts w:hint="eastAsia" w:ascii="仿宋" w:hAnsi="仿宋" w:eastAsia="仿宋"/>
          <w:bCs/>
          <w:sz w:val="32"/>
          <w:szCs w:val="32"/>
        </w:rPr>
        <w:t>39</w:t>
      </w:r>
      <w:r>
        <w:rPr>
          <w:rStyle w:val="11"/>
          <w:rFonts w:hint="eastAsia" w:ascii="仿宋" w:hAnsi="仿宋" w:eastAsia="仿宋"/>
          <w:b w:val="0"/>
          <w:bCs/>
          <w:sz w:val="32"/>
          <w:szCs w:val="32"/>
        </w:rPr>
        <w:t>万元；</w:t>
      </w:r>
      <w:r>
        <w:rPr>
          <w:rStyle w:val="11"/>
          <w:rFonts w:hint="eastAsia" w:ascii="仿宋" w:hAnsi="仿宋" w:eastAsia="仿宋"/>
          <w:bCs/>
          <w:sz w:val="32"/>
          <w:szCs w:val="32"/>
        </w:rPr>
        <w:t>文化旅游体育与传媒（类）文化和旅游（款）其他文化和旅游支出（项）</w:t>
      </w:r>
      <w:r>
        <w:rPr>
          <w:rStyle w:val="11"/>
          <w:rFonts w:ascii="仿宋" w:hAnsi="仿宋" w:eastAsia="仿宋"/>
          <w:bCs/>
          <w:sz w:val="32"/>
          <w:szCs w:val="32"/>
        </w:rPr>
        <w:t>:</w:t>
      </w:r>
      <w:r>
        <w:rPr>
          <w:rStyle w:val="11"/>
          <w:rFonts w:hint="eastAsia" w:ascii="仿宋" w:hAnsi="仿宋" w:eastAsia="仿宋"/>
          <w:b w:val="0"/>
          <w:bCs/>
          <w:sz w:val="32"/>
          <w:szCs w:val="32"/>
        </w:rPr>
        <w:t>支出决算为6万元，完成预算</w:t>
      </w:r>
      <w:r>
        <w:rPr>
          <w:rFonts w:hint="eastAsia" w:ascii="仿宋" w:hAnsi="仿宋" w:eastAsia="仿宋"/>
          <w:bCs/>
          <w:sz w:val="32"/>
          <w:szCs w:val="32"/>
        </w:rPr>
        <w:t>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3CCB5C82">
      <w:pPr>
        <w:spacing w:line="600" w:lineRule="exact"/>
        <w:ind w:firstLine="643" w:firstLineChars="200"/>
        <w:rPr>
          <w:rFonts w:ascii="仿宋" w:hAnsi="仿宋" w:eastAsia="仿宋"/>
          <w:b/>
          <w:sz w:val="32"/>
          <w:szCs w:val="32"/>
        </w:rPr>
      </w:pPr>
      <w:r>
        <w:rPr>
          <w:rStyle w:val="11"/>
          <w:rFonts w:hint="eastAsia" w:ascii="仿宋" w:hAnsi="仿宋" w:eastAsia="仿宋"/>
          <w:bCs/>
          <w:sz w:val="32"/>
          <w:szCs w:val="32"/>
        </w:rPr>
        <w:t>4</w:t>
      </w:r>
      <w:r>
        <w:rPr>
          <w:rStyle w:val="11"/>
          <w:rFonts w:ascii="仿宋" w:hAnsi="仿宋" w:eastAsia="仿宋"/>
          <w:bCs/>
          <w:sz w:val="32"/>
          <w:szCs w:val="32"/>
        </w:rPr>
        <w:t>.</w:t>
      </w:r>
      <w:r>
        <w:rPr>
          <w:rStyle w:val="11"/>
          <w:rFonts w:hint="eastAsia" w:ascii="仿宋" w:hAnsi="仿宋" w:eastAsia="仿宋"/>
          <w:bCs/>
          <w:sz w:val="32"/>
          <w:szCs w:val="32"/>
        </w:rPr>
        <w:t>社会保障和就业</w:t>
      </w:r>
      <w:r>
        <w:rPr>
          <w:rFonts w:hint="eastAsia" w:ascii="仿宋" w:hAnsi="仿宋" w:eastAsia="仿宋"/>
          <w:bCs/>
          <w:sz w:val="32"/>
          <w:szCs w:val="32"/>
        </w:rPr>
        <w:t>（类）人力资源和社会保障管理事务（款）行政运行（项）</w:t>
      </w:r>
      <w:r>
        <w:rPr>
          <w:rStyle w:val="11"/>
          <w:rFonts w:ascii="仿宋" w:hAnsi="仿宋" w:eastAsia="仿宋"/>
          <w:bCs/>
          <w:sz w:val="32"/>
          <w:szCs w:val="32"/>
        </w:rPr>
        <w:t>:</w:t>
      </w:r>
      <w:r>
        <w:rPr>
          <w:rStyle w:val="11"/>
          <w:rFonts w:hint="eastAsia" w:ascii="仿宋" w:hAnsi="仿宋" w:eastAsia="仿宋"/>
          <w:b w:val="0"/>
          <w:bCs/>
          <w:sz w:val="32"/>
          <w:szCs w:val="32"/>
        </w:rPr>
        <w:t>支出决算为11.</w:t>
      </w:r>
      <w:r>
        <w:rPr>
          <w:rFonts w:hint="eastAsia" w:ascii="仿宋" w:hAnsi="仿宋" w:eastAsia="仿宋"/>
          <w:bCs/>
          <w:sz w:val="32"/>
          <w:szCs w:val="32"/>
        </w:rPr>
        <w:t>46</w:t>
      </w:r>
      <w:r>
        <w:rPr>
          <w:rStyle w:val="11"/>
          <w:rFonts w:hint="eastAsia" w:ascii="仿宋" w:hAnsi="仿宋" w:eastAsia="仿宋"/>
          <w:b w:val="0"/>
          <w:bCs/>
          <w:sz w:val="32"/>
          <w:szCs w:val="32"/>
        </w:rPr>
        <w:t>万元，完成预算</w:t>
      </w:r>
      <w:r>
        <w:rPr>
          <w:rFonts w:hint="eastAsia" w:ascii="仿宋" w:hAnsi="仿宋" w:eastAsia="仿宋"/>
          <w:bCs/>
          <w:sz w:val="32"/>
          <w:szCs w:val="32"/>
        </w:rPr>
        <w:t>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60A8BF7E">
      <w:pPr>
        <w:spacing w:line="600" w:lineRule="exact"/>
        <w:ind w:firstLine="643" w:firstLineChars="200"/>
        <w:rPr>
          <w:rFonts w:ascii="仿宋" w:hAnsi="仿宋" w:eastAsia="仿宋"/>
          <w:b/>
          <w:sz w:val="32"/>
          <w:szCs w:val="32"/>
          <w:highlight w:val="yellow"/>
        </w:rPr>
      </w:pPr>
      <w:r>
        <w:rPr>
          <w:rStyle w:val="11"/>
          <w:rFonts w:hint="eastAsia" w:ascii="仿宋" w:hAnsi="仿宋" w:eastAsia="仿宋"/>
          <w:bCs/>
          <w:sz w:val="32"/>
          <w:szCs w:val="32"/>
        </w:rPr>
        <w:t>5</w:t>
      </w:r>
      <w:r>
        <w:rPr>
          <w:rStyle w:val="11"/>
          <w:rFonts w:ascii="仿宋" w:hAnsi="仿宋" w:eastAsia="仿宋"/>
          <w:bCs/>
          <w:sz w:val="32"/>
          <w:szCs w:val="32"/>
        </w:rPr>
        <w:t>.</w:t>
      </w:r>
      <w:r>
        <w:rPr>
          <w:rFonts w:hint="eastAsia" w:ascii="仿宋" w:hAnsi="仿宋" w:eastAsia="仿宋"/>
          <w:b/>
          <w:bCs/>
          <w:sz w:val="32"/>
          <w:szCs w:val="32"/>
        </w:rPr>
        <w:t>卫生健康</w:t>
      </w:r>
      <w:r>
        <w:rPr>
          <w:rStyle w:val="11"/>
          <w:rFonts w:hint="eastAsia" w:ascii="仿宋" w:hAnsi="仿宋" w:eastAsia="仿宋"/>
          <w:bCs/>
          <w:sz w:val="32"/>
          <w:szCs w:val="32"/>
        </w:rPr>
        <w:t>（类）基层医疗卫生机构</w:t>
      </w:r>
      <w:r>
        <w:rPr>
          <w:rFonts w:hint="eastAsia" w:ascii="仿宋" w:hAnsi="仿宋" w:eastAsia="仿宋"/>
          <w:bCs/>
          <w:sz w:val="32"/>
          <w:szCs w:val="32"/>
        </w:rPr>
        <w:t>（款）乡镇卫生院（项）</w:t>
      </w:r>
      <w:r>
        <w:rPr>
          <w:rStyle w:val="11"/>
          <w:rFonts w:ascii="仿宋" w:hAnsi="仿宋" w:eastAsia="仿宋"/>
          <w:bCs/>
          <w:sz w:val="32"/>
          <w:szCs w:val="32"/>
        </w:rPr>
        <w:t>:</w:t>
      </w:r>
      <w:r>
        <w:rPr>
          <w:rStyle w:val="11"/>
          <w:rFonts w:hint="eastAsia" w:ascii="仿宋" w:hAnsi="仿宋" w:eastAsia="仿宋"/>
          <w:b w:val="0"/>
          <w:bCs/>
          <w:sz w:val="32"/>
          <w:szCs w:val="32"/>
        </w:rPr>
        <w:t>支出决算为50.</w:t>
      </w:r>
      <w:r>
        <w:rPr>
          <w:rFonts w:hint="eastAsia" w:ascii="仿宋" w:hAnsi="仿宋" w:eastAsia="仿宋"/>
          <w:bCs/>
          <w:sz w:val="32"/>
          <w:szCs w:val="32"/>
        </w:rPr>
        <w:t>83</w:t>
      </w:r>
      <w:r>
        <w:rPr>
          <w:rStyle w:val="11"/>
          <w:rFonts w:hint="eastAsia" w:ascii="仿宋" w:hAnsi="仿宋" w:eastAsia="仿宋"/>
          <w:b w:val="0"/>
          <w:bCs/>
          <w:sz w:val="32"/>
          <w:szCs w:val="32"/>
        </w:rPr>
        <w:t>万元，完成预算</w:t>
      </w:r>
      <w:r>
        <w:rPr>
          <w:rFonts w:hint="eastAsia" w:ascii="仿宋" w:hAnsi="仿宋" w:eastAsia="仿宋"/>
          <w:bCs/>
          <w:sz w:val="32"/>
          <w:szCs w:val="32"/>
        </w:rPr>
        <w:t>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44C71D90">
      <w:pPr>
        <w:spacing w:line="600" w:lineRule="exact"/>
        <w:ind w:firstLine="640" w:firstLineChars="200"/>
        <w:rPr>
          <w:rStyle w:val="11"/>
          <w:rFonts w:ascii="仿宋" w:hAnsi="仿宋" w:eastAsia="仿宋"/>
          <w:b w:val="0"/>
          <w:bCs/>
          <w:sz w:val="32"/>
          <w:szCs w:val="32"/>
        </w:rPr>
      </w:pPr>
      <w:r>
        <w:rPr>
          <w:rFonts w:hint="eastAsia" w:ascii="仿宋" w:hAnsi="仿宋" w:eastAsia="仿宋"/>
          <w:sz w:val="32"/>
          <w:szCs w:val="32"/>
        </w:rPr>
        <w:t>6</w:t>
      </w:r>
      <w:r>
        <w:rPr>
          <w:rStyle w:val="11"/>
          <w:rFonts w:ascii="仿宋" w:hAnsi="仿宋" w:eastAsia="仿宋"/>
          <w:bCs/>
          <w:sz w:val="32"/>
          <w:szCs w:val="32"/>
        </w:rPr>
        <w:t>.</w:t>
      </w:r>
      <w:r>
        <w:rPr>
          <w:rFonts w:hint="eastAsia" w:ascii="仿宋" w:hAnsi="仿宋" w:eastAsia="仿宋"/>
          <w:b/>
          <w:bCs/>
          <w:sz w:val="32"/>
          <w:szCs w:val="32"/>
        </w:rPr>
        <w:t>农林水</w:t>
      </w:r>
      <w:r>
        <w:rPr>
          <w:rStyle w:val="11"/>
          <w:rFonts w:hint="eastAsia" w:ascii="仿宋" w:hAnsi="仿宋" w:eastAsia="仿宋"/>
          <w:bCs/>
          <w:sz w:val="32"/>
          <w:szCs w:val="32"/>
        </w:rPr>
        <w:t>（类）农业农村（款）事业运行（项）</w:t>
      </w:r>
      <w:r>
        <w:rPr>
          <w:rStyle w:val="11"/>
          <w:rFonts w:ascii="仿宋" w:hAnsi="仿宋" w:eastAsia="仿宋"/>
          <w:bCs/>
          <w:sz w:val="32"/>
          <w:szCs w:val="32"/>
        </w:rPr>
        <w:t>:</w:t>
      </w:r>
      <w:r>
        <w:rPr>
          <w:rStyle w:val="11"/>
          <w:rFonts w:hint="eastAsia" w:ascii="仿宋" w:hAnsi="仿宋" w:eastAsia="仿宋"/>
          <w:b w:val="0"/>
          <w:bCs/>
          <w:sz w:val="32"/>
          <w:szCs w:val="32"/>
        </w:rPr>
        <w:t>支出决算为93.</w:t>
      </w:r>
      <w:r>
        <w:rPr>
          <w:rFonts w:hint="eastAsia" w:ascii="仿宋" w:hAnsi="仿宋" w:eastAsia="仿宋"/>
          <w:bCs/>
          <w:sz w:val="32"/>
          <w:szCs w:val="32"/>
        </w:rPr>
        <w:t>01</w:t>
      </w:r>
      <w:r>
        <w:rPr>
          <w:rStyle w:val="11"/>
          <w:rFonts w:hint="eastAsia" w:ascii="仿宋" w:hAnsi="仿宋" w:eastAsia="仿宋"/>
          <w:b w:val="0"/>
          <w:bCs/>
          <w:sz w:val="32"/>
          <w:szCs w:val="32"/>
        </w:rPr>
        <w:t>万元，完成预算</w:t>
      </w:r>
      <w:r>
        <w:rPr>
          <w:rFonts w:hint="eastAsia" w:ascii="仿宋" w:hAnsi="仿宋" w:eastAsia="仿宋"/>
          <w:bCs/>
          <w:sz w:val="32"/>
          <w:szCs w:val="32"/>
        </w:rPr>
        <w:t>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25C60085">
      <w:pPr>
        <w:spacing w:line="600" w:lineRule="exact"/>
        <w:ind w:firstLine="643" w:firstLineChars="200"/>
        <w:rPr>
          <w:rStyle w:val="11"/>
          <w:rFonts w:ascii="仿宋" w:hAnsi="仿宋" w:eastAsia="仿宋"/>
          <w:b w:val="0"/>
          <w:bCs/>
          <w:sz w:val="32"/>
          <w:szCs w:val="32"/>
        </w:rPr>
      </w:pPr>
      <w:r>
        <w:rPr>
          <w:rFonts w:hint="eastAsia" w:ascii="仿宋" w:hAnsi="仿宋" w:eastAsia="仿宋"/>
          <w:b/>
          <w:bCs/>
          <w:sz w:val="32"/>
          <w:szCs w:val="32"/>
        </w:rPr>
        <w:t>7.交通运输</w:t>
      </w:r>
      <w:r>
        <w:rPr>
          <w:rStyle w:val="11"/>
          <w:rFonts w:hint="eastAsia" w:ascii="仿宋" w:hAnsi="仿宋" w:eastAsia="仿宋"/>
          <w:bCs/>
          <w:sz w:val="32"/>
          <w:szCs w:val="32"/>
        </w:rPr>
        <w:t>（类）公路水路运输（款）公路运输管理（项）</w:t>
      </w:r>
      <w:r>
        <w:rPr>
          <w:rStyle w:val="11"/>
          <w:rFonts w:ascii="仿宋" w:hAnsi="仿宋" w:eastAsia="仿宋"/>
          <w:bCs/>
          <w:sz w:val="32"/>
          <w:szCs w:val="32"/>
        </w:rPr>
        <w:t>:</w:t>
      </w:r>
      <w:r>
        <w:rPr>
          <w:rStyle w:val="11"/>
          <w:rFonts w:hint="eastAsia" w:ascii="仿宋" w:hAnsi="仿宋" w:eastAsia="仿宋"/>
          <w:b w:val="0"/>
          <w:bCs/>
          <w:sz w:val="32"/>
          <w:szCs w:val="32"/>
        </w:rPr>
        <w:t>支出决算为5.</w:t>
      </w:r>
      <w:r>
        <w:rPr>
          <w:rFonts w:hint="eastAsia" w:ascii="仿宋" w:hAnsi="仿宋" w:eastAsia="仿宋"/>
          <w:bCs/>
          <w:sz w:val="32"/>
          <w:szCs w:val="32"/>
        </w:rPr>
        <w:t>58</w:t>
      </w:r>
      <w:r>
        <w:rPr>
          <w:rStyle w:val="11"/>
          <w:rFonts w:hint="eastAsia" w:ascii="仿宋" w:hAnsi="仿宋" w:eastAsia="仿宋"/>
          <w:b w:val="0"/>
          <w:bCs/>
          <w:sz w:val="32"/>
          <w:szCs w:val="32"/>
        </w:rPr>
        <w:t>万元，完成预算</w:t>
      </w:r>
      <w:r>
        <w:rPr>
          <w:rFonts w:hint="eastAsia" w:ascii="仿宋" w:hAnsi="仿宋" w:eastAsia="仿宋"/>
          <w:bCs/>
          <w:sz w:val="32"/>
          <w:szCs w:val="32"/>
        </w:rPr>
        <w:t>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380EB4AD">
      <w:pPr>
        <w:spacing w:line="600" w:lineRule="exact"/>
        <w:ind w:firstLine="640" w:firstLineChars="200"/>
        <w:rPr>
          <w:rStyle w:val="11"/>
          <w:rFonts w:ascii="仿宋" w:hAnsi="仿宋" w:eastAsia="仿宋"/>
          <w:b w:val="0"/>
          <w:bCs/>
          <w:sz w:val="32"/>
          <w:szCs w:val="32"/>
        </w:rPr>
      </w:pPr>
      <w:r>
        <w:rPr>
          <w:rStyle w:val="11"/>
          <w:rFonts w:hint="eastAsia" w:ascii="仿宋" w:hAnsi="仿宋" w:eastAsia="仿宋"/>
          <w:b w:val="0"/>
          <w:bCs/>
          <w:sz w:val="32"/>
          <w:szCs w:val="32"/>
        </w:rPr>
        <w:t>8.</w:t>
      </w:r>
      <w:r>
        <w:rPr>
          <w:rFonts w:hint="eastAsia" w:ascii="仿宋" w:hAnsi="仿宋" w:eastAsia="仿宋"/>
          <w:b/>
          <w:bCs/>
          <w:sz w:val="32"/>
          <w:szCs w:val="32"/>
        </w:rPr>
        <w:t>住房保障</w:t>
      </w:r>
      <w:r>
        <w:rPr>
          <w:rStyle w:val="11"/>
          <w:rFonts w:hint="eastAsia" w:ascii="仿宋" w:hAnsi="仿宋" w:eastAsia="仿宋"/>
          <w:bCs/>
          <w:sz w:val="32"/>
          <w:szCs w:val="32"/>
        </w:rPr>
        <w:t>（类）保障性安居工程支出（款）农村危房改造（项）</w:t>
      </w:r>
      <w:r>
        <w:rPr>
          <w:rStyle w:val="11"/>
          <w:rFonts w:ascii="仿宋" w:hAnsi="仿宋" w:eastAsia="仿宋"/>
          <w:bCs/>
          <w:sz w:val="32"/>
          <w:szCs w:val="32"/>
        </w:rPr>
        <w:t>:</w:t>
      </w:r>
      <w:r>
        <w:rPr>
          <w:rStyle w:val="11"/>
          <w:rFonts w:hint="eastAsia" w:ascii="仿宋" w:hAnsi="仿宋" w:eastAsia="仿宋"/>
          <w:b w:val="0"/>
          <w:bCs/>
          <w:sz w:val="32"/>
          <w:szCs w:val="32"/>
        </w:rPr>
        <w:t>支出决算为219.</w:t>
      </w:r>
      <w:r>
        <w:rPr>
          <w:rFonts w:hint="eastAsia" w:ascii="仿宋" w:hAnsi="仿宋" w:eastAsia="仿宋"/>
          <w:bCs/>
          <w:sz w:val="32"/>
          <w:szCs w:val="32"/>
        </w:rPr>
        <w:t>29</w:t>
      </w:r>
      <w:r>
        <w:rPr>
          <w:rStyle w:val="11"/>
          <w:rFonts w:hint="eastAsia" w:ascii="仿宋" w:hAnsi="仿宋" w:eastAsia="仿宋"/>
          <w:b w:val="0"/>
          <w:bCs/>
          <w:sz w:val="32"/>
          <w:szCs w:val="32"/>
        </w:rPr>
        <w:t>万元；</w:t>
      </w:r>
      <w:r>
        <w:rPr>
          <w:rFonts w:hint="eastAsia" w:ascii="仿宋" w:hAnsi="仿宋" w:eastAsia="仿宋"/>
          <w:b/>
          <w:bCs/>
          <w:sz w:val="32"/>
          <w:szCs w:val="32"/>
        </w:rPr>
        <w:t>住房保障</w:t>
      </w:r>
      <w:r>
        <w:rPr>
          <w:rStyle w:val="11"/>
          <w:rFonts w:hint="eastAsia" w:ascii="仿宋" w:hAnsi="仿宋" w:eastAsia="仿宋"/>
          <w:bCs/>
          <w:sz w:val="32"/>
          <w:szCs w:val="32"/>
        </w:rPr>
        <w:t>（类）住房改革支出（款）住房公积金（项）</w:t>
      </w:r>
      <w:r>
        <w:rPr>
          <w:rStyle w:val="11"/>
          <w:rFonts w:ascii="仿宋" w:hAnsi="仿宋" w:eastAsia="仿宋"/>
          <w:bCs/>
          <w:sz w:val="32"/>
          <w:szCs w:val="32"/>
        </w:rPr>
        <w:t>:</w:t>
      </w:r>
      <w:r>
        <w:rPr>
          <w:rStyle w:val="11"/>
          <w:rFonts w:hint="eastAsia" w:ascii="仿宋" w:hAnsi="仿宋" w:eastAsia="仿宋"/>
          <w:b w:val="0"/>
          <w:bCs/>
          <w:sz w:val="32"/>
          <w:szCs w:val="32"/>
        </w:rPr>
        <w:t>支出决算为76.</w:t>
      </w:r>
      <w:r>
        <w:rPr>
          <w:rFonts w:hint="eastAsia" w:ascii="仿宋" w:hAnsi="仿宋" w:eastAsia="仿宋"/>
          <w:bCs/>
          <w:sz w:val="32"/>
          <w:szCs w:val="32"/>
        </w:rPr>
        <w:t>97</w:t>
      </w:r>
      <w:r>
        <w:rPr>
          <w:rStyle w:val="11"/>
          <w:rFonts w:hint="eastAsia" w:ascii="仿宋" w:hAnsi="仿宋" w:eastAsia="仿宋"/>
          <w:b w:val="0"/>
          <w:bCs/>
          <w:sz w:val="32"/>
          <w:szCs w:val="32"/>
        </w:rPr>
        <w:t>万元，完成预算</w:t>
      </w:r>
      <w:r>
        <w:rPr>
          <w:rFonts w:hint="eastAsia" w:ascii="仿宋" w:hAnsi="仿宋" w:eastAsia="仿宋"/>
          <w:bCs/>
          <w:sz w:val="32"/>
          <w:szCs w:val="32"/>
        </w:rPr>
        <w:t>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273619D4">
      <w:pPr>
        <w:spacing w:line="600" w:lineRule="exact"/>
        <w:rPr>
          <w:rFonts w:ascii="仿宋" w:hAnsi="仿宋" w:eastAsia="仿宋"/>
          <w:b/>
          <w:sz w:val="32"/>
          <w:szCs w:val="32"/>
        </w:rPr>
      </w:pPr>
    </w:p>
    <w:p w14:paraId="6189B0B5">
      <w:pPr>
        <w:tabs>
          <w:tab w:val="right" w:pos="8306"/>
        </w:tabs>
        <w:spacing w:line="600" w:lineRule="exact"/>
        <w:ind w:firstLine="640"/>
        <w:outlineLvl w:val="1"/>
        <w:rPr>
          <w:rStyle w:val="31"/>
        </w:rPr>
      </w:pPr>
      <w:bookmarkStart w:id="59" w:name="_Toc15377214"/>
      <w:bookmarkStart w:id="60" w:name="_Toc31958"/>
      <w:bookmarkStart w:id="6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59"/>
      <w:bookmarkEnd w:id="60"/>
      <w:bookmarkEnd w:id="61"/>
      <w:r>
        <w:rPr>
          <w:rStyle w:val="31"/>
          <w:rFonts w:ascii="黑体" w:hAnsi="黑体" w:eastAsia="黑体"/>
          <w:b w:val="0"/>
        </w:rPr>
        <w:tab/>
      </w:r>
    </w:p>
    <w:p w14:paraId="7A4CEFA9">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21年一般公共预算财政拨款基本支出1530.58万元，其中：</w:t>
      </w:r>
    </w:p>
    <w:p w14:paraId="7493136A">
      <w:pPr>
        <w:spacing w:line="600" w:lineRule="exact"/>
        <w:ind w:firstLine="645"/>
        <w:rPr>
          <w:rFonts w:ascii="仿宋" w:hAnsi="仿宋" w:eastAsia="仿宋"/>
          <w:sz w:val="32"/>
          <w:szCs w:val="32"/>
        </w:rPr>
      </w:pPr>
      <w:r>
        <w:rPr>
          <w:rFonts w:hint="eastAsia" w:ascii="仿宋" w:hAnsi="仿宋" w:eastAsia="仿宋"/>
          <w:sz w:val="32"/>
          <w:szCs w:val="32"/>
        </w:rPr>
        <w:t>人员经费1354.12万元，主要包括：基本工资、津贴补贴、奖金、伙食补助费、绩效工资、机关事业单位基本养老保险缴费、职业年金缴费、职工基本医疗保险缴费、公务员医疗补助缴费、其他社会保障缴费、其他工资福利支出、生活补助、住房公积金、其他对个人和家庭的补助支出。</w:t>
      </w:r>
    </w:p>
    <w:p w14:paraId="495CAE70">
      <w:pPr>
        <w:spacing w:line="600" w:lineRule="exact"/>
        <w:ind w:firstLine="645"/>
        <w:rPr>
          <w:rFonts w:ascii="仿宋" w:hAnsi="仿宋" w:eastAsia="仿宋"/>
          <w:sz w:val="32"/>
          <w:szCs w:val="32"/>
        </w:rPr>
      </w:pPr>
      <w:r>
        <w:rPr>
          <w:rFonts w:hint="eastAsia" w:ascii="仿宋" w:hAnsi="仿宋" w:eastAsia="仿宋"/>
          <w:sz w:val="32"/>
          <w:szCs w:val="32"/>
        </w:rPr>
        <w:t>　　公用经费176.46万元，主要包括：办公费、印刷费、水费、电费、邮电费、物业管理费、差旅费、维修（护）费、会议费、培训费、公务接待费、劳务费、工会经费、福利费、其他交通费、其他商品和服务支出。</w:t>
      </w:r>
    </w:p>
    <w:p w14:paraId="039CCBF1">
      <w:pPr>
        <w:spacing w:line="600" w:lineRule="exact"/>
        <w:ind w:firstLine="640"/>
        <w:rPr>
          <w:rFonts w:ascii="仿宋" w:hAnsi="仿宋" w:eastAsia="仿宋"/>
          <w:b/>
          <w:sz w:val="32"/>
          <w:szCs w:val="32"/>
        </w:rPr>
      </w:pPr>
    </w:p>
    <w:p w14:paraId="31489A71">
      <w:pPr>
        <w:spacing w:line="600" w:lineRule="exact"/>
        <w:ind w:firstLine="640"/>
        <w:outlineLvl w:val="1"/>
        <w:rPr>
          <w:rStyle w:val="31"/>
          <w:rFonts w:ascii="黑体" w:hAnsi="黑体" w:eastAsia="黑体"/>
          <w:b w:val="0"/>
        </w:rPr>
      </w:pPr>
      <w:bookmarkStart w:id="62" w:name="_Toc15377215"/>
      <w:bookmarkStart w:id="63" w:name="_Toc15396609"/>
      <w:bookmarkStart w:id="64" w:name="_Toc148"/>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三公”经费财政拨款支出决算情况说明</w:t>
      </w:r>
      <w:bookmarkEnd w:id="62"/>
      <w:bookmarkEnd w:id="63"/>
      <w:bookmarkEnd w:id="64"/>
    </w:p>
    <w:p w14:paraId="4959BC3D">
      <w:pPr>
        <w:spacing w:line="600" w:lineRule="exact"/>
        <w:ind w:firstLine="640"/>
        <w:outlineLvl w:val="2"/>
        <w:rPr>
          <w:rFonts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14:paraId="12974C2D">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21年“三公”经费财政拨款支出决算为2.15万元，完成预算100%，</w:t>
      </w:r>
      <w:r>
        <w:rPr>
          <w:rStyle w:val="11"/>
          <w:rFonts w:hint="eastAsia" w:ascii="仿宋" w:hAnsi="仿宋" w:eastAsia="仿宋"/>
          <w:b w:val="0"/>
          <w:bCs/>
          <w:sz w:val="32"/>
          <w:szCs w:val="32"/>
        </w:rPr>
        <w:t>决算数与预算</w:t>
      </w:r>
      <w:r>
        <w:rPr>
          <w:rFonts w:hint="eastAsia" w:ascii="仿宋" w:hAnsi="仿宋" w:eastAsia="仿宋"/>
          <w:bCs/>
          <w:sz w:val="32"/>
          <w:szCs w:val="32"/>
        </w:rPr>
        <w:t>数</w:t>
      </w:r>
      <w:r>
        <w:rPr>
          <w:rStyle w:val="11"/>
          <w:rFonts w:hint="eastAsia" w:ascii="仿宋" w:hAnsi="仿宋" w:eastAsia="仿宋"/>
          <w:b w:val="0"/>
          <w:bCs/>
          <w:sz w:val="32"/>
          <w:szCs w:val="32"/>
        </w:rPr>
        <w:t>持平。</w:t>
      </w:r>
    </w:p>
    <w:p w14:paraId="51520FEC">
      <w:pPr>
        <w:spacing w:line="600" w:lineRule="exact"/>
        <w:ind w:firstLine="640"/>
        <w:outlineLvl w:val="2"/>
        <w:rPr>
          <w:rFonts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14:paraId="5439A5B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；公务接待费支出决算2.15万元，占比100</w:t>
      </w:r>
      <w:r>
        <w:rPr>
          <w:rFonts w:ascii="仿宋" w:hAnsi="仿宋" w:eastAsia="仿宋"/>
          <w:sz w:val="32"/>
          <w:szCs w:val="32"/>
        </w:rPr>
        <w:t>%</w:t>
      </w:r>
      <w:r>
        <w:rPr>
          <w:rFonts w:hint="eastAsia" w:ascii="仿宋" w:hAnsi="仿宋" w:eastAsia="仿宋"/>
          <w:sz w:val="32"/>
          <w:szCs w:val="32"/>
        </w:rPr>
        <w:t>。具体情况如下</w:t>
      </w:r>
      <w:r>
        <w:rPr>
          <w:rFonts w:hint="eastAsia" w:ascii="仿宋" w:hAnsi="仿宋" w:eastAsia="仿宋"/>
          <w:sz w:val="32"/>
          <w:szCs w:val="32"/>
          <w:u w:color="46CD7E"/>
        </w:rPr>
        <w:t>。</w:t>
      </w:r>
    </w:p>
    <w:p w14:paraId="2CD61E66">
      <w:pPr>
        <w:pStyle w:val="3"/>
        <w:spacing w:before="93"/>
        <w:jc w:val="center"/>
        <w:rPr>
          <w:rFonts w:ascii="仿宋" w:hAnsi="仿宋" w:eastAsia="仿宋"/>
          <w:sz w:val="32"/>
          <w:szCs w:val="32"/>
        </w:rPr>
      </w:pPr>
      <w:r>
        <w:drawing>
          <wp:inline distT="0" distB="0" distL="114300" distR="114300">
            <wp:extent cx="4326255" cy="2366010"/>
            <wp:effectExtent l="4445" t="4445" r="12700" b="10795"/>
            <wp:docPr id="102" name="_x0000_i15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590B4B">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1"/>
          <w:rFonts w:hint="eastAsia" w:ascii="仿宋" w:hAnsi="仿宋" w:eastAsia="仿宋"/>
          <w:b w:val="0"/>
          <w:bCs/>
          <w:sz w:val="32"/>
          <w:szCs w:val="32"/>
        </w:rPr>
        <w:t>完成预算0</w:t>
      </w:r>
      <w:r>
        <w:rPr>
          <w:rStyle w:val="11"/>
          <w:rFonts w:ascii="仿宋" w:hAnsi="仿宋" w:eastAsia="仿宋"/>
          <w:b w:val="0"/>
          <w:bCs/>
          <w:sz w:val="32"/>
          <w:szCs w:val="32"/>
        </w:rPr>
        <w:t>%</w:t>
      </w:r>
      <w:r>
        <w:rPr>
          <w:rStyle w:val="11"/>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14:paraId="4C1306B9">
      <w:pPr>
        <w:spacing w:line="600" w:lineRule="exact"/>
        <w:ind w:firstLine="640"/>
        <w:rPr>
          <w:rFonts w:ascii="仿宋_GB2312" w:eastAsia="仿宋"/>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t>，</w:t>
      </w:r>
      <w:r>
        <w:rPr>
          <w:rStyle w:val="11"/>
          <w:rFonts w:hint="eastAsia" w:ascii="仿宋" w:hAnsi="仿宋" w:eastAsia="仿宋"/>
          <w:b w:val="0"/>
          <w:bCs/>
          <w:sz w:val="32"/>
          <w:szCs w:val="32"/>
        </w:rPr>
        <w:t>完成预算0</w:t>
      </w:r>
      <w:r>
        <w:rPr>
          <w:rStyle w:val="11"/>
          <w:rFonts w:ascii="仿宋" w:hAnsi="仿宋" w:eastAsia="仿宋"/>
          <w:b w:val="0"/>
          <w:bCs/>
          <w:sz w:val="32"/>
          <w:szCs w:val="32"/>
        </w:rPr>
        <w:t>%</w:t>
      </w:r>
      <w:r>
        <w:rPr>
          <w:rStyle w:val="11"/>
          <w:rFonts w:hint="eastAsia" w:ascii="仿宋" w:hAnsi="仿宋" w:eastAsia="仿宋"/>
          <w:b w:val="0"/>
          <w:bCs/>
          <w:sz w:val="32"/>
          <w:szCs w:val="32"/>
        </w:rPr>
        <w:t>。公务用车购置及</w:t>
      </w:r>
      <w:r>
        <w:rPr>
          <w:rFonts w:hint="eastAsia" w:ascii="仿宋" w:hAnsi="仿宋" w:eastAsia="仿宋"/>
          <w:bCs/>
          <w:sz w:val="32"/>
          <w:szCs w:val="32"/>
        </w:rPr>
        <w:t>运行维护费支出决算</w:t>
      </w:r>
      <w:r>
        <w:rPr>
          <w:rStyle w:val="11"/>
          <w:rFonts w:hint="eastAsia" w:ascii="仿宋" w:hAnsi="仿宋" w:eastAsia="仿宋"/>
          <w:b w:val="0"/>
          <w:bCs/>
          <w:sz w:val="32"/>
          <w:szCs w:val="32"/>
        </w:rPr>
        <w:t>与2020年相比，支出保持不变。</w:t>
      </w:r>
    </w:p>
    <w:p w14:paraId="10F5D62E">
      <w:pPr>
        <w:spacing w:line="600" w:lineRule="exact"/>
        <w:ind w:firstLine="640"/>
        <w:rPr>
          <w:rFonts w:ascii="仿宋_GB2312" w:eastAsia="仿宋_GB2312"/>
          <w:sz w:val="32"/>
          <w:szCs w:val="32"/>
        </w:rPr>
      </w:pPr>
      <w:r>
        <w:rPr>
          <w:rFonts w:hint="eastAsia" w:ascii="仿宋_GB2312" w:eastAsia="仿宋_GB2312"/>
          <w:sz w:val="32"/>
          <w:szCs w:val="32"/>
        </w:rPr>
        <w:t>其中：公务用车购置支出0万元。全年按规定更新购置公务用车0辆，截至2021年12月底，单位共有公务用车0辆，其中：轿车0辆、越野车0辆、载客汽车0辆。</w:t>
      </w:r>
    </w:p>
    <w:p w14:paraId="42265690">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53D3A076">
      <w:pPr>
        <w:spacing w:line="600" w:lineRule="exact"/>
        <w:ind w:firstLine="640"/>
        <w:rPr>
          <w:rFonts w:hint="eastAsia"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2.15万元，</w:t>
      </w:r>
      <w:r>
        <w:rPr>
          <w:rStyle w:val="11"/>
          <w:rFonts w:hint="eastAsia" w:ascii="仿宋" w:hAnsi="仿宋" w:eastAsia="仿宋"/>
          <w:b w:val="0"/>
          <w:bCs/>
          <w:sz w:val="32"/>
          <w:szCs w:val="32"/>
        </w:rPr>
        <w:t>完成预算的</w:t>
      </w:r>
      <w:r>
        <w:rPr>
          <w:rFonts w:hint="eastAsia" w:ascii="仿宋" w:hAnsi="仿宋" w:eastAsia="仿宋"/>
          <w:bCs/>
          <w:sz w:val="32"/>
          <w:szCs w:val="32"/>
        </w:rPr>
        <w:t>100%</w:t>
      </w:r>
      <w:r>
        <w:rPr>
          <w:rFonts w:hint="eastAsia" w:ascii="仿宋_GB2312" w:eastAsia="仿宋_GB2312"/>
          <w:sz w:val="32"/>
          <w:szCs w:val="32"/>
        </w:rPr>
        <w:t>。公务接待费支出决算比2020年减少0.1万元，下降4.44%%。</w:t>
      </w:r>
      <w:r>
        <w:rPr>
          <w:rFonts w:hint="eastAsia" w:ascii="仿宋_GB2312" w:eastAsia="仿宋_GB2312"/>
          <w:sz w:val="32"/>
          <w:szCs w:val="32"/>
        </w:rPr>
        <w:t>政府缩减公务接待开支。其中：</w:t>
      </w:r>
    </w:p>
    <w:p w14:paraId="78BFBA03">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2.15</w:t>
      </w:r>
      <w:r>
        <w:rPr>
          <w:rFonts w:hint="eastAsia" w:ascii="仿宋_GB2312" w:eastAsia="仿宋_GB2312"/>
          <w:sz w:val="32"/>
          <w:szCs w:val="32"/>
        </w:rPr>
        <w:t>万元，执行公务、开展业务活动开支的交通费、住宿费、用餐费等。国内公务接待80批次，427人次（不包括陪同人员），共计支出2.15万元，具体内容包括：</w:t>
      </w:r>
      <w:r>
        <w:rPr>
          <w:rFonts w:hint="eastAsia" w:ascii="仿宋_GB2312" w:eastAsia="仿宋_GB2312"/>
          <w:color w:val="000000"/>
          <w:sz w:val="32"/>
          <w:szCs w:val="32"/>
        </w:rPr>
        <w:t>接待省、市、县级各部门检查、审计、指导工作等。</w:t>
      </w:r>
    </w:p>
    <w:p w14:paraId="0D7230CF">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67" w:name="_Toc15396610"/>
      <w:bookmarkStart w:id="68" w:name="_Toc15377218"/>
    </w:p>
    <w:p w14:paraId="70C72DEB">
      <w:pPr>
        <w:spacing w:line="600" w:lineRule="exact"/>
        <w:ind w:firstLine="640"/>
        <w:outlineLvl w:val="1"/>
        <w:rPr>
          <w:rStyle w:val="31"/>
          <w:rFonts w:ascii="黑体" w:hAnsi="黑体" w:eastAsia="黑体"/>
        </w:rPr>
      </w:pPr>
      <w:bookmarkStart w:id="69" w:name="_Toc16728"/>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67"/>
      <w:bookmarkEnd w:id="68"/>
      <w:bookmarkEnd w:id="69"/>
    </w:p>
    <w:p w14:paraId="4C8F2A0D">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21年政府性基金预算财政拨款支出8万元。</w:t>
      </w:r>
    </w:p>
    <w:p w14:paraId="2B4D1D2D">
      <w:pPr>
        <w:numPr>
          <w:ilvl w:val="0"/>
          <w:numId w:val="3"/>
        </w:numPr>
        <w:spacing w:line="600" w:lineRule="exact"/>
        <w:ind w:firstLine="640"/>
        <w:outlineLvl w:val="1"/>
        <w:rPr>
          <w:rStyle w:val="31"/>
          <w:rFonts w:ascii="黑体" w:hAnsi="黑体" w:eastAsia="黑体"/>
          <w:b w:val="0"/>
        </w:rPr>
      </w:pPr>
      <w:bookmarkStart w:id="70" w:name="_Toc15396611"/>
      <w:bookmarkStart w:id="71" w:name="_Toc8198"/>
      <w:bookmarkStart w:id="72" w:name="_Toc15377219"/>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70"/>
      <w:bookmarkEnd w:id="71"/>
      <w:bookmarkEnd w:id="72"/>
    </w:p>
    <w:p w14:paraId="6627F49D">
      <w:pPr>
        <w:spacing w:line="600" w:lineRule="exact"/>
        <w:ind w:firstLine="640"/>
        <w:rPr>
          <w:rFonts w:hint="eastAsia" w:ascii="方正小标宋简体" w:hAnsi="方正小标宋简体" w:eastAsia="仿宋_GB2312" w:cs="方正小标宋简体"/>
          <w:sz w:val="44"/>
          <w:szCs w:val="44"/>
          <w:lang w:eastAsia="zh-CN"/>
        </w:rPr>
      </w:pPr>
      <w:r>
        <w:rPr>
          <w:rFonts w:ascii="仿宋_GB2312" w:eastAsia="仿宋_GB2312"/>
          <w:sz w:val="32"/>
          <w:szCs w:val="32"/>
        </w:rPr>
        <w:t>20</w:t>
      </w:r>
      <w:r>
        <w:rPr>
          <w:rFonts w:hint="eastAsia" w:ascii="仿宋_GB2312" w:eastAsia="仿宋_GB2312"/>
          <w:sz w:val="32"/>
          <w:szCs w:val="32"/>
        </w:rPr>
        <w:t>21年国有资本经营预算财政拨款支出0万元</w:t>
      </w:r>
      <w:r>
        <w:rPr>
          <w:rFonts w:hint="eastAsia" w:ascii="仿宋_GB2312" w:eastAsia="仿宋_GB2312"/>
          <w:sz w:val="32"/>
          <w:szCs w:val="32"/>
          <w:lang w:eastAsia="zh-CN"/>
        </w:rPr>
        <w:t>。</w:t>
      </w:r>
    </w:p>
    <w:p w14:paraId="25E01BF4">
      <w:pPr>
        <w:numPr>
          <w:ilvl w:val="0"/>
          <w:numId w:val="3"/>
        </w:numPr>
        <w:spacing w:line="600" w:lineRule="exact"/>
        <w:ind w:firstLine="640"/>
        <w:outlineLvl w:val="1"/>
        <w:rPr>
          <w:rStyle w:val="31"/>
          <w:rFonts w:ascii="黑体" w:hAnsi="黑体" w:eastAsia="黑体"/>
          <w:b w:val="0"/>
        </w:rPr>
      </w:pPr>
      <w:bookmarkStart w:id="73" w:name="_Toc15377221"/>
      <w:bookmarkStart w:id="74" w:name="_Toc21051"/>
      <w:bookmarkStart w:id="75" w:name="_Toc15396612"/>
      <w:r>
        <w:rPr>
          <w:rStyle w:val="31"/>
          <w:rFonts w:hint="eastAsia" w:ascii="黑体" w:hAnsi="黑体" w:eastAsia="黑体"/>
          <w:b w:val="0"/>
        </w:rPr>
        <w:t>其他重要事项的情况说明</w:t>
      </w:r>
      <w:bookmarkEnd w:id="73"/>
      <w:bookmarkEnd w:id="74"/>
      <w:bookmarkEnd w:id="75"/>
    </w:p>
    <w:p w14:paraId="219D2F37">
      <w:pPr>
        <w:spacing w:line="600" w:lineRule="exact"/>
        <w:ind w:firstLine="643" w:firstLineChars="200"/>
        <w:outlineLvl w:val="2"/>
        <w:rPr>
          <w:rFonts w:ascii="仿宋" w:hAnsi="仿宋" w:eastAsia="仿宋"/>
          <w:sz w:val="32"/>
          <w:szCs w:val="32"/>
        </w:rPr>
      </w:pPr>
      <w:bookmarkStart w:id="76" w:name="_Toc15377222"/>
      <w:r>
        <w:rPr>
          <w:rFonts w:hint="eastAsia" w:ascii="仿宋" w:hAnsi="仿宋" w:eastAsia="仿宋"/>
          <w:b/>
          <w:sz w:val="32"/>
          <w:szCs w:val="32"/>
        </w:rPr>
        <w:t>（一）机关运行经费支出情况</w:t>
      </w:r>
      <w:bookmarkEnd w:id="76"/>
    </w:p>
    <w:p w14:paraId="2629271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21年，兴隆镇人民政府及二级单位机关运行经费支出176.46万元，比</w:t>
      </w:r>
      <w:r>
        <w:rPr>
          <w:rFonts w:ascii="仿宋_GB2312" w:eastAsia="仿宋_GB2312"/>
          <w:sz w:val="32"/>
          <w:szCs w:val="32"/>
        </w:rPr>
        <w:t>20</w:t>
      </w:r>
      <w:r>
        <w:rPr>
          <w:rFonts w:hint="eastAsia" w:ascii="仿宋_GB2312" w:eastAsia="仿宋_GB2312"/>
          <w:sz w:val="32"/>
          <w:szCs w:val="32"/>
        </w:rPr>
        <w:t>20年增加0.24万元，增长0.14</w:t>
      </w:r>
      <w:r>
        <w:rPr>
          <w:rFonts w:ascii="仿宋_GB2312" w:eastAsia="仿宋_GB2312"/>
          <w:sz w:val="32"/>
          <w:szCs w:val="32"/>
        </w:rPr>
        <w:t>%</w:t>
      </w:r>
      <w:r>
        <w:rPr>
          <w:rFonts w:hint="eastAsia" w:ascii="仿宋_GB2312" w:eastAsia="仿宋_GB2312"/>
          <w:sz w:val="32"/>
          <w:szCs w:val="32"/>
        </w:rPr>
        <w:t>，与2020年基本保持持平。</w:t>
      </w:r>
    </w:p>
    <w:p w14:paraId="13CCD26E">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5377223"/>
      <w:r>
        <w:rPr>
          <w:rFonts w:hint="eastAsia" w:ascii="仿宋" w:hAnsi="仿宋" w:eastAsia="仿宋"/>
          <w:b/>
          <w:sz w:val="32"/>
          <w:szCs w:val="32"/>
        </w:rPr>
        <w:t>（二）政府采购支出情况</w:t>
      </w:r>
      <w:bookmarkEnd w:id="77"/>
    </w:p>
    <w:p w14:paraId="33B18739">
      <w:pPr>
        <w:pStyle w:val="3"/>
        <w:spacing w:before="93"/>
        <w:ind w:firstLine="600" w:firstLineChars="200"/>
      </w:pPr>
      <w:r>
        <w:rPr>
          <w:rFonts w:hint="eastAsia"/>
        </w:rPr>
        <w:t>2021年，兴隆镇人民政府采购支出总额0万元，其中：政府采购货物支出0万元、政府采购工程支出0万元、政府采购服务支出0万元。授予中小微企业合同金额0万元，占政府采购支出总额的0%。</w:t>
      </w:r>
    </w:p>
    <w:p w14:paraId="3C9D7790">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4"/>
      <w:r>
        <w:rPr>
          <w:rFonts w:hint="eastAsia" w:ascii="仿宋" w:hAnsi="仿宋" w:eastAsia="仿宋"/>
          <w:b/>
          <w:sz w:val="32"/>
          <w:szCs w:val="32"/>
        </w:rPr>
        <w:t>（三）国有资产占有使用情况</w:t>
      </w:r>
      <w:bookmarkEnd w:id="78"/>
    </w:p>
    <w:p w14:paraId="0000B1B3">
      <w:pPr>
        <w:autoSpaceDE w:val="0"/>
        <w:autoSpaceDN w:val="0"/>
        <w:adjustRightInd w:val="0"/>
        <w:spacing w:line="60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截至2021年12月31日，兴隆镇人民政府共有车辆0辆，其中：主要领导干部用车0辆、机要通信用车0辆、应急保障用车0辆、其他用车0辆，单价50万元以上通用设备0台（套），单价100万元以上专用设备0台（套）。</w:t>
      </w:r>
    </w:p>
    <w:p w14:paraId="35ADC01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5AF4F0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信访事务项目等37个项目开展了预算事前绩效评估，对37个项目编制了绩效目标，预算执行过程中，选取37个项目开展绩效监控，年终执行完毕后，对37个项目开展了绩效自评。同时，本部门对2021年部门整体开展绩效自评，《2021年通江县兴隆镇人民政府部门整体绩效评价报告》见附件（第四部分）。</w:t>
      </w:r>
    </w:p>
    <w:p w14:paraId="1177C644">
      <w:pPr>
        <w:widowControl/>
        <w:jc w:val="left"/>
        <w:rPr>
          <w:rFonts w:ascii="仿宋_GB2312" w:eastAsia="仿宋_GB2312"/>
          <w:b/>
          <w:sz w:val="32"/>
          <w:szCs w:val="32"/>
        </w:rPr>
      </w:pPr>
      <w:r>
        <w:br w:type="page"/>
      </w:r>
    </w:p>
    <w:p w14:paraId="3AFDE8CF">
      <w:pPr>
        <w:numPr>
          <w:ilvl w:val="0"/>
          <w:numId w:val="4"/>
        </w:numPr>
        <w:spacing w:line="600" w:lineRule="exact"/>
        <w:ind w:firstLine="660" w:firstLineChars="150"/>
        <w:jc w:val="center"/>
        <w:outlineLvl w:val="0"/>
        <w:rPr>
          <w:rStyle w:val="30"/>
          <w:rFonts w:ascii="黑体" w:hAnsi="黑体" w:eastAsia="黑体"/>
          <w:b w:val="0"/>
        </w:rPr>
      </w:pPr>
      <w:bookmarkStart w:id="79" w:name="_Toc15377225"/>
      <w:bookmarkStart w:id="80" w:name="_Toc32075"/>
      <w:bookmarkStart w:id="81" w:name="_Toc15396613"/>
      <w:r>
        <w:rPr>
          <w:rFonts w:hint="eastAsia" w:ascii="黑体" w:hAnsi="黑体" w:eastAsia="黑体"/>
          <w:sz w:val="44"/>
          <w:szCs w:val="44"/>
        </w:rPr>
        <w:t>名</w:t>
      </w:r>
      <w:r>
        <w:rPr>
          <w:rStyle w:val="30"/>
          <w:rFonts w:hint="eastAsia" w:ascii="黑体" w:hAnsi="黑体" w:eastAsia="黑体"/>
          <w:b w:val="0"/>
        </w:rPr>
        <w:t>词解释</w:t>
      </w:r>
      <w:bookmarkEnd w:id="79"/>
      <w:bookmarkEnd w:id="80"/>
      <w:bookmarkEnd w:id="81"/>
    </w:p>
    <w:p w14:paraId="39D91954">
      <w:pPr>
        <w:spacing w:line="600" w:lineRule="exact"/>
        <w:jc w:val="left"/>
        <w:rPr>
          <w:rFonts w:ascii="宋体"/>
          <w:b/>
          <w:sz w:val="44"/>
          <w:szCs w:val="44"/>
        </w:rPr>
      </w:pPr>
    </w:p>
    <w:p w14:paraId="58AD73F8">
      <w:pPr>
        <w:pStyle w:val="28"/>
        <w:spacing w:line="560" w:lineRule="exact"/>
        <w:ind w:firstLine="640" w:firstLineChars="200"/>
        <w:outlineLvl w:val="1"/>
        <w:rPr>
          <w:rFonts w:ascii="仿宋_GB2312" w:eastAsia="仿宋_GB2312"/>
          <w:color w:val="auto"/>
          <w:sz w:val="32"/>
          <w:szCs w:val="32"/>
        </w:rPr>
      </w:pPr>
      <w:bookmarkStart w:id="82" w:name="_Toc29118"/>
      <w:bookmarkStart w:id="83" w:name="_Toc15377226"/>
      <w:r>
        <w:rPr>
          <w:rFonts w:hint="eastAsia" w:ascii="仿宋_GB2312" w:eastAsia="仿宋_GB2312"/>
          <w:color w:val="auto"/>
          <w:sz w:val="32"/>
          <w:szCs w:val="32"/>
        </w:rPr>
        <w:t>1.财政拨款收入：指乡镇政府从同级财政部门取得的财政预算资金。</w:t>
      </w:r>
      <w:bookmarkEnd w:id="82"/>
    </w:p>
    <w:p w14:paraId="1146E3BD">
      <w:pPr>
        <w:pStyle w:val="28"/>
        <w:spacing w:line="560" w:lineRule="exact"/>
        <w:ind w:firstLine="640" w:firstLineChars="200"/>
        <w:outlineLvl w:val="1"/>
        <w:rPr>
          <w:rFonts w:ascii="仿宋_GB2312" w:eastAsia="仿宋_GB2312"/>
          <w:color w:val="auto"/>
          <w:sz w:val="32"/>
          <w:szCs w:val="32"/>
        </w:rPr>
      </w:pPr>
      <w:r>
        <w:rPr>
          <w:rFonts w:hint="eastAsia" w:ascii="仿宋_GB2312" w:eastAsia="仿宋_GB2312"/>
          <w:color w:val="auto"/>
          <w:sz w:val="32"/>
          <w:szCs w:val="32"/>
        </w:rPr>
        <w:t>2.政府性基金收入：反映单位向公民、法人和其他组织按规定征收的政府性基金，以及参照政府性基金管理或纳入基金预算、具有特定用途的财政性资金。</w:t>
      </w:r>
    </w:p>
    <w:p w14:paraId="679B79B0">
      <w:pPr>
        <w:pStyle w:val="28"/>
        <w:spacing w:line="560" w:lineRule="exact"/>
        <w:ind w:firstLine="640" w:firstLineChars="200"/>
        <w:outlineLvl w:val="1"/>
        <w:rPr>
          <w:rFonts w:hint="eastAsia" w:ascii="仿宋_GB2312" w:eastAsia="仿宋_GB2312"/>
          <w:color w:val="auto"/>
          <w:sz w:val="32"/>
          <w:szCs w:val="32"/>
        </w:rPr>
      </w:pPr>
      <w:r>
        <w:rPr>
          <w:rFonts w:hint="eastAsia" w:ascii="仿宋_GB2312" w:eastAsia="仿宋_GB2312"/>
          <w:color w:val="auto"/>
          <w:sz w:val="32"/>
          <w:szCs w:val="32"/>
        </w:rPr>
        <w:t>3.事业收入：指事业单位开展专业业务活动及辅助活动取得的收入主要是乡镇卫生院取得的</w:t>
      </w:r>
      <w:r>
        <w:rPr>
          <w:rFonts w:hint="eastAsia" w:ascii="仿宋_GB2312" w:eastAsia="仿宋_GB2312"/>
          <w:color w:val="auto"/>
          <w:sz w:val="32"/>
          <w:szCs w:val="32"/>
        </w:rPr>
        <w:t>收入。</w:t>
      </w:r>
    </w:p>
    <w:p w14:paraId="52983F56">
      <w:pPr>
        <w:pStyle w:val="28"/>
        <w:spacing w:line="560" w:lineRule="exact"/>
        <w:ind w:firstLine="640" w:firstLineChars="200"/>
        <w:outlineLvl w:val="1"/>
        <w:rPr>
          <w:rFonts w:hint="eastAsia"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4.其他收入：指单位取得的除上述收入以外的各项收入。主要是乡镇卫生院取得收入。</w:t>
      </w:r>
    </w:p>
    <w:p w14:paraId="35C29D62">
      <w:pPr>
        <w:pStyle w:val="28"/>
        <w:spacing w:line="560" w:lineRule="exact"/>
        <w:ind w:firstLine="640" w:firstLineChars="200"/>
        <w:outlineLvl w:val="1"/>
        <w:rPr>
          <w:rFonts w:ascii="仿宋_GB2312" w:eastAsia="仿宋_GB2312"/>
          <w:color w:val="auto"/>
          <w:sz w:val="32"/>
          <w:szCs w:val="32"/>
        </w:rPr>
      </w:pPr>
      <w:r>
        <w:rPr>
          <w:rFonts w:hint="eastAsia" w:ascii="仿宋_GB2312" w:eastAsia="仿宋_GB2312"/>
          <w:color w:val="auto"/>
          <w:sz w:val="32"/>
          <w:szCs w:val="32"/>
        </w:rPr>
        <w:t>5.一般公共服务（类）人大事务（款）行政运行（项）：指保障政府人大机构正常运转，用于行政运行方面的人员经费和日常运转经费支出。</w:t>
      </w:r>
    </w:p>
    <w:p w14:paraId="061C9BF6">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6.一般公共服务（类）政府办公厅（室）及相关机构事务（款）行政运行（项）：指用于保障政府机构正常运转，用于行政运行方面的人员经费和日常运转经费支出。</w:t>
      </w:r>
    </w:p>
    <w:p w14:paraId="1297DA4D">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7.一般公共服务（类）政府办公厅（室）及相关机构事务（款）一般行政管理事务（项）：指单位未单独设置项级科目的其他项目支出。</w:t>
      </w:r>
    </w:p>
    <w:p w14:paraId="669E7CB5">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8.一般公共服务（类）政府办公厅（室）及相关机构事务（款）一信访事务（项）:反映政府用于接待群众来信来访方面的支出。</w:t>
      </w:r>
    </w:p>
    <w:p w14:paraId="6923298E">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9.一般公共服务（类）政府办公厅（室）及相关机构事务（款）事业运行（项）:反映乡镇学校、医院等事业单位的用于保障机构正常运转，用于事业运行方面的人员经费和日常运转经费支出。</w:t>
      </w:r>
    </w:p>
    <w:p w14:paraId="04FE2BD1">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10.一般公共服务（类）财政事务（款）行政运行（项）：保障乡镇政府财政机构正常运行，用于行政运行方面的人员经费和日常运转经费支出。</w:t>
      </w:r>
    </w:p>
    <w:p w14:paraId="25E3B4BD">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11.一般公共服务（类）党委办公厅（室）及相关机构事务（款）行政运行（项）:保障乡镇政府党委机构正常运行，用于行政运行方面的人员经费和日常运转经费支出。</w:t>
      </w:r>
    </w:p>
    <w:p w14:paraId="2B9978E6">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12.教育（类）普通教育（款）学前教育（项）:反映乡镇学前教育支出，以及政府部门对社会组织等举办的幼儿园的资助、捐赠、补贴等。</w:t>
      </w:r>
    </w:p>
    <w:p w14:paraId="39BFD8E9">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13.教育（类）普通教育（款）小学教育（项）:反映乡镇小学教育支出，及政府部门对社会组织等举办的小学的资助、捐赠、补贴等。</w:t>
      </w:r>
    </w:p>
    <w:p w14:paraId="0FF135D1">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14.教育（类）普通教育（款）其他普通教育支出（项）:指乡镇政府用于除上述项目以外的其他普通教育方面的支出。</w:t>
      </w:r>
    </w:p>
    <w:p w14:paraId="33AA5E3B">
      <w:pPr>
        <w:pStyle w:val="28"/>
        <w:tabs>
          <w:tab w:val="left" w:pos="312"/>
        </w:tabs>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5.</w:t>
      </w:r>
      <w:r>
        <w:rPr>
          <w:rFonts w:hint="eastAsia" w:ascii="仿宋_GB2312" w:eastAsia="仿宋_GB2312"/>
          <w:color w:val="auto"/>
          <w:sz w:val="32"/>
          <w:szCs w:val="32"/>
        </w:rPr>
        <w:t>文化旅游体育与传媒（类）文化和旅游（款）行政运行（项）:反映乡镇政府文化站机构正常运行，用于事业方面的人员经费和日常运转经费支出。</w:t>
      </w:r>
    </w:p>
    <w:p w14:paraId="29EDC5F7">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color="46CD7E"/>
        </w:rPr>
        <w:t>16.</w:t>
      </w:r>
      <w:r>
        <w:rPr>
          <w:rFonts w:ascii="仿宋_GB2312" w:eastAsia="仿宋_GB2312"/>
          <w:color w:val="auto"/>
          <w:sz w:val="32"/>
          <w:szCs w:val="32"/>
        </w:rPr>
        <w:t>文化旅游体育与传媒（类）文化和旅游（款）其他文化和旅游支出（项）:</w:t>
      </w:r>
      <w:r>
        <w:rPr>
          <w:rFonts w:hint="eastAsia" w:ascii="仿宋_GB2312" w:eastAsia="仿宋_GB2312"/>
          <w:color w:val="auto"/>
          <w:sz w:val="32"/>
          <w:szCs w:val="32"/>
        </w:rPr>
        <w:t>指乡镇政府办文化站、社区书屋免费开放补助支出。</w:t>
      </w:r>
    </w:p>
    <w:p w14:paraId="21D067FA">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hint="eastAsia" w:ascii="仿宋_GB2312" w:eastAsia="仿宋_GB2312"/>
          <w:color w:val="auto"/>
          <w:sz w:val="32"/>
          <w:szCs w:val="32"/>
        </w:rPr>
        <w:t>社会保障和就业（类）人力资源和社会保障管理事务（款）行政运行（项）:反映乡镇政府人力资源和社会保障管理事务支出。</w:t>
      </w:r>
    </w:p>
    <w:p w14:paraId="5331B417">
      <w:pPr>
        <w:pStyle w:val="28"/>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18.社会保障和就业（类）民政管理事务（款）行政运行（项）：反映乡镇政府民政管理方面的日常运行支出。</w:t>
      </w:r>
    </w:p>
    <w:p w14:paraId="34D6C121">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19.社会保障和就业（类）行政事业单位养老支出（款）机关事业单位基本养老保险缴费支出（项）:指乡镇政府在职人员基本养老保险缴费支出。</w:t>
      </w:r>
    </w:p>
    <w:p w14:paraId="2DBBE29C">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20.社会保障和就业（类）行政事业单位养老支出（款）机关事业单位职业年金缴费支出（项）:反映乡镇政府实施养老保险制度由单位实际缴纳的职业年金支出。</w:t>
      </w:r>
    </w:p>
    <w:p w14:paraId="1BF1496D">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21.社会保障和就业（类）就业补助（款）公益性岗位补贴（项）:指乡镇政府在公益性岗位补贴的支出。</w:t>
      </w:r>
    </w:p>
    <w:p w14:paraId="129A8A68">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22.社会保障和就业（类）就业补助（款）其他就业补助支出（项）:反映乡镇政府按规定确定的其他用于促进就业的补助支出。</w:t>
      </w:r>
    </w:p>
    <w:p w14:paraId="4DBC66E9">
      <w:pPr>
        <w:pStyle w:val="28"/>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23.卫生健康（类）基层医疗卫生机构（款）乡镇卫生院（项）:反映乡镇卫生院的日常运行支出。</w:t>
      </w:r>
    </w:p>
    <w:p w14:paraId="4FC4DC26">
      <w:pPr>
        <w:pStyle w:val="28"/>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24.卫生健康（类）基层医疗卫生机构（款）其他基层医疗卫生机构支出（项）:反映其他用于基层医疗卫生机构的支出。</w:t>
      </w:r>
    </w:p>
    <w:p w14:paraId="4E3E8009">
      <w:pPr>
        <w:pStyle w:val="28"/>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25.卫生健康（类）公共卫生（款）基本公共卫生服务（项）:指乡镇卫生院基本公共卫生服务支出。</w:t>
      </w:r>
    </w:p>
    <w:p w14:paraId="4EC2B821">
      <w:pPr>
        <w:pStyle w:val="28"/>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26.卫生健康（类）计划生育事务（款）计划生育机构（项）:反映乡镇卫生健康部门所属的计划生育机构的支出。</w:t>
      </w:r>
    </w:p>
    <w:p w14:paraId="1F1EA22E">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27.卫生健康（类）行政事业单位医疗（款）行政单位医疗（项）:反映政府财政对基本医疗保险基金的补助支出。</w:t>
      </w:r>
    </w:p>
    <w:p w14:paraId="75409088">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28.卫生健康（类）行政事业单位医疗（款）事业单位医疗（项）:反映政府财政对基本医疗保险基金的补助支出。</w:t>
      </w:r>
    </w:p>
    <w:p w14:paraId="48F598BB">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29.卫生健康（类）行政事业单位医疗（款）公务员医疗补助（项）:反映政府财政对基本医疗保险基金的补助支出。</w:t>
      </w:r>
    </w:p>
    <w:p w14:paraId="10F12A5C">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30.农林水支出（类）农业农村（款）事业运行（项）:反映用于乡镇农业事业单位基本支出，事业单位设施、系统运行与资产维护等方面的支出。</w:t>
      </w:r>
    </w:p>
    <w:p w14:paraId="0EF2B888">
      <w:pPr>
        <w:pStyle w:val="28"/>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31.农林水（类）农业农村（款）其他农业农村支出（项）:反映乡镇政府其他用于农业农村方面的支出。</w:t>
      </w:r>
    </w:p>
    <w:p w14:paraId="109DFA39">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32.农林水（类）林业和草原（款）行政运行（项）:反映乡镇政府用于林业和草原的日常运行支出。</w:t>
      </w:r>
    </w:p>
    <w:p w14:paraId="179514C2">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33.农林水（类）水利（款）水利技术推广（项）:反映乡镇政府用于水利系统纳入预算管理的技术推广支出。</w:t>
      </w:r>
    </w:p>
    <w:p w14:paraId="4D4A04DB">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34.农林水（类）扶贫（款）农村基础设施建设（项）:反映用于农村公路、乡村道路建设方面的支出。</w:t>
      </w:r>
    </w:p>
    <w:p w14:paraId="2BA9301C">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35.农林水（类）扶贫（款）生产发展（项）:反映乡镇政府用于乡村发展种植业、养殖业、畜牧业、农副产品加工、林果地建设等生产发展项目以及相关技术推广等方面的项目支出。</w:t>
      </w:r>
    </w:p>
    <w:p w14:paraId="14A760E4">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36.农林水支出（类）扶贫（款）其他扶贫支出（项）:反映用于农村扶贫开发等方面的支出。</w:t>
      </w:r>
    </w:p>
    <w:p w14:paraId="743CBF93">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37.农林水支出（类）农村综合改革（款）对村民委员会和村党支部的补助（项）:反映乡镇财政对村民委员会和村党支部的补助支出。</w:t>
      </w:r>
    </w:p>
    <w:p w14:paraId="598E65CF">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38.农林水（类）农村综合改革（款）对村集体经济组织的补助（项）:反映乡镇政府用于对村集体经济组织的补助支出。</w:t>
      </w:r>
    </w:p>
    <w:p w14:paraId="46E49655">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39.交通运输（类）公路水路运输（款）公路运输管理（项）:反映乡镇政府用于乡村公路运输管理支出和公路路政管理支出。</w:t>
      </w:r>
    </w:p>
    <w:p w14:paraId="4A681671">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40.住房保障（类）保障性安居工程支出（款）农村危房改造（项）:反映乡镇政府用于农村危房改造方面的支出。</w:t>
      </w:r>
    </w:p>
    <w:p w14:paraId="1631C58B">
      <w:pPr>
        <w:pStyle w:val="28"/>
        <w:spacing w:line="560" w:lineRule="exact"/>
        <w:ind w:firstLine="640" w:firstLineChars="200"/>
        <w:rPr>
          <w:rFonts w:ascii="仿宋_GB2312" w:eastAsia="仿宋_GB2312"/>
          <w:color w:val="auto"/>
          <w:sz w:val="32"/>
          <w:szCs w:val="32"/>
        </w:rPr>
      </w:pPr>
      <w:r>
        <w:rPr>
          <w:rFonts w:hint="eastAsia" w:hAnsi="仿宋"/>
          <w:color w:val="auto"/>
          <w:sz w:val="32"/>
          <w:szCs w:val="32"/>
        </w:rPr>
        <w:t>41.</w:t>
      </w:r>
      <w:r>
        <w:rPr>
          <w:rFonts w:hint="eastAsia" w:ascii="仿宋_GB2312" w:eastAsia="仿宋_GB2312"/>
          <w:color w:val="auto"/>
          <w:sz w:val="32"/>
          <w:szCs w:val="32"/>
        </w:rPr>
        <w:t>住房保障（类）住房改革支出（款）住房公积金（项）:反映乡镇政府按人事部和财政部规定的基本工资和津贴补贴以及规定比例为职工缴纳的住房公积金。</w:t>
      </w:r>
    </w:p>
    <w:p w14:paraId="0E742CD5">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42.基本支出：指为保障机构正常运转、完成日常工作任务而发生的人员支出和公用支出。</w:t>
      </w:r>
    </w:p>
    <w:p w14:paraId="19E897DC">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43.项目支出：指在基本支出之外为完成特定行政任务和事业发展目标所发生的支出。</w:t>
      </w:r>
    </w:p>
    <w:p w14:paraId="0B169A68">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2E4631">
      <w:pPr>
        <w:pStyle w:val="28"/>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45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47D1C4">
      <w:pPr>
        <w:spacing w:line="600" w:lineRule="exact"/>
        <w:jc w:val="center"/>
        <w:outlineLvl w:val="0"/>
        <w:rPr>
          <w:rStyle w:val="30"/>
          <w:rFonts w:ascii="黑体" w:hAnsi="黑体" w:eastAsia="黑体"/>
          <w:b w:val="0"/>
        </w:rPr>
      </w:pPr>
      <w:r>
        <w:br w:type="page"/>
      </w:r>
      <w:bookmarkStart w:id="84" w:name="_Toc17261"/>
      <w:bookmarkStart w:id="85" w:name="_Toc15396614"/>
      <w:r>
        <w:rPr>
          <w:rFonts w:hint="eastAsia" w:ascii="黑体" w:hAnsi="黑体" w:eastAsia="黑体"/>
          <w:sz w:val="44"/>
          <w:szCs w:val="44"/>
        </w:rPr>
        <w:t>第</w:t>
      </w:r>
      <w:r>
        <w:rPr>
          <w:rStyle w:val="30"/>
          <w:rFonts w:hint="eastAsia" w:ascii="黑体" w:hAnsi="黑体" w:eastAsia="黑体"/>
          <w:b w:val="0"/>
        </w:rPr>
        <w:t>四部分附件</w:t>
      </w:r>
      <w:bookmarkEnd w:id="84"/>
      <w:bookmarkEnd w:id="85"/>
    </w:p>
    <w:p w14:paraId="254731BC">
      <w:pPr>
        <w:spacing w:line="572" w:lineRule="exact"/>
        <w:jc w:val="left"/>
        <w:outlineLvl w:val="1"/>
        <w:rPr>
          <w:rFonts w:ascii="方正小标宋简体" w:hAnsi="方正小标宋简体" w:eastAsia="方正小标宋简体" w:cs="方正小标宋简体"/>
          <w:sz w:val="44"/>
          <w:szCs w:val="44"/>
        </w:rPr>
      </w:pPr>
      <w:bookmarkStart w:id="86" w:name="_Toc20862"/>
      <w:r>
        <w:rPr>
          <w:rFonts w:hint="eastAsia" w:ascii="黑体" w:hAnsi="黑体" w:eastAsia="黑体" w:cs="黑体"/>
          <w:sz w:val="32"/>
          <w:szCs w:val="32"/>
        </w:rPr>
        <w:t>附件</w:t>
      </w:r>
      <w:bookmarkEnd w:id="86"/>
    </w:p>
    <w:p w14:paraId="374BB192">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2021年乡镇人民政府部门项目</w:t>
      </w:r>
    </w:p>
    <w:p w14:paraId="6DE7F152">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绩效评价报告</w:t>
      </w:r>
    </w:p>
    <w:p w14:paraId="7621DB56">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14:paraId="0BE85886">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87" w:name="_Toc11618"/>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87"/>
    </w:p>
    <w:p w14:paraId="6B98BDE8">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14:paraId="5DBA5415">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兴隆镇人民政府下属二级单位</w:t>
      </w: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zh-CN"/>
        </w:rPr>
        <w:t>个，其中行政单位</w:t>
      </w:r>
      <w:r>
        <w:rPr>
          <w:rFonts w:hint="eastAsia" w:ascii="仿宋_GB2312" w:hAnsi="宋体" w:eastAsia="仿宋_GB2312" w:cs="宋体"/>
          <w:kern w:val="0"/>
          <w:sz w:val="32"/>
          <w:szCs w:val="32"/>
          <w:shd w:val="clear" w:color="auto" w:fill="FFFFFF"/>
        </w:rPr>
        <w:t>4</w:t>
      </w:r>
      <w:r>
        <w:rPr>
          <w:rFonts w:hint="eastAsia" w:ascii="仿宋_GB2312" w:hAnsi="宋体" w:eastAsia="仿宋_GB2312" w:cs="宋体"/>
          <w:kern w:val="0"/>
          <w:sz w:val="32"/>
          <w:szCs w:val="32"/>
          <w:shd w:val="clear" w:color="auto" w:fill="FFFFFF"/>
          <w:lang w:val="zh-CN"/>
        </w:rPr>
        <w:t>个，参照公务员法管理的事业单位0个，其他事业单位3个。纳入兴隆镇人民政府2021年度部门决算编制范围的二级预算单位包括：</w:t>
      </w:r>
    </w:p>
    <w:p w14:paraId="50388B8F">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 xml:space="preserve">    1.通江县兴隆镇人民政府</w:t>
      </w:r>
    </w:p>
    <w:p w14:paraId="244ED64D">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w:t>
      </w:r>
      <w:r>
        <w:rPr>
          <w:rFonts w:hint="eastAsia" w:ascii="仿宋_GB2312" w:hAnsi="宋体" w:eastAsia="仿宋_GB2312" w:cs="宋体"/>
          <w:kern w:val="0"/>
          <w:sz w:val="32"/>
          <w:szCs w:val="32"/>
          <w:shd w:val="clear" w:color="auto" w:fill="FFFFFF"/>
          <w:lang w:val="zh-CN"/>
        </w:rPr>
        <w:t>.通江县兴隆镇中心小学</w:t>
      </w:r>
    </w:p>
    <w:p w14:paraId="7F800A48">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w:t>
      </w:r>
      <w:r>
        <w:rPr>
          <w:rFonts w:hint="eastAsia" w:ascii="仿宋_GB2312" w:hAnsi="宋体" w:eastAsia="仿宋_GB2312" w:cs="宋体"/>
          <w:kern w:val="0"/>
          <w:sz w:val="32"/>
          <w:szCs w:val="32"/>
          <w:shd w:val="clear" w:color="auto" w:fill="FFFFFF"/>
          <w:lang w:val="zh-CN"/>
        </w:rPr>
        <w:t>.通江县兴隆镇浴溪小学</w:t>
      </w:r>
    </w:p>
    <w:p w14:paraId="6E1762D7">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w:t>
      </w:r>
      <w:r>
        <w:rPr>
          <w:rFonts w:hint="eastAsia" w:ascii="仿宋_GB2312" w:hAnsi="宋体" w:eastAsia="仿宋_GB2312" w:cs="宋体"/>
          <w:kern w:val="0"/>
          <w:sz w:val="32"/>
          <w:szCs w:val="32"/>
          <w:shd w:val="clear" w:color="auto" w:fill="FFFFFF"/>
          <w:lang w:val="zh-CN"/>
        </w:rPr>
        <w:t>.通江县兴隆镇卫生院</w:t>
      </w:r>
    </w:p>
    <w:p w14:paraId="1237C785">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全镇辖区有6个村，1个农村社区，41个村民小组，共有4353户，户籍人口13945人，常住人口6365人，其中农业人口13954人。幅员面积91.85平方公里，现有耕地14437亩，林地面积8373.7公顷森林覆盖率为72%。政府内设党政办、民政办、社保办、综治办、卫计站、林业站、扶贫办、水利站、农业站、文化站、财政所、交管站等部门。</w:t>
      </w:r>
    </w:p>
    <w:p w14:paraId="00EE0513">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14:paraId="46454F84">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镇政府的主要职能有政治职能、经济职能、公共服务职能、社会管理职能。政治职能是镇政府的首要职能；经济职能是为农村经济发展创造优良的环境；公共服务职能是为农民提供更多的公共服务；社会管理职能是为农村建设和谐社会创造条件。其主要职责是：</w:t>
      </w:r>
    </w:p>
    <w:p w14:paraId="6C085BD6">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14:paraId="17B800BA">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（2）制定并组织实施村镇建设规划，部署重点工程建设，地方道路建设及公共设施，水利设施的管理，负责土地、林木、水等自然资源和生态环境的保护，做好护林防火工作。</w:t>
      </w:r>
    </w:p>
    <w:p w14:paraId="0900AD46">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负责本行政区域内的民政、计划生育、文化教育、卫生、体育等社会公益事业的综合性工作，维护一切经济单位和个人的正当经济权益，取缔非法经济活动，调解和处理民事纠纷，打击刑事犯罪维护社会稳定。</w:t>
      </w:r>
    </w:p>
    <w:p w14:paraId="7A0417C4">
      <w:pPr>
        <w:pStyle w:val="3"/>
        <w:spacing w:before="93"/>
        <w:ind w:firstLine="640" w:firstLineChars="200"/>
        <w:rPr>
          <w:sz w:val="32"/>
          <w:szCs w:val="32"/>
          <w:lang w:val="zh-CN"/>
        </w:rPr>
      </w:pPr>
      <w:r>
        <w:rPr>
          <w:rFonts w:hint="eastAsia"/>
          <w:sz w:val="32"/>
          <w:szCs w:val="32"/>
          <w:lang w:val="zh-CN"/>
        </w:rPr>
        <w:t>（4）按计划组织本级财政收入和地方税的征收，完成国家财政计划，不断培植税源，管好财政资金，增强财政实力。</w:t>
      </w:r>
    </w:p>
    <w:p w14:paraId="0A10A308">
      <w:pPr>
        <w:pStyle w:val="3"/>
        <w:spacing w:before="93"/>
        <w:ind w:firstLine="640" w:firstLineChars="200"/>
        <w:rPr>
          <w:sz w:val="32"/>
          <w:szCs w:val="32"/>
          <w:lang w:val="zh-CN"/>
        </w:rPr>
      </w:pPr>
      <w:r>
        <w:rPr>
          <w:rFonts w:hint="eastAsia"/>
          <w:sz w:val="32"/>
          <w:szCs w:val="32"/>
          <w:lang w:val="zh-CN"/>
        </w:rPr>
        <w:t>（5）抓好精神文明建设，丰富群众文化生活，提倡移风易俗，反对封建迷信，破除陈规陋习，树立社会主义新风尚。</w:t>
      </w:r>
    </w:p>
    <w:p w14:paraId="3B4B21E1">
      <w:pPr>
        <w:pStyle w:val="3"/>
        <w:spacing w:before="93"/>
        <w:ind w:firstLine="640" w:firstLineChars="200"/>
        <w:rPr>
          <w:sz w:val="32"/>
          <w:szCs w:val="32"/>
          <w:lang w:val="zh-CN"/>
        </w:rPr>
      </w:pPr>
      <w:r>
        <w:rPr>
          <w:rFonts w:hint="eastAsia"/>
          <w:sz w:val="32"/>
          <w:szCs w:val="32"/>
          <w:lang w:val="zh-CN"/>
        </w:rPr>
        <w:t>（6）完成上级政府交办的其</w:t>
      </w:r>
      <w:r>
        <w:rPr>
          <w:rFonts w:hint="eastAsia"/>
          <w:sz w:val="32"/>
          <w:szCs w:val="32"/>
          <w:lang w:val="en-US" w:eastAsia="zh-CN"/>
        </w:rPr>
        <w:t>他</w:t>
      </w:r>
      <w:bookmarkStart w:id="102" w:name="_GoBack"/>
      <w:bookmarkEnd w:id="102"/>
      <w:r>
        <w:rPr>
          <w:rFonts w:hint="eastAsia"/>
          <w:sz w:val="32"/>
          <w:szCs w:val="32"/>
          <w:lang w:val="zh-CN"/>
        </w:rPr>
        <w:t>事项。</w:t>
      </w:r>
    </w:p>
    <w:p w14:paraId="4C5F8283">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w:t>
      </w:r>
      <w:r>
        <w:rPr>
          <w:rFonts w:hint="eastAsia" w:ascii="仿宋_GB2312" w:hAnsi="宋体" w:eastAsia="仿宋_GB2312" w:cs="宋体"/>
          <w:kern w:val="0"/>
          <w:sz w:val="32"/>
          <w:szCs w:val="32"/>
          <w:shd w:val="clear" w:color="auto" w:fill="FFFFFF"/>
          <w:lang w:val="zh-CN"/>
        </w:rPr>
        <w:t>人员概况。</w:t>
      </w:r>
    </w:p>
    <w:p w14:paraId="071ECA43">
      <w:pPr>
        <w:ind w:firstLine="640" w:firstLineChars="200"/>
        <w:rPr>
          <w:b/>
          <w:bCs/>
        </w:rPr>
      </w:pPr>
      <w:r>
        <w:rPr>
          <w:rFonts w:hint="eastAsia" w:ascii="仿宋_GB2312" w:hAnsi="仿宋_GB2312" w:eastAsia="仿宋_GB2312" w:cs="仿宋_GB2312"/>
          <w:sz w:val="32"/>
          <w:szCs w:val="32"/>
        </w:rPr>
        <w:t>2021年末兴隆镇人民政府、兴隆镇中心小学、兴隆镇浴溪小学、兴隆镇卫生院一般公共预算财政拨款开支人员共计15人，其中行政人员25人，事业人员90人。</w:t>
      </w:r>
    </w:p>
    <w:p w14:paraId="43422AAE">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rPr>
      </w:pPr>
      <w:bookmarkStart w:id="88" w:name="_Toc6427"/>
      <w:r>
        <w:rPr>
          <w:rFonts w:hint="eastAsia" w:ascii="黑体" w:hAnsi="宋体" w:eastAsia="黑体" w:cs="宋体"/>
          <w:kern w:val="0"/>
          <w:sz w:val="32"/>
          <w:szCs w:val="32"/>
          <w:shd w:val="clear" w:color="auto" w:fill="FFFFFF"/>
        </w:rPr>
        <w:t>二、部门财政资金收支情况</w:t>
      </w:r>
      <w:bookmarkEnd w:id="88"/>
    </w:p>
    <w:p w14:paraId="5C6C33D8">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14:paraId="3E0DCF1E">
      <w:pPr>
        <w:pStyle w:val="3"/>
        <w:spacing w:before="93"/>
        <w:rPr>
          <w:rFonts w:hAnsi="宋体" w:cs="宋体"/>
          <w:sz w:val="32"/>
          <w:szCs w:val="32"/>
          <w:shd w:val="clear" w:color="auto" w:fill="FFFFFF"/>
        </w:rPr>
      </w:pPr>
      <w:r>
        <w:rPr>
          <w:rFonts w:hAnsi="宋体" w:cs="宋体"/>
          <w:sz w:val="32"/>
          <w:szCs w:val="32"/>
          <w:shd w:val="clear" w:color="auto" w:fill="FFFFFF"/>
        </w:rPr>
        <w:t>2021年本年</w:t>
      </w:r>
      <w:r>
        <w:rPr>
          <w:rFonts w:hint="eastAsia" w:hAnsi="宋体" w:cs="宋体"/>
          <w:sz w:val="32"/>
          <w:szCs w:val="32"/>
          <w:shd w:val="clear" w:color="auto" w:fill="FFFFFF"/>
        </w:rPr>
        <w:t>部门财政资金</w:t>
      </w:r>
      <w:r>
        <w:rPr>
          <w:rFonts w:hAnsi="宋体" w:cs="宋体"/>
          <w:sz w:val="32"/>
          <w:szCs w:val="32"/>
          <w:shd w:val="clear" w:color="auto" w:fill="FFFFFF"/>
        </w:rPr>
        <w:t>收入合计3128.16万元，其中：一般公共预算财政拨款收入2932.74万元，占93.75%；政府性基金预算财政拨款收入8万元，占0.26%；事业收入113.13万元，占3.26%；其他收入74.29万元，占2.37%。</w:t>
      </w:r>
    </w:p>
    <w:p w14:paraId="32CF9016">
      <w:pPr>
        <w:widowControl/>
        <w:numPr>
          <w:ilvl w:val="0"/>
          <w:numId w:val="5"/>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14:paraId="5FD75BD4">
      <w:pPr>
        <w:pStyle w:val="3"/>
        <w:spacing w:before="93"/>
        <w:ind w:firstLine="640" w:firstLineChars="200"/>
        <w:rPr>
          <w:rFonts w:hAnsi="宋体" w:cs="宋体"/>
          <w:sz w:val="32"/>
          <w:szCs w:val="32"/>
          <w:shd w:val="clear" w:color="auto" w:fill="FFFFFF"/>
          <w:lang w:val="zh-CN"/>
        </w:rPr>
      </w:pPr>
      <w:r>
        <w:rPr>
          <w:rFonts w:hint="eastAsia" w:hAnsi="宋体" w:cs="宋体"/>
          <w:sz w:val="32"/>
          <w:szCs w:val="32"/>
          <w:shd w:val="clear" w:color="auto" w:fill="FFFFFF"/>
          <w:lang w:val="zh-CN"/>
        </w:rPr>
        <w:t>2021年本年部门财政资金支出合计3128.16万元，其中：基本支出1718万元，占55%；项目支出1410.16万元，占45%</w:t>
      </w:r>
      <w:r>
        <w:t>。</w:t>
      </w:r>
    </w:p>
    <w:p w14:paraId="63EACAED">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rPr>
      </w:pPr>
      <w:bookmarkStart w:id="89" w:name="_Toc25262"/>
      <w:r>
        <w:rPr>
          <w:rFonts w:hint="eastAsia" w:ascii="黑体" w:hAnsi="宋体" w:eastAsia="黑体" w:cs="宋体"/>
          <w:kern w:val="0"/>
          <w:sz w:val="32"/>
          <w:szCs w:val="32"/>
          <w:shd w:val="clear" w:color="auto" w:fill="FFFFFF"/>
        </w:rPr>
        <w:t>三、部门整体预算绩效管理情况</w:t>
      </w:r>
      <w:bookmarkEnd w:id="89"/>
    </w:p>
    <w:p w14:paraId="4177CA0D">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14:paraId="2B8F3A67">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w:t>
      </w:r>
      <w:r>
        <w:rPr>
          <w:rFonts w:ascii="仿宋_GB2312" w:hAnsi="宋体" w:eastAsia="仿宋_GB2312" w:cs="宋体"/>
          <w:kern w:val="0"/>
          <w:sz w:val="32"/>
          <w:szCs w:val="32"/>
          <w:u w:color="46CD7E"/>
          <w:shd w:val="clear" w:color="auto" w:fill="FFFFFF"/>
          <w:lang w:val="zh-CN"/>
        </w:rPr>
        <w:t>.</w:t>
      </w:r>
      <w:r>
        <w:rPr>
          <w:rFonts w:hint="eastAsia" w:ascii="仿宋_GB2312" w:hAnsi="宋体" w:eastAsia="仿宋_GB2312" w:cs="宋体"/>
          <w:kern w:val="0"/>
          <w:sz w:val="32"/>
          <w:szCs w:val="32"/>
          <w:shd w:val="clear" w:color="auto" w:fill="FFFFFF"/>
          <w:lang w:val="zh-CN"/>
        </w:rPr>
        <w:t>保障兴隆镇政府机关、事业单位正常运行实现兴隆镇的社会和谐稳定。</w:t>
      </w:r>
    </w:p>
    <w:p w14:paraId="30C0478D">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w:t>
      </w:r>
      <w:r>
        <w:rPr>
          <w:rFonts w:ascii="仿宋_GB2312" w:hAnsi="宋体" w:eastAsia="仿宋_GB2312" w:cs="宋体"/>
          <w:kern w:val="0"/>
          <w:sz w:val="32"/>
          <w:szCs w:val="32"/>
          <w:u w:color="46CD7E"/>
          <w:shd w:val="clear" w:color="auto" w:fill="FFFFFF"/>
          <w:lang w:val="zh-CN"/>
        </w:rPr>
        <w:t>.</w:t>
      </w:r>
      <w:r>
        <w:rPr>
          <w:rFonts w:hint="eastAsia" w:ascii="仿宋_GB2312" w:hAnsi="宋体" w:eastAsia="仿宋_GB2312" w:cs="宋体"/>
          <w:kern w:val="0"/>
          <w:sz w:val="32"/>
          <w:szCs w:val="32"/>
          <w:shd w:val="clear" w:color="auto" w:fill="FFFFFF"/>
          <w:lang w:val="zh-CN"/>
        </w:rPr>
        <w:t>保障村民委员会和村党支部的经费，实现兴隆镇基层组织公共服务的正常运行。</w:t>
      </w:r>
    </w:p>
    <w:p w14:paraId="5B85C6A9">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w:t>
      </w:r>
      <w:r>
        <w:rPr>
          <w:rFonts w:ascii="仿宋_GB2312" w:hAnsi="宋体" w:eastAsia="仿宋_GB2312" w:cs="宋体"/>
          <w:kern w:val="0"/>
          <w:sz w:val="32"/>
          <w:szCs w:val="32"/>
          <w:u w:color="46CD7E"/>
          <w:shd w:val="clear" w:color="auto" w:fill="FFFFFF"/>
          <w:lang w:val="zh-CN"/>
        </w:rPr>
        <w:t>.</w:t>
      </w:r>
      <w:r>
        <w:rPr>
          <w:rFonts w:hint="eastAsia" w:ascii="仿宋_GB2312" w:hAnsi="宋体" w:eastAsia="仿宋_GB2312" w:cs="宋体"/>
          <w:kern w:val="0"/>
          <w:sz w:val="32"/>
          <w:szCs w:val="32"/>
          <w:shd w:val="clear" w:color="auto" w:fill="FFFFFF"/>
          <w:lang w:val="zh-CN"/>
        </w:rPr>
        <w:t>按照政府采购相关规定，完善政府采购流程。</w:t>
      </w:r>
    </w:p>
    <w:p w14:paraId="36232473">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w:t>
      </w:r>
      <w:r>
        <w:rPr>
          <w:rFonts w:ascii="仿宋_GB2312" w:hAnsi="宋体" w:eastAsia="仿宋_GB2312" w:cs="宋体"/>
          <w:kern w:val="0"/>
          <w:sz w:val="32"/>
          <w:szCs w:val="32"/>
          <w:u w:color="46CD7E"/>
          <w:shd w:val="clear" w:color="auto" w:fill="FFFFFF"/>
          <w:lang w:val="zh-CN"/>
        </w:rPr>
        <w:t>.</w:t>
      </w:r>
      <w:r>
        <w:rPr>
          <w:rFonts w:hint="eastAsia" w:ascii="仿宋_GB2312" w:hAnsi="宋体" w:eastAsia="仿宋_GB2312" w:cs="宋体"/>
          <w:kern w:val="0"/>
          <w:sz w:val="32"/>
          <w:szCs w:val="32"/>
          <w:shd w:val="clear" w:color="auto" w:fill="FFFFFF"/>
          <w:lang w:val="zh-CN"/>
        </w:rPr>
        <w:t>严控各项行政事业经费科学合理收支，实现资金的高效运用。</w:t>
      </w:r>
    </w:p>
    <w:p w14:paraId="7D3A2E8F">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5</w:t>
      </w:r>
      <w:r>
        <w:rPr>
          <w:rFonts w:ascii="仿宋_GB2312" w:hAnsi="宋体" w:eastAsia="仿宋_GB2312" w:cs="宋体"/>
          <w:kern w:val="0"/>
          <w:sz w:val="32"/>
          <w:szCs w:val="32"/>
          <w:u w:color="46CD7E"/>
          <w:shd w:val="clear" w:color="auto" w:fill="FFFFFF"/>
          <w:lang w:val="zh-CN"/>
        </w:rPr>
        <w:t>.</w:t>
      </w:r>
      <w:r>
        <w:rPr>
          <w:rFonts w:hint="eastAsia" w:ascii="仿宋_GB2312" w:hAnsi="宋体" w:eastAsia="仿宋_GB2312" w:cs="宋体"/>
          <w:kern w:val="0"/>
          <w:sz w:val="32"/>
          <w:szCs w:val="32"/>
          <w:shd w:val="clear" w:color="auto" w:fill="FFFFFF"/>
          <w:lang w:val="zh-CN"/>
        </w:rPr>
        <w:t>提高财政工作服务水平，提高财政工作的社会满意度。</w:t>
      </w:r>
    </w:p>
    <w:p w14:paraId="3C191B89">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截至2021年12月31日，目标完成率100%，预算执行进度与预算目标进度一致，基本按时按质完成预算目标。</w:t>
      </w:r>
    </w:p>
    <w:p w14:paraId="2A422CB7">
      <w:pPr>
        <w:widowControl/>
        <w:numPr>
          <w:ilvl w:val="0"/>
          <w:numId w:val="6"/>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结果应用情况。</w:t>
      </w:r>
    </w:p>
    <w:p w14:paraId="47BA2912">
      <w:pPr>
        <w:pStyle w:val="3"/>
        <w:spacing w:before="93"/>
        <w:ind w:firstLine="640" w:firstLineChars="200"/>
        <w:rPr>
          <w:lang w:val="zh-CN"/>
        </w:rPr>
      </w:pPr>
      <w:r>
        <w:rPr>
          <w:rFonts w:hint="eastAsia"/>
          <w:color w:val="000000"/>
          <w:sz w:val="32"/>
          <w:szCs w:val="32"/>
        </w:rPr>
        <w:t>2021年兴隆镇人民政府部门自评质量良好，并根据相关规定对绩效目标进行公开和自评公开，评价结果整改和应用结果反馈情况良好。</w:t>
      </w:r>
    </w:p>
    <w:p w14:paraId="4BC6610B">
      <w:pPr>
        <w:widowControl/>
        <w:numPr>
          <w:ilvl w:val="0"/>
          <w:numId w:val="7"/>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14:paraId="1485C41B">
      <w:pPr>
        <w:pStyle w:val="3"/>
        <w:spacing w:before="93"/>
        <w:ind w:firstLine="640" w:firstLineChars="200"/>
        <w:rPr>
          <w:sz w:val="32"/>
          <w:szCs w:val="32"/>
          <w:lang w:val="zh-CN"/>
        </w:rPr>
      </w:pPr>
      <w:r>
        <w:rPr>
          <w:rFonts w:hint="eastAsia"/>
          <w:sz w:val="32"/>
          <w:szCs w:val="32"/>
          <w:lang w:val="zh-CN"/>
        </w:rPr>
        <w:t>本单位整体支出与部门职能相匹配，按既定的决策内容、绩效目标和管理制度执行、并且在规定时间内完成了项目阶段性目标，达到了现阶段预期效益。</w:t>
      </w:r>
    </w:p>
    <w:p w14:paraId="6AC102DE">
      <w:pPr>
        <w:pStyle w:val="3"/>
        <w:spacing w:before="93"/>
        <w:ind w:firstLine="640" w:firstLineChars="200"/>
        <w:rPr>
          <w:sz w:val="32"/>
          <w:szCs w:val="32"/>
          <w:lang w:val="zh-CN"/>
        </w:rPr>
      </w:pPr>
      <w:r>
        <w:rPr>
          <w:rFonts w:hint="eastAsia"/>
          <w:sz w:val="32"/>
          <w:szCs w:val="32"/>
          <w:lang w:val="zh-CN"/>
        </w:rPr>
        <w:t>绩效运行情况较为客观、真实，其评价结果可作为财政预算执行精细化、加快财政资金拨付进度及综合绩效考评的参考依据。</w:t>
      </w:r>
    </w:p>
    <w:p w14:paraId="0997EE4C">
      <w:pPr>
        <w:widowControl/>
        <w:adjustRightInd w:val="0"/>
        <w:snapToGrid w:val="0"/>
        <w:spacing w:line="576" w:lineRule="exact"/>
        <w:ind w:firstLine="640" w:firstLineChars="200"/>
        <w:contextualSpacing/>
        <w:jc w:val="left"/>
        <w:outlineLvl w:val="1"/>
        <w:rPr>
          <w:rFonts w:ascii="黑体" w:hAnsi="宋体" w:eastAsia="黑体" w:cs="宋体"/>
          <w:kern w:val="0"/>
          <w:sz w:val="32"/>
          <w:szCs w:val="32"/>
          <w:shd w:val="clear" w:color="auto" w:fill="FFFFFF"/>
        </w:rPr>
      </w:pPr>
      <w:bookmarkStart w:id="90" w:name="_Toc32492"/>
      <w:r>
        <w:rPr>
          <w:rFonts w:hint="eastAsia" w:ascii="黑体" w:hAnsi="宋体" w:eastAsia="黑体" w:cs="宋体"/>
          <w:kern w:val="0"/>
          <w:sz w:val="32"/>
          <w:szCs w:val="32"/>
          <w:shd w:val="clear" w:color="auto" w:fill="FFFFFF"/>
        </w:rPr>
        <w:t>四、评价结论及建议</w:t>
      </w:r>
      <w:bookmarkEnd w:id="90"/>
    </w:p>
    <w:p w14:paraId="249D7F73">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14:paraId="492F2E33">
      <w:pPr>
        <w:pStyle w:val="3"/>
        <w:spacing w:before="93"/>
        <w:rPr>
          <w:sz w:val="32"/>
          <w:szCs w:val="32"/>
          <w:lang w:val="zh-CN"/>
        </w:rPr>
      </w:pPr>
      <w:r>
        <w:rPr>
          <w:rFonts w:hint="eastAsia"/>
          <w:sz w:val="32"/>
          <w:szCs w:val="32"/>
          <w:lang w:val="zh-CN"/>
        </w:rPr>
        <w:t>通过对兴隆镇整体支出绩效评价，截至2021年12月31日，目标完成100%，预算执行进度与预算目标进度一致，基本按时按质完成预算目标，及时公开整体绩效自评、项目绩效自评。</w:t>
      </w:r>
    </w:p>
    <w:p w14:paraId="320C490C">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rPr>
        <w:t>二</w:t>
      </w:r>
      <w:r>
        <w:rPr>
          <w:rFonts w:hint="eastAsia" w:ascii="仿宋_GB2312" w:hAnsi="宋体" w:eastAsia="仿宋_GB2312" w:cs="宋体"/>
          <w:kern w:val="0"/>
          <w:sz w:val="32"/>
          <w:szCs w:val="32"/>
          <w:shd w:val="clear" w:color="auto" w:fill="FFFFFF"/>
          <w:lang w:val="zh-CN"/>
        </w:rPr>
        <w:t>）存在问题。</w:t>
      </w:r>
    </w:p>
    <w:p w14:paraId="1C5B2821">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仿宋_GB2312" w:eastAsia="仿宋_GB2312" w:cs="仿宋_GB2312"/>
          <w:kern w:val="0"/>
          <w:sz w:val="32"/>
          <w:szCs w:val="32"/>
        </w:rPr>
        <w:t>一是公用经费过少，不能满足工作需要，致使个别项目工作实施难度大</w:t>
      </w:r>
      <w:r>
        <w:t>；</w:t>
      </w:r>
      <w:r>
        <w:rPr>
          <w:rFonts w:hint="eastAsia" w:ascii="仿宋_GB2312" w:hAnsi="仿宋_GB2312" w:eastAsia="仿宋_GB2312" w:cs="仿宋_GB2312"/>
          <w:kern w:val="0"/>
          <w:sz w:val="32"/>
          <w:szCs w:val="32"/>
        </w:rPr>
        <w:t>二是政府绩效制度不完善，绩效制度缺乏强有力的保障措施，政府整体财政资金涉及面大，绩效指标考核难度大，绩效目标考核指标缺乏标准，缺乏对绩效目标考</w:t>
      </w:r>
      <w:r>
        <w:rPr>
          <w:rFonts w:hint="eastAsia" w:ascii="仿宋_GB2312" w:hAnsi="宋体" w:eastAsia="仿宋_GB2312" w:cs="宋体"/>
          <w:kern w:val="0"/>
          <w:sz w:val="32"/>
          <w:szCs w:val="32"/>
          <w:shd w:val="clear" w:color="auto" w:fill="FFFFFF"/>
          <w:lang w:val="zh-CN"/>
        </w:rPr>
        <w:t>核工作的专业培训，致使下级部门开展工作难度大。</w:t>
      </w:r>
    </w:p>
    <w:p w14:paraId="701F3A80">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w:t>
      </w:r>
      <w:r>
        <w:rPr>
          <w:rFonts w:hint="eastAsia" w:ascii="仿宋_GB2312" w:hAnsi="宋体" w:eastAsia="仿宋_GB2312" w:cs="宋体"/>
          <w:kern w:val="0"/>
          <w:sz w:val="32"/>
          <w:szCs w:val="32"/>
          <w:shd w:val="clear" w:color="auto" w:fill="FFFFFF"/>
          <w:lang w:val="zh-CN"/>
        </w:rPr>
        <w:t>改进建议。</w:t>
      </w:r>
    </w:p>
    <w:p w14:paraId="79142965">
      <w:pPr>
        <w:widowControl/>
        <w:adjustRightInd w:val="0"/>
        <w:snapToGrid w:val="0"/>
        <w:spacing w:line="572" w:lineRule="exact"/>
        <w:ind w:firstLine="640" w:firstLineChars="200"/>
        <w:contextualSpacing/>
        <w:jc w:val="left"/>
        <w:rPr>
          <w:rFonts w:hAnsi="仿宋_GB2312" w:cs="仿宋_GB2312"/>
          <w:sz w:val="32"/>
          <w:szCs w:val="32"/>
          <w:lang w:val="zh-CN"/>
        </w:rPr>
      </w:pPr>
      <w:r>
        <w:rPr>
          <w:rFonts w:hint="eastAsia" w:ascii="仿宋_GB2312" w:hAnsi="宋体" w:eastAsia="仿宋_GB2312" w:cs="宋体"/>
          <w:kern w:val="0"/>
          <w:sz w:val="32"/>
          <w:szCs w:val="32"/>
          <w:shd w:val="clear" w:color="auto" w:fill="FFFFFF"/>
          <w:lang w:val="zh-CN"/>
        </w:rPr>
        <w:t>增加工作经费</w:t>
      </w:r>
      <w:r>
        <w:rPr>
          <w:rFonts w:hint="eastAsia" w:hAnsi="仿宋_GB2312" w:cs="仿宋_GB2312"/>
          <w:sz w:val="32"/>
          <w:szCs w:val="32"/>
        </w:rPr>
        <w:t>投入，保障政府工作有序开展；强化对</w:t>
      </w:r>
      <w:r>
        <w:rPr>
          <w:rFonts w:hint="eastAsia" w:hAnsi="仿宋_GB2312" w:cs="仿宋_GB2312"/>
          <w:sz w:val="32"/>
          <w:szCs w:val="32"/>
          <w:lang w:val="zh-CN"/>
        </w:rPr>
        <w:t>政府绩效目标评价的重视，定时进行专门学习培训。</w:t>
      </w:r>
    </w:p>
    <w:p w14:paraId="15851349">
      <w:pPr>
        <w:pStyle w:val="3"/>
        <w:spacing w:before="93"/>
        <w:ind w:firstLine="640" w:firstLineChars="200"/>
        <w:rPr>
          <w:rFonts w:hAnsi="仿宋_GB2312" w:cs="仿宋_GB2312"/>
          <w:sz w:val="32"/>
          <w:szCs w:val="32"/>
          <w:lang w:val="zh-CN"/>
        </w:rPr>
      </w:pPr>
    </w:p>
    <w:p w14:paraId="2D419A48">
      <w:pPr>
        <w:spacing w:line="500" w:lineRule="exact"/>
        <w:ind w:firstLine="640" w:firstLineChars="200"/>
        <w:rPr>
          <w:rFonts w:ascii="仿宋" w:hAnsi="仿宋" w:eastAsia="仿宋" w:cs="仿宋"/>
          <w:sz w:val="32"/>
          <w:szCs w:val="32"/>
        </w:rPr>
      </w:pPr>
    </w:p>
    <w:p w14:paraId="48C88FED">
      <w:pPr>
        <w:pStyle w:val="3"/>
        <w:spacing w:before="93"/>
        <w:ind w:firstLine="640" w:firstLineChars="200"/>
        <w:rPr>
          <w:rFonts w:hAnsi="仿宋_GB2312" w:cs="仿宋_GB2312"/>
          <w:sz w:val="32"/>
          <w:szCs w:val="32"/>
          <w:lang w:val="zh-CN"/>
        </w:rPr>
      </w:pPr>
    </w:p>
    <w:p w14:paraId="514653C9">
      <w:pPr>
        <w:spacing w:line="500" w:lineRule="exact"/>
        <w:ind w:firstLine="640" w:firstLineChars="200"/>
        <w:rPr>
          <w:rFonts w:ascii="仿宋" w:hAnsi="仿宋" w:eastAsia="仿宋" w:cs="仿宋"/>
          <w:sz w:val="32"/>
          <w:szCs w:val="32"/>
        </w:rPr>
      </w:pPr>
    </w:p>
    <w:p w14:paraId="120913F3">
      <w:pPr>
        <w:pStyle w:val="3"/>
        <w:spacing w:before="93"/>
        <w:ind w:firstLine="640" w:firstLineChars="200"/>
        <w:rPr>
          <w:rFonts w:hAnsi="仿宋_GB2312" w:cs="仿宋_GB2312"/>
          <w:sz w:val="32"/>
          <w:szCs w:val="32"/>
          <w:lang w:val="zh-CN"/>
        </w:rPr>
      </w:pPr>
    </w:p>
    <w:p w14:paraId="014F0129">
      <w:pPr>
        <w:pStyle w:val="3"/>
        <w:spacing w:before="93"/>
        <w:ind w:firstLine="640" w:firstLineChars="200"/>
        <w:rPr>
          <w:rFonts w:hAnsi="仿宋_GB2312" w:cs="仿宋_GB2312"/>
          <w:sz w:val="32"/>
          <w:szCs w:val="32"/>
          <w:lang w:val="zh-CN"/>
        </w:rPr>
      </w:pPr>
    </w:p>
    <w:p w14:paraId="4EEC37FE">
      <w:pPr>
        <w:spacing w:line="560" w:lineRule="exact"/>
        <w:jc w:val="center"/>
        <w:rPr>
          <w:rFonts w:ascii="宋体" w:hAnsi="宋体" w:cs="宋体"/>
          <w:b/>
          <w:bCs/>
          <w:sz w:val="44"/>
          <w:szCs w:val="44"/>
        </w:rPr>
      </w:pPr>
    </w:p>
    <w:p w14:paraId="572CEAA8">
      <w:pPr>
        <w:pStyle w:val="3"/>
        <w:spacing w:before="93"/>
        <w:rPr>
          <w:rFonts w:hAnsi="宋体" w:cs="宋体"/>
          <w:sz w:val="32"/>
          <w:szCs w:val="32"/>
          <w:shd w:val="clear" w:color="auto" w:fill="FFFFFF"/>
          <w:lang w:val="zh-CN"/>
        </w:rPr>
      </w:pPr>
    </w:p>
    <w:p w14:paraId="71331D19">
      <w:pPr>
        <w:pStyle w:val="3"/>
        <w:spacing w:before="93"/>
        <w:rPr>
          <w:rFonts w:hAnsi="宋体" w:cs="宋体"/>
          <w:sz w:val="32"/>
          <w:szCs w:val="32"/>
          <w:shd w:val="clear" w:color="auto" w:fill="FFFFFF"/>
          <w:lang w:val="zh-CN"/>
        </w:rPr>
      </w:pPr>
    </w:p>
    <w:p w14:paraId="50F041C4">
      <w:pPr>
        <w:pStyle w:val="3"/>
        <w:spacing w:before="93"/>
        <w:rPr>
          <w:rFonts w:hAnsi="宋体" w:cs="宋体"/>
          <w:sz w:val="32"/>
          <w:szCs w:val="32"/>
          <w:shd w:val="clear" w:color="auto" w:fill="FFFFFF"/>
          <w:lang w:val="zh-CN"/>
        </w:rPr>
      </w:pPr>
    </w:p>
    <w:p w14:paraId="2C17D572">
      <w:pPr>
        <w:pStyle w:val="3"/>
        <w:spacing w:before="93"/>
        <w:rPr>
          <w:rFonts w:hAnsi="宋体" w:cs="宋体"/>
          <w:sz w:val="32"/>
          <w:szCs w:val="32"/>
          <w:shd w:val="clear" w:color="auto" w:fill="FFFFFF"/>
          <w:lang w:val="zh-CN"/>
        </w:rPr>
      </w:pPr>
    </w:p>
    <w:p w14:paraId="7A9C88E0">
      <w:pPr>
        <w:pStyle w:val="3"/>
        <w:spacing w:before="93"/>
        <w:rPr>
          <w:rFonts w:hint="eastAsia" w:hAnsi="宋体" w:cs="宋体"/>
          <w:sz w:val="32"/>
          <w:szCs w:val="32"/>
          <w:shd w:val="clear" w:color="auto" w:fill="FFFFFF"/>
          <w:lang w:val="zh-CN"/>
        </w:rPr>
      </w:pPr>
    </w:p>
    <w:p w14:paraId="0B70D512">
      <w:pPr>
        <w:pStyle w:val="3"/>
        <w:spacing w:before="93"/>
        <w:rPr>
          <w:rFonts w:hint="eastAsia" w:hAnsi="宋体" w:cs="宋体"/>
          <w:sz w:val="32"/>
          <w:szCs w:val="32"/>
          <w:shd w:val="clear" w:color="auto" w:fill="FFFFFF"/>
          <w:lang w:val="zh-CN"/>
        </w:rPr>
      </w:pPr>
    </w:p>
    <w:p w14:paraId="5B119472">
      <w:pPr>
        <w:pStyle w:val="3"/>
        <w:spacing w:before="93"/>
        <w:rPr>
          <w:rFonts w:hint="eastAsia" w:hAnsi="宋体" w:cs="宋体"/>
          <w:sz w:val="32"/>
          <w:szCs w:val="32"/>
          <w:shd w:val="clear" w:color="auto" w:fill="FFFFFF"/>
          <w:lang w:val="zh-CN"/>
        </w:rPr>
      </w:pPr>
    </w:p>
    <w:p w14:paraId="296436B4">
      <w:pPr>
        <w:pStyle w:val="3"/>
        <w:spacing w:before="93"/>
        <w:rPr>
          <w:lang w:val="zh-CN"/>
        </w:rPr>
      </w:pPr>
      <w:r>
        <w:rPr>
          <w:rFonts w:hint="eastAsia" w:hAnsi="宋体" w:cs="宋体"/>
          <w:sz w:val="32"/>
          <w:szCs w:val="32"/>
          <w:shd w:val="clear" w:color="auto" w:fill="FFFFFF"/>
          <w:lang w:val="zh-CN"/>
        </w:rPr>
        <w:t>附件</w:t>
      </w:r>
    </w:p>
    <w:p w14:paraId="04936B64">
      <w:pPr>
        <w:spacing w:line="570" w:lineRule="exact"/>
        <w:jc w:val="center"/>
        <w:outlineLvl w:val="1"/>
        <w:rPr>
          <w:rFonts w:ascii="方正小标宋简体" w:hAnsi="方正小标宋简体" w:eastAsia="方正小标宋简体" w:cs="方正小标宋简体"/>
          <w:b/>
          <w:bCs/>
          <w:sz w:val="44"/>
          <w:szCs w:val="44"/>
        </w:rPr>
      </w:pPr>
      <w:bookmarkStart w:id="91" w:name="_Toc8641"/>
      <w:r>
        <w:rPr>
          <w:rFonts w:hint="eastAsia" w:ascii="方正小标宋简体" w:hAnsi="方正小标宋简体" w:eastAsia="方正小标宋简体" w:cs="方正小标宋简体"/>
          <w:b/>
          <w:bCs/>
          <w:sz w:val="44"/>
          <w:szCs w:val="44"/>
        </w:rPr>
        <w:t>通江县兴隆镇人民政府</w:t>
      </w:r>
      <w:bookmarkEnd w:id="91"/>
    </w:p>
    <w:p w14:paraId="268B8032">
      <w:pPr>
        <w:spacing w:line="57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“三农”示范片道路改造建设项目支出绩效</w:t>
      </w:r>
    </w:p>
    <w:p w14:paraId="50C1BFBA">
      <w:pPr>
        <w:spacing w:line="57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自评报告</w:t>
      </w:r>
    </w:p>
    <w:p w14:paraId="33E519F0">
      <w:pPr>
        <w:spacing w:line="570" w:lineRule="exact"/>
        <w:rPr>
          <w:rFonts w:ascii="仿宋" w:hAnsi="仿宋" w:eastAsia="仿宋" w:cs="仿宋"/>
          <w:b/>
          <w:bCs/>
          <w:sz w:val="32"/>
          <w:szCs w:val="32"/>
        </w:rPr>
      </w:pPr>
    </w:p>
    <w:p w14:paraId="7720DE15">
      <w:pPr>
        <w:spacing w:line="570" w:lineRule="exact"/>
        <w:rPr>
          <w:rFonts w:ascii="仿宋" w:hAnsi="仿宋" w:eastAsia="仿宋" w:cs="仿宋"/>
          <w:b/>
          <w:bCs/>
          <w:sz w:val="32"/>
          <w:szCs w:val="32"/>
        </w:rPr>
      </w:pPr>
      <w:r>
        <w:rPr>
          <w:rFonts w:hint="eastAsia" w:ascii="仿宋" w:hAnsi="仿宋" w:eastAsia="仿宋" w:cs="仿宋"/>
          <w:b/>
          <w:bCs/>
          <w:sz w:val="32"/>
          <w:szCs w:val="32"/>
        </w:rPr>
        <w:t>通江县财政局：</w:t>
      </w:r>
    </w:p>
    <w:p w14:paraId="42F4B9EC">
      <w:pPr>
        <w:pStyle w:val="7"/>
        <w:widowControl/>
        <w:spacing w:before="105" w:beforeAutospacing="0" w:after="105" w:afterAutospacing="0" w:line="500" w:lineRule="exact"/>
        <w:ind w:firstLine="640" w:firstLineChars="200"/>
        <w:rPr>
          <w:rFonts w:ascii="仿宋" w:hAnsi="仿宋" w:eastAsia="仿宋" w:cs="仿宋"/>
          <w:b/>
          <w:bCs/>
          <w:sz w:val="32"/>
          <w:szCs w:val="32"/>
        </w:rPr>
      </w:pPr>
      <w:r>
        <w:rPr>
          <w:rFonts w:hint="eastAsia" w:ascii="仿宋_GB2312" w:hAnsi="仿宋_GB2312" w:eastAsia="仿宋_GB2312" w:cs="仿宋_GB2312"/>
          <w:sz w:val="32"/>
          <w:szCs w:val="32"/>
          <w:shd w:val="clear" w:color="auto" w:fill="FFFFFF"/>
        </w:rPr>
        <w:t>按照道路工程建设项目工作要求，我镇认真开展了“三农”示范片道路改造建设项目绩效目标自评工作，现将自评情况报告如下</w:t>
      </w:r>
      <w:r>
        <w:t>：</w:t>
      </w:r>
    </w:p>
    <w:p w14:paraId="418D7AF6">
      <w:pPr>
        <w:spacing w:line="510" w:lineRule="exact"/>
        <w:ind w:firstLine="643" w:firstLineChars="200"/>
        <w:outlineLvl w:val="1"/>
        <w:rPr>
          <w:rFonts w:ascii="仿宋" w:hAnsi="仿宋" w:eastAsia="仿宋" w:cs="仿宋"/>
          <w:b/>
          <w:bCs/>
          <w:sz w:val="32"/>
          <w:szCs w:val="32"/>
          <w:lang w:val="zh-CN"/>
        </w:rPr>
      </w:pPr>
      <w:bookmarkStart w:id="92" w:name="_Toc27463"/>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bookmarkEnd w:id="92"/>
    </w:p>
    <w:p w14:paraId="6BB2FC3E">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（一）项目资金申报及批复情况。</w:t>
      </w:r>
      <w:r>
        <w:rPr>
          <w:rFonts w:hint="eastAsia" w:ascii="仿宋" w:hAnsi="仿宋" w:eastAsia="仿宋" w:cs="仿宋"/>
          <w:sz w:val="32"/>
          <w:szCs w:val="32"/>
        </w:rPr>
        <w:t>2021年“三农”示范片道路改造建设项目</w:t>
      </w:r>
      <w:r>
        <w:rPr>
          <w:rFonts w:hint="eastAsia" w:ascii="仿宋" w:hAnsi="仿宋" w:eastAsia="仿宋" w:cs="仿宋"/>
          <w:sz w:val="32"/>
          <w:szCs w:val="32"/>
          <w:lang w:val="zh-CN"/>
        </w:rPr>
        <w:t>申报</w:t>
      </w:r>
      <w:r>
        <w:rPr>
          <w:rFonts w:hint="eastAsia" w:ascii="仿宋" w:hAnsi="仿宋" w:eastAsia="仿宋" w:cs="仿宋"/>
          <w:sz w:val="32"/>
          <w:szCs w:val="32"/>
        </w:rPr>
        <w:t>204万元。通财农〔2020〕74号批复204万元，</w:t>
      </w:r>
      <w:r>
        <w:rPr>
          <w:rFonts w:hint="eastAsia" w:ascii="仿宋" w:hAnsi="仿宋" w:eastAsia="仿宋" w:cs="仿宋"/>
          <w:sz w:val="32"/>
          <w:szCs w:val="32"/>
          <w:lang w:val="zh-CN"/>
        </w:rPr>
        <w:t>资金申报与批复一致。</w:t>
      </w:r>
    </w:p>
    <w:p w14:paraId="4C83BE4C">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（二）项目绩效目标。完成</w:t>
      </w:r>
      <w:r>
        <w:rPr>
          <w:rFonts w:hint="eastAsia" w:ascii="仿宋" w:hAnsi="仿宋" w:eastAsia="仿宋" w:cs="仿宋"/>
          <w:sz w:val="32"/>
          <w:szCs w:val="32"/>
        </w:rPr>
        <w:t>脱贫攻坚道路建设项目</w:t>
      </w:r>
      <w:r>
        <w:rPr>
          <w:rFonts w:hint="eastAsia" w:ascii="仿宋" w:hAnsi="仿宋" w:eastAsia="仿宋" w:cs="仿宋"/>
          <w:sz w:val="32"/>
          <w:szCs w:val="32"/>
          <w:lang w:val="zh-CN"/>
        </w:rPr>
        <w:t>建设</w:t>
      </w:r>
      <w:r>
        <w:rPr>
          <w:rFonts w:hint="eastAsia" w:ascii="仿宋" w:hAnsi="仿宋" w:eastAsia="仿宋" w:cs="仿宋"/>
          <w:sz w:val="32"/>
          <w:szCs w:val="32"/>
        </w:rPr>
        <w:t>6.8</w:t>
      </w:r>
      <w:r>
        <w:rPr>
          <w:rFonts w:hint="eastAsia" w:ascii="仿宋" w:hAnsi="仿宋" w:eastAsia="仿宋" w:cs="仿宋"/>
          <w:sz w:val="32"/>
          <w:szCs w:val="32"/>
          <w:lang w:val="zh-CN"/>
        </w:rPr>
        <w:t>公里，切实</w:t>
      </w:r>
      <w:r>
        <w:rPr>
          <w:rFonts w:hint="eastAsia" w:ascii="仿宋" w:hAnsi="仿宋" w:eastAsia="仿宋" w:cs="仿宋"/>
          <w:sz w:val="32"/>
          <w:szCs w:val="32"/>
        </w:rPr>
        <w:t>改善</w:t>
      </w:r>
      <w:r>
        <w:rPr>
          <w:rFonts w:hint="eastAsia" w:ascii="仿宋" w:hAnsi="仿宋" w:eastAsia="仿宋" w:cs="仿宋"/>
          <w:sz w:val="32"/>
          <w:szCs w:val="32"/>
          <w:lang w:val="zh-CN"/>
        </w:rPr>
        <w:t>当地老百姓出行问题，提高社会满意度。项目计划于</w:t>
      </w:r>
      <w:r>
        <w:rPr>
          <w:rFonts w:hint="eastAsia" w:ascii="仿宋" w:hAnsi="仿宋" w:eastAsia="仿宋" w:cs="仿宋"/>
          <w:sz w:val="32"/>
          <w:szCs w:val="32"/>
        </w:rPr>
        <w:t>2021年11月17日开工，2021年12月30日完工。</w:t>
      </w:r>
    </w:p>
    <w:p w14:paraId="75285979">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（三）项目资金申报相符性。</w:t>
      </w:r>
      <w:r>
        <w:rPr>
          <w:rFonts w:hint="eastAsia" w:ascii="仿宋" w:hAnsi="仿宋" w:eastAsia="仿宋" w:cs="仿宋"/>
          <w:sz w:val="32"/>
          <w:szCs w:val="32"/>
        </w:rPr>
        <w:t>2021年“三农”示范片道路改造建设项目</w:t>
      </w:r>
      <w:r>
        <w:rPr>
          <w:rFonts w:hint="eastAsia" w:ascii="仿宋" w:hAnsi="仿宋" w:eastAsia="仿宋" w:cs="仿宋"/>
          <w:sz w:val="32"/>
          <w:szCs w:val="32"/>
          <w:lang w:val="zh-CN"/>
        </w:rPr>
        <w:t>申报</w:t>
      </w:r>
      <w:r>
        <w:rPr>
          <w:rFonts w:hint="eastAsia" w:ascii="仿宋" w:hAnsi="仿宋" w:eastAsia="仿宋" w:cs="仿宋"/>
          <w:sz w:val="32"/>
          <w:szCs w:val="32"/>
        </w:rPr>
        <w:t>204万元。通财农〔2020〕74号批复204万元，已全部实施到位。建设完成后镇、村组织验收，验收合格，申报目标合理可行</w:t>
      </w:r>
      <w:r>
        <w:rPr>
          <w:rFonts w:hint="eastAsia" w:ascii="仿宋" w:hAnsi="仿宋" w:eastAsia="仿宋" w:cs="仿宋"/>
          <w:sz w:val="32"/>
          <w:szCs w:val="32"/>
          <w:lang w:val="zh-CN"/>
        </w:rPr>
        <w:t>。</w:t>
      </w:r>
    </w:p>
    <w:p w14:paraId="27FD7E6E">
      <w:pPr>
        <w:spacing w:line="510" w:lineRule="exact"/>
        <w:ind w:firstLine="643" w:firstLineChars="200"/>
        <w:outlineLvl w:val="1"/>
        <w:rPr>
          <w:rFonts w:ascii="仿宋" w:hAnsi="仿宋" w:eastAsia="仿宋" w:cs="仿宋"/>
          <w:b/>
          <w:bCs/>
          <w:sz w:val="32"/>
          <w:szCs w:val="32"/>
        </w:rPr>
      </w:pPr>
      <w:bookmarkStart w:id="93" w:name="_Toc28310"/>
      <w:r>
        <w:rPr>
          <w:rFonts w:hint="eastAsia" w:ascii="仿宋" w:hAnsi="仿宋" w:eastAsia="仿宋" w:cs="仿宋"/>
          <w:b/>
          <w:bCs/>
          <w:sz w:val="32"/>
          <w:szCs w:val="32"/>
        </w:rPr>
        <w:t>二、项目实施及管理情况</w:t>
      </w:r>
      <w:bookmarkEnd w:id="93"/>
    </w:p>
    <w:p w14:paraId="42E80506">
      <w:pPr>
        <w:spacing w:line="510" w:lineRule="exact"/>
        <w:rPr>
          <w:rFonts w:ascii="仿宋" w:hAnsi="仿宋" w:eastAsia="仿宋" w:cs="仿宋"/>
          <w:sz w:val="32"/>
          <w:szCs w:val="32"/>
          <w:lang w:val="zh-CN"/>
        </w:rPr>
      </w:pPr>
      <w:r>
        <w:rPr>
          <w:rFonts w:hint="eastAsia" w:ascii="仿宋" w:hAnsi="仿宋" w:eastAsia="仿宋" w:cs="仿宋"/>
          <w:sz w:val="32"/>
          <w:szCs w:val="32"/>
          <w:lang w:val="zh-CN"/>
        </w:rPr>
        <w:tab/>
      </w:r>
      <w:r>
        <w:rPr>
          <w:rFonts w:hint="eastAsia" w:ascii="仿宋" w:hAnsi="仿宋" w:eastAsia="仿宋" w:cs="仿宋"/>
          <w:sz w:val="32"/>
          <w:szCs w:val="32"/>
          <w:lang w:val="zh-CN"/>
        </w:rPr>
        <w:t>（一）资金计划、到位及使用情况。</w:t>
      </w:r>
    </w:p>
    <w:p w14:paraId="5A158075">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w:t>
      </w:r>
      <w:r>
        <w:rPr>
          <w:rFonts w:ascii="仿宋" w:hAnsi="仿宋" w:eastAsia="仿宋" w:cs="仿宋"/>
          <w:sz w:val="32"/>
          <w:szCs w:val="32"/>
          <w:u w:color="46CD7E"/>
          <w:lang w:val="zh-CN"/>
        </w:rPr>
        <w:t>.</w:t>
      </w:r>
      <w:r>
        <w:rPr>
          <w:rFonts w:hint="eastAsia" w:ascii="仿宋" w:hAnsi="仿宋" w:eastAsia="仿宋" w:cs="仿宋"/>
          <w:sz w:val="32"/>
          <w:szCs w:val="32"/>
          <w:lang w:val="zh-CN"/>
        </w:rPr>
        <w:t>资金计划到位。</w:t>
      </w:r>
      <w:r>
        <w:rPr>
          <w:rFonts w:hint="eastAsia" w:ascii="仿宋" w:hAnsi="仿宋" w:eastAsia="仿宋" w:cs="仿宋"/>
          <w:sz w:val="32"/>
          <w:szCs w:val="32"/>
        </w:rPr>
        <w:t>2021年“三农”示范片道路改造建设项目</w:t>
      </w:r>
      <w:r>
        <w:rPr>
          <w:rFonts w:hint="eastAsia" w:ascii="仿宋" w:hAnsi="仿宋" w:eastAsia="仿宋" w:cs="仿宋"/>
          <w:sz w:val="32"/>
          <w:szCs w:val="32"/>
          <w:lang w:val="zh-CN"/>
        </w:rPr>
        <w:t>申报</w:t>
      </w:r>
      <w:r>
        <w:rPr>
          <w:rFonts w:hint="eastAsia" w:ascii="仿宋" w:hAnsi="仿宋" w:eastAsia="仿宋" w:cs="仿宋"/>
          <w:sz w:val="32"/>
          <w:szCs w:val="32"/>
        </w:rPr>
        <w:t>204万元。通财农〔2020〕74号</w:t>
      </w:r>
      <w:r>
        <w:rPr>
          <w:rFonts w:hint="eastAsia" w:ascii="仿宋" w:hAnsi="仿宋" w:eastAsia="仿宋" w:cs="仿宋"/>
          <w:sz w:val="32"/>
          <w:szCs w:val="32"/>
          <w:lang w:val="zh-CN"/>
        </w:rPr>
        <w:t>已下达到位。</w:t>
      </w:r>
    </w:p>
    <w:p w14:paraId="05EDFB13">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2</w:t>
      </w:r>
      <w:r>
        <w:rPr>
          <w:rFonts w:ascii="仿宋" w:hAnsi="仿宋" w:eastAsia="仿宋" w:cs="仿宋"/>
          <w:sz w:val="32"/>
          <w:szCs w:val="32"/>
          <w:u w:color="46CD7E"/>
          <w:lang w:val="zh-CN"/>
        </w:rPr>
        <w:t>.</w:t>
      </w:r>
      <w:r>
        <w:rPr>
          <w:rFonts w:hint="eastAsia" w:ascii="仿宋" w:hAnsi="仿宋" w:eastAsia="仿宋" w:cs="仿宋"/>
          <w:sz w:val="32"/>
          <w:szCs w:val="32"/>
          <w:lang w:val="zh-CN"/>
        </w:rPr>
        <w:t>资金使用。</w:t>
      </w:r>
      <w:r>
        <w:rPr>
          <w:rFonts w:hint="eastAsia" w:ascii="仿宋" w:hAnsi="仿宋" w:eastAsia="仿宋" w:cs="仿宋"/>
          <w:sz w:val="32"/>
          <w:szCs w:val="32"/>
        </w:rPr>
        <w:t>2021年“三农”示范片道路改造建设项目，建设完成后已完全支付到位，支付资金与预算完全相符。</w:t>
      </w:r>
    </w:p>
    <w:p w14:paraId="15C5B0F7">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（二）项目财务管理情况。</w:t>
      </w:r>
    </w:p>
    <w:p w14:paraId="5C22BBE3">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2021年“三农”示范片道路改造建设项目</w:t>
      </w:r>
      <w:r>
        <w:rPr>
          <w:rFonts w:hint="eastAsia" w:ascii="仿宋" w:hAnsi="仿宋" w:eastAsia="仿宋" w:cs="仿宋"/>
          <w:sz w:val="32"/>
          <w:szCs w:val="32"/>
          <w:lang w:val="zh-CN"/>
        </w:rPr>
        <w:t>财务管理，实行专款专用，严格落实村账镇管制度，由镇会计核算中心落实专人建立专账，及时准确兑现到项目。</w:t>
      </w:r>
    </w:p>
    <w:p w14:paraId="3B8ECA3B">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（三）项目组织实施情况。</w:t>
      </w:r>
    </w:p>
    <w:p w14:paraId="6FF1204F">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2021年“三农”示范片道路改造建设项目实施方式，由项目招投标、施工队伍确立、施工队进场、项目施工等一系列过程，完成后由镇、村组织验收队伍验收。</w:t>
      </w:r>
    </w:p>
    <w:p w14:paraId="10715F9A">
      <w:pPr>
        <w:spacing w:line="510" w:lineRule="exact"/>
        <w:ind w:firstLine="643" w:firstLineChars="200"/>
        <w:outlineLvl w:val="1"/>
        <w:rPr>
          <w:rFonts w:ascii="仿宋" w:hAnsi="仿宋" w:eastAsia="仿宋" w:cs="仿宋"/>
          <w:sz w:val="32"/>
          <w:szCs w:val="32"/>
          <w:lang w:val="zh-CN"/>
        </w:rPr>
      </w:pPr>
      <w:bookmarkStart w:id="94" w:name="_Toc9010"/>
      <w:r>
        <w:rPr>
          <w:rFonts w:hint="eastAsia" w:ascii="仿宋" w:hAnsi="仿宋" w:eastAsia="仿宋" w:cs="仿宋"/>
          <w:b/>
          <w:bCs/>
          <w:sz w:val="32"/>
          <w:szCs w:val="32"/>
        </w:rPr>
        <w:t>三、目标完成情况</w:t>
      </w:r>
      <w:bookmarkEnd w:id="94"/>
      <w:r>
        <w:rPr>
          <w:rFonts w:hint="eastAsia" w:ascii="仿宋" w:hAnsi="仿宋" w:eastAsia="仿宋" w:cs="仿宋"/>
          <w:sz w:val="32"/>
          <w:szCs w:val="32"/>
          <w:lang w:val="zh-CN"/>
        </w:rPr>
        <w:tab/>
      </w:r>
    </w:p>
    <w:p w14:paraId="686D55CF">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（一）目标任务量完成情况。</w:t>
      </w:r>
    </w:p>
    <w:p w14:paraId="4581CF40">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2021年“三农”示范片道路改造建设项目，“三农”示范片道路改造6.8公里，对计划下达任务数都已完成</w:t>
      </w:r>
      <w:r>
        <w:rPr>
          <w:rFonts w:hint="eastAsia" w:ascii="仿宋" w:hAnsi="仿宋" w:eastAsia="仿宋" w:cs="仿宋"/>
          <w:sz w:val="32"/>
          <w:szCs w:val="32"/>
          <w:lang w:val="zh-CN"/>
        </w:rPr>
        <w:t>。</w:t>
      </w:r>
    </w:p>
    <w:p w14:paraId="1FF8970E">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（二）目标质量完成情况。</w:t>
      </w:r>
    </w:p>
    <w:p w14:paraId="1EC7AE88">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2021年“三农”示范片道路改造建设项目，施工队对道路质量负主体责任；镇要切实履行主体责任，强化日常监管，规范竣工验收，提升农户满意度。镇村成立农村道路建设质量安全巡查小组，发现问题及时督促整改，并做好记录。切实加强对竣工验收的管理，验收合格方可投入使用，验收不合格的责令责任主体限时整改。</w:t>
      </w:r>
    </w:p>
    <w:p w14:paraId="6D7F64F4">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（三）目标进度完成情况。</w:t>
      </w:r>
    </w:p>
    <w:p w14:paraId="4B50E4C5">
      <w:pPr>
        <w:pStyle w:val="7"/>
        <w:widowControl/>
        <w:spacing w:beforeAutospacing="0" w:afterAutospacing="0"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2021年“三农”示范片道路改造建设项目进度完成，根据</w:t>
      </w:r>
      <w:r>
        <w:rPr>
          <w:rFonts w:hint="eastAsia" w:ascii="仿宋" w:hAnsi="仿宋" w:eastAsia="仿宋" w:cs="仿宋"/>
          <w:sz w:val="32"/>
          <w:szCs w:val="32"/>
          <w:lang w:val="zh-CN"/>
        </w:rPr>
        <w:t>计划</w:t>
      </w:r>
      <w:r>
        <w:rPr>
          <w:rFonts w:hint="eastAsia" w:ascii="仿宋" w:hAnsi="仿宋" w:eastAsia="仿宋" w:cs="仿宋"/>
          <w:sz w:val="32"/>
          <w:szCs w:val="32"/>
        </w:rPr>
        <w:t>，按照实施方式，一步步按照实施程序进行，现已全面完成道路建设</w:t>
      </w:r>
      <w:r>
        <w:rPr>
          <w:rFonts w:hint="eastAsia" w:ascii="仿宋_GB2312" w:hAnsi="仿宋_GB2312" w:eastAsia="仿宋_GB2312" w:cs="仿宋_GB2312"/>
          <w:sz w:val="32"/>
          <w:szCs w:val="32"/>
          <w:shd w:val="clear" w:color="auto" w:fill="FFFFFF"/>
        </w:rPr>
        <w:t>，贫困户对该项目满意，项目的实施极大地提高了群众出行满意度，公路畅通安全隐患问题也得到了极大的改善。</w:t>
      </w:r>
    </w:p>
    <w:p w14:paraId="7965246B">
      <w:pPr>
        <w:spacing w:line="510" w:lineRule="exact"/>
        <w:ind w:firstLine="643" w:firstLineChars="200"/>
        <w:outlineLvl w:val="1"/>
        <w:rPr>
          <w:rFonts w:ascii="仿宋" w:hAnsi="仿宋" w:eastAsia="仿宋" w:cs="仿宋"/>
          <w:b/>
          <w:bCs/>
          <w:sz w:val="32"/>
          <w:szCs w:val="32"/>
        </w:rPr>
      </w:pPr>
      <w:bookmarkStart w:id="95" w:name="_Toc28463"/>
      <w:r>
        <w:rPr>
          <w:rFonts w:hint="eastAsia" w:ascii="仿宋" w:hAnsi="仿宋" w:eastAsia="仿宋" w:cs="仿宋"/>
          <w:b/>
          <w:bCs/>
          <w:sz w:val="32"/>
          <w:szCs w:val="32"/>
        </w:rPr>
        <w:t>四、项目效益情况</w:t>
      </w:r>
      <w:bookmarkEnd w:id="95"/>
    </w:p>
    <w:p w14:paraId="38330852">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道路改造6.8公里，方便了居民出行，</w:t>
      </w:r>
      <w:r>
        <w:rPr>
          <w:rFonts w:hint="eastAsia" w:ascii="仿宋" w:hAnsi="仿宋" w:eastAsia="仿宋" w:cs="仿宋"/>
          <w:sz w:val="32"/>
          <w:szCs w:val="32"/>
          <w:lang w:val="zh-CN"/>
        </w:rPr>
        <w:t>减少了村民的出行时间</w:t>
      </w:r>
      <w:r>
        <w:rPr>
          <w:rFonts w:hint="eastAsia" w:ascii="仿宋" w:hAnsi="仿宋" w:eastAsia="仿宋" w:cs="仿宋"/>
          <w:sz w:val="32"/>
          <w:szCs w:val="32"/>
        </w:rPr>
        <w:t>。</w:t>
      </w:r>
      <w:r>
        <w:rPr>
          <w:rFonts w:hint="eastAsia" w:ascii="仿宋" w:hAnsi="仿宋" w:eastAsia="仿宋" w:cs="仿宋"/>
          <w:sz w:val="32"/>
          <w:szCs w:val="32"/>
          <w:lang w:val="zh-CN"/>
        </w:rPr>
        <w:t>提升了群众满意度。</w:t>
      </w:r>
    </w:p>
    <w:p w14:paraId="18D2F78D">
      <w:pPr>
        <w:spacing w:line="510" w:lineRule="exact"/>
        <w:ind w:firstLine="643" w:firstLineChars="200"/>
        <w:outlineLvl w:val="1"/>
        <w:rPr>
          <w:rFonts w:ascii="仿宋" w:hAnsi="仿宋" w:eastAsia="仿宋" w:cs="仿宋"/>
          <w:b/>
          <w:bCs/>
          <w:sz w:val="32"/>
          <w:szCs w:val="32"/>
        </w:rPr>
      </w:pPr>
      <w:bookmarkStart w:id="96" w:name="_Toc7546"/>
      <w:r>
        <w:rPr>
          <w:rFonts w:hint="eastAsia" w:ascii="仿宋" w:hAnsi="仿宋" w:eastAsia="仿宋" w:cs="仿宋"/>
          <w:b/>
          <w:bCs/>
          <w:sz w:val="32"/>
          <w:szCs w:val="32"/>
        </w:rPr>
        <w:t>五、问题及建议</w:t>
      </w:r>
      <w:bookmarkEnd w:id="96"/>
    </w:p>
    <w:p w14:paraId="706F93D1">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（一）存在的问题。</w:t>
      </w:r>
    </w:p>
    <w:p w14:paraId="0386B097">
      <w:pPr>
        <w:spacing w:line="51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w:t>
      </w:r>
      <w:r>
        <w:rPr>
          <w:rFonts w:ascii="仿宋" w:hAnsi="仿宋" w:eastAsia="仿宋" w:cs="仿宋"/>
          <w:sz w:val="32"/>
          <w:szCs w:val="32"/>
          <w:u w:color="46CD7E"/>
        </w:rPr>
        <w:t>.</w:t>
      </w:r>
      <w:r>
        <w:rPr>
          <w:rFonts w:hint="eastAsia" w:ascii="仿宋" w:hAnsi="仿宋" w:eastAsia="仿宋" w:cs="仿宋"/>
          <w:sz w:val="32"/>
          <w:szCs w:val="32"/>
          <w:lang w:val="zh-CN"/>
        </w:rPr>
        <w:t>镇村道路缺乏专业养护队伍和养护资金</w:t>
      </w:r>
    </w:p>
    <w:p w14:paraId="6131477A">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u w:color="46CD7E"/>
        </w:rPr>
        <w:t>.</w:t>
      </w:r>
      <w:r>
        <w:rPr>
          <w:rFonts w:hint="eastAsia" w:ascii="仿宋" w:hAnsi="仿宋" w:eastAsia="仿宋" w:cs="仿宋"/>
          <w:sz w:val="32"/>
          <w:szCs w:val="32"/>
        </w:rPr>
        <w:t>镇村道路缺乏信号灯、路灯、护栏等安全防护和警示标志。</w:t>
      </w:r>
    </w:p>
    <w:p w14:paraId="3A8FFD1F">
      <w:pPr>
        <w:spacing w:line="51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lang w:val="zh-CN"/>
        </w:rPr>
        <w:t>（二）相关建议</w:t>
      </w:r>
    </w:p>
    <w:p w14:paraId="40EE5405">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u w:color="46CD7E"/>
        </w:rPr>
        <w:t>.</w:t>
      </w:r>
      <w:r>
        <w:rPr>
          <w:rFonts w:hint="eastAsia" w:ascii="仿宋" w:hAnsi="仿宋" w:eastAsia="仿宋" w:cs="仿宋"/>
          <w:sz w:val="32"/>
          <w:szCs w:val="32"/>
        </w:rPr>
        <w:t>加强乡镇专业养护队伍建设，确保养护资金到位。</w:t>
      </w:r>
    </w:p>
    <w:p w14:paraId="121A21C8">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u w:color="46CD7E"/>
        </w:rPr>
        <w:t>.</w:t>
      </w:r>
      <w:r>
        <w:rPr>
          <w:rFonts w:hint="eastAsia" w:ascii="仿宋" w:hAnsi="仿宋" w:eastAsia="仿宋" w:cs="仿宋"/>
          <w:sz w:val="32"/>
          <w:szCs w:val="32"/>
        </w:rPr>
        <w:t>加大安全防护工程投入</w:t>
      </w:r>
    </w:p>
    <w:p w14:paraId="0F8EA098">
      <w:pPr>
        <w:spacing w:line="500" w:lineRule="exact"/>
        <w:ind w:firstLine="640" w:firstLineChars="200"/>
        <w:rPr>
          <w:rFonts w:ascii="仿宋" w:hAnsi="仿宋" w:eastAsia="仿宋" w:cs="仿宋"/>
          <w:sz w:val="32"/>
          <w:szCs w:val="32"/>
        </w:rPr>
      </w:pPr>
    </w:p>
    <w:p w14:paraId="6DB39DC4">
      <w:pPr>
        <w:spacing w:line="500" w:lineRule="exact"/>
        <w:ind w:firstLine="4480" w:firstLineChars="1400"/>
        <w:rPr>
          <w:rFonts w:ascii="仿宋" w:hAnsi="仿宋" w:eastAsia="仿宋" w:cs="仿宋"/>
          <w:sz w:val="32"/>
          <w:szCs w:val="32"/>
        </w:rPr>
      </w:pPr>
    </w:p>
    <w:p w14:paraId="1EB84B09">
      <w:pPr>
        <w:pStyle w:val="3"/>
        <w:spacing w:before="93"/>
        <w:rPr>
          <w:lang w:val="zh-CN"/>
        </w:rPr>
      </w:pPr>
    </w:p>
    <w:p w14:paraId="1F23623A">
      <w:pPr>
        <w:pStyle w:val="3"/>
        <w:spacing w:before="93"/>
        <w:rPr>
          <w:lang w:val="zh-CN"/>
        </w:rPr>
      </w:pPr>
    </w:p>
    <w:p w14:paraId="2B7C0943">
      <w:pPr>
        <w:pStyle w:val="3"/>
        <w:spacing w:before="93"/>
        <w:rPr>
          <w:lang w:val="zh-CN"/>
        </w:rPr>
      </w:pPr>
    </w:p>
    <w:p w14:paraId="507C2009">
      <w:pPr>
        <w:pStyle w:val="3"/>
        <w:spacing w:before="93"/>
        <w:rPr>
          <w:lang w:val="zh-CN"/>
        </w:rPr>
      </w:pPr>
    </w:p>
    <w:p w14:paraId="44E5EB29">
      <w:pPr>
        <w:pStyle w:val="3"/>
        <w:spacing w:before="93"/>
        <w:rPr>
          <w:lang w:val="zh-CN"/>
        </w:rPr>
      </w:pPr>
    </w:p>
    <w:p w14:paraId="437B6155">
      <w:pPr>
        <w:pStyle w:val="3"/>
        <w:spacing w:before="93"/>
        <w:rPr>
          <w:lang w:val="zh-CN"/>
        </w:rPr>
      </w:pPr>
    </w:p>
    <w:p w14:paraId="6F51C0C2">
      <w:pPr>
        <w:pStyle w:val="3"/>
        <w:spacing w:before="93"/>
        <w:rPr>
          <w:lang w:val="zh-CN"/>
        </w:rPr>
      </w:pPr>
    </w:p>
    <w:p w14:paraId="2E5CCC3D">
      <w:pPr>
        <w:pStyle w:val="3"/>
        <w:spacing w:before="93"/>
        <w:rPr>
          <w:lang w:val="zh-CN"/>
        </w:rPr>
      </w:pPr>
    </w:p>
    <w:p w14:paraId="3913FA15">
      <w:pPr>
        <w:pStyle w:val="3"/>
        <w:spacing w:before="93"/>
        <w:rPr>
          <w:lang w:val="zh-CN"/>
        </w:rPr>
      </w:pPr>
    </w:p>
    <w:p w14:paraId="4E6DBAC4">
      <w:pPr>
        <w:pStyle w:val="3"/>
        <w:spacing w:before="93"/>
        <w:rPr>
          <w:lang w:val="zh-CN"/>
        </w:rPr>
      </w:pPr>
    </w:p>
    <w:p w14:paraId="62A2C173">
      <w:pPr>
        <w:pStyle w:val="3"/>
        <w:spacing w:before="93"/>
        <w:rPr>
          <w:lang w:val="zh-CN"/>
        </w:rPr>
      </w:pPr>
    </w:p>
    <w:p w14:paraId="18E44739">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通江县兴隆镇人民政府</w:t>
      </w:r>
    </w:p>
    <w:p w14:paraId="088D2582">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关于2021年易地扶贫搬迁集中安置后续扶持项目绩效自评报告</w:t>
      </w:r>
    </w:p>
    <w:p w14:paraId="29E4B0D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通江县财政局</w:t>
      </w:r>
      <w:r>
        <w:t>：</w:t>
      </w:r>
    </w:p>
    <w:p w14:paraId="4561D0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省、市、县易地扶贫搬迁后续扶持政策，加大搬迁群众就业创业扶持工作力度，科学谋划实施安置区后续扶持产业，实现“稳得住、能脱贫、可致富”。根据贵局《关于预下达2021年易地扶贫搬迁集中安置后续扶持资金的通知》通财农2021]21号文件下达了我镇易地扶贫搬迁集中安置后续扶持项目，现项目已完工。按照项目绩效评价工作的要求，我镇开展了项目绩效评价工作，现将具体情况汇报如下</w:t>
      </w:r>
      <w:r>
        <w:rPr>
          <w:rFonts w:hint="eastAsia"/>
          <w:u w:color="46CD7E"/>
        </w:rPr>
        <w:t>。</w:t>
      </w:r>
    </w:p>
    <w:p w14:paraId="54868E2A">
      <w:pPr>
        <w:spacing w:line="560" w:lineRule="exact"/>
        <w:ind w:firstLine="640" w:firstLineChars="200"/>
        <w:outlineLvl w:val="1"/>
        <w:rPr>
          <w:rFonts w:ascii="仿宋_GB2312" w:hAnsi="仿宋_GB2312" w:eastAsia="仿宋_GB2312" w:cs="仿宋_GB2312"/>
          <w:sz w:val="32"/>
          <w:szCs w:val="32"/>
        </w:rPr>
      </w:pPr>
      <w:bookmarkStart w:id="97" w:name="_Toc32115"/>
      <w:r>
        <w:rPr>
          <w:rFonts w:hint="eastAsia" w:ascii="仿宋_GB2312" w:hAnsi="仿宋_GB2312" w:eastAsia="仿宋_GB2312" w:cs="仿宋_GB2312"/>
          <w:sz w:val="32"/>
          <w:szCs w:val="32"/>
        </w:rPr>
        <w:t>一、基本情况</w:t>
      </w:r>
      <w:bookmarkEnd w:id="97"/>
    </w:p>
    <w:p w14:paraId="4908B8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兴隆镇易地扶贫搬迁共有2个集中安置点，共计安置31户103人，分别为安坪村长树坝聚居点24户76人、三角村聚居点7户27人。2021年，根据县委、县政府统一部署、开展易地扶贫搬迁后续扶持工作，巩固完善基础设施建设，支持搬迁群众发展产业项目，加强集中安置点公共服务岗位，更好与乡村振兴相衔接。</w:t>
      </w:r>
      <w:r>
        <w:rPr>
          <w:rFonts w:hint="eastAsia" w:ascii="仿宋_GB2312" w:hAnsi="仿宋_GB2312" w:eastAsia="仿宋_GB2312" w:cs="仿宋_GB2312"/>
          <w:sz w:val="32"/>
          <w:szCs w:val="32"/>
        </w:rPr>
        <w:t>贵局《关于预下达2021年易地扶贫搬迁集中安置后续扶持资金的通知》</w:t>
      </w:r>
      <w:r>
        <w:t>（</w:t>
      </w:r>
      <w:r>
        <w:rPr>
          <w:rFonts w:hint="eastAsia" w:ascii="仿宋_GB2312" w:hAnsi="仿宋_GB2312" w:eastAsia="仿宋_GB2312" w:cs="仿宋_GB2312"/>
          <w:sz w:val="32"/>
          <w:szCs w:val="32"/>
        </w:rPr>
        <w:t>通财农﹝202</w:t>
      </w:r>
      <w:r>
        <w:rPr>
          <w:rFonts w:hint="eastAsia" w:ascii="仿宋_GB2312" w:hAnsi="仿宋_GB2312" w:cs="仿宋_GB2312"/>
          <w:sz w:val="32"/>
          <w:szCs w:val="32"/>
        </w:rPr>
        <w:t>1</w:t>
      </w:r>
      <w:r>
        <w:rPr>
          <w:rFonts w:hint="eastAsia" w:ascii="仿宋_GB2312" w:hAnsi="仿宋_GB2312" w:eastAsia="仿宋_GB2312" w:cs="仿宋_GB2312"/>
          <w:sz w:val="32"/>
          <w:szCs w:val="32"/>
        </w:rPr>
        <w:t>﹞21号</w:t>
      </w:r>
      <w:r>
        <w:t>）</w:t>
      </w:r>
      <w:r>
        <w:rPr>
          <w:rFonts w:hint="eastAsia" w:ascii="仿宋_GB2312" w:hAnsi="仿宋_GB2312" w:eastAsia="仿宋_GB2312" w:cs="仿宋_GB2312"/>
          <w:sz w:val="32"/>
          <w:szCs w:val="32"/>
        </w:rPr>
        <w:t>文件下达我镇资金共计10.21万元，解决全镇2个集中安置点31户，103人后续扶持，其中支持搬迁群众发展产业项目资金7.21万元，公共服务岗位补助3万元。我镇易地扶贫搬迁集中安置后续扶持项目于2021年11月完工验收，按时完成了易地扶贫搬迁集中安置后续扶持项目建设任务。</w:t>
      </w:r>
    </w:p>
    <w:p w14:paraId="6E9CC426">
      <w:pPr>
        <w:spacing w:line="560" w:lineRule="exact"/>
        <w:ind w:firstLine="640" w:firstLineChars="200"/>
        <w:outlineLvl w:val="1"/>
        <w:rPr>
          <w:rFonts w:ascii="仿宋_GB2312" w:hAnsi="仿宋_GB2312" w:eastAsia="仿宋_GB2312" w:cs="仿宋_GB2312"/>
          <w:sz w:val="32"/>
          <w:szCs w:val="32"/>
        </w:rPr>
      </w:pPr>
      <w:bookmarkStart w:id="98" w:name="_Toc26647"/>
      <w:r>
        <w:rPr>
          <w:rFonts w:hint="eastAsia" w:ascii="仿宋_GB2312" w:hAnsi="仿宋_GB2312" w:eastAsia="仿宋_GB2312" w:cs="仿宋_GB2312"/>
          <w:sz w:val="32"/>
          <w:szCs w:val="32"/>
        </w:rPr>
        <w:t>二、项目实施及管理情况</w:t>
      </w:r>
      <w:bookmarkEnd w:id="98"/>
    </w:p>
    <w:p w14:paraId="0F1DD839">
      <w:pPr>
        <w:spacing w:line="560" w:lineRule="exact"/>
        <w:ind w:firstLine="420" w:firstLineChars="200"/>
        <w:rPr>
          <w:rFonts w:ascii="仿宋_GB2312" w:hAnsi="仿宋_GB2312" w:eastAsia="仿宋_GB2312" w:cs="仿宋_GB2312"/>
          <w:sz w:val="32"/>
          <w:szCs w:val="32"/>
        </w:rPr>
      </w:pPr>
      <w:r>
        <w:t>（</w:t>
      </w:r>
      <w:r>
        <w:rPr>
          <w:rFonts w:hint="eastAsia" w:ascii="仿宋_GB2312" w:hAnsi="仿宋_GB2312" w:eastAsia="仿宋_GB2312" w:cs="仿宋_GB2312"/>
          <w:sz w:val="32"/>
          <w:szCs w:val="32"/>
        </w:rPr>
        <w:t>一</w:t>
      </w:r>
      <w:r>
        <w:t>）</w:t>
      </w:r>
      <w:r>
        <w:rPr>
          <w:rFonts w:hint="eastAsia" w:ascii="仿宋_GB2312" w:hAnsi="仿宋_GB2312" w:eastAsia="仿宋_GB2312" w:cs="仿宋_GB2312"/>
          <w:sz w:val="32"/>
          <w:szCs w:val="32"/>
        </w:rPr>
        <w:t>资金计划、到位及使用情况。</w:t>
      </w:r>
    </w:p>
    <w:p w14:paraId="06FCC4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资金计划及到位情况。县财政局根据扶贫资金统筹及涉农项目资金整合情况，共支付我镇易地扶贫搬迁集中安置后续扶持项目资金10.21万元。实际到位资金达到我镇易地扶贫搬迁集中安置后续扶持年度资金计划的100%。</w:t>
      </w:r>
    </w:p>
    <w:p w14:paraId="2A0262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资金使用情况。为切实保证资金安全高效，我镇严格资金支付程序，根据各集中安置点产业发展需求及公共服务岗位设置情况，实行农户申请、村民代表会评议、年初规划、年底验收的审批流程，通过驻村工作队、村支两委、镇级相关部门联合验收，严格审查各项产业计量、补助标准资料和报账支付</w:t>
      </w:r>
      <w:r>
        <w:t>。</w:t>
      </w:r>
    </w:p>
    <w:p w14:paraId="38870E3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依据的合规性和完整性，确保资金专款专用。</w:t>
      </w:r>
      <w:r>
        <w:rPr>
          <w:rFonts w:hint="eastAsia" w:ascii="仿宋_GB2312" w:hAnsi="仿宋_GB2312" w:eastAsia="仿宋_GB2312" w:cs="仿宋_GB2312"/>
          <w:sz w:val="32"/>
          <w:szCs w:val="32"/>
        </w:rPr>
        <w:t>截至目前，共支付我镇易地扶贫搬迁集中安置后续扶持资金10.21万元。资金支付范围、支付进度、支付依据合规合法，资金支付与计划相符。</w:t>
      </w:r>
    </w:p>
    <w:p w14:paraId="303968A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项目财务管理情况。</w:t>
      </w:r>
    </w:p>
    <w:p w14:paraId="25701D7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资金规范管理要求，镇人民政府成立了以镇长为组长，财政所长为副组长，镇相关项目管理人员为成员的资金管理领导小组，加强对资金的监督、管理和使用。建立了项目财务管理制度建设，落实了财务管理机构和财务核算员。严格实行“村财镇管”，由镇会计核算中心统一代理核算村级财务和项目收支。按照项目资金管理办法，认真评价和审查项目工程完成情况，严格执行财务管理制度，切实规范财务处理和会计核算，没有发生专项资金截留、挤占、挪用等现象，切实保证了专项资金专款专用。</w:t>
      </w:r>
    </w:p>
    <w:p w14:paraId="592644ED">
      <w:pPr>
        <w:spacing w:line="560" w:lineRule="exact"/>
        <w:ind w:firstLine="640" w:firstLineChars="200"/>
        <w:rPr>
          <w:rFonts w:hint="eastAsia" w:ascii="仿宋_GB2312" w:hAnsi="仿宋_GB2312" w:eastAsia="仿宋_GB2312" w:cs="仿宋_GB2312"/>
          <w:sz w:val="32"/>
          <w:szCs w:val="32"/>
        </w:rPr>
      </w:pPr>
      <w:bookmarkStart w:id="99" w:name="_Toc18691"/>
      <w:r>
        <w:rPr>
          <w:rFonts w:hint="eastAsia" w:ascii="仿宋_GB2312" w:hAnsi="仿宋_GB2312" w:eastAsia="仿宋_GB2312" w:cs="仿宋_GB2312"/>
          <w:sz w:val="32"/>
          <w:szCs w:val="32"/>
        </w:rPr>
        <w:t>三、目标完成情况</w:t>
      </w:r>
      <w:bookmarkEnd w:id="99"/>
    </w:p>
    <w:p w14:paraId="2C2F1F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目标任务质量完成情况。</w:t>
      </w:r>
    </w:p>
    <w:p w14:paraId="26E69D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目前，我镇已全面完成易地扶贫搬迁2个集中安置点后续扶持项目，支持搬迁群众发展产业项目到户资金已全部完成验收，公共服务岗位人员全年履职尽责、到岗到位，实现了集中安置点搬迁群众户户有产业，聚居点基础设施管护及日常运营由专人负责、管理有序为乡村振兴打下坚实基础。</w:t>
      </w:r>
    </w:p>
    <w:p w14:paraId="7840C1F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目标进度完成情况。</w:t>
      </w:r>
    </w:p>
    <w:p w14:paraId="675E5B0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镇下达的易地扶贫搬迁集中安置后续扶持目标任务，按照时间节点目标，不断优化实施组织，及时解决在产业发展，公共岗位中的各种问题，确保任务目标按期完成。截至目前，完成及时率达到100%，计划支持搬迁群众产业发展实现了全覆盖，公共服务岗位设置合理，到岗到位，补助资金到位及拨付达到计划进度。</w:t>
      </w:r>
    </w:p>
    <w:p w14:paraId="29D5FE6C">
      <w:pPr>
        <w:spacing w:line="560" w:lineRule="exact"/>
        <w:ind w:firstLine="640" w:firstLineChars="200"/>
        <w:rPr>
          <w:rFonts w:hint="eastAsia" w:ascii="仿宋_GB2312" w:hAnsi="仿宋_GB2312" w:eastAsia="仿宋_GB2312" w:cs="仿宋_GB2312"/>
          <w:sz w:val="32"/>
          <w:szCs w:val="32"/>
        </w:rPr>
      </w:pPr>
      <w:bookmarkStart w:id="100" w:name="_Toc24492"/>
      <w:r>
        <w:rPr>
          <w:rFonts w:hint="eastAsia" w:ascii="仿宋_GB2312" w:hAnsi="仿宋_GB2312" w:eastAsia="仿宋_GB2312" w:cs="仿宋_GB2312"/>
          <w:sz w:val="32"/>
          <w:szCs w:val="32"/>
        </w:rPr>
        <w:t>四、项目效益情况</w:t>
      </w:r>
      <w:bookmarkEnd w:id="100"/>
    </w:p>
    <w:p w14:paraId="118E2C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通过易地扶贫搬迁集中安置</w:t>
      </w:r>
      <w:r>
        <w:rPr>
          <w:rFonts w:hint="eastAsia" w:ascii="仿宋_GB2312" w:hAnsi="仿宋_GB2312" w:eastAsia="仿宋_GB2312" w:cs="仿宋_GB2312"/>
          <w:sz w:val="32"/>
          <w:szCs w:val="32"/>
        </w:rPr>
        <w:t>后续扶持项目实施：</w:t>
      </w:r>
      <w:r>
        <w:rPr>
          <w:rFonts w:hint="eastAsia" w:ascii="仿宋_GB2312" w:hAnsi="仿宋_GB2312" w:eastAsia="仿宋_GB2312" w:cs="仿宋_GB2312"/>
          <w:sz w:val="32"/>
          <w:szCs w:val="32"/>
        </w:rPr>
        <w:t>一是实现了全镇集中安置点产业发展全覆盖，解决了易地</w:t>
      </w:r>
      <w:r>
        <w:rPr>
          <w:rFonts w:hint="eastAsia" w:ascii="仿宋_GB2312" w:hAnsi="仿宋_GB2312" w:eastAsia="仿宋_GB2312" w:cs="仿宋_GB2312"/>
          <w:sz w:val="32"/>
          <w:szCs w:val="32"/>
        </w:rPr>
        <w:t>搬迁人口产业发展问题，实现“稳得住、能脱贫、可致富”；</w:t>
      </w:r>
      <w:r>
        <w:rPr>
          <w:rFonts w:hint="eastAsia" w:ascii="仿宋_GB2312" w:hAnsi="仿宋_GB2312" w:eastAsia="仿宋_GB2312" w:cs="仿宋_GB2312"/>
          <w:sz w:val="32"/>
          <w:szCs w:val="32"/>
        </w:rPr>
        <w:t>二是提升人居环境质量，使全镇每个集中安置点都有一到两个主导产业，带动周边群众产业发展，提高群众产业收入：</w:t>
      </w:r>
      <w:r>
        <w:rPr>
          <w:rFonts w:hint="eastAsia" w:ascii="仿宋_GB2312" w:hAnsi="仿宋_GB2312" w:eastAsia="仿宋_GB2312" w:cs="仿宋_GB2312"/>
          <w:sz w:val="32"/>
          <w:szCs w:val="32"/>
        </w:rPr>
        <w:t>三是改善了聚居点形象，公共服务岗位日常对聚居点的运行管护到位，促进聚居点环境改善：</w:t>
      </w:r>
      <w:r>
        <w:rPr>
          <w:rFonts w:hint="eastAsia" w:ascii="仿宋_GB2312" w:hAnsi="仿宋_GB2312" w:eastAsia="仿宋_GB2312" w:cs="仿宋_GB2312"/>
          <w:sz w:val="32"/>
          <w:szCs w:val="32"/>
        </w:rPr>
        <w:t>四是解决搬迁群众收入问题，产业发展带动聚居点经济，公共服务岗位的设置，增加了就业岗位，使岗位人员增加了收入：</w:t>
      </w:r>
      <w:r>
        <w:rPr>
          <w:rFonts w:hint="eastAsia" w:ascii="仿宋_GB2312" w:hAnsi="仿宋_GB2312" w:eastAsia="仿宋_GB2312" w:cs="仿宋_GB2312"/>
          <w:sz w:val="32"/>
          <w:szCs w:val="32"/>
        </w:rPr>
        <w:t>五是搬迁群众满意度大幅提升，易地扶贫搬迁集中安置后续扶持项目的实施，提升集中安置点形象，解决产业发展的问题，使集中安置点运行更加流畅，全面提升了群众满意度。</w:t>
      </w:r>
    </w:p>
    <w:p w14:paraId="164F3932">
      <w:pPr>
        <w:spacing w:line="560" w:lineRule="exact"/>
        <w:ind w:firstLine="640" w:firstLineChars="200"/>
        <w:rPr>
          <w:rFonts w:hint="eastAsia" w:ascii="仿宋_GB2312" w:hAnsi="仿宋_GB2312" w:eastAsia="仿宋_GB2312" w:cs="仿宋_GB2312"/>
          <w:sz w:val="32"/>
          <w:szCs w:val="32"/>
        </w:rPr>
      </w:pPr>
      <w:bookmarkStart w:id="101" w:name="_Toc23448"/>
      <w:r>
        <w:rPr>
          <w:rFonts w:hint="eastAsia" w:ascii="仿宋_GB2312" w:hAnsi="仿宋_GB2312" w:eastAsia="仿宋_GB2312" w:cs="仿宋_GB2312"/>
          <w:sz w:val="32"/>
          <w:szCs w:val="32"/>
        </w:rPr>
        <w:t>五、问题及建议</w:t>
      </w:r>
      <w:bookmarkEnd w:id="101"/>
    </w:p>
    <w:p w14:paraId="7851FA3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存在的问题。一是我镇属大巴山腹地，区位劣势明显，产业发展整体还比较薄弱，多数搬迁劳动力靠外出务工增加收入，导致农村产业环境形象不佳，整体提升难度大。</w:t>
      </w:r>
    </w:p>
    <w:p w14:paraId="7BF831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相关建议。各级各部门高度重视易地扶贫搬迁后续扶持工作，加强产业发展资金投入和相关技术指导，通过招商引资和回引创业以及政府投入带动等多渠道，切实提升农村产业整体形象，确保搬迁群众“稳得住、能脱贫、可致富”。</w:t>
      </w:r>
    </w:p>
    <w:p w14:paraId="7B8FAD2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14:paraId="51F381AC">
      <w:pPr>
        <w:spacing w:line="560" w:lineRule="exact"/>
        <w:ind w:firstLine="640" w:firstLineChars="200"/>
        <w:rPr>
          <w:rFonts w:hint="eastAsia" w:ascii="仿宋_GB2312" w:hAnsi="仿宋_GB2312" w:eastAsia="仿宋_GB2312" w:cs="仿宋_GB2312"/>
          <w:sz w:val="32"/>
          <w:szCs w:val="32"/>
        </w:rPr>
      </w:pPr>
    </w:p>
    <w:p w14:paraId="05C273BD">
      <w:pPr>
        <w:spacing w:line="560" w:lineRule="exact"/>
        <w:ind w:firstLine="640" w:firstLineChars="200"/>
        <w:rPr>
          <w:rFonts w:hint="eastAsia" w:ascii="仿宋_GB2312" w:hAnsi="仿宋_GB2312" w:eastAsia="仿宋_GB2312" w:cs="仿宋_GB2312"/>
          <w:sz w:val="32"/>
          <w:szCs w:val="32"/>
        </w:rPr>
      </w:pPr>
    </w:p>
    <w:p w14:paraId="0FDEBB62">
      <w:pPr>
        <w:spacing w:line="560" w:lineRule="exact"/>
        <w:ind w:firstLine="640" w:firstLineChars="200"/>
        <w:rPr>
          <w:rFonts w:hint="eastAsia" w:ascii="仿宋_GB2312" w:hAnsi="仿宋_GB2312" w:eastAsia="仿宋_GB2312" w:cs="仿宋_GB2312"/>
          <w:sz w:val="32"/>
          <w:szCs w:val="32"/>
          <w:lang w:val="zh-CN"/>
        </w:rPr>
      </w:pPr>
    </w:p>
    <w:p w14:paraId="6EC74809">
      <w:pPr>
        <w:pStyle w:val="3"/>
        <w:spacing w:before="93"/>
        <w:rPr>
          <w:lang w:val="zh-CN"/>
        </w:rPr>
      </w:pPr>
    </w:p>
    <w:p w14:paraId="6E236C44">
      <w:pPr>
        <w:pStyle w:val="3"/>
        <w:spacing w:before="93"/>
        <w:rPr>
          <w:lang w:val="zh-CN"/>
        </w:rPr>
      </w:pPr>
    </w:p>
    <w:p w14:paraId="5FFD553A">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14:paraId="14BB7AE6">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14:paraId="77668173">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tbl>
      <w:tblPr>
        <w:tblStyle w:val="8"/>
        <w:tblpPr w:leftFromText="180" w:rightFromText="180" w:vertAnchor="text" w:horzAnchor="page" w:tblpX="1203" w:tblpY="188"/>
        <w:tblOverlap w:val="never"/>
        <w:tblW w:w="9620" w:type="dxa"/>
        <w:tblInd w:w="0" w:type="dxa"/>
        <w:tblLayout w:type="autofit"/>
        <w:tblCellMar>
          <w:top w:w="0" w:type="dxa"/>
          <w:left w:w="108" w:type="dxa"/>
          <w:bottom w:w="0" w:type="dxa"/>
          <w:right w:w="108" w:type="dxa"/>
        </w:tblCellMar>
      </w:tblPr>
      <w:tblGrid>
        <w:gridCol w:w="1072"/>
        <w:gridCol w:w="1072"/>
        <w:gridCol w:w="1265"/>
        <w:gridCol w:w="2264"/>
        <w:gridCol w:w="1876"/>
        <w:gridCol w:w="2071"/>
      </w:tblGrid>
      <w:tr w14:paraId="1ACE07C8">
        <w:tblPrEx>
          <w:tblCellMar>
            <w:top w:w="0" w:type="dxa"/>
            <w:left w:w="108" w:type="dxa"/>
            <w:bottom w:w="0" w:type="dxa"/>
            <w:right w:w="108" w:type="dxa"/>
          </w:tblCellMar>
        </w:tblPrEx>
        <w:trPr>
          <w:trHeight w:val="768" w:hRule="atLeast"/>
        </w:trPr>
        <w:tc>
          <w:tcPr>
            <w:tcW w:w="9620" w:type="dxa"/>
            <w:gridSpan w:val="6"/>
            <w:tcBorders>
              <w:top w:val="nil"/>
              <w:left w:val="nil"/>
              <w:bottom w:val="nil"/>
              <w:right w:val="nil"/>
            </w:tcBorders>
            <w:shd w:val="clear" w:color="auto" w:fill="auto"/>
            <w:vAlign w:val="center"/>
          </w:tcPr>
          <w:p w14:paraId="328105F3">
            <w:pPr>
              <w:widowControl/>
              <w:textAlignment w:val="center"/>
              <w:rPr>
                <w:rFonts w:ascii="宋体" w:hAnsi="宋体" w:cs="宋体"/>
                <w:b/>
                <w:bCs/>
                <w:color w:val="000000"/>
                <w:sz w:val="32"/>
                <w:szCs w:val="32"/>
              </w:rPr>
            </w:pPr>
            <w:r>
              <w:rPr>
                <w:rFonts w:hint="eastAsia" w:ascii="宋体" w:hAnsi="宋体" w:cs="宋体"/>
                <w:b/>
                <w:bCs/>
                <w:color w:val="000000"/>
                <w:kern w:val="0"/>
                <w:sz w:val="32"/>
                <w:szCs w:val="32"/>
              </w:rPr>
              <w:t>2021年100万元以上（含）特定目标类部门预算项目绩效目标自评</w:t>
            </w:r>
          </w:p>
        </w:tc>
      </w:tr>
      <w:tr w14:paraId="15376E53">
        <w:tblPrEx>
          <w:tblCellMar>
            <w:top w:w="0" w:type="dxa"/>
            <w:left w:w="108" w:type="dxa"/>
            <w:bottom w:w="0" w:type="dxa"/>
            <w:right w:w="108" w:type="dxa"/>
          </w:tblCellMar>
        </w:tblPrEx>
        <w:trPr>
          <w:trHeight w:val="624" w:hRule="atLeast"/>
        </w:trPr>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D4896">
            <w:pPr>
              <w:widowControl/>
              <w:jc w:val="center"/>
              <w:textAlignment w:val="center"/>
              <w:rPr>
                <w:rFonts w:ascii="宋体" w:hAnsi="宋体" w:cs="宋体"/>
                <w:color w:val="000000"/>
                <w:sz w:val="24"/>
              </w:rPr>
            </w:pPr>
            <w:r>
              <w:rPr>
                <w:rFonts w:hint="eastAsia" w:ascii="宋体" w:hAnsi="宋体" w:cs="宋体"/>
                <w:color w:val="000000"/>
                <w:kern w:val="0"/>
                <w:sz w:val="24"/>
              </w:rPr>
              <w:t>主管部门及代码</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6A6E4">
            <w:pPr>
              <w:widowControl/>
              <w:textAlignment w:val="center"/>
              <w:rPr>
                <w:rFonts w:ascii="宋体" w:hAnsi="宋体" w:cs="宋体"/>
                <w:color w:val="000000"/>
                <w:sz w:val="24"/>
              </w:rPr>
            </w:pPr>
            <w:r>
              <w:rPr>
                <w:rFonts w:hint="eastAsia" w:ascii="宋体" w:hAnsi="宋体" w:cs="宋体"/>
                <w:color w:val="000000"/>
                <w:kern w:val="0"/>
                <w:sz w:val="24"/>
              </w:rPr>
              <w:t>通江县-兴隆镇_整治产业道路6.8公里</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512B">
            <w:pPr>
              <w:widowControl/>
              <w:jc w:val="center"/>
              <w:textAlignment w:val="center"/>
              <w:rPr>
                <w:rFonts w:ascii="宋体" w:hAnsi="宋体" w:cs="宋体"/>
                <w:color w:val="000000"/>
                <w:sz w:val="24"/>
              </w:rPr>
            </w:pPr>
            <w:r>
              <w:rPr>
                <w:rFonts w:hint="eastAsia" w:ascii="宋体" w:hAnsi="宋体" w:cs="宋体"/>
                <w:color w:val="000000"/>
                <w:kern w:val="0"/>
                <w:sz w:val="24"/>
              </w:rPr>
              <w:t>实施单位</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E61">
            <w:pPr>
              <w:widowControl/>
              <w:jc w:val="center"/>
              <w:textAlignment w:val="center"/>
              <w:rPr>
                <w:rFonts w:ascii="宋体" w:hAnsi="宋体" w:cs="宋体"/>
                <w:color w:val="000000"/>
                <w:sz w:val="24"/>
              </w:rPr>
            </w:pPr>
            <w:r>
              <w:rPr>
                <w:rFonts w:hint="eastAsia" w:ascii="宋体" w:hAnsi="宋体" w:cs="宋体"/>
                <w:color w:val="000000"/>
                <w:kern w:val="0"/>
                <w:sz w:val="24"/>
              </w:rPr>
              <w:t>兴隆镇人民政府</w:t>
            </w:r>
          </w:p>
        </w:tc>
      </w:tr>
      <w:tr w14:paraId="72AFF5E1">
        <w:tblPrEx>
          <w:tblCellMar>
            <w:top w:w="0" w:type="dxa"/>
            <w:left w:w="108" w:type="dxa"/>
            <w:bottom w:w="0" w:type="dxa"/>
            <w:right w:w="108" w:type="dxa"/>
          </w:tblCellMar>
        </w:tblPrEx>
        <w:trPr>
          <w:trHeight w:val="317" w:hRule="atLeast"/>
        </w:trPr>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02CE3">
            <w:pPr>
              <w:widowControl/>
              <w:jc w:val="left"/>
              <w:textAlignment w:val="center"/>
              <w:rPr>
                <w:rFonts w:ascii="宋体" w:hAnsi="宋体" w:cs="宋体"/>
                <w:color w:val="000000"/>
                <w:sz w:val="24"/>
              </w:rPr>
            </w:pPr>
            <w:r>
              <w:rPr>
                <w:rFonts w:hint="eastAsia" w:ascii="宋体" w:hAnsi="宋体" w:cs="宋体"/>
                <w:color w:val="000000"/>
                <w:kern w:val="0"/>
                <w:sz w:val="24"/>
              </w:rPr>
              <w:t>项目预算</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C5EC">
            <w:pPr>
              <w:widowControl/>
              <w:jc w:val="left"/>
              <w:textAlignment w:val="center"/>
              <w:rPr>
                <w:rFonts w:ascii="宋体" w:hAnsi="宋体" w:cs="宋体"/>
                <w:color w:val="000000"/>
                <w:sz w:val="24"/>
              </w:rPr>
            </w:pPr>
            <w:r>
              <w:rPr>
                <w:rFonts w:hint="eastAsia" w:ascii="宋体" w:hAnsi="宋体" w:cs="宋体"/>
                <w:color w:val="000000"/>
                <w:kern w:val="0"/>
                <w:sz w:val="24"/>
              </w:rPr>
              <w:t>预算数：</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D72E">
            <w:pPr>
              <w:widowControl/>
              <w:jc w:val="center"/>
              <w:textAlignment w:val="center"/>
              <w:rPr>
                <w:rFonts w:ascii="宋体" w:hAnsi="宋体" w:cs="宋体"/>
                <w:color w:val="000000"/>
                <w:sz w:val="24"/>
              </w:rPr>
            </w:pPr>
            <w:r>
              <w:rPr>
                <w:rFonts w:hint="eastAsia" w:ascii="宋体" w:hAnsi="宋体" w:cs="宋体"/>
                <w:color w:val="000000"/>
                <w:kern w:val="0"/>
                <w:sz w:val="24"/>
              </w:rPr>
              <w:t>204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7DC">
            <w:pPr>
              <w:widowControl/>
              <w:jc w:val="left"/>
              <w:textAlignment w:val="center"/>
              <w:rPr>
                <w:rFonts w:ascii="宋体" w:hAnsi="宋体" w:cs="宋体"/>
                <w:color w:val="000000"/>
                <w:sz w:val="24"/>
              </w:rPr>
            </w:pPr>
            <w:r>
              <w:rPr>
                <w:rFonts w:hint="eastAsia" w:ascii="宋体" w:hAnsi="宋体" w:cs="宋体"/>
                <w:color w:val="000000"/>
                <w:kern w:val="0"/>
                <w:sz w:val="24"/>
              </w:rPr>
              <w:t>执行数：</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380B">
            <w:pPr>
              <w:widowControl/>
              <w:jc w:val="center"/>
              <w:textAlignment w:val="center"/>
              <w:rPr>
                <w:rFonts w:ascii="宋体" w:hAnsi="宋体" w:cs="宋体"/>
                <w:color w:val="000000"/>
                <w:sz w:val="24"/>
              </w:rPr>
            </w:pPr>
            <w:r>
              <w:rPr>
                <w:rFonts w:hint="eastAsia" w:ascii="宋体" w:hAnsi="宋体" w:cs="宋体"/>
                <w:color w:val="000000"/>
                <w:kern w:val="0"/>
                <w:sz w:val="24"/>
              </w:rPr>
              <w:t>204</w:t>
            </w:r>
          </w:p>
        </w:tc>
      </w:tr>
      <w:tr w14:paraId="3AACD173">
        <w:tblPrEx>
          <w:tblCellMar>
            <w:top w:w="0" w:type="dxa"/>
            <w:left w:w="108" w:type="dxa"/>
            <w:bottom w:w="0" w:type="dxa"/>
            <w:right w:w="108" w:type="dxa"/>
          </w:tblCellMar>
        </w:tblPrEx>
        <w:trPr>
          <w:trHeight w:val="317" w:hRule="atLeast"/>
        </w:trPr>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8AA8D">
            <w:pPr>
              <w:widowControl/>
              <w:jc w:val="left"/>
              <w:textAlignment w:val="center"/>
              <w:rPr>
                <w:rFonts w:ascii="宋体" w:hAnsi="宋体" w:cs="宋体"/>
                <w:color w:val="000000"/>
                <w:sz w:val="24"/>
              </w:rPr>
            </w:pPr>
            <w:r>
              <w:rPr>
                <w:rFonts w:hint="eastAsia" w:ascii="宋体" w:hAnsi="宋体" w:cs="宋体"/>
                <w:color w:val="000000"/>
                <w:kern w:val="0"/>
                <w:sz w:val="24"/>
              </w:rPr>
              <w:t>执行情况</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E021">
            <w:pPr>
              <w:widowControl/>
              <w:jc w:val="left"/>
              <w:textAlignment w:val="center"/>
              <w:rPr>
                <w:rFonts w:ascii="宋体" w:hAnsi="宋体" w:cs="宋体"/>
                <w:color w:val="000000"/>
                <w:sz w:val="24"/>
              </w:rPr>
            </w:pPr>
            <w:r>
              <w:rPr>
                <w:rFonts w:hint="eastAsia" w:ascii="宋体" w:hAnsi="宋体" w:cs="宋体"/>
                <w:color w:val="000000"/>
                <w:kern w:val="0"/>
                <w:sz w:val="24"/>
              </w:rPr>
              <w:t>其中：</w:t>
            </w: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A23F7">
            <w:pPr>
              <w:widowControl/>
              <w:jc w:val="center"/>
              <w:textAlignment w:val="center"/>
              <w:rPr>
                <w:rFonts w:ascii="宋体" w:hAnsi="宋体" w:cs="宋体"/>
                <w:color w:val="000000"/>
                <w:sz w:val="24"/>
              </w:rPr>
            </w:pPr>
            <w:r>
              <w:rPr>
                <w:rFonts w:hint="eastAsia" w:ascii="宋体" w:hAnsi="宋体" w:cs="宋体"/>
                <w:color w:val="000000"/>
                <w:kern w:val="0"/>
                <w:sz w:val="24"/>
              </w:rPr>
              <w:t>204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6344">
            <w:pPr>
              <w:widowControl/>
              <w:jc w:val="left"/>
              <w:textAlignment w:val="center"/>
              <w:rPr>
                <w:rFonts w:ascii="宋体" w:hAnsi="宋体" w:cs="宋体"/>
                <w:color w:val="000000"/>
                <w:sz w:val="24"/>
              </w:rPr>
            </w:pPr>
            <w:r>
              <w:rPr>
                <w:rFonts w:hint="eastAsia" w:ascii="宋体" w:hAnsi="宋体" w:cs="宋体"/>
                <w:color w:val="000000"/>
                <w:kern w:val="0"/>
                <w:sz w:val="24"/>
              </w:rPr>
              <w:t>其中：</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70BCF">
            <w:pPr>
              <w:widowControl/>
              <w:jc w:val="center"/>
              <w:textAlignment w:val="center"/>
              <w:rPr>
                <w:rFonts w:ascii="宋体" w:hAnsi="宋体" w:cs="宋体"/>
                <w:color w:val="000000"/>
                <w:sz w:val="24"/>
              </w:rPr>
            </w:pPr>
            <w:r>
              <w:rPr>
                <w:rFonts w:hint="eastAsia" w:ascii="宋体" w:hAnsi="宋体" w:cs="宋体"/>
                <w:color w:val="000000"/>
                <w:kern w:val="0"/>
                <w:sz w:val="24"/>
              </w:rPr>
              <w:t>204</w:t>
            </w:r>
          </w:p>
        </w:tc>
      </w:tr>
      <w:tr w14:paraId="68B0BD6C">
        <w:tblPrEx>
          <w:tblCellMar>
            <w:top w:w="0" w:type="dxa"/>
            <w:left w:w="108" w:type="dxa"/>
            <w:bottom w:w="0" w:type="dxa"/>
            <w:right w:w="108" w:type="dxa"/>
          </w:tblCellMar>
        </w:tblPrEx>
        <w:trPr>
          <w:trHeight w:val="317" w:hRule="atLeast"/>
        </w:trPr>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C0D09">
            <w:pPr>
              <w:widowControl/>
              <w:jc w:val="left"/>
              <w:textAlignment w:val="center"/>
              <w:rPr>
                <w:rFonts w:ascii="宋体" w:hAnsi="宋体" w:cs="宋体"/>
                <w:color w:val="000000"/>
                <w:sz w:val="24"/>
              </w:rPr>
            </w:pPr>
            <w:r>
              <w:rPr>
                <w:rFonts w:hint="eastAsia" w:ascii="宋体" w:hAnsi="宋体" w:cs="宋体"/>
                <w:color w:val="000000"/>
                <w:kern w:val="0"/>
                <w:sz w:val="24"/>
              </w:rPr>
              <w:t>（万元）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C719">
            <w:pPr>
              <w:widowControl/>
              <w:jc w:val="left"/>
              <w:textAlignment w:val="center"/>
              <w:rPr>
                <w:rFonts w:ascii="宋体" w:hAnsi="宋体" w:cs="宋体"/>
                <w:color w:val="000000"/>
                <w:sz w:val="24"/>
              </w:rPr>
            </w:pPr>
            <w:r>
              <w:rPr>
                <w:rFonts w:hint="eastAsia" w:ascii="宋体" w:hAnsi="宋体" w:cs="宋体"/>
                <w:color w:val="000000"/>
                <w:kern w:val="0"/>
                <w:sz w:val="24"/>
              </w:rPr>
              <w:t>财政拨款</w:t>
            </w: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EBFBB">
            <w:pPr>
              <w:jc w:val="center"/>
              <w:rPr>
                <w:rFonts w:ascii="宋体" w:hAnsi="宋体" w:cs="宋体"/>
                <w:color w:val="000000"/>
                <w:sz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44DE">
            <w:pPr>
              <w:widowControl/>
              <w:jc w:val="left"/>
              <w:textAlignment w:val="center"/>
              <w:rPr>
                <w:rFonts w:ascii="宋体" w:hAnsi="宋体" w:cs="宋体"/>
                <w:color w:val="000000"/>
                <w:sz w:val="24"/>
              </w:rPr>
            </w:pPr>
            <w:r>
              <w:rPr>
                <w:rFonts w:hint="eastAsia" w:ascii="宋体" w:hAnsi="宋体" w:cs="宋体"/>
                <w:color w:val="000000"/>
                <w:kern w:val="0"/>
                <w:sz w:val="24"/>
              </w:rPr>
              <w:t>财政拨款</w:t>
            </w: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4F3FC">
            <w:pPr>
              <w:jc w:val="center"/>
              <w:rPr>
                <w:rFonts w:ascii="宋体" w:hAnsi="宋体" w:cs="宋体"/>
                <w:color w:val="000000"/>
                <w:sz w:val="24"/>
              </w:rPr>
            </w:pPr>
          </w:p>
        </w:tc>
      </w:tr>
      <w:tr w14:paraId="27F27599">
        <w:tblPrEx>
          <w:tblCellMar>
            <w:top w:w="0" w:type="dxa"/>
            <w:left w:w="108" w:type="dxa"/>
            <w:bottom w:w="0" w:type="dxa"/>
            <w:right w:w="108" w:type="dxa"/>
          </w:tblCellMar>
        </w:tblPrEx>
        <w:trPr>
          <w:trHeight w:val="317" w:hRule="atLeast"/>
        </w:trPr>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BEE2">
            <w:pPr>
              <w:jc w:val="left"/>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E75">
            <w:pPr>
              <w:widowControl/>
              <w:jc w:val="left"/>
              <w:textAlignment w:val="center"/>
              <w:rPr>
                <w:rFonts w:ascii="宋体" w:hAnsi="宋体" w:cs="宋体"/>
                <w:color w:val="000000"/>
                <w:sz w:val="24"/>
              </w:rPr>
            </w:pPr>
            <w:r>
              <w:rPr>
                <w:rFonts w:hint="eastAsia" w:ascii="宋体" w:hAnsi="宋体" w:cs="宋体"/>
                <w:color w:val="000000"/>
                <w:kern w:val="0"/>
                <w:sz w:val="24"/>
              </w:rPr>
              <w:t>其他资金</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018">
            <w:pPr>
              <w:jc w:val="left"/>
              <w:rPr>
                <w:rFonts w:ascii="宋体" w:hAnsi="宋体" w:cs="宋体"/>
                <w:color w:val="000000"/>
                <w:sz w:val="24"/>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0A5">
            <w:pPr>
              <w:widowControl/>
              <w:jc w:val="left"/>
              <w:textAlignment w:val="center"/>
              <w:rPr>
                <w:rFonts w:ascii="宋体" w:hAnsi="宋体" w:cs="宋体"/>
                <w:color w:val="000000"/>
                <w:sz w:val="24"/>
              </w:rPr>
            </w:pPr>
            <w:r>
              <w:rPr>
                <w:rFonts w:hint="eastAsia" w:ascii="宋体" w:hAnsi="宋体" w:cs="宋体"/>
                <w:color w:val="000000"/>
                <w:kern w:val="0"/>
                <w:sz w:val="24"/>
              </w:rPr>
              <w:t>其他资金</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314E">
            <w:pPr>
              <w:jc w:val="left"/>
              <w:rPr>
                <w:rFonts w:ascii="宋体" w:hAnsi="宋体" w:cs="宋体"/>
                <w:color w:val="000000"/>
                <w:sz w:val="24"/>
              </w:rPr>
            </w:pPr>
          </w:p>
        </w:tc>
      </w:tr>
      <w:tr w14:paraId="78C27586">
        <w:tblPrEx>
          <w:tblCellMar>
            <w:top w:w="0" w:type="dxa"/>
            <w:left w:w="108" w:type="dxa"/>
            <w:bottom w:w="0" w:type="dxa"/>
            <w:right w:w="108" w:type="dxa"/>
          </w:tblCellMar>
        </w:tblPrEx>
        <w:trPr>
          <w:trHeight w:val="624"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3697">
            <w:pPr>
              <w:widowControl/>
              <w:jc w:val="left"/>
              <w:textAlignment w:val="center"/>
              <w:rPr>
                <w:rFonts w:ascii="宋体" w:hAnsi="宋体" w:cs="宋体"/>
                <w:color w:val="000000"/>
                <w:sz w:val="24"/>
              </w:rPr>
            </w:pPr>
            <w:r>
              <w:rPr>
                <w:rFonts w:hint="eastAsia" w:ascii="宋体" w:hAnsi="宋体" w:cs="宋体"/>
                <w:color w:val="000000"/>
                <w:kern w:val="0"/>
                <w:sz w:val="24"/>
              </w:rPr>
              <w:t>年度总体目标</w:t>
            </w:r>
          </w:p>
        </w:tc>
        <w:tc>
          <w:tcPr>
            <w:tcW w:w="4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907AF">
            <w:pPr>
              <w:widowControl/>
              <w:jc w:val="left"/>
              <w:textAlignment w:val="center"/>
              <w:rPr>
                <w:rFonts w:ascii="宋体" w:hAnsi="宋体" w:cs="宋体"/>
                <w:color w:val="000000"/>
                <w:sz w:val="24"/>
              </w:rPr>
            </w:pPr>
            <w:r>
              <w:rPr>
                <w:rFonts w:hint="eastAsia" w:ascii="宋体" w:hAnsi="宋体" w:cs="宋体"/>
                <w:color w:val="000000"/>
                <w:kern w:val="0"/>
                <w:sz w:val="24"/>
              </w:rPr>
              <w:t>预期目标</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8B3B2">
            <w:pPr>
              <w:widowControl/>
              <w:jc w:val="left"/>
              <w:textAlignment w:val="center"/>
              <w:rPr>
                <w:rFonts w:ascii="宋体" w:hAnsi="宋体" w:cs="宋体"/>
                <w:color w:val="000000"/>
                <w:sz w:val="24"/>
              </w:rPr>
            </w:pPr>
            <w:r>
              <w:rPr>
                <w:rFonts w:hint="eastAsia" w:ascii="宋体" w:hAnsi="宋体" w:cs="宋体"/>
                <w:color w:val="000000"/>
                <w:kern w:val="0"/>
                <w:sz w:val="24"/>
              </w:rPr>
              <w:t>目标实际完成情况</w:t>
            </w:r>
          </w:p>
        </w:tc>
      </w:tr>
      <w:tr w14:paraId="1A3859B8">
        <w:tblPrEx>
          <w:tblCellMar>
            <w:top w:w="0" w:type="dxa"/>
            <w:left w:w="108" w:type="dxa"/>
            <w:bottom w:w="0" w:type="dxa"/>
            <w:right w:w="108" w:type="dxa"/>
          </w:tblCellMar>
        </w:tblPrEx>
        <w:trPr>
          <w:trHeight w:val="931"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88EB">
            <w:pPr>
              <w:widowControl/>
              <w:jc w:val="left"/>
              <w:textAlignment w:val="center"/>
              <w:rPr>
                <w:rFonts w:ascii="宋体" w:hAnsi="宋体" w:cs="宋体"/>
                <w:color w:val="000000"/>
                <w:sz w:val="24"/>
              </w:rPr>
            </w:pPr>
            <w:r>
              <w:rPr>
                <w:rFonts w:hint="eastAsia" w:ascii="宋体" w:hAnsi="宋体" w:cs="宋体"/>
                <w:color w:val="000000"/>
                <w:kern w:val="0"/>
                <w:sz w:val="24"/>
              </w:rPr>
              <w:t>完成情况</w:t>
            </w:r>
          </w:p>
        </w:tc>
        <w:tc>
          <w:tcPr>
            <w:tcW w:w="4601" w:type="dxa"/>
            <w:gridSpan w:val="3"/>
            <w:tcBorders>
              <w:top w:val="single" w:color="000000" w:sz="4" w:space="0"/>
              <w:left w:val="single" w:color="000000" w:sz="4" w:space="0"/>
              <w:bottom w:val="single" w:color="000000" w:sz="4" w:space="0"/>
              <w:right w:val="single" w:color="000000" w:sz="4" w:space="0"/>
            </w:tcBorders>
            <w:shd w:val="clear" w:color="auto" w:fill="auto"/>
          </w:tcPr>
          <w:p w14:paraId="0948874D">
            <w:pPr>
              <w:widowControl/>
              <w:jc w:val="left"/>
              <w:textAlignment w:val="top"/>
              <w:rPr>
                <w:rFonts w:ascii="宋体" w:hAnsi="宋体" w:cs="宋体"/>
                <w:color w:val="000000"/>
                <w:sz w:val="24"/>
              </w:rPr>
            </w:pPr>
            <w:r>
              <w:rPr>
                <w:rFonts w:hint="eastAsia" w:ascii="宋体" w:hAnsi="宋体" w:cs="宋体"/>
                <w:color w:val="000000"/>
                <w:kern w:val="0"/>
                <w:sz w:val="24"/>
              </w:rPr>
              <w:t>完成整治产业道路6.8公里，切实改变当地老百姓出行难的问题，提高社会满意度</w:t>
            </w:r>
            <w:r>
              <w:t>。</w:t>
            </w:r>
          </w:p>
        </w:tc>
        <w:tc>
          <w:tcPr>
            <w:tcW w:w="3947" w:type="dxa"/>
            <w:gridSpan w:val="2"/>
            <w:tcBorders>
              <w:top w:val="single" w:color="000000" w:sz="4" w:space="0"/>
              <w:left w:val="single" w:color="000000" w:sz="4" w:space="0"/>
              <w:bottom w:val="single" w:color="000000" w:sz="4" w:space="0"/>
              <w:right w:val="single" w:color="000000" w:sz="4" w:space="0"/>
            </w:tcBorders>
            <w:shd w:val="clear" w:color="auto" w:fill="auto"/>
          </w:tcPr>
          <w:p w14:paraId="3E7B45FA">
            <w:pPr>
              <w:widowControl/>
              <w:jc w:val="left"/>
              <w:textAlignment w:val="top"/>
              <w:rPr>
                <w:rFonts w:ascii="宋体" w:hAnsi="宋体" w:cs="宋体"/>
                <w:color w:val="000000"/>
                <w:sz w:val="24"/>
              </w:rPr>
            </w:pPr>
            <w:r>
              <w:rPr>
                <w:rFonts w:hint="eastAsia" w:ascii="宋体" w:hAnsi="宋体" w:cs="宋体"/>
                <w:color w:val="000000"/>
                <w:kern w:val="0"/>
                <w:sz w:val="24"/>
              </w:rPr>
              <w:t>完成整治产业道路6.8公里，切实改变当地老百姓出行难的问题，提高社会满意度</w:t>
            </w:r>
            <w:r>
              <w:t>。</w:t>
            </w:r>
          </w:p>
        </w:tc>
      </w:tr>
      <w:tr w14:paraId="1AE36893">
        <w:tblPrEx>
          <w:tblCellMar>
            <w:top w:w="0" w:type="dxa"/>
            <w:left w:w="108" w:type="dxa"/>
            <w:bottom w:w="0" w:type="dxa"/>
            <w:right w:w="108" w:type="dxa"/>
          </w:tblCellMar>
        </w:tblPrEx>
        <w:trPr>
          <w:trHeight w:val="317"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6AFC5">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年度绩效指标完成情况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2729">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一级</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F67B">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二级</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BB6D">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三级</w:t>
            </w:r>
          </w:p>
        </w:tc>
        <w:tc>
          <w:tcPr>
            <w:tcW w:w="1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3306B">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预期指标值</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56153">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实际完成指标值</w:t>
            </w:r>
          </w:p>
        </w:tc>
      </w:tr>
      <w:tr w14:paraId="34189180">
        <w:tblPrEx>
          <w:tblCellMar>
            <w:top w:w="0" w:type="dxa"/>
            <w:left w:w="108" w:type="dxa"/>
            <w:bottom w:w="0" w:type="dxa"/>
            <w:right w:w="108" w:type="dxa"/>
          </w:tblCellMar>
        </w:tblPrEx>
        <w:trPr>
          <w:trHeight w:val="317"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F8475">
            <w:pPr>
              <w:jc w:val="left"/>
              <w:rPr>
                <w:rFonts w:ascii="仿宋_GB2312" w:hAnsi="宋体" w:eastAsia="仿宋_GB2312" w:cs="仿宋_GB2312"/>
                <w:color w:val="000000"/>
                <w:sz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F15">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0369">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9142">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指标</w:t>
            </w: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8112">
            <w:pPr>
              <w:jc w:val="left"/>
              <w:rPr>
                <w:rFonts w:ascii="仿宋_GB2312" w:hAnsi="宋体" w:eastAsia="仿宋_GB2312" w:cs="仿宋_GB2312"/>
                <w:color w:val="000000"/>
                <w:sz w:val="24"/>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5F2F">
            <w:pPr>
              <w:jc w:val="left"/>
              <w:rPr>
                <w:rFonts w:ascii="仿宋_GB2312" w:hAnsi="宋体" w:eastAsia="仿宋_GB2312" w:cs="仿宋_GB2312"/>
                <w:color w:val="000000"/>
                <w:sz w:val="24"/>
              </w:rPr>
            </w:pPr>
          </w:p>
        </w:tc>
      </w:tr>
      <w:tr w14:paraId="4B739E6F">
        <w:tblPrEx>
          <w:tblCellMar>
            <w:top w:w="0" w:type="dxa"/>
            <w:left w:w="108" w:type="dxa"/>
            <w:bottom w:w="0" w:type="dxa"/>
            <w:right w:w="108" w:type="dxa"/>
          </w:tblCellMar>
        </w:tblPrEx>
        <w:trPr>
          <w:trHeight w:val="542"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A60E">
            <w:pPr>
              <w:jc w:val="left"/>
              <w:rPr>
                <w:rFonts w:ascii="仿宋_GB2312" w:hAnsi="宋体" w:eastAsia="仿宋_GB2312" w:cs="仿宋_GB2312"/>
                <w:color w:val="000000"/>
                <w:sz w:val="24"/>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936A8">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完成指标</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2C77E">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503">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实现受益人口</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C5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≥368人</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D3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≥368人</w:t>
            </w:r>
          </w:p>
        </w:tc>
      </w:tr>
      <w:tr w14:paraId="2958DE2B">
        <w:tblPrEx>
          <w:tblCellMar>
            <w:top w:w="0" w:type="dxa"/>
            <w:left w:w="108" w:type="dxa"/>
            <w:bottom w:w="0" w:type="dxa"/>
            <w:right w:w="108" w:type="dxa"/>
          </w:tblCellMar>
        </w:tblPrEx>
        <w:trPr>
          <w:trHeight w:val="542"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F19A">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5C4A">
            <w:pPr>
              <w:jc w:val="left"/>
              <w:rPr>
                <w:rFonts w:ascii="仿宋_GB2312" w:hAnsi="宋体" w:eastAsia="仿宋_GB2312" w:cs="仿宋_GB2312"/>
                <w:color w:val="000000"/>
                <w:sz w:val="22"/>
                <w:szCs w:val="22"/>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5754">
            <w:pPr>
              <w:jc w:val="left"/>
              <w:rPr>
                <w:rFonts w:ascii="仿宋_GB2312" w:hAnsi="宋体" w:eastAsia="仿宋_GB2312" w:cs="仿宋_GB2312"/>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0031">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新增贫困村硬化里程</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270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≥6.8公里</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049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≥6.8公里</w:t>
            </w:r>
          </w:p>
        </w:tc>
      </w:tr>
      <w:tr w14:paraId="5382863F">
        <w:tblPrEx>
          <w:tblCellMar>
            <w:top w:w="0" w:type="dxa"/>
            <w:left w:w="108" w:type="dxa"/>
            <w:bottom w:w="0" w:type="dxa"/>
            <w:right w:w="108" w:type="dxa"/>
          </w:tblCellMar>
        </w:tblPrEx>
        <w:trPr>
          <w:trHeight w:val="624"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D702">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85B30">
            <w:pPr>
              <w:jc w:val="left"/>
              <w:rPr>
                <w:rFonts w:ascii="仿宋_GB2312" w:hAnsi="宋体" w:eastAsia="仿宋_GB2312" w:cs="仿宋_GB2312"/>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3D1F">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8B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项目（工程）验收合格率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0C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E54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5A6DD8A2">
        <w:tblPrEx>
          <w:tblCellMar>
            <w:top w:w="0" w:type="dxa"/>
            <w:left w:w="108" w:type="dxa"/>
            <w:bottom w:w="0" w:type="dxa"/>
            <w:right w:w="108" w:type="dxa"/>
          </w:tblCellMar>
        </w:tblPrEx>
        <w:trPr>
          <w:trHeight w:val="624"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50B3B">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CC94D">
            <w:pPr>
              <w:jc w:val="left"/>
              <w:rPr>
                <w:rFonts w:ascii="仿宋_GB2312" w:hAnsi="宋体" w:eastAsia="仿宋_GB2312" w:cs="仿宋_GB2312"/>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53E8">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C9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项目（工程）完成及时率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00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F1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79BA935F">
        <w:tblPrEx>
          <w:tblCellMar>
            <w:top w:w="0" w:type="dxa"/>
            <w:left w:w="108" w:type="dxa"/>
            <w:bottom w:w="0" w:type="dxa"/>
            <w:right w:w="108" w:type="dxa"/>
          </w:tblCellMar>
        </w:tblPrEx>
        <w:trPr>
          <w:trHeight w:val="624"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B28B">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A4ED2">
            <w:pPr>
              <w:jc w:val="left"/>
              <w:rPr>
                <w:rFonts w:ascii="仿宋_GB2312" w:hAnsi="宋体" w:eastAsia="仿宋_GB2312" w:cs="仿宋_GB2312"/>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9D57">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DE48">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新建1米宽道路硬化补助标准</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5B8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≥15万元/公里</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2F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≥15万元/公里</w:t>
            </w:r>
          </w:p>
        </w:tc>
      </w:tr>
      <w:tr w14:paraId="6B5D8E8B">
        <w:tblPrEx>
          <w:tblCellMar>
            <w:top w:w="0" w:type="dxa"/>
            <w:left w:w="108" w:type="dxa"/>
            <w:bottom w:w="0" w:type="dxa"/>
            <w:right w:w="108" w:type="dxa"/>
          </w:tblCellMar>
        </w:tblPrEx>
        <w:trPr>
          <w:trHeight w:val="624"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9EEC">
            <w:pPr>
              <w:jc w:val="left"/>
              <w:rPr>
                <w:rFonts w:ascii="仿宋_GB2312" w:hAnsi="宋体" w:eastAsia="仿宋_GB2312" w:cs="仿宋_GB2312"/>
                <w:color w:val="000000"/>
                <w:sz w:val="24"/>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17D80">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效益指标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96D">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C33D">
            <w:pPr>
              <w:widowControl/>
              <w:jc w:val="left"/>
              <w:textAlignment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促进项目片区区域经济发展</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D0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DA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472DB6F3">
        <w:tblPrEx>
          <w:tblCellMar>
            <w:top w:w="0" w:type="dxa"/>
            <w:left w:w="108" w:type="dxa"/>
            <w:bottom w:w="0" w:type="dxa"/>
            <w:right w:w="108" w:type="dxa"/>
          </w:tblCellMar>
        </w:tblPrEx>
        <w:trPr>
          <w:trHeight w:val="663"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483A">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E244">
            <w:pPr>
              <w:jc w:val="left"/>
              <w:rPr>
                <w:rFonts w:ascii="仿宋_GB2312" w:hAnsi="宋体" w:eastAsia="仿宋_GB2312" w:cs="仿宋_GB2312"/>
                <w:color w:val="000000"/>
                <w:sz w:val="22"/>
                <w:szCs w:val="22"/>
              </w:rPr>
            </w:pP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A14A8">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597">
            <w:pPr>
              <w:widowControl/>
              <w:jc w:val="left"/>
              <w:textAlignment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具备条件的建档立卡贫困村通硬化路率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2C3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1F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1E7F24EC">
        <w:tblPrEx>
          <w:tblCellMar>
            <w:top w:w="0" w:type="dxa"/>
            <w:left w:w="108" w:type="dxa"/>
            <w:bottom w:w="0" w:type="dxa"/>
            <w:right w:w="108" w:type="dxa"/>
          </w:tblCellMar>
        </w:tblPrEx>
        <w:trPr>
          <w:trHeight w:val="624"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07586">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6913">
            <w:pPr>
              <w:jc w:val="left"/>
              <w:rPr>
                <w:rFonts w:ascii="仿宋_GB2312" w:hAnsi="宋体" w:eastAsia="仿宋_GB2312" w:cs="仿宋_GB2312"/>
                <w:color w:val="000000"/>
                <w:sz w:val="22"/>
                <w:szCs w:val="22"/>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DE1D">
            <w:pPr>
              <w:jc w:val="left"/>
              <w:rPr>
                <w:rFonts w:ascii="仿宋_GB2312" w:hAnsi="宋体" w:eastAsia="仿宋_GB2312" w:cs="仿宋_GB2312"/>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BAB3">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贫困地区建制村通客车率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FC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83B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05084761">
        <w:tblPrEx>
          <w:tblCellMar>
            <w:top w:w="0" w:type="dxa"/>
            <w:left w:w="108" w:type="dxa"/>
            <w:bottom w:w="0" w:type="dxa"/>
            <w:right w:w="108" w:type="dxa"/>
          </w:tblCellMar>
        </w:tblPrEx>
        <w:trPr>
          <w:trHeight w:val="624"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42BC">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4E756">
            <w:pPr>
              <w:jc w:val="left"/>
              <w:rPr>
                <w:rFonts w:ascii="仿宋_GB2312" w:hAnsi="宋体" w:eastAsia="仿宋_GB2312" w:cs="仿宋_GB2312"/>
                <w:color w:val="000000"/>
                <w:sz w:val="22"/>
                <w:szCs w:val="22"/>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9B31">
            <w:pPr>
              <w:jc w:val="left"/>
              <w:rPr>
                <w:rFonts w:ascii="仿宋_GB2312" w:hAnsi="宋体" w:eastAsia="仿宋_GB2312" w:cs="仿宋_GB2312"/>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958B">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贫困地区居民出行平均缩短时间</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E12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≥0.5小时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092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≥0.5小时</w:t>
            </w:r>
          </w:p>
        </w:tc>
      </w:tr>
      <w:tr w14:paraId="01A524B6">
        <w:tblPrEx>
          <w:tblCellMar>
            <w:top w:w="0" w:type="dxa"/>
            <w:left w:w="108" w:type="dxa"/>
            <w:bottom w:w="0" w:type="dxa"/>
            <w:right w:w="108" w:type="dxa"/>
          </w:tblCellMar>
        </w:tblPrEx>
        <w:trPr>
          <w:trHeight w:val="542"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088A">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F67BC">
            <w:pPr>
              <w:jc w:val="left"/>
              <w:rPr>
                <w:rFonts w:ascii="仿宋_GB2312" w:hAnsi="宋体" w:eastAsia="仿宋_GB2312" w:cs="仿宋_GB2312"/>
                <w:color w:val="000000"/>
                <w:sz w:val="22"/>
                <w:szCs w:val="22"/>
              </w:rPr>
            </w:pP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B435A">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CC6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工程使用年限</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7D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≥12年</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3D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≥12年</w:t>
            </w:r>
          </w:p>
        </w:tc>
      </w:tr>
      <w:tr w14:paraId="6B3295C4">
        <w:tblPrEx>
          <w:tblCellMar>
            <w:top w:w="0" w:type="dxa"/>
            <w:left w:w="108" w:type="dxa"/>
            <w:bottom w:w="0" w:type="dxa"/>
            <w:right w:w="108" w:type="dxa"/>
          </w:tblCellMar>
        </w:tblPrEx>
        <w:trPr>
          <w:trHeight w:val="542"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06C6">
            <w:pPr>
              <w:jc w:val="left"/>
              <w:rPr>
                <w:rFonts w:ascii="仿宋_GB2312" w:hAnsi="宋体" w:eastAsia="仿宋_GB2312" w:cs="仿宋_GB2312"/>
                <w:color w:val="000000"/>
                <w:sz w:val="24"/>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BDA8">
            <w:pPr>
              <w:jc w:val="left"/>
              <w:rPr>
                <w:rFonts w:ascii="仿宋_GB2312" w:hAnsi="宋体" w:eastAsia="仿宋_GB2312" w:cs="仿宋_GB2312"/>
                <w:color w:val="000000"/>
                <w:sz w:val="22"/>
                <w:szCs w:val="22"/>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6D8A1">
            <w:pPr>
              <w:jc w:val="left"/>
              <w:rPr>
                <w:rFonts w:ascii="仿宋_GB2312" w:hAnsi="宋体" w:eastAsia="仿宋_GB2312" w:cs="仿宋_GB2312"/>
                <w:color w:val="000000"/>
                <w:sz w:val="22"/>
                <w:szCs w:val="22"/>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89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新建公路列养率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A5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BB2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23360E41">
        <w:tblPrEx>
          <w:tblCellMar>
            <w:top w:w="0" w:type="dxa"/>
            <w:left w:w="108" w:type="dxa"/>
            <w:bottom w:w="0" w:type="dxa"/>
            <w:right w:w="108" w:type="dxa"/>
          </w:tblCellMar>
        </w:tblPrEx>
        <w:trPr>
          <w:trHeight w:val="634"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6ECD">
            <w:pPr>
              <w:jc w:val="left"/>
              <w:rPr>
                <w:rFonts w:ascii="仿宋_GB2312" w:hAnsi="宋体" w:eastAsia="仿宋_GB2312" w:cs="仿宋_GB2312"/>
                <w:color w:val="000000"/>
                <w:sz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5D8">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满意度指标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F239">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5E21">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受益贫困人口满意度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7A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9E3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≥98%</w:t>
            </w:r>
          </w:p>
        </w:tc>
      </w:tr>
      <w:bookmarkEnd w:id="83"/>
    </w:tbl>
    <w:p w14:paraId="5A451F0B">
      <w:pPr>
        <w:rPr>
          <w:rFonts w:eastAsia="仿宋"/>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BD3A996">
        <w:pPr>
          <w:pStyle w:val="18"/>
          <w:jc w:val="center"/>
        </w:pPr>
        <w:r>
          <w:fldChar w:fldCharType="begin"/>
        </w:r>
        <w:r>
          <w:instrText xml:space="preserve">PAGE   \* MERGEFORMAT</w:instrText>
        </w:r>
        <w:r>
          <w:fldChar w:fldCharType="separate"/>
        </w:r>
        <w:r>
          <w:rPr>
            <w:lang w:val="zh-CN"/>
          </w:rPr>
          <w:t>39</w:t>
        </w:r>
        <w:r>
          <w:fldChar w:fldCharType="end"/>
        </w:r>
      </w:p>
    </w:sdtContent>
  </w:sdt>
  <w:p w14:paraId="021DCF7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03DC">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35E0B"/>
    <w:multiLevelType w:val="singleLevel"/>
    <w:tmpl w:val="12335E0B"/>
    <w:lvl w:ilvl="0" w:tentative="0">
      <w:start w:val="2"/>
      <w:numFmt w:val="chineseCounting"/>
      <w:suff w:val="nothing"/>
      <w:lvlText w:val="（%1）"/>
      <w:lvlJc w:val="left"/>
      <w:rPr>
        <w:rFonts w:hint="eastAsia"/>
      </w:rPr>
    </w:lvl>
  </w:abstractNum>
  <w:abstractNum w:abstractNumId="1">
    <w:nsid w:val="19AB5BDC"/>
    <w:multiLevelType w:val="singleLevel"/>
    <w:tmpl w:val="19AB5BDC"/>
    <w:lvl w:ilvl="0" w:tentative="0">
      <w:start w:val="2"/>
      <w:numFmt w:val="chineseCounting"/>
      <w:suff w:val="nothing"/>
      <w:lvlText w:val="（%1）"/>
      <w:lvlJc w:val="left"/>
      <w:rPr>
        <w:rFonts w:hint="eastAsia"/>
      </w:rPr>
    </w:lvl>
  </w:abstractNum>
  <w:abstractNum w:abstractNumId="2">
    <w:nsid w:val="33713DB9"/>
    <w:multiLevelType w:val="singleLevel"/>
    <w:tmpl w:val="33713DB9"/>
    <w:lvl w:ilvl="0" w:tentative="0">
      <w:start w:val="3"/>
      <w:numFmt w:val="chineseCounting"/>
      <w:suff w:val="nothing"/>
      <w:lvlText w:val="（%1）"/>
      <w:lvlJc w:val="left"/>
      <w:rPr>
        <w:rFonts w:hint="eastAsia"/>
      </w:rPr>
    </w:lvl>
  </w:abstractNum>
  <w:abstractNum w:abstractNumId="3">
    <w:nsid w:val="42254CA6"/>
    <w:multiLevelType w:val="multilevel"/>
    <w:tmpl w:val="42254CA6"/>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60870E4"/>
    <w:multiLevelType w:val="singleLevel"/>
    <w:tmpl w:val="460870E4"/>
    <w:lvl w:ilvl="0" w:tentative="0">
      <w:start w:val="9"/>
      <w:numFmt w:val="chineseCounting"/>
      <w:suff w:val="nothing"/>
      <w:lvlText w:val="%1、"/>
      <w:lvlJc w:val="left"/>
      <w:rPr>
        <w:rFonts w:hint="eastAsia"/>
      </w:rPr>
    </w:lvl>
  </w:abstractNum>
  <w:abstractNum w:abstractNumId="5">
    <w:nsid w:val="47624B24"/>
    <w:multiLevelType w:val="singleLevel"/>
    <w:tmpl w:val="47624B24"/>
    <w:lvl w:ilvl="0" w:tentative="0">
      <w:start w:val="1"/>
      <w:numFmt w:val="decimal"/>
      <w:suff w:val="space"/>
      <w:lvlText w:val="%1."/>
      <w:lvlJc w:val="left"/>
    </w:lvl>
  </w:abstractNum>
  <w:abstractNum w:abstractNumId="6">
    <w:nsid w:val="4ACD6C19"/>
    <w:multiLevelType w:val="singleLevel"/>
    <w:tmpl w:val="4ACD6C19"/>
    <w:lvl w:ilvl="0" w:tentative="0">
      <w:start w:val="3"/>
      <w:numFmt w:val="chineseCounting"/>
      <w:suff w:val="space"/>
      <w:lvlText w:val="第%1部分"/>
      <w:lvlJc w:val="left"/>
      <w:rPr>
        <w:rFonts w:hint="eastAsia"/>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4ZDZhZGYyYjgzNzFmMmU3YTczMjUxMWY3YTZmZDIifQ=="/>
  </w:docVars>
  <w:rsids>
    <w:rsidRoot w:val="007E589F"/>
    <w:rsid w:val="001C2ADB"/>
    <w:rsid w:val="001F0743"/>
    <w:rsid w:val="00304167"/>
    <w:rsid w:val="006045F1"/>
    <w:rsid w:val="007E589F"/>
    <w:rsid w:val="009F1703"/>
    <w:rsid w:val="00C15DC7"/>
    <w:rsid w:val="00E319C5"/>
    <w:rsid w:val="00EB769B"/>
    <w:rsid w:val="00F12572"/>
    <w:rsid w:val="03DD1CE2"/>
    <w:rsid w:val="0FBD6A03"/>
    <w:rsid w:val="54EA58FC"/>
    <w:rsid w:val="7604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4"/>
    <w:qFormat/>
    <w:uiPriority w:val="99"/>
    <w:pPr>
      <w:tabs>
        <w:tab w:val="center" w:pos="4153"/>
        <w:tab w:val="right" w:pos="8306"/>
      </w:tabs>
      <w:snapToGrid w:val="0"/>
      <w:jc w:val="left"/>
    </w:pPr>
    <w:rPr>
      <w:sz w:val="18"/>
      <w:szCs w:val="18"/>
    </w:rPr>
  </w:style>
  <w:style w:type="paragraph" w:styleId="6">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paragraph" w:customStyle="1" w:styleId="14">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5">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6">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7">
    <w:name w:val="TOC 31"/>
    <w:basedOn w:val="1"/>
    <w:next w:val="1"/>
    <w:unhideWhenUsed/>
    <w:qFormat/>
    <w:uiPriority w:val="39"/>
    <w:pPr>
      <w:tabs>
        <w:tab w:val="right" w:leader="dot" w:pos="8296"/>
      </w:tabs>
      <w:ind w:left="840" w:leftChars="400"/>
    </w:pPr>
  </w:style>
  <w:style w:type="paragraph" w:customStyle="1" w:styleId="18">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9">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0">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1">
    <w:name w:val="TOC 21"/>
    <w:basedOn w:val="1"/>
    <w:next w:val="1"/>
    <w:unhideWhenUsed/>
    <w:qFormat/>
    <w:uiPriority w:val="39"/>
    <w:pPr>
      <w:tabs>
        <w:tab w:val="right" w:leader="dot" w:pos="8296"/>
      </w:tabs>
      <w:ind w:left="420" w:leftChars="200"/>
    </w:pPr>
  </w:style>
  <w:style w:type="character" w:customStyle="1" w:styleId="22">
    <w:name w:val="Header Char"/>
    <w:basedOn w:val="10"/>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10"/>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10"/>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0"/>
    <w:link w:val="14"/>
    <w:qFormat/>
    <w:uiPriority w:val="9"/>
    <w:rPr>
      <w:rFonts w:ascii="Times New Roman" w:hAnsi="Times New Roman"/>
      <w:b/>
      <w:bCs/>
      <w:kern w:val="44"/>
      <w:sz w:val="44"/>
      <w:szCs w:val="44"/>
    </w:rPr>
  </w:style>
  <w:style w:type="character" w:customStyle="1" w:styleId="31">
    <w:name w:val="标题 2 Char"/>
    <w:basedOn w:val="10"/>
    <w:link w:val="15"/>
    <w:qFormat/>
    <w:uiPriority w:val="9"/>
    <w:rPr>
      <w:rFonts w:asciiTheme="majorHAnsi" w:hAnsiTheme="majorHAnsi" w:eastAsiaTheme="majorEastAsia" w:cstheme="majorBidi"/>
      <w:b/>
      <w:bCs/>
      <w:kern w:val="2"/>
      <w:sz w:val="32"/>
      <w:szCs w:val="32"/>
    </w:rPr>
  </w:style>
  <w:style w:type="paragraph" w:customStyle="1" w:styleId="32">
    <w:name w:val="TOC 标题1"/>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0"/>
    <w:semiHidden/>
    <w:qFormat/>
    <w:uiPriority w:val="99"/>
    <w:rPr>
      <w:rFonts w:ascii="Times New Roman" w:hAnsi="Times New Roman"/>
      <w:kern w:val="2"/>
      <w:sz w:val="18"/>
      <w:szCs w:val="18"/>
    </w:rPr>
  </w:style>
  <w:style w:type="character" w:customStyle="1" w:styleId="34">
    <w:name w:val="标题 3 Char"/>
    <w:basedOn w:val="10"/>
    <w:link w:val="16"/>
    <w:qFormat/>
    <w:uiPriority w:val="9"/>
    <w:rPr>
      <w:rFonts w:ascii="Times New Roman" w:hAnsi="Times New Roman"/>
      <w:b/>
      <w:bCs/>
      <w:kern w:val="2"/>
      <w:sz w:val="32"/>
      <w:szCs w:val="32"/>
    </w:rPr>
  </w:style>
  <w:style w:type="paragraph" w:customStyle="1" w:styleId="35">
    <w:name w:val="TOC 标题2"/>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10"/>
    <w:semiHidden/>
    <w:qFormat/>
    <w:uiPriority w:val="99"/>
    <w:rPr>
      <w:kern w:val="2"/>
      <w:sz w:val="21"/>
      <w:szCs w:val="24"/>
    </w:rPr>
  </w:style>
  <w:style w:type="paragraph" w:customStyle="1" w:styleId="39">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0">
    <w:name w:val="页眉 Char1"/>
    <w:basedOn w:val="10"/>
    <w:semiHidden/>
    <w:qFormat/>
    <w:uiPriority w:val="99"/>
    <w:rPr>
      <w:kern w:val="2"/>
      <w:sz w:val="18"/>
      <w:szCs w:val="18"/>
    </w:rPr>
  </w:style>
  <w:style w:type="paragraph" w:customStyle="1" w:styleId="41">
    <w:name w:val="Footer0"/>
    <w:basedOn w:val="1"/>
    <w:qFormat/>
    <w:uiPriority w:val="99"/>
    <w:pPr>
      <w:tabs>
        <w:tab w:val="center" w:pos="4153"/>
        <w:tab w:val="right" w:pos="8306"/>
      </w:tabs>
      <w:snapToGrid w:val="0"/>
      <w:jc w:val="left"/>
    </w:pPr>
    <w:rPr>
      <w:sz w:val="18"/>
      <w:szCs w:val="18"/>
    </w:rPr>
  </w:style>
  <w:style w:type="character" w:customStyle="1" w:styleId="42">
    <w:name w:val="页脚 Char1"/>
    <w:basedOn w:val="10"/>
    <w:qFormat/>
    <w:uiPriority w:val="99"/>
    <w:rPr>
      <w:kern w:val="2"/>
      <w:sz w:val="18"/>
      <w:szCs w:val="18"/>
    </w:rPr>
  </w:style>
  <w:style w:type="character" w:customStyle="1" w:styleId="43">
    <w:name w:val="页眉 字符"/>
    <w:basedOn w:val="10"/>
    <w:link w:val="6"/>
    <w:semiHidden/>
    <w:qFormat/>
    <w:uiPriority w:val="99"/>
    <w:rPr>
      <w:kern w:val="2"/>
      <w:sz w:val="18"/>
      <w:szCs w:val="18"/>
    </w:rPr>
  </w:style>
  <w:style w:type="character" w:customStyle="1" w:styleId="44">
    <w:name w:val="页脚 字符"/>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endParaRPr lang="zh-CN" altLang="en-US"/>
          </a:p>
        </c:rich>
      </c:tx>
      <c:layout/>
      <c:overlay val="0"/>
      <c:spPr>
        <a:noFill/>
        <a:ln>
          <a:noFill/>
        </a:ln>
        <a:effectLst/>
      </c:spPr>
    </c:title>
    <c:autoTitleDeleted val="0"/>
    <c:plotArea>
      <c:layout>
        <c:manualLayout>
          <c:layoutTarget val="inner"/>
          <c:xMode val="edge"/>
          <c:yMode val="edge"/>
          <c:x val="0.118927777777778"/>
          <c:y val="0.295666666666667"/>
          <c:w val="0.407977777777778"/>
          <c:h val="0.679962962962963"/>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354166666666667"/>
                  <c:y val="-0.188249071834735"/>
                </c:manualLayout>
              </c:layout>
              <c:tx>
                <c:rich>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r>
                      <a:rPr lang="en-US" altLang="zh-CN" sz="1600"/>
                      <a:t>93.75%</a:t>
                    </a:r>
                    <a:endParaRPr lang="en-US" altLang="zh-CN" sz="1600"/>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79166666666667"/>
                  <c:y val="0.0416666666666667"/>
                </c:manualLayout>
              </c:layout>
              <c:tx>
                <c:rich>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r>
                      <a:rPr lang="en-US" altLang="zh-CN" sz="1600"/>
                      <a:t>0.26%</a:t>
                    </a:r>
                    <a:endParaRPr lang="en-US" altLang="zh-CN" sz="1600"/>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66666666666667"/>
                  <c:y val="-0.0729166666666667"/>
                </c:manualLayout>
              </c:layout>
              <c:tx>
                <c:rich>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r>
                      <a:rPr lang="en-US" altLang="zh-CN" sz="1600"/>
                      <a:t>3.62</a:t>
                    </a:r>
                    <a:r>
                      <a:rPr lang="en-US" sz="1600"/>
                      <a:t>%</a:t>
                    </a:r>
                    <a:endParaRPr lang="en-US" sz="1600"/>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
                  <c:y val="-0.0208333333333333"/>
                </c:manualLayout>
              </c:layout>
              <c:tx>
                <c:rich>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r>
                      <a:rPr lang="en-US" altLang="zh-CN" sz="1600"/>
                      <a:t>2.37%</a:t>
                    </a:r>
                    <a:endParaRPr lang="en-US" altLang="zh-CN" sz="1600"/>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[工作簿1]Sheet1!$B$1:$B$4</c:f>
              <c:strCache>
                <c:ptCount val="4"/>
                <c:pt idx="0">
                  <c:v>一般公共预算财政拨款收入</c:v>
                </c:pt>
                <c:pt idx="1">
                  <c:v>政府性基金预算财政拨款</c:v>
                </c:pt>
                <c:pt idx="2">
                  <c:v>事业收入</c:v>
                </c:pt>
                <c:pt idx="3">
                  <c:v>其他收入</c:v>
                </c:pt>
              </c:strCache>
            </c:strRef>
          </c:cat>
          <c:val>
            <c:numRef>
              <c:f>[工作簿1]Sheet1!$C$1:$C$4</c:f>
              <c:numCache>
                <c:formatCode>0.00%</c:formatCode>
                <c:ptCount val="4"/>
                <c:pt idx="0">
                  <c:v>0.937528770906859</c:v>
                </c:pt>
                <c:pt idx="1">
                  <c:v>0.00255741394302082</c:v>
                </c:pt>
                <c:pt idx="2">
                  <c:v>0.0361650299217431</c:v>
                </c:pt>
                <c:pt idx="3">
                  <c:v>0.0237487852283771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30555555555556"/>
          <c:y val="0.285185185185185"/>
          <c:w val="0.352777777777778"/>
          <c:h val="0.520601851851852"/>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6a52e35b-67d3-40ae-9037-aa745e31a78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[工作簿1]Sheet1!$B$14:$B$15</c:f>
              <c:strCache>
                <c:ptCount val="2"/>
                <c:pt idx="0">
                  <c:v>基本支出</c:v>
                </c:pt>
                <c:pt idx="1">
                  <c:v>项目支出</c:v>
                </c:pt>
              </c:strCache>
            </c:strRef>
          </c:cat>
          <c:val>
            <c:numRef>
              <c:f>[工作簿1]Sheet1!$C$14:$C$15</c:f>
              <c:numCache>
                <c:formatCode>0.00%</c:formatCode>
                <c:ptCount val="2"/>
                <c:pt idx="0">
                  <c:v>0.549204644263721</c:v>
                </c:pt>
                <c:pt idx="1">
                  <c:v>0.45079535573628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de9ac63-89e7-49f1-ac5f-2b2f38b18a2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  </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[工作簿1]Sheet1!$A$22:$A$23</c:f>
              <c:strCache>
                <c:ptCount val="2"/>
                <c:pt idx="0">
                  <c:v>2020年</c:v>
                </c:pt>
                <c:pt idx="1">
                  <c:v>2021年</c:v>
                </c:pt>
              </c:strCache>
            </c:strRef>
          </c:cat>
          <c:val>
            <c:numRef>
              <c:f>[工作簿1]Sheet1!$B$22:$B$23</c:f>
              <c:numCache>
                <c:formatCode>General</c:formatCode>
                <c:ptCount val="2"/>
                <c:pt idx="0">
                  <c:v>2438.88</c:v>
                </c:pt>
                <c:pt idx="1" c:formatCode="#,##0.00">
                  <c:v>2932.74</c:v>
                </c:pt>
              </c:numCache>
            </c:numRef>
          </c:val>
        </c:ser>
        <c:dLbls>
          <c:showLegendKey val="0"/>
          <c:showVal val="1"/>
          <c:showCatName val="0"/>
          <c:showSerName val="0"/>
          <c:showPercent val="0"/>
          <c:showBubbleSize val="0"/>
        </c:dLbls>
        <c:gapWidth val="150"/>
        <c:axId val="448263296"/>
        <c:axId val="448264832"/>
      </c:barChart>
      <c:catAx>
        <c:axId val="448263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264832"/>
        <c:crosses val="autoZero"/>
        <c:auto val="1"/>
        <c:lblAlgn val="ctr"/>
        <c:lblOffset val="100"/>
        <c:noMultiLvlLbl val="0"/>
      </c:catAx>
      <c:valAx>
        <c:axId val="4482648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263296"/>
        <c:crosses val="autoZero"/>
        <c:crossBetween val="between"/>
      </c:valAx>
      <c:spPr>
        <a:noFill/>
        <a:ln>
          <a:noFill/>
        </a:ln>
        <a:effectLst/>
      </c:spPr>
    </c:plotArea>
    <c:plotVisOnly val="1"/>
    <c:dispBlanksAs val="gap"/>
    <c:showDLblsOverMax val="0"/>
    <c:extLst>
      <c:ext uri="{0b15fc19-7d7d-44ad-8c2d-2c3a37ce22c3}">
        <chartProps xmlns="https://web.wps.cn/et/2018/main" chartId="{d3f58b3d-b5af-4114-b537-c3eedb4baed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a:p>
        </c:rich>
      </c:tx>
      <c:layout>
        <c:manualLayout>
          <c:xMode val="edge"/>
          <c:yMode val="edge"/>
          <c:x val="0.195694444444444"/>
          <c:y val="0.00931869952371092"/>
        </c:manualLayout>
      </c:layout>
      <c:overlay val="0"/>
      <c:spPr>
        <a:noFill/>
        <a:ln>
          <a:noFill/>
        </a:ln>
        <a:effectLst/>
      </c:spPr>
    </c:title>
    <c:autoTitleDeleted val="0"/>
    <c:plotArea>
      <c:layout>
        <c:manualLayout>
          <c:layoutTarget val="inner"/>
          <c:xMode val="edge"/>
          <c:yMode val="edge"/>
          <c:x val="0.315977777777779"/>
          <c:y val="0.155518740940153"/>
          <c:w val="0.370127777777778"/>
          <c:h val="0.551857527438393"/>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[工作簿1]Sheet1!$B$34:$B$41</c:f>
              <c:strCache>
                <c:ptCount val="8"/>
                <c:pt idx="0">
                  <c:v>一般公共服务支出</c:v>
                </c:pt>
                <c:pt idx="1">
                  <c:v>教育支出</c:v>
                </c:pt>
                <c:pt idx="2">
                  <c:v>文化旅游体育与传媒支出</c:v>
                </c:pt>
                <c:pt idx="3">
                  <c:v>社会保障和就业支出</c:v>
                </c:pt>
                <c:pt idx="4">
                  <c:v>卫生健康支出</c:v>
                </c:pt>
                <c:pt idx="5">
                  <c:v>农林水支出</c:v>
                </c:pt>
                <c:pt idx="6">
                  <c:v>交通运输支出</c:v>
                </c:pt>
                <c:pt idx="7">
                  <c:v>住房保障支出</c:v>
                </c:pt>
              </c:strCache>
            </c:strRef>
          </c:cat>
          <c:val>
            <c:numRef>
              <c:f>[工作簿1]Sheet1!$C$34:$C$41</c:f>
              <c:numCache>
                <c:formatCode>0.00%</c:formatCode>
                <c:ptCount val="8"/>
                <c:pt idx="0">
                  <c:v>0.130074980308718</c:v>
                </c:pt>
                <c:pt idx="1">
                  <c:v>0.20286623226506</c:v>
                </c:pt>
                <c:pt idx="2">
                  <c:v>0.00422467496598779</c:v>
                </c:pt>
                <c:pt idx="3">
                  <c:v>0.0543581665115232</c:v>
                </c:pt>
                <c:pt idx="4">
                  <c:v>0.0732038311903081</c:v>
                </c:pt>
                <c:pt idx="5">
                  <c:v>0.432352349485299</c:v>
                </c:pt>
                <c:pt idx="6">
                  <c:v>0.00190263812027537</c:v>
                </c:pt>
                <c:pt idx="7">
                  <c:v>0.101017127152828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88333333333333"/>
          <c:y val="0.776558293642577"/>
          <c:w val="0.617777777777778"/>
          <c:h val="0.1985918409608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92c7b97-d114-4fd9-b2bc-223050dab43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endParaRPr lang="zh-CN" altLang="en-US"/>
          </a:p>
        </c:rich>
      </c:tx>
      <c:layout/>
      <c:overlay val="0"/>
      <c:spPr>
        <a:noFill/>
        <a:ln>
          <a:noFill/>
        </a:ln>
        <a:effectLst/>
      </c:spPr>
    </c:title>
    <c:autoTitleDeleted val="0"/>
    <c:plotArea>
      <c:layout>
        <c:manualLayout>
          <c:layoutTarget val="inner"/>
          <c:xMode val="edge"/>
          <c:yMode val="edge"/>
          <c:x val="0.268194444444444"/>
          <c:y val="0.318518518518519"/>
          <c:w val="0.378333333333333"/>
          <c:h val="0.630555555555556"/>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Lbls>
            <c:dLbl>
              <c:idx val="0"/>
              <c:layout>
                <c:manualLayout>
                  <c:x val="-0.172917337344307"/>
                  <c:y val="0.0366388888879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因公出国（境）费</a:t>
                    </a:r>
                    <a:r>
                      <a:rPr lang="en-US" altLang="zh-CN"/>
                      <a:t>0%</a:t>
                    </a:r>
                    <a:endParaRPr lang="en-US" altLang="zh-CN"/>
                  </a:p>
                  <a:p>
                    <a:pPr>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9165995989026"/>
                  <c:y val="0.028537037036068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公务用车购置及运行费</a:t>
                    </a:r>
                    <a:r>
                      <a:rPr lang="en-US" altLang="zh-CN"/>
                      <a:t>0%</a:t>
                    </a:r>
                    <a:endParaRPr lang="en-US" altLang="zh-CN"/>
                  </a:p>
                  <a:p>
                    <a:pPr>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4027777777778"/>
                      <c:h val="0.163888888888889"/>
                    </c:manualLayout>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[工作簿1]Sheet1!$B$50:$B$52</c:f>
              <c:strCache>
                <c:ptCount val="3"/>
                <c:pt idx="0">
                  <c:v>因公出国（境）费</c:v>
                </c:pt>
                <c:pt idx="1">
                  <c:v>公务用车购置及运行费</c:v>
                </c:pt>
                <c:pt idx="2">
                  <c:v>公务接待费</c:v>
                </c:pt>
              </c:strCache>
            </c:strRef>
          </c:cat>
          <c:val>
            <c:numRef>
              <c:f>[工作簿1]Sheet1!$C$50:$C$52</c:f>
              <c:numCache>
                <c:formatCode>0.00%</c:formatCode>
                <c:ptCount val="3"/>
                <c:pt idx="0">
                  <c:v>0</c:v>
                </c:pt>
                <c:pt idx="1">
                  <c:v>0</c:v>
                </c:pt>
                <c:pt idx="2">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extLst>
      <c:ext uri="{0b15fc19-7d7d-44ad-8c2d-2c3a37ce22c3}">
        <chartProps xmlns="https://web.wps.cn/et/2018/main" chartId="{ccd628bb-e1b5-4017-9ba9-583b3ed364b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363F6682E10C43A8BF1A3F3A36E7E699</vt:lp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363F6682E10C43A8BF1A3F3A36E7E699</vt:lpwstr>
  </proper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32</cp:revision>
  <cp:lastPrinted>2022-08-08T09:11:00Z</cp:lastPrinted>
  <dcterms:created xsi:type="dcterms:W3CDTF">2020-08-05T01:49:00Z</dcterms:created>
  <dcterms:modified xsi:type="dcterms:W3CDTF">2022-10-12T01:48:23Z</dcterms:modified>
</cp:core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363F6682E10C43A8BF1A3F3A36E7E699</vt:lpwstr>
  </property>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40</cp:revision>
  <cp:lastPrinted>2022-08-08T09:11:00Z</cp:lastPrinted>
  <dcterms:created xsi:type="dcterms:W3CDTF">2020-08-05T01:49:00Z</dcterms:created>
  <dcterms:modified xsi:type="dcterms:W3CDTF">2023-03-03T03:36:00Z</dcterms:modified>
</cp:cor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40</cp:revision>
  <cp:lastPrinted>2022-08-08T09:11:00Z</cp:lastPrinted>
  <dcterms:created xsi:type="dcterms:W3CDTF">2020-08-05T01:49:00Z</dcterms:created>
  <dcterms:modified xsi:type="dcterms:W3CDTF">2023-03-03T03:36:00Z</dcterms:modified>
</cp:coreProperties>
</file>

<file path=customXml/item4.xml><?xml version="1.0" encoding="utf-8"?>
<Properties xmlns="http://schemas.openxmlformats.org/officeDocument/2006/extended-properties" xmlns:vt="http://schemas.openxmlformats.org/officeDocument/2006/docPropsVTypes">
  <Template>Normal</Template>
  <TotalTime>18</TotalTime>
  <Pages>39</Pages>
  <Words>2629</Words>
  <Characters>14987</Characters>
  <Application>Microsoft Office Word</Application>
  <DocSecurity>0</DocSecurity>
  <Lines>124</Lines>
  <Paragraphs>35</Paragraphs>
  <ScaleCrop>false</ScaleCrop>
  <Company>四川省财政厅</Company>
  <LinksUpToDate>false</LinksUpToDate>
  <CharactersWithSpaces>17581</CharactersWithSpaces>
  <SharedDoc>false</SharedDoc>
  <HyperlinksChanged>false</HyperlinksChanged>
  <AppVersion>12.0000</AppVersion>
</Properties>
</file>

<file path=customXml/item5.xml><?xml version="1.0" encoding="utf-8"?>
<Properties xmlns:vt="http://schemas.openxmlformats.org/officeDocument/2006/docPropsVTypes" xmlns="http://schemas.openxmlformats.org/officeDocument/2006/extended-properties">
  <Template>Normal.dotm</Template>
  <TotalTime>2</TotalTime>
  <Pages>37</Pages>
  <Words>13724</Words>
  <Characters>14824</Characters>
  <Application>WPS Office_11.1.0.10356_F1E327BC-269C-435d-A152-05C5408002CA</Application>
  <DocSecurity>0</DocSecurity>
  <Lines>61</Lines>
  <Paragraphs>17</Paragraphs>
  <Company>四川省财政厅</Company>
  <CharactersWithSpaces>18038</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363F6682E10C43A8BF1A3F3A36E7E699</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2022-10-12T01:48:23Z</dcterms:modified>
  <dc:title>四川省***</dc:title>
  <cp:revision>32</cp:revision>
</cp:coreProperties>
</file>

<file path=customXml/item8.xml><?xml version="1.0" encoding="utf-8"?>
<Properties xmlns="http://schemas.openxmlformats.org/officeDocument/2006/extended-properties" xmlns:vt="http://schemas.openxmlformats.org/officeDocument/2006/docPropsVTypes">
  <Template>Normal.dotm</Template>
  <Company>四川省财政厅</Company>
  <Pages>37</Pages>
  <Words>13724</Words>
  <Characters>14824</Characters>
  <Lines>61</Lines>
  <Paragraphs>17</Paragraphs>
  <TotalTime>2</TotalTime>
  <ScaleCrop>false</ScaleCrop>
  <LinksUpToDate>false</LinksUpToDate>
  <CharactersWithSpaces>18038</CharactersWithSpaces>
  <Application>WPS Office_11.1.0.10356_F1E327BC-269C-435d-A152-05C5408002CA</Application>
  <DocSecurity>0</DocSecurity>
</Properties>
</file>

<file path=customXml/item9.xml><?xml version="1.0" encoding="utf-8"?>
<Properties xmlns:vt="http://schemas.openxmlformats.org/officeDocument/2006/docPropsVTypes" xmlns="http://schemas.openxmlformats.org/officeDocument/2006/extended-properties">
  <Template>Normal</Template>
  <TotalTime>18</TotalTime>
  <Pages>39</Pages>
  <Words>2629</Words>
  <Characters>14987</Characters>
  <Application>Microsoft Office Word</Application>
  <DocSecurity>0</DocSecurity>
  <Lines>124</Lines>
  <Paragraphs>35</Paragraphs>
  <Company>四川省财政厅</Company>
  <CharactersWithSpaces>17581</CharactersWithSpaces>
  <AppVersion>12.0000</AppVersion>
</Properties>
</file>

<file path=customXml/itemProps1.xml><?xml version="1.0" encoding="utf-8"?>
<ds:datastoreItem xmlns:ds="http://schemas.openxmlformats.org/officeDocument/2006/customXml" ds:itemID="{FF05AC4C-8A3C-4559-8EE9-BF30EF8F58F2}">
  <ds:schemaRefs/>
</ds:datastoreItem>
</file>

<file path=customXml/itemProps10.xml><?xml version="1.0" encoding="utf-8"?>
<ds:datastoreItem xmlns:ds="http://schemas.openxmlformats.org/officeDocument/2006/customXml" ds:itemID="{3B6CF699-3A20-4DBF-B473-C4189BAE0AA1}">
  <ds:schemaRefs/>
</ds:datastoreItem>
</file>

<file path=customXml/itemProps11.xml><?xml version="1.0" encoding="utf-8"?>
<ds:datastoreItem xmlns:ds="http://schemas.openxmlformats.org/officeDocument/2006/customXml" ds:itemID="{7A76A9CD-6A2F-4F2B-991A-FE782FE557AF}">
  <ds:schemaRefs/>
</ds:datastoreItem>
</file>

<file path=customXml/itemProps12.xml><?xml version="1.0" encoding="utf-8"?>
<ds:datastoreItem xmlns:ds="http://schemas.openxmlformats.org/officeDocument/2006/customXml" ds:itemID="{173A3386-AA12-4485-AF85-A1DFB4EE1409}">
  <ds:schemaRefs/>
</ds:datastoreItem>
</file>

<file path=customXml/itemProps13.xml><?xml version="1.0" encoding="utf-8"?>
<ds:datastoreItem xmlns:ds="http://schemas.openxmlformats.org/officeDocument/2006/customXml" ds:itemID="{027095F7-C62B-493F-B6A8-B9A0DDE98BEB}">
  <ds:schemaRefs/>
</ds:datastoreItem>
</file>

<file path=customXml/itemProps2.xml><?xml version="1.0" encoding="utf-8"?>
<ds:datastoreItem xmlns:ds="http://schemas.openxmlformats.org/officeDocument/2006/customXml" ds:itemID="{5487C4DB-7D98-48F8-8A02-7C5AE173E7CB}">
  <ds:schemaRefs/>
</ds:datastoreItem>
</file>

<file path=customXml/itemProps3.xml><?xml version="1.0" encoding="utf-8"?>
<ds:datastoreItem xmlns:ds="http://schemas.openxmlformats.org/officeDocument/2006/customXml" ds:itemID="{0B2F2F52-F018-4718-A1E0-931B0E2B4434}">
  <ds:schemaRefs/>
</ds:datastoreItem>
</file>

<file path=customXml/itemProps4.xml><?xml version="1.0" encoding="utf-8"?>
<ds:datastoreItem xmlns:ds="http://schemas.openxmlformats.org/officeDocument/2006/customXml" ds:itemID="{A242368F-D26E-4874-B1A7-77A8C52751B3}">
  <ds:schemaRefs/>
</ds:datastoreItem>
</file>

<file path=customXml/itemProps5.xml><?xml version="1.0" encoding="utf-8"?>
<ds:datastoreItem xmlns:ds="http://schemas.openxmlformats.org/officeDocument/2006/customXml" ds:itemID="{130BED7E-EC97-4E76-BDDE-2E06516BF034}">
  <ds:schemaRefs/>
</ds:datastoreItem>
</file>

<file path=customXml/itemProps6.xml><?xml version="1.0" encoding="utf-8"?>
<ds:datastoreItem xmlns:ds="http://schemas.openxmlformats.org/officeDocument/2006/customXml" ds:itemID="{10AC4D71-D9E8-4D31-8F1F-59CF54523D72}">
  <ds:schemaRefs/>
</ds:datastoreItem>
</file>

<file path=customXml/itemProps7.xml><?xml version="1.0" encoding="utf-8"?>
<ds:datastoreItem xmlns:ds="http://schemas.openxmlformats.org/officeDocument/2006/customXml" ds:itemID="{925B48DD-4ED5-458C-8987-F74AB13FE4E0}">
  <ds:schemaRefs/>
</ds:datastoreItem>
</file>

<file path=customXml/itemProps8.xml><?xml version="1.0" encoding="utf-8"?>
<ds:datastoreItem xmlns:ds="http://schemas.openxmlformats.org/officeDocument/2006/customXml" ds:itemID="{70D120CB-BDF3-4670-BED6-B577F77472CF}">
  <ds:schemaRefs/>
</ds:datastoreItem>
</file>

<file path=customXml/itemProps9.xml><?xml version="1.0" encoding="utf-8"?>
<ds:datastoreItem xmlns:ds="http://schemas.openxmlformats.org/officeDocument/2006/customXml" ds:itemID="{7ABC1EFF-6DC8-46B6-B317-00CDF1A585E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2494</Words>
  <Characters>2609</Characters>
  <Lines>124</Lines>
  <Paragraphs>35</Paragraphs>
  <TotalTime>26</TotalTime>
  <ScaleCrop>false</ScaleCrop>
  <LinksUpToDate>false</LinksUpToDate>
  <CharactersWithSpaces>2657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2022-08-08T09:11:00Z</cp:lastPrinted>
  <dcterms:modified xsi:type="dcterms:W3CDTF">2024-12-24T09:28:31Z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363F6682E10C43A8BF1A3F3A36E7E699</vt:lpwstr>
  </property>
</Properties>
</file>