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425"/>
      <w:bookmarkStart w:id="2" w:name="_Toc15396597"/>
      <w:bookmarkStart w:id="3" w:name="_Toc15396475"/>
      <w:bookmarkStart w:id="4" w:name="_Toc15378441"/>
      <w:bookmarkStart w:id="5" w:name="_Toc15377193"/>
      <w:bookmarkStart w:id="6" w:name="_Toc12917"/>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27733"/>
      <w:bookmarkStart w:id="8" w:name="_Toc15377194"/>
      <w:bookmarkStart w:id="9" w:name="_Toc15306268"/>
      <w:bookmarkStart w:id="10" w:name="_Toc15377426"/>
      <w:bookmarkStart w:id="11" w:name="_Toc15396598"/>
      <w:bookmarkStart w:id="12" w:name="_Toc15378442"/>
      <w:bookmarkStart w:id="13" w:name="_Toc15396476"/>
      <w:r>
        <w:rPr>
          <w:rFonts w:hint="eastAsia" w:ascii="方正小标宋简体" w:hAnsi="方正小标宋简体" w:eastAsia="方正小标宋简体" w:cs="方正小标宋简体"/>
          <w:sz w:val="52"/>
          <w:szCs w:val="52"/>
        </w:rPr>
        <w:t>通江县民胜镇中心小学</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bookmarkStart w:id="14" w:name="_Toc17207"/>
      <w:r>
        <w:rPr>
          <w:rFonts w:hint="eastAsia" w:ascii="方正小标宋简体" w:hAnsi="方正小标宋简体" w:eastAsia="方正小标宋简体" w:cs="方正小标宋简体"/>
          <w:sz w:val="52"/>
          <w:szCs w:val="52"/>
        </w:rPr>
        <w:t>单位决算</w:t>
      </w:r>
      <w:bookmarkEnd w:id="14"/>
    </w:p>
    <w:p>
      <w:pPr>
        <w:widowControl/>
        <w:jc w:val="center"/>
        <w:rPr>
          <w:rFonts w:ascii="黑体" w:hAnsi="黑体" w:eastAsia="黑体"/>
          <w:sz w:val="48"/>
          <w:szCs w:val="48"/>
        </w:rPr>
      </w:pPr>
      <w:r>
        <w:br w:type="page"/>
      </w:r>
      <w:r>
        <w:rPr>
          <w:rFonts w:hint="eastAsia" w:ascii="黑体" w:hAnsi="黑体" w:eastAsia="黑体"/>
          <w:sz w:val="48"/>
          <w:szCs w:val="48"/>
        </w:rPr>
        <w:t>目录</w:t>
      </w:r>
    </w:p>
    <w:p>
      <w:pPr>
        <w:pStyle w:val="19"/>
      </w:pPr>
      <w:r>
        <w:rPr>
          <w:rFonts w:hint="eastAsia"/>
        </w:rPr>
        <w:t>公开时间：2022年8月25日</w:t>
      </w:r>
    </w:p>
    <w:p/>
    <w:sdt>
      <w:sdtPr>
        <w:rPr>
          <w:rFonts w:ascii="宋体" w:hAnsi="宋体"/>
        </w:rPr>
        <w:id w:val="147468787"/>
        <w:docPartObj>
          <w:docPartGallery w:val="Table of Contents"/>
          <w:docPartUnique/>
        </w:docPartObj>
      </w:sdtPr>
      <w:sdtEndPr>
        <w:rPr>
          <w:rFonts w:ascii="宋体" w:hAnsi="宋体"/>
          <w:b/>
        </w:rPr>
      </w:sdtEndPr>
      <w:sdtContent>
        <w:p>
          <w:pPr>
            <w:jc w:val="center"/>
          </w:pPr>
          <w:bookmarkStart w:id="15" w:name="_Toc15396599"/>
        </w:p>
        <w:p>
          <w:pPr>
            <w:pStyle w:val="41"/>
            <w:tabs>
              <w:tab w:val="right" w:leader="dot" w:pos="8306"/>
            </w:tabs>
            <w:rPr>
              <w:b/>
            </w:rPr>
          </w:pPr>
          <w:r>
            <w:fldChar w:fldCharType="begin"/>
          </w:r>
          <w:r>
            <w:instrText xml:space="preserve">TOC \o "1-2" \h \u</w:instrText>
          </w:r>
          <w:r>
            <w:fldChar w:fldCharType="separate"/>
          </w:r>
          <w:r>
            <w:fldChar w:fldCharType="begin"/>
          </w:r>
          <w:r>
            <w:instrText xml:space="preserve"> HYPERLINK \l "_Toc2557"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_Toc2557 </w:instrText>
          </w:r>
          <w:r>
            <w:rPr>
              <w:b/>
            </w:rPr>
            <w:fldChar w:fldCharType="separate"/>
          </w:r>
          <w:r>
            <w:rPr>
              <w:b/>
            </w:rPr>
            <w:t>3</w:t>
          </w:r>
          <w:r>
            <w:rPr>
              <w:b/>
            </w:rPr>
            <w:fldChar w:fldCharType="end"/>
          </w:r>
          <w:r>
            <w:rPr>
              <w:b/>
            </w:rPr>
            <w:fldChar w:fldCharType="end"/>
          </w:r>
        </w:p>
        <w:p>
          <w:pPr>
            <w:pStyle w:val="42"/>
            <w:tabs>
              <w:tab w:val="right" w:leader="dot" w:pos="8306"/>
            </w:tabs>
            <w:ind w:left="420"/>
          </w:pPr>
          <w:r>
            <w:fldChar w:fldCharType="begin"/>
          </w:r>
          <w:r>
            <w:instrText xml:space="preserve"> HYPERLINK \l "_Toc2201" </w:instrText>
          </w:r>
          <w:r>
            <w:fldChar w:fldCharType="separate"/>
          </w:r>
          <w:r>
            <w:rPr>
              <w:rFonts w:hint="eastAsia" w:ascii="黑体" w:hAnsi="黑体" w:eastAsia="黑体"/>
            </w:rPr>
            <w:t>一、职能简介</w:t>
          </w:r>
          <w:r>
            <w:tab/>
          </w:r>
          <w:r>
            <w:fldChar w:fldCharType="begin"/>
          </w:r>
          <w:r>
            <w:instrText xml:space="preserve"> PAGEREF _Toc2201 </w:instrText>
          </w:r>
          <w:r>
            <w:fldChar w:fldCharType="separate"/>
          </w:r>
          <w:r>
            <w:t>3</w:t>
          </w:r>
          <w:r>
            <w:fldChar w:fldCharType="end"/>
          </w:r>
          <w:r>
            <w:fldChar w:fldCharType="end"/>
          </w:r>
        </w:p>
        <w:p>
          <w:pPr>
            <w:pStyle w:val="42"/>
            <w:tabs>
              <w:tab w:val="right" w:leader="dot" w:pos="8306"/>
            </w:tabs>
            <w:ind w:left="420"/>
          </w:pPr>
          <w:r>
            <w:fldChar w:fldCharType="begin"/>
          </w:r>
          <w:r>
            <w:instrText xml:space="preserve"> HYPERLINK \l "_Toc13421" </w:instrText>
          </w:r>
          <w:r>
            <w:fldChar w:fldCharType="separate"/>
          </w:r>
          <w:r>
            <w:rPr>
              <w:rFonts w:hint="eastAsia" w:ascii="黑体" w:hAnsi="黑体" w:eastAsia="黑体"/>
            </w:rPr>
            <w:t>二、2021年重点工作完成情况</w:t>
          </w:r>
          <w:r>
            <w:tab/>
          </w:r>
          <w:r>
            <w:fldChar w:fldCharType="begin"/>
          </w:r>
          <w:r>
            <w:instrText xml:space="preserve"> PAGEREF _Toc13421 </w:instrText>
          </w:r>
          <w:r>
            <w:fldChar w:fldCharType="separate"/>
          </w:r>
          <w:r>
            <w:t>3</w:t>
          </w:r>
          <w:r>
            <w:fldChar w:fldCharType="end"/>
          </w:r>
          <w:r>
            <w:fldChar w:fldCharType="end"/>
          </w:r>
        </w:p>
        <w:p>
          <w:pPr>
            <w:pStyle w:val="41"/>
            <w:tabs>
              <w:tab w:val="right" w:leader="dot" w:pos="8306"/>
            </w:tabs>
            <w:rPr>
              <w:b/>
            </w:rPr>
          </w:pPr>
          <w:r>
            <w:fldChar w:fldCharType="begin"/>
          </w:r>
          <w:r>
            <w:instrText xml:space="preserve"> HYPERLINK \l "_Toc6314"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_Toc6314 </w:instrText>
          </w:r>
          <w:r>
            <w:rPr>
              <w:b/>
            </w:rPr>
            <w:fldChar w:fldCharType="separate"/>
          </w:r>
          <w:r>
            <w:rPr>
              <w:b/>
            </w:rPr>
            <w:t>4</w:t>
          </w:r>
          <w:r>
            <w:rPr>
              <w:b/>
            </w:rPr>
            <w:fldChar w:fldCharType="end"/>
          </w:r>
          <w:r>
            <w:rPr>
              <w:b/>
            </w:rPr>
            <w:fldChar w:fldCharType="end"/>
          </w:r>
        </w:p>
        <w:p>
          <w:pPr>
            <w:pStyle w:val="42"/>
            <w:tabs>
              <w:tab w:val="right" w:leader="dot" w:pos="8306"/>
            </w:tabs>
            <w:ind w:left="420"/>
          </w:pPr>
          <w:r>
            <w:fldChar w:fldCharType="begin"/>
          </w:r>
          <w:r>
            <w:instrText xml:space="preserve"> HYPERLINK \l "_Toc22714"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_Toc22714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"_Toc9828"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_Toc9828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"_Toc27814"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_Toc27814 </w:instrText>
          </w:r>
          <w:r>
            <w:fldChar w:fldCharType="separate"/>
          </w:r>
          <w:r>
            <w:t>5</w:t>
          </w:r>
          <w:r>
            <w:fldChar w:fldCharType="end"/>
          </w:r>
          <w:r>
            <w:fldChar w:fldCharType="end"/>
          </w:r>
        </w:p>
        <w:p>
          <w:pPr>
            <w:pStyle w:val="42"/>
            <w:tabs>
              <w:tab w:val="right" w:leader="dot" w:pos="8306"/>
            </w:tabs>
            <w:ind w:left="420"/>
          </w:pPr>
          <w:r>
            <w:fldChar w:fldCharType="begin"/>
          </w:r>
          <w:r>
            <w:instrText xml:space="preserve"> HYPERLINK \l "_Toc3586"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_Toc3586 </w:instrText>
          </w:r>
          <w:r>
            <w:fldChar w:fldCharType="separate"/>
          </w:r>
          <w:r>
            <w:t>5</w:t>
          </w:r>
          <w:r>
            <w:fldChar w:fldCharType="end"/>
          </w:r>
          <w:r>
            <w:fldChar w:fldCharType="end"/>
          </w:r>
        </w:p>
        <w:p>
          <w:pPr>
            <w:pStyle w:val="42"/>
            <w:tabs>
              <w:tab w:val="right" w:leader="dot" w:pos="8306"/>
            </w:tabs>
            <w:ind w:left="420"/>
          </w:pPr>
          <w:r>
            <w:fldChar w:fldCharType="begin"/>
          </w:r>
          <w:r>
            <w:instrText xml:space="preserve"> HYPERLINK \l "_Toc10290"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_Toc10290 </w:instrText>
          </w:r>
          <w:r>
            <w:fldChar w:fldCharType="separate"/>
          </w:r>
          <w:r>
            <w:t>6</w:t>
          </w:r>
          <w:r>
            <w:fldChar w:fldCharType="end"/>
          </w:r>
          <w:r>
            <w:fldChar w:fldCharType="end"/>
          </w:r>
        </w:p>
        <w:p>
          <w:pPr>
            <w:pStyle w:val="42"/>
            <w:tabs>
              <w:tab w:val="right" w:leader="dot" w:pos="8306"/>
            </w:tabs>
            <w:ind w:left="420"/>
          </w:pPr>
          <w:r>
            <w:fldChar w:fldCharType="begin"/>
          </w:r>
          <w:r>
            <w:instrText xml:space="preserve"> HYPERLINK \l "_Toc30683"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_Toc30683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"_Toc14372"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_Toc14372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"_Toc2992"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_Toc2992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"_Toc11590" </w:instrText>
          </w:r>
          <w:r>
            <w:fldChar w:fldCharType="separate"/>
          </w:r>
          <w:r>
            <w:rPr>
              <w:rFonts w:hint="eastAsia" w:ascii="黑体" w:hAnsi="黑体" w:eastAsia="黑体"/>
            </w:rPr>
            <w:t>九、国有资本经营预算支出决算情况说明</w:t>
          </w:r>
          <w:r>
            <w:tab/>
          </w:r>
          <w:r>
            <w:fldChar w:fldCharType="begin"/>
          </w:r>
          <w:r>
            <w:instrText xml:space="preserve"> PAGEREF _Toc11590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"_Toc10119" </w:instrText>
          </w:r>
          <w:r>
            <w:fldChar w:fldCharType="separate"/>
          </w:r>
          <w:r>
            <w:rPr>
              <w:rFonts w:hint="eastAsia" w:ascii="黑体" w:hAnsi="黑体" w:eastAsia="黑体"/>
            </w:rPr>
            <w:t>十、其他重要事项的情况说明</w:t>
          </w:r>
          <w:r>
            <w:tab/>
          </w:r>
          <w:r>
            <w:fldChar w:fldCharType="begin"/>
          </w:r>
          <w:r>
            <w:instrText xml:space="preserve"> PAGEREF _Toc10119 </w:instrText>
          </w:r>
          <w:r>
            <w:fldChar w:fldCharType="separate"/>
          </w:r>
          <w:r>
            <w:t>10</w:t>
          </w:r>
          <w:r>
            <w:fldChar w:fldCharType="end"/>
          </w:r>
          <w:r>
            <w:fldChar w:fldCharType="end"/>
          </w:r>
        </w:p>
        <w:p>
          <w:pPr>
            <w:pStyle w:val="41"/>
            <w:tabs>
              <w:tab w:val="right" w:leader="dot" w:pos="8306"/>
            </w:tabs>
            <w:rPr>
              <w:b/>
            </w:rPr>
          </w:pPr>
          <w:r>
            <w:fldChar w:fldCharType="begin"/>
          </w:r>
          <w:r>
            <w:instrText xml:space="preserve"> HYPERLINK \l "_Toc16551"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_Toc16551 </w:instrText>
          </w:r>
          <w:r>
            <w:rPr>
              <w:b/>
            </w:rPr>
            <w:fldChar w:fldCharType="separate"/>
          </w:r>
          <w:r>
            <w:rPr>
              <w:b/>
            </w:rPr>
            <w:t>11</w:t>
          </w:r>
          <w:r>
            <w:rPr>
              <w:b/>
            </w:rPr>
            <w:fldChar w:fldCharType="end"/>
          </w:r>
          <w:r>
            <w:rPr>
              <w:b/>
            </w:rPr>
            <w:fldChar w:fldCharType="end"/>
          </w:r>
        </w:p>
        <w:p>
          <w:pPr>
            <w:pStyle w:val="41"/>
            <w:tabs>
              <w:tab w:val="right" w:leader="dot" w:pos="8306"/>
            </w:tabs>
            <w:rPr>
              <w:b/>
            </w:rPr>
          </w:pPr>
          <w:r>
            <w:fldChar w:fldCharType="begin"/>
          </w:r>
          <w:r>
            <w:instrText xml:space="preserve"> HYPERLINK \l "_Toc11982"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_Toc11982 </w:instrText>
          </w:r>
          <w:r>
            <w:rPr>
              <w:b/>
            </w:rPr>
            <w:fldChar w:fldCharType="separate"/>
          </w:r>
          <w:r>
            <w:rPr>
              <w:b/>
            </w:rPr>
            <w:t>13</w:t>
          </w:r>
          <w:r>
            <w:rPr>
              <w:b/>
            </w:rPr>
            <w:fldChar w:fldCharType="end"/>
          </w:r>
          <w:r>
            <w:rPr>
              <w:b/>
            </w:rPr>
            <w:fldChar w:fldCharType="end"/>
          </w:r>
        </w:p>
        <w:p>
          <w:pPr>
            <w:pStyle w:val="41"/>
            <w:tabs>
              <w:tab w:val="right" w:leader="dot" w:pos="8306"/>
            </w:tabs>
            <w:rPr>
              <w:b/>
            </w:rPr>
          </w:pPr>
          <w:r>
            <w:fldChar w:fldCharType="begin"/>
          </w:r>
          <w:r>
            <w:instrText xml:space="preserve"> HYPERLINK \l "_Toc16768"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_Toc16768 </w:instrText>
          </w:r>
          <w:r>
            <w:rPr>
              <w:b/>
            </w:rPr>
            <w:fldChar w:fldCharType="separate"/>
          </w:r>
          <w:r>
            <w:rPr>
              <w:b/>
            </w:rPr>
            <w:t>16</w:t>
          </w:r>
          <w:r>
            <w:rPr>
              <w:b/>
            </w:rPr>
            <w:fldChar w:fldCharType="end"/>
          </w:r>
          <w:r>
            <w:rPr>
              <w:b/>
            </w:rPr>
            <w:fldChar w:fldCharType="end"/>
          </w:r>
        </w:p>
        <w:p>
          <w:pPr>
            <w:pStyle w:val="42"/>
            <w:tabs>
              <w:tab w:val="right" w:leader="dot" w:pos="8306"/>
            </w:tabs>
            <w:ind w:left="420"/>
          </w:pPr>
          <w:r>
            <w:fldChar w:fldCharType="begin"/>
          </w:r>
          <w:r>
            <w:instrText xml:space="preserve"> HYPERLINK \l "_Toc31729" </w:instrText>
          </w:r>
          <w:r>
            <w:fldChar w:fldCharType="separate"/>
          </w:r>
          <w:r>
            <w:rPr>
              <w:rFonts w:hint="eastAsia" w:ascii="仿宋" w:hAnsi="仿宋" w:eastAsia="仿宋"/>
            </w:rPr>
            <w:t>一、收入支出决算总表</w:t>
          </w:r>
          <w:r>
            <w:tab/>
          </w:r>
          <w:r>
            <w:fldChar w:fldCharType="begin"/>
          </w:r>
          <w:r>
            <w:instrText xml:space="preserve"> PAGEREF _Toc31729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"_Toc1255" </w:instrText>
          </w:r>
          <w:r>
            <w:fldChar w:fldCharType="separate"/>
          </w:r>
          <w:r>
            <w:rPr>
              <w:rFonts w:hint="eastAsia" w:ascii="仿宋" w:hAnsi="仿宋" w:eastAsia="仿宋"/>
            </w:rPr>
            <w:t>二、收入决算表</w:t>
          </w:r>
          <w:r>
            <w:tab/>
          </w:r>
          <w:r>
            <w:fldChar w:fldCharType="begin"/>
          </w:r>
          <w:r>
            <w:instrText xml:space="preserve"> PAGEREF _Toc1255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"_Toc16214" </w:instrText>
          </w:r>
          <w:r>
            <w:fldChar w:fldCharType="separate"/>
          </w:r>
          <w:r>
            <w:rPr>
              <w:rFonts w:hint="eastAsia" w:ascii="仿宋" w:hAnsi="仿宋" w:eastAsia="仿宋"/>
            </w:rPr>
            <w:t>三、支出决算表</w:t>
          </w:r>
          <w:r>
            <w:tab/>
          </w:r>
          <w:r>
            <w:fldChar w:fldCharType="begin"/>
          </w:r>
          <w:r>
            <w:instrText xml:space="preserve"> PAGEREF _Toc16214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"_Toc21890" </w:instrText>
          </w:r>
          <w:r>
            <w:fldChar w:fldCharType="separate"/>
          </w:r>
          <w:r>
            <w:rPr>
              <w:rFonts w:hint="eastAsia" w:ascii="仿宋" w:hAnsi="仿宋" w:eastAsia="仿宋"/>
            </w:rPr>
            <w:t>四、财政拨款收入支出决算总表</w:t>
          </w:r>
          <w:r>
            <w:tab/>
          </w:r>
          <w:r>
            <w:fldChar w:fldCharType="begin"/>
          </w:r>
          <w:r>
            <w:instrText xml:space="preserve"> PAGEREF _Toc21890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"_Toc12870" </w:instrText>
          </w:r>
          <w:r>
            <w:fldChar w:fldCharType="separate"/>
          </w:r>
          <w:r>
            <w:rPr>
              <w:rFonts w:hint="eastAsia" w:ascii="仿宋" w:hAnsi="仿宋" w:eastAsia="仿宋"/>
            </w:rPr>
            <w:t>五、财政拨款支出决算明细表</w:t>
          </w:r>
          <w:r>
            <w:tab/>
          </w:r>
          <w:r>
            <w:fldChar w:fldCharType="begin"/>
          </w:r>
          <w:r>
            <w:instrText xml:space="preserve"> PAGEREF _Toc12870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"_Toc12051" </w:instrText>
          </w:r>
          <w:r>
            <w:fldChar w:fldCharType="separate"/>
          </w:r>
          <w:r>
            <w:rPr>
              <w:rFonts w:hint="eastAsia" w:ascii="仿宋" w:hAnsi="仿宋" w:eastAsia="仿宋"/>
            </w:rPr>
            <w:t>六、一般公共预算财政拨款支出决算表</w:t>
          </w:r>
          <w:r>
            <w:tab/>
          </w:r>
          <w:r>
            <w:fldChar w:fldCharType="begin"/>
          </w:r>
          <w:r>
            <w:instrText xml:space="preserve"> PAGEREF _Toc12051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"_Toc27790" </w:instrText>
          </w:r>
          <w:r>
            <w:fldChar w:fldCharType="separate"/>
          </w:r>
          <w:r>
            <w:rPr>
              <w:rFonts w:hint="eastAsia" w:ascii="仿宋" w:hAnsi="仿宋" w:eastAsia="仿宋"/>
            </w:rPr>
            <w:t>七、一般公共预算财政拨款支出决算明细表</w:t>
          </w:r>
          <w:r>
            <w:tab/>
          </w:r>
          <w:r>
            <w:fldChar w:fldCharType="begin"/>
          </w:r>
          <w:r>
            <w:instrText xml:space="preserve"> PAGEREF _Toc27790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"_Toc4324" </w:instrText>
          </w:r>
          <w:r>
            <w:fldChar w:fldCharType="separate"/>
          </w:r>
          <w:r>
            <w:rPr>
              <w:rFonts w:hint="eastAsia" w:ascii="仿宋" w:hAnsi="仿宋" w:eastAsia="仿宋"/>
            </w:rPr>
            <w:t>八、一般公共预算财政拨款基本支出决算表</w:t>
          </w:r>
          <w:r>
            <w:tab/>
          </w:r>
          <w:r>
            <w:fldChar w:fldCharType="begin"/>
          </w:r>
          <w:r>
            <w:instrText xml:space="preserve"> PAGEREF _Toc4324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"_Toc25665" </w:instrText>
          </w:r>
          <w:r>
            <w:fldChar w:fldCharType="separate"/>
          </w:r>
          <w:r>
            <w:rPr>
              <w:rFonts w:hint="eastAsia" w:ascii="仿宋" w:hAnsi="仿宋" w:eastAsia="仿宋"/>
            </w:rPr>
            <w:t>九、一般公共预算财政拨款项目支出决算表</w:t>
          </w:r>
          <w:r>
            <w:tab/>
          </w:r>
          <w:r>
            <w:fldChar w:fldCharType="begin"/>
          </w:r>
          <w:r>
            <w:instrText xml:space="preserve"> PAGEREF _Toc25665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"_Toc25855"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_Toc25855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"_Toc32374"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_Toc32374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"_Toc31344"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_Toc31344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"_Toc6932"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_Toc6932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"_Toc29284"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_Toc29284 </w:instrText>
          </w:r>
          <w:r>
            <w:fldChar w:fldCharType="separate"/>
          </w:r>
          <w:r>
            <w:t>16</w:t>
          </w:r>
          <w:r>
            <w:fldChar w:fldCharType="end"/>
          </w:r>
          <w:r>
            <w:fldChar w:fldCharType="end"/>
          </w:r>
        </w:p>
        <w:p>
          <w:r>
            <w:rPr>
              <w:b/>
            </w:rPr>
            <w:fldChar w:fldCharType="end"/>
          </w:r>
        </w:p>
      </w:sdtContent>
    </w:sdt>
    <w:p>
      <w:pPr>
        <w:widowControl/>
        <w:spacing w:line="440" w:lineRule="exact"/>
        <w:jc w:val="left"/>
        <w:rPr>
          <w:rFonts w:ascii="仿宋" w:hAnsi="仿宋" w:eastAsia="仿宋"/>
          <w:bCs/>
          <w:kern w:val="44"/>
          <w:sz w:val="24"/>
        </w:rPr>
      </w:pPr>
      <w:r>
        <w:br w:type="page"/>
      </w:r>
    </w:p>
    <w:p>
      <w:pPr>
        <w:pStyle w:val="13"/>
        <w:jc w:val="center"/>
        <w:rPr>
          <w:rStyle w:val="30"/>
          <w:rFonts w:ascii="黑体" w:hAnsi="黑体" w:eastAsia="黑体"/>
          <w:b/>
          <w:bCs w:val="0"/>
        </w:rPr>
      </w:pPr>
      <w:bookmarkStart w:id="16" w:name="_Toc2557"/>
      <w:r>
        <w:rPr>
          <w:rFonts w:hint="eastAsia" w:ascii="黑体" w:hAnsi="黑体" w:eastAsia="黑体"/>
          <w:b w:val="0"/>
        </w:rPr>
        <w:t>第一部分单位</w:t>
      </w:r>
      <w:r>
        <w:rPr>
          <w:rStyle w:val="30"/>
          <w:rFonts w:hint="eastAsia" w:ascii="黑体" w:hAnsi="黑体" w:eastAsia="黑体"/>
          <w:b w:val="0"/>
          <w:bCs w:val="0"/>
        </w:rPr>
        <w:t>概况</w:t>
      </w:r>
      <w:bookmarkEnd w:id="15"/>
      <w:bookmarkEnd w:id="16"/>
    </w:p>
    <w:p>
      <w:pPr>
        <w:pStyle w:val="14"/>
        <w:spacing w:before="0" w:after="0" w:line="560" w:lineRule="exact"/>
        <w:ind w:firstLine="640" w:firstLineChars="200"/>
      </w:pPr>
      <w:bookmarkStart w:id="17" w:name="_Toc2201"/>
      <w:bookmarkStart w:id="18" w:name="_Toc15396600"/>
      <w:bookmarkStart w:id="19" w:name="_Toc15377197"/>
      <w:r>
        <w:rPr>
          <w:rStyle w:val="31"/>
          <w:rFonts w:hint="eastAsia" w:ascii="黑体" w:hAnsi="黑体" w:eastAsia="黑体"/>
          <w:b w:val="0"/>
          <w:bCs w:val="0"/>
        </w:rPr>
        <w:t>一、职能简介</w:t>
      </w:r>
      <w:bookmarkEnd w:id="17"/>
    </w:p>
    <w:p>
      <w:pPr>
        <w:spacing w:line="560" w:lineRule="exact"/>
        <w:ind w:firstLine="600" w:firstLineChars="200"/>
        <w:rPr>
          <w:rFonts w:ascii="仿宋" w:hAnsi="仿宋" w:eastAsia="仿宋"/>
          <w:sz w:val="30"/>
          <w:szCs w:val="30"/>
        </w:rPr>
      </w:pPr>
      <w:r>
        <w:rPr>
          <w:rFonts w:hint="eastAsia" w:ascii="仿宋" w:hAnsi="仿宋" w:eastAsia="仿宋"/>
          <w:sz w:val="30"/>
          <w:szCs w:val="30"/>
        </w:rPr>
        <w:t>通江县民胜镇中心小学是一所</w:t>
      </w:r>
      <w:r>
        <w:rPr>
          <w:rFonts w:hint="eastAsia" w:ascii="仿宋" w:hAnsi="仿宋" w:eastAsia="仿宋"/>
          <w:sz w:val="30"/>
          <w:szCs w:val="30"/>
          <w:u w:color="46CD7E"/>
        </w:rPr>
        <w:t>城乡接合部</w:t>
      </w:r>
      <w:r>
        <w:rPr>
          <w:rFonts w:hint="eastAsia" w:ascii="仿宋" w:hAnsi="仿宋" w:eastAsia="仿宋"/>
          <w:sz w:val="30"/>
          <w:szCs w:val="30"/>
        </w:rPr>
        <w:t>寄宿制小学，贯彻落实党和国家的教育方针、政策，严格执行上级主管部门的决议和指示，全面实施素质教育，培养德、智、体、美等方面全面发展的社会主义事业的建设者和接班人，做到为党育人，为国育才。</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pPr>
        <w:pStyle w:val="3"/>
        <w:spacing w:beforeLines="0" w:line="560" w:lineRule="exact"/>
      </w:pPr>
      <w:r>
        <w:rPr>
          <w:rFonts w:hint="eastAsia" w:ascii="仿宋" w:hAnsi="仿宋" w:eastAsia="仿宋"/>
          <w:szCs w:val="30"/>
        </w:rPr>
        <w:t>（六）完成小学学历教育。</w:t>
      </w:r>
    </w:p>
    <w:p>
      <w:pPr>
        <w:pStyle w:val="14"/>
        <w:spacing w:before="0" w:after="0" w:line="560" w:lineRule="exact"/>
        <w:ind w:firstLine="640" w:firstLineChars="200"/>
        <w:rPr>
          <w:rFonts w:ascii="黑体" w:hAnsi="黑体" w:eastAsia="黑体"/>
          <w:b w:val="0"/>
        </w:rPr>
      </w:pPr>
      <w:bookmarkStart w:id="20" w:name="_Toc13421"/>
      <w:r>
        <w:rPr>
          <w:rFonts w:hint="eastAsia" w:ascii="黑体" w:hAnsi="黑体" w:eastAsia="黑体"/>
          <w:b w:val="0"/>
        </w:rPr>
        <w:t>二、2021年重点工作</w:t>
      </w:r>
      <w:bookmarkEnd w:id="18"/>
      <w:bookmarkEnd w:id="19"/>
      <w:r>
        <w:rPr>
          <w:rFonts w:hint="eastAsia" w:ascii="黑体" w:hAnsi="黑体" w:eastAsia="黑体"/>
          <w:b w:val="0"/>
        </w:rPr>
        <w:t>完成情况</w:t>
      </w:r>
      <w:bookmarkEnd w:id="20"/>
    </w:p>
    <w:p>
      <w:pPr>
        <w:spacing w:line="560" w:lineRule="exact"/>
        <w:ind w:firstLine="600" w:firstLineChars="200"/>
        <w:rPr>
          <w:rFonts w:ascii="仿宋" w:hAnsi="仿宋" w:eastAsia="仿宋"/>
          <w:kern w:val="0"/>
          <w:sz w:val="32"/>
          <w:szCs w:val="32"/>
        </w:rPr>
      </w:pPr>
      <w:r>
        <w:rPr>
          <w:rFonts w:hint="eastAsia" w:ascii="仿宋" w:hAnsi="仿宋" w:eastAsia="仿宋"/>
          <w:sz w:val="30"/>
          <w:szCs w:val="30"/>
        </w:rPr>
        <w:t>通江县民胜镇中心小学在县委、县政府的领导下，在上级主管部门的指导下，以尚美承道，立德树人为办学理念，以传统文化香校园、红色血脉代代传、家校共育助成长、艺术活动雅身心为办学特色，全面完成了2021年教育教学工作。</w:t>
      </w:r>
    </w:p>
    <w:p>
      <w:pPr>
        <w:pStyle w:val="13"/>
        <w:ind w:right="440"/>
        <w:jc w:val="center"/>
        <w:rPr>
          <w:rStyle w:val="30"/>
          <w:rFonts w:ascii="黑体" w:hAnsi="黑体" w:eastAsia="黑体"/>
          <w:b w:val="0"/>
          <w:bCs/>
        </w:rPr>
      </w:pPr>
      <w:bookmarkStart w:id="21" w:name="_Toc15377204"/>
      <w:bookmarkStart w:id="22" w:name="_Toc6314"/>
      <w:bookmarkStart w:id="23" w:name="_Toc15396602"/>
      <w:r>
        <w:rPr>
          <w:rFonts w:hint="eastAsia" w:ascii="黑体" w:hAnsi="黑体" w:eastAsia="黑体"/>
          <w:b w:val="0"/>
        </w:rPr>
        <w:t>第二部分 2021年度</w:t>
      </w:r>
      <w:r>
        <w:rPr>
          <w:rStyle w:val="30"/>
          <w:rFonts w:hint="eastAsia" w:ascii="黑体" w:hAnsi="黑体" w:eastAsia="黑体"/>
          <w:b w:val="0"/>
          <w:bCs/>
        </w:rPr>
        <w:t>单位决算情况说明</w:t>
      </w:r>
      <w:bookmarkEnd w:id="21"/>
      <w:bookmarkEnd w:id="22"/>
      <w:bookmarkEnd w:id="23"/>
    </w:p>
    <w:p/>
    <w:p>
      <w:pPr>
        <w:pStyle w:val="29"/>
        <w:numPr>
          <w:ilvl w:val="0"/>
          <w:numId w:val="2"/>
        </w:numPr>
        <w:spacing w:line="600" w:lineRule="exact"/>
        <w:ind w:firstLineChars="0"/>
        <w:outlineLvl w:val="1"/>
        <w:rPr>
          <w:rStyle w:val="31"/>
          <w:rFonts w:ascii="黑体" w:hAnsi="黑体" w:eastAsia="黑体"/>
          <w:b w:val="0"/>
        </w:rPr>
      </w:pPr>
      <w:bookmarkStart w:id="24" w:name="_Toc15396603"/>
      <w:bookmarkStart w:id="25" w:name="_Toc15377205"/>
      <w:bookmarkStart w:id="26" w:name="_Toc22714"/>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2021年度收、支总计1259.87万元。与2020年相比，收、支总计各增加46.32万元，增长3.82</w:t>
      </w:r>
      <w:r>
        <w:rPr>
          <w:rFonts w:ascii="仿宋" w:hAnsi="仿宋" w:eastAsia="仿宋"/>
          <w:sz w:val="32"/>
          <w:szCs w:val="32"/>
        </w:rPr>
        <w:t>%</w:t>
      </w:r>
      <w:r>
        <w:rPr>
          <w:rFonts w:hint="eastAsia" w:ascii="仿宋" w:hAnsi="仿宋" w:eastAsia="仿宋"/>
          <w:sz w:val="32"/>
          <w:szCs w:val="32"/>
        </w:rPr>
        <w:t>。主要变动原因是新增学生宿舍建设项目及人员正常增资。</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20310" cy="2944495"/>
            <wp:effectExtent l="4445" t="4445" r="23495" b="22860"/>
            <wp:docPr id="1235" name="_x0000_i33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spacing w:before="93"/>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9"/>
        <w:numPr>
          <w:ilvl w:val="0"/>
          <w:numId w:val="2"/>
        </w:numPr>
        <w:spacing w:line="600" w:lineRule="exact"/>
        <w:ind w:firstLineChars="0"/>
        <w:outlineLvl w:val="1"/>
        <w:rPr>
          <w:rStyle w:val="31"/>
          <w:rFonts w:ascii="黑体" w:hAnsi="黑体" w:eastAsia="黑体"/>
          <w:b w:val="0"/>
        </w:rPr>
      </w:pPr>
      <w:bookmarkStart w:id="27" w:name="_Toc9828"/>
      <w:bookmarkStart w:id="28" w:name="_Toc15396604"/>
      <w:bookmarkStart w:id="29" w:name="_Toc15377206"/>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2344"/>
      <w:r>
        <w:rPr>
          <w:rFonts w:ascii="仿宋" w:hAnsi="仿宋" w:eastAsia="仿宋"/>
          <w:sz w:val="32"/>
          <w:szCs w:val="32"/>
        </w:rPr>
        <w:t>20</w:t>
      </w:r>
      <w:r>
        <w:rPr>
          <w:rFonts w:hint="eastAsia" w:ascii="仿宋" w:hAnsi="仿宋" w:eastAsia="仿宋"/>
          <w:sz w:val="32"/>
          <w:szCs w:val="32"/>
        </w:rPr>
        <w:t>21年本年收入合计1259.87万元，其中：一般公共预算财政拨款收入1259.87万元，占100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352415" cy="2336800"/>
            <wp:effectExtent l="4445" t="4445" r="15240" b="20955"/>
            <wp:docPr id="1236" name="_x0000_i33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9"/>
        <w:numPr>
          <w:ilvl w:val="0"/>
          <w:numId w:val="2"/>
        </w:numPr>
        <w:spacing w:line="600" w:lineRule="exact"/>
        <w:ind w:firstLineChars="0"/>
        <w:outlineLvl w:val="1"/>
        <w:rPr>
          <w:rStyle w:val="31"/>
          <w:rFonts w:ascii="黑体" w:hAnsi="黑体" w:eastAsia="黑体"/>
          <w:b w:val="0"/>
        </w:rPr>
      </w:pPr>
      <w:bookmarkStart w:id="31" w:name="_Toc15377207"/>
      <w:bookmarkStart w:id="32" w:name="_Toc15396605"/>
      <w:bookmarkStart w:id="33" w:name="_Toc27814"/>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4954"/>
      <w:r>
        <w:rPr>
          <w:rFonts w:ascii="仿宋" w:hAnsi="仿宋" w:eastAsia="仿宋"/>
          <w:sz w:val="32"/>
          <w:szCs w:val="32"/>
        </w:rPr>
        <w:t>20</w:t>
      </w:r>
      <w:r>
        <w:rPr>
          <w:rFonts w:hint="eastAsia" w:ascii="仿宋" w:hAnsi="仿宋" w:eastAsia="仿宋"/>
          <w:sz w:val="32"/>
          <w:szCs w:val="32"/>
        </w:rPr>
        <w:t>21年本年支出合计1259.87万元，其中：基本支出911.23万元，占72.33</w:t>
      </w:r>
      <w:r>
        <w:rPr>
          <w:rFonts w:ascii="仿宋" w:hAnsi="仿宋" w:eastAsia="仿宋"/>
          <w:sz w:val="32"/>
          <w:szCs w:val="32"/>
        </w:rPr>
        <w:t>%</w:t>
      </w:r>
      <w:r>
        <w:rPr>
          <w:rFonts w:hint="eastAsia" w:ascii="仿宋" w:hAnsi="仿宋" w:eastAsia="仿宋"/>
          <w:sz w:val="32"/>
          <w:szCs w:val="32"/>
        </w:rPr>
        <w:t>；项目支出348.64万元，占27.67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5301615" cy="2458720"/>
            <wp:effectExtent l="4445" t="4445" r="8890" b="13335"/>
            <wp:docPr id="1237" name="_x0000_i33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31"/>
          <w:rFonts w:ascii="黑体" w:hAnsi="黑体" w:eastAsia="黑体"/>
          <w:b w:val="0"/>
        </w:rPr>
      </w:pPr>
      <w:bookmarkStart w:id="35" w:name="_Toc15396606"/>
      <w:bookmarkStart w:id="36" w:name="_Toc15377208"/>
      <w:bookmarkStart w:id="37" w:name="_Toc3586"/>
      <w:r>
        <w:rPr>
          <w:rFonts w:hint="eastAsia" w:ascii="黑体" w:hAnsi="黑体" w:eastAsia="黑体"/>
          <w:sz w:val="32"/>
          <w:szCs w:val="32"/>
        </w:rPr>
        <w:t>四、财</w:t>
      </w:r>
      <w:r>
        <w:rPr>
          <w:rStyle w:val="31"/>
          <w:rFonts w:hint="eastAsia" w:ascii="黑体" w:hAnsi="黑体" w:eastAsia="黑体"/>
          <w:b w:val="0"/>
        </w:rPr>
        <w:t>政拨款收入支出</w:t>
      </w:r>
      <w:r>
        <w:rPr>
          <w:rFonts w:hint="eastAsia" w:ascii="黑体" w:hAnsi="黑体" w:eastAsia="黑体"/>
        </w:rPr>
        <w:t>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21年财政拨款收、支总计1259.87万元。与</w:t>
      </w:r>
      <w:r>
        <w:rPr>
          <w:rFonts w:ascii="仿宋" w:hAnsi="仿宋" w:eastAsia="仿宋"/>
          <w:sz w:val="32"/>
          <w:szCs w:val="32"/>
        </w:rPr>
        <w:t>20</w:t>
      </w:r>
      <w:r>
        <w:rPr>
          <w:rFonts w:hint="eastAsia" w:ascii="仿宋" w:hAnsi="仿宋" w:eastAsia="仿宋"/>
          <w:sz w:val="32"/>
          <w:szCs w:val="32"/>
        </w:rPr>
        <w:t>20年相比，财政拨款收、支总计各增加46.32万元，增长3.82</w:t>
      </w:r>
      <w:r>
        <w:rPr>
          <w:rFonts w:ascii="仿宋" w:hAnsi="仿宋" w:eastAsia="仿宋"/>
          <w:sz w:val="32"/>
          <w:szCs w:val="32"/>
        </w:rPr>
        <w:t>%</w:t>
      </w:r>
      <w:r>
        <w:rPr>
          <w:rFonts w:hint="eastAsia" w:ascii="仿宋" w:hAnsi="仿宋" w:eastAsia="仿宋"/>
          <w:sz w:val="32"/>
          <w:szCs w:val="32"/>
        </w:rPr>
        <w:t>。主要变动原因是新增学生宿舍建设项目及人员正常增资。</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330190" cy="2341245"/>
            <wp:effectExtent l="4445" t="4445" r="18415" b="16510"/>
            <wp:docPr id="1238" name="_x0000_i33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1"/>
          <w:rFonts w:ascii="黑体" w:hAnsi="黑体" w:eastAsia="黑体"/>
          <w:b w:val="0"/>
        </w:rPr>
      </w:pPr>
      <w:bookmarkStart w:id="38" w:name="_Toc15377209"/>
      <w:bookmarkStart w:id="39" w:name="_Toc10290"/>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u w:val="thick" w:color="FFB03A"/>
          <w:shd w:val="clear" w:color="auto" w:fill="FFEFD8"/>
        </w:rPr>
        <w:t>（一）</w:t>
      </w:r>
      <w:r>
        <w:rPr>
          <w:rFonts w:hint="eastAsia" w:ascii="仿宋" w:hAnsi="仿宋" w:eastAsia="仿宋"/>
          <w:b/>
          <w:sz w:val="32"/>
          <w:szCs w:val="32"/>
        </w:rPr>
        <w:t>一般公共预算财政拨款支出决算总体情况</w:t>
      </w:r>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21年一般公共预算财政拨款支出1259.87万元，占本年支出合计的100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20年相比，一般公共预算财政拨款支出增加46.32万元，增长3.82</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925695" cy="2711450"/>
            <wp:effectExtent l="4445" t="4445" r="22860" b="8255"/>
            <wp:docPr id="1239" name="_x0000_i33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21年一般公共预算财政拨款支出1259.87万元，主要用于以下方面</w:t>
      </w:r>
      <w:r>
        <w:t>：</w:t>
      </w:r>
      <w:r>
        <w:rPr>
          <w:rFonts w:hint="eastAsia" w:ascii="仿宋" w:hAnsi="仿宋" w:eastAsia="仿宋"/>
          <w:b/>
          <w:sz w:val="32"/>
          <w:szCs w:val="32"/>
        </w:rPr>
        <w:t>教育支出（类）1064.45</w:t>
      </w:r>
      <w:r>
        <w:rPr>
          <w:rFonts w:hint="eastAsia" w:ascii="仿宋" w:hAnsi="仿宋" w:eastAsia="仿宋"/>
          <w:sz w:val="32"/>
          <w:szCs w:val="32"/>
        </w:rPr>
        <w:t>万元，占84.49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支出90.10万元，占7.15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46.26万元，占3.67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1.50万元，占0.12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57.55万元，占比4.57</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028565" cy="2677795"/>
            <wp:effectExtent l="4445" t="4445" r="15240" b="22860"/>
            <wp:docPr id="1240" name="_x0000_i33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rPr>
          <w:rStyle w:val="10"/>
          <w:rFonts w:ascii="仿宋" w:hAnsi="仿宋" w:eastAsia="仿宋"/>
          <w:bCs/>
          <w:sz w:val="32"/>
          <w:szCs w:val="32"/>
        </w:rPr>
      </w:pPr>
      <w:bookmarkStart w:id="44" w:name="_Toc15378460"/>
      <w:bookmarkStart w:id="45" w:name="_Toc15377444"/>
      <w:bookmarkStart w:id="46" w:name="_Toc15377213"/>
      <w:r>
        <w:rPr>
          <w:rFonts w:hint="eastAsia" w:ascii="仿宋" w:hAnsi="仿宋" w:eastAsia="仿宋"/>
          <w:b/>
          <w:sz w:val="32"/>
          <w:szCs w:val="32"/>
        </w:rPr>
        <w:t>2021年一般公共预算支出决算数为1259.87万元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。其中</w:t>
      </w:r>
      <w:r>
        <w:rPr>
          <w:rStyle w:val="10"/>
          <w:rFonts w:hint="eastAsia" w:ascii="仿宋" w:hAnsi="仿宋" w:eastAsia="仿宋"/>
          <w:bCs/>
          <w:sz w:val="32"/>
          <w:szCs w:val="32"/>
          <w:u w:val="thick" w:color="4B6EE0"/>
          <w:shd w:val="clear" w:color="auto" w:fill="6F8BE6"/>
        </w:rPr>
        <w:t>：</w:t>
      </w:r>
      <w:bookmarkEnd w:id="44"/>
      <w:bookmarkEnd w:id="45"/>
      <w:bookmarkEnd w:id="46"/>
    </w:p>
    <w:p>
      <w:pPr>
        <w:spacing w:line="600" w:lineRule="exact"/>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决算为1064.45万元，完成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社会保障和就业（类）</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决算为90.10万元，完成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rPr>
          <w:rFonts w:hint="eastAsia" w:ascii="仿宋" w:hAnsi="仿宋" w:eastAsia="仿宋"/>
          <w:bCs/>
          <w:sz w:val="32"/>
          <w:szCs w:val="32"/>
          <w:u w:val="thick" w:color="4B6EE0"/>
          <w:shd w:val="clear" w:color="auto" w:fill="6F8BE6"/>
        </w:rPr>
        <w:t>）</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决算为46.26万元，完成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4.农林水支出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扶贫（款</w:t>
      </w:r>
      <w:r>
        <w:t>）</w:t>
      </w:r>
      <w:r>
        <w:rPr>
          <w:rFonts w:hint="eastAsia" w:ascii="仿宋" w:hAnsi="仿宋" w:eastAsia="仿宋"/>
          <w:bCs/>
          <w:sz w:val="32"/>
          <w:szCs w:val="32"/>
        </w:rPr>
        <w:t>其他扶贫支出（项）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决算为1.50万元，完成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5.住房保障支出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住房改革支出（款住房公积金（项）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决算为57.55万元，完成</w:t>
      </w:r>
      <w:r>
        <w:rPr>
          <w:rStyle w:val="10"/>
          <w:rFonts w:hint="eastAsia" w:ascii="仿宋" w:hAnsi="仿宋" w:eastAsia="仿宋"/>
          <w:b w:val="0"/>
          <w:bCs/>
          <w:sz w:val="32"/>
          <w:szCs w:val="32"/>
        </w:rPr>
        <w:t>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tabs>
          <w:tab w:val="right" w:pos="8306"/>
        </w:tabs>
        <w:spacing w:line="600" w:lineRule="exact"/>
        <w:ind w:firstLine="640"/>
        <w:outlineLvl w:val="1"/>
        <w:rPr>
          <w:rStyle w:val="31"/>
        </w:rPr>
      </w:pPr>
      <w:bookmarkStart w:id="47" w:name="_Toc15377214"/>
      <w:bookmarkStart w:id="48" w:name="_Toc30683"/>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财政拨款基本支出决算情况说明</w:t>
      </w:r>
      <w:bookmarkEnd w:id="47"/>
      <w:bookmarkEnd w:id="48"/>
      <w:bookmarkEnd w:id="4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21年一般公共预算财政拨款基本支出911.23万元，其中：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846.14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65.09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31"/>
          <w:rFonts w:ascii="黑体" w:hAnsi="黑体" w:eastAsia="黑体"/>
          <w:b w:val="0"/>
        </w:rPr>
      </w:pPr>
      <w:bookmarkStart w:id="50" w:name="_Toc15396609"/>
      <w:bookmarkStart w:id="51" w:name="_Toc15377215"/>
      <w:bookmarkStart w:id="52" w:name="_Toc14372"/>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sz w:val="32"/>
          <w:szCs w:val="32"/>
        </w:rPr>
        <w:t>财政拨款支</w:t>
      </w:r>
      <w:r>
        <w:rPr>
          <w:rStyle w:val="31"/>
          <w:rFonts w:hint="eastAsia" w:ascii="黑体" w:hAnsi="黑体" w:eastAsia="黑体"/>
          <w:b w:val="0"/>
        </w:rPr>
        <w:t>出</w:t>
      </w:r>
      <w:r>
        <w:rPr>
          <w:rFonts w:hint="eastAsia" w:ascii="黑体" w:hAnsi="黑体" w:eastAsia="黑体"/>
          <w:sz w:val="32"/>
          <w:szCs w:val="32"/>
        </w:rPr>
        <w:t>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21年“三公”经费财政拨款支出决算为1.0万元，完成预算的100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；公务接待费支出决算1.0万元，占比100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color="46CD7E"/>
          <w:shd w:val="clear" w:color="auto" w:fill="6F8BE6"/>
        </w:rPr>
        <w:t>。</w:t>
      </w:r>
    </w:p>
    <w:p>
      <w:pPr>
        <w:spacing w:line="600" w:lineRule="exact"/>
        <w:ind w:firstLine="640"/>
        <w:rPr>
          <w:rFonts w:ascii="仿宋_GB2312" w:eastAsia="仿宋_GB2312"/>
          <w:b/>
          <w:sz w:val="32"/>
          <w:szCs w:val="32"/>
        </w:rPr>
      </w:pPr>
      <w:bookmarkStart w:id="109" w:name="_GoBack"/>
      <w:bookmarkEnd w:id="109"/>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1.0万元，</w:t>
      </w:r>
      <w:r>
        <w:rPr>
          <w:rStyle w:val="10"/>
          <w:rFonts w:hint="eastAsia" w:ascii="仿宋" w:hAnsi="仿宋" w:eastAsia="仿宋"/>
          <w:b w:val="0"/>
          <w:bCs/>
          <w:sz w:val="32"/>
          <w:szCs w:val="32"/>
        </w:rPr>
        <w:t>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r>
        <w:rPr>
          <w:rFonts w:hint="eastAsia" w:ascii="仿宋_GB2312" w:eastAsia="仿宋_GB2312"/>
          <w:sz w:val="32"/>
          <w:szCs w:val="32"/>
          <w:u w:val="thick" w:color="4B6EE0"/>
          <w:shd w:val="clear" w:color="auto" w:fill="6F8BE6"/>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1.0</w:t>
      </w:r>
      <w:r>
        <w:rPr>
          <w:rFonts w:hint="eastAsia" w:ascii="仿宋_GB2312" w:eastAsia="仿宋_GB2312"/>
          <w:sz w:val="32"/>
          <w:szCs w:val="32"/>
        </w:rPr>
        <w:t>万元，主要用于开展业务活动开支的交通费、住宿费、用餐费等。国内公务接待10批次，90人次（不包括陪同人员），共计支出1.0万元。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5" w:name="_Toc15377218"/>
      <w:bookmarkStart w:id="56" w:name="_Toc15396610"/>
    </w:p>
    <w:p>
      <w:pPr>
        <w:spacing w:line="600" w:lineRule="exact"/>
        <w:ind w:firstLine="640"/>
        <w:outlineLvl w:val="1"/>
        <w:rPr>
          <w:rStyle w:val="31"/>
          <w:rFonts w:ascii="黑体" w:hAnsi="黑体" w:eastAsia="黑体"/>
        </w:rPr>
      </w:pPr>
      <w:bookmarkStart w:id="57" w:name="_Toc2992"/>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rPr>
        <w:t>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31"/>
          <w:rFonts w:ascii="黑体" w:hAnsi="黑体" w:eastAsia="黑体"/>
          <w:b w:val="0"/>
        </w:rPr>
      </w:pPr>
      <w:bookmarkStart w:id="58" w:name="_Toc15377219"/>
      <w:bookmarkStart w:id="59" w:name="_Toc15396611"/>
      <w:bookmarkStart w:id="60" w:name="_Toc11590"/>
      <w:r>
        <w:rPr>
          <w:rStyle w:val="31"/>
          <w:rFonts w:hint="eastAsia" w:ascii="黑体" w:hAnsi="黑体" w:eastAsia="黑体"/>
          <w:b w:val="0"/>
        </w:rPr>
        <w:t>国有资本经营预算</w:t>
      </w:r>
      <w:r>
        <w:rPr>
          <w:rFonts w:hint="eastAsia" w:ascii="黑体" w:hAnsi="黑体" w:eastAsia="黑体"/>
        </w:rPr>
        <w:t>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31"/>
          <w:rFonts w:ascii="黑体" w:hAnsi="黑体" w:eastAsia="黑体"/>
          <w:b w:val="0"/>
        </w:rPr>
      </w:pPr>
      <w:bookmarkStart w:id="61" w:name="_Toc15396612"/>
      <w:bookmarkStart w:id="62" w:name="_Toc15377221"/>
      <w:bookmarkStart w:id="63" w:name="_Toc10119"/>
      <w:r>
        <w:rPr>
          <w:rStyle w:val="31"/>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21年，通江县民胜镇中心小学机关运行经费支出0万元。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21年，通江县民胜镇中心小学政府采购支出总额0万元。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日，通江县民胜镇中心小学共有车辆0辆。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4B6EE0"/>
          <w:shd w:val="clear" w:color="auto" w:fill="6F8BE6"/>
        </w:rPr>
        <w:t>根据预算绩效管理要求，本单位在2021年度预算编制阶段，组织对免作业本费项目、义教奖补项目、义教生活补助项目、公用经费项目、学前教育“三儿”资金、学生营养餐资金、驻村人员差旅费补助、2021年教育强国推进计划项目10个项目开展了预算事前绩效评估，</w:t>
      </w:r>
      <w:r>
        <w:rPr>
          <w:rFonts w:hint="eastAsia" w:ascii="仿宋_GB2312" w:hAnsi="仿宋_GB2312" w:eastAsia="仿宋_GB2312" w:cs="仿宋_GB2312"/>
          <w:sz w:val="32"/>
          <w:szCs w:val="32"/>
        </w:rPr>
        <w:t>对10个项目编制了绩效目标，预算执行过程中，选取9个项目开展绩效监控，年终执行完毕后，对10个项目开展了绩效自评，2021年特定目标类部门预算项目绩效目标自评表见附件（第四部分）。</w:t>
      </w:r>
    </w:p>
    <w:p>
      <w:pPr>
        <w:pStyle w:val="3"/>
        <w:spacing w:before="93"/>
      </w:pPr>
    </w:p>
    <w:p>
      <w:pPr>
        <w:numPr>
          <w:ilvl w:val="0"/>
          <w:numId w:val="5"/>
        </w:numPr>
        <w:spacing w:line="600" w:lineRule="exact"/>
        <w:ind w:firstLine="660" w:firstLineChars="150"/>
        <w:jc w:val="center"/>
        <w:outlineLvl w:val="0"/>
        <w:rPr>
          <w:rStyle w:val="30"/>
          <w:rFonts w:ascii="黑体" w:hAnsi="黑体" w:eastAsia="黑体"/>
          <w:b w:val="0"/>
        </w:rPr>
      </w:pPr>
      <w:bookmarkStart w:id="67" w:name="_Toc15377225"/>
      <w:bookmarkStart w:id="68" w:name="_Toc15396613"/>
      <w:bookmarkStart w:id="69" w:name="_Toc16551"/>
      <w:r>
        <w:rPr>
          <w:rFonts w:hint="eastAsia" w:ascii="黑体" w:hAnsi="黑体" w:eastAsia="黑体"/>
          <w:sz w:val="44"/>
          <w:szCs w:val="44"/>
        </w:rPr>
        <w:t>名</w:t>
      </w:r>
      <w:r>
        <w:rPr>
          <w:rStyle w:val="30"/>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8"/>
        <w:spacing w:line="560" w:lineRule="exact"/>
        <w:ind w:firstLine="640" w:firstLineChars="200"/>
        <w:rPr>
          <w:rFonts w:ascii="仿宋_GB2312" w:eastAsia="仿宋_GB2312"/>
          <w:sz w:val="32"/>
          <w:szCs w:val="32"/>
        </w:rPr>
      </w:pPr>
      <w:bookmarkStart w:id="70" w:name="_Toc15396614"/>
      <w:bookmarkStart w:id="7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rPr>
        <w:t>有关规定继续使用的资金。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val="thick" w:color="FFB03A"/>
          <w:shd w:val="clear" w:color="auto" w:fill="FFEFD8"/>
        </w:rPr>
        <w:t>9</w:t>
      </w:r>
      <w:r>
        <w:rPr>
          <w:rFonts w:ascii="仿宋_GB2312" w:eastAsia="仿宋_GB2312"/>
          <w:color w:val="000000"/>
          <w:sz w:val="32"/>
          <w:szCs w:val="32"/>
          <w:u w:val="thick" w:color="FFB03A"/>
          <w:shd w:val="clear" w:color="auto" w:fill="FFEFD8"/>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w:t>
      </w:r>
      <w:r>
        <w:rPr>
          <w:rFonts w:hint="eastAsia" w:ascii="仿宋_GB2312" w:eastAsia="仿宋_GB2312"/>
          <w:color w:val="000000"/>
          <w:sz w:val="32"/>
          <w:szCs w:val="32"/>
          <w:u w:val="thick" w:color="FFB03A"/>
          <w:shd w:val="clear" w:color="auto" w:fill="FFEFD8"/>
        </w:rPr>
        <w:t>事业</w:t>
      </w:r>
      <w:r>
        <w:rPr>
          <w:rFonts w:hint="eastAsia" w:ascii="仿宋_GB2312" w:eastAsia="仿宋_GB2312"/>
          <w:color w:val="000000"/>
          <w:sz w:val="32"/>
          <w:szCs w:val="32"/>
        </w:rPr>
        <w:t>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sz w:val="32"/>
          <w:szCs w:val="32"/>
        </w:rPr>
      </w:pPr>
    </w:p>
    <w:p>
      <w:pPr>
        <w:spacing w:line="600" w:lineRule="exact"/>
        <w:jc w:val="center"/>
        <w:outlineLvl w:val="0"/>
        <w:rPr>
          <w:rStyle w:val="30"/>
          <w:rFonts w:ascii="黑体" w:hAnsi="黑体" w:eastAsia="黑体"/>
          <w:b w:val="0"/>
        </w:rPr>
      </w:pPr>
      <w:bookmarkStart w:id="72" w:name="_Toc11982"/>
      <w:r>
        <w:rPr>
          <w:rFonts w:hint="eastAsia" w:ascii="黑体" w:hAnsi="黑体" w:eastAsia="黑体"/>
          <w:sz w:val="44"/>
          <w:szCs w:val="44"/>
        </w:rPr>
        <w:t>第</w:t>
      </w:r>
      <w:r>
        <w:rPr>
          <w:rStyle w:val="30"/>
          <w:rFonts w:hint="eastAsia" w:ascii="黑体" w:hAnsi="黑体" w:eastAsia="黑体"/>
          <w:b w:val="0"/>
        </w:rPr>
        <w:t>四部分附件</w:t>
      </w:r>
      <w:bookmarkEnd w:id="70"/>
      <w:bookmarkEnd w:id="72"/>
    </w:p>
    <w:p>
      <w:pPr>
        <w:jc w:val="center"/>
        <w:rPr>
          <w:rFonts w:ascii="华文中宋" w:hAnsi="华文中宋" w:eastAsia="华文中宋"/>
          <w:b/>
          <w:sz w:val="40"/>
          <w:szCs w:val="40"/>
        </w:rPr>
      </w:pPr>
    </w:p>
    <w:p>
      <w:pPr>
        <w:jc w:val="center"/>
        <w:outlineLvl w:val="1"/>
        <w:rPr>
          <w:rFonts w:ascii="华文中宋" w:hAnsi="华文中宋" w:eastAsia="华文中宋"/>
          <w:b/>
          <w:sz w:val="40"/>
          <w:szCs w:val="40"/>
        </w:rPr>
      </w:pPr>
      <w:bookmarkStart w:id="73" w:name="_Toc1074"/>
      <w:r>
        <w:rPr>
          <w:rFonts w:hint="eastAsia" w:ascii="华文中宋" w:hAnsi="华文中宋" w:eastAsia="华文中宋"/>
          <w:b/>
          <w:sz w:val="40"/>
          <w:szCs w:val="40"/>
        </w:rPr>
        <w:t>通江县民胜镇中心小学</w:t>
      </w:r>
      <w:bookmarkEnd w:id="73"/>
    </w:p>
    <w:p>
      <w:pPr>
        <w:pStyle w:val="37"/>
        <w:spacing w:line="240" w:lineRule="auto"/>
        <w:jc w:val="center"/>
        <w:outlineLvl w:val="1"/>
        <w:rPr>
          <w:rFonts w:ascii="华文中宋" w:hAnsi="华文中宋" w:eastAsia="华文中宋"/>
          <w:b/>
          <w:sz w:val="40"/>
          <w:szCs w:val="40"/>
        </w:rPr>
      </w:pPr>
      <w:bookmarkStart w:id="74" w:name="_Toc32561"/>
      <w:r>
        <w:rPr>
          <w:rFonts w:hint="eastAsia" w:ascii="华文中宋" w:hAnsi="华文中宋" w:eastAsia="华文中宋"/>
          <w:b/>
          <w:sz w:val="40"/>
          <w:szCs w:val="40"/>
        </w:rPr>
        <w:t>关于2021年度财政资金整体支出绩效自评</w:t>
      </w:r>
      <w:bookmarkEnd w:id="74"/>
    </w:p>
    <w:p>
      <w:pPr>
        <w:pStyle w:val="37"/>
        <w:spacing w:line="240" w:lineRule="auto"/>
        <w:jc w:val="center"/>
        <w:outlineLvl w:val="1"/>
        <w:rPr>
          <w:rFonts w:ascii="华文中宋" w:hAnsi="华文中宋" w:eastAsia="华文中宋"/>
          <w:b/>
          <w:sz w:val="40"/>
          <w:szCs w:val="40"/>
        </w:rPr>
      </w:pPr>
      <w:bookmarkStart w:id="75" w:name="_Toc19617"/>
      <w:r>
        <w:rPr>
          <w:rFonts w:hint="eastAsia" w:ascii="华文中宋" w:hAnsi="华文中宋" w:eastAsia="华文中宋"/>
          <w:b/>
          <w:sz w:val="40"/>
          <w:szCs w:val="40"/>
        </w:rPr>
        <w:t>报告</w:t>
      </w:r>
      <w:bookmarkEnd w:id="75"/>
    </w:p>
    <w:p>
      <w:pPr>
        <w:pStyle w:val="37"/>
        <w:spacing w:line="240" w:lineRule="auto"/>
        <w:rPr>
          <w:rFonts w:ascii="宋体" w:hAnsi="宋体"/>
          <w:b/>
          <w:bCs/>
          <w:sz w:val="32"/>
          <w:szCs w:val="32"/>
        </w:rPr>
      </w:pPr>
    </w:p>
    <w:p>
      <w:pPr>
        <w:pStyle w:val="37"/>
        <w:spacing w:line="240" w:lineRule="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w:t>
      </w:r>
      <w:r>
        <w:rPr>
          <w:rFonts w:hint="eastAsia" w:ascii="仿宋_GB2312" w:hAnsi="仿宋" w:eastAsia="仿宋_GB2312" w:cs="Times New Roman"/>
          <w:color w:val="auto"/>
          <w:kern w:val="2"/>
          <w:sz w:val="32"/>
          <w:szCs w:val="32"/>
          <w:u w:color="46CD7E"/>
        </w:rPr>
        <w:t>学校教育管理</w:t>
      </w:r>
      <w:r>
        <w:rPr>
          <w:rFonts w:hint="eastAsia" w:ascii="仿宋_GB2312" w:hAnsi="仿宋" w:eastAsia="仿宋_GB2312" w:cs="Times New Roman"/>
          <w:color w:val="auto"/>
          <w:kern w:val="2"/>
          <w:sz w:val="32"/>
          <w:szCs w:val="32"/>
        </w:rPr>
        <w:t>，充分发挥教育服务作用，调动</w:t>
      </w:r>
      <w:r>
        <w:rPr>
          <w:rFonts w:hint="eastAsia" w:ascii="仿宋_GB2312" w:hAnsi="仿宋" w:eastAsia="仿宋_GB2312" w:cs="Times New Roman"/>
          <w:color w:val="auto"/>
          <w:kern w:val="2"/>
          <w:sz w:val="32"/>
          <w:szCs w:val="32"/>
          <w:u w:color="46CD7E"/>
        </w:rPr>
        <w:t>我校教育</w:t>
      </w:r>
      <w:r>
        <w:rPr>
          <w:rFonts w:hint="eastAsia" w:ascii="仿宋_GB2312" w:hAnsi="仿宋" w:eastAsia="仿宋_GB2312" w:cs="Times New Roman"/>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r>
        <w:rPr>
          <w:rFonts w:hint="eastAsia" w:ascii="仿宋_GB2312" w:hAnsi="仿宋" w:eastAsia="仿宋_GB2312" w:cs="Times New Roman"/>
          <w:color w:val="auto"/>
          <w:kern w:val="2"/>
          <w:sz w:val="32"/>
          <w:szCs w:val="32"/>
          <w:u w:color="46CD7E"/>
        </w:rPr>
        <w:t>。</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6" w:name="_Toc1082"/>
      <w:r>
        <w:rPr>
          <w:rFonts w:hint="eastAsia" w:ascii="仿宋_GB2312" w:hAnsi="仿宋" w:eastAsia="仿宋_GB2312"/>
          <w:b/>
          <w:sz w:val="32"/>
          <w:szCs w:val="32"/>
        </w:rPr>
        <w:t>一、学校基本情况</w:t>
      </w:r>
      <w:bookmarkEnd w:id="76"/>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民胜镇中心小学属财政拨款事业单位，主要职能是认真贯彻落实党和国家的方针、政策，正确执行上级主管部门的决议和指示，全面实施素质教育，培养德、智、体、美等方面全面发展的社会主义事业的建设者和接班人。年末编制数59人，实际在岗教职工59人（其中，专技人员69人），遗属人员18人，年末财政供养人员59人。年末实有小学生642人。</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7" w:name="_Toc17050"/>
      <w:r>
        <w:rPr>
          <w:rFonts w:hint="eastAsia" w:ascii="仿宋_GB2312" w:hAnsi="仿宋" w:eastAsia="仿宋_GB2312"/>
          <w:b/>
          <w:sz w:val="32"/>
          <w:szCs w:val="32"/>
        </w:rPr>
        <w:t>二、财政资金收支情况</w:t>
      </w:r>
      <w:bookmarkEnd w:id="77"/>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2021年度财政拨款资金为1259.87万元，其中：人员经费846.14万元，公用经费65.09万元，项目资金348.64万元。开支用于学校教职工工资福利支出及商品服务支出等，支出依据合规合法，资金支付与预算相符。</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2021年度财政资金支出1259.8733万元，其中：人员经费846.14万元，公用经费65.09万元，项目资金348.64万元。</w:t>
      </w:r>
    </w:p>
    <w:p>
      <w:pPr>
        <w:adjustRightInd w:val="0"/>
        <w:snapToGrid w:val="0"/>
        <w:spacing w:line="560" w:lineRule="exact"/>
        <w:ind w:firstLine="720"/>
        <w:outlineLvl w:val="1"/>
        <w:rPr>
          <w:rFonts w:ascii="仿宋_GB2312" w:hAnsi="仿宋" w:eastAsia="仿宋_GB2312"/>
          <w:b/>
          <w:sz w:val="32"/>
          <w:szCs w:val="32"/>
        </w:rPr>
      </w:pPr>
      <w:bookmarkStart w:id="78" w:name="_Toc29728"/>
      <w:r>
        <w:rPr>
          <w:rFonts w:hint="eastAsia" w:ascii="仿宋_GB2312" w:hAnsi="仿宋" w:eastAsia="仿宋_GB2312"/>
          <w:b/>
          <w:sz w:val="32"/>
          <w:szCs w:val="32"/>
        </w:rPr>
        <w:t>三、学校整体预算绩效管理情况</w:t>
      </w:r>
      <w:bookmarkEnd w:id="78"/>
    </w:p>
    <w:p>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全校教职工完成学期目标任务，达到了相关教学要求，学校整体工作取得了较好成效。</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9" w:name="_Toc22732"/>
      <w:r>
        <w:rPr>
          <w:rFonts w:hint="eastAsia" w:ascii="仿宋_GB2312" w:hAnsi="仿宋" w:eastAsia="仿宋_GB2312"/>
          <w:b/>
          <w:sz w:val="32"/>
          <w:szCs w:val="32"/>
        </w:rPr>
        <w:t>四、评价结论及建议</w:t>
      </w:r>
      <w:bookmarkEnd w:id="79"/>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3"/>
        <w:spacing w:before="93"/>
      </w:pPr>
    </w:p>
    <w:p>
      <w:pPr>
        <w:pStyle w:val="3"/>
        <w:spacing w:before="93"/>
        <w:ind w:firstLine="4350" w:firstLineChars="1450"/>
      </w:pPr>
    </w:p>
    <w:p>
      <w:pPr>
        <w:pStyle w:val="3"/>
        <w:spacing w:before="93"/>
        <w:ind w:firstLine="4350" w:firstLineChars="1450"/>
      </w:pPr>
    </w:p>
    <w:p>
      <w:pPr>
        <w:pStyle w:val="3"/>
        <w:spacing w:before="93"/>
        <w:rPr>
          <w:rFonts w:ascii="黑体" w:hAnsi="黑体" w:eastAsia="黑体" w:cs="黑体"/>
          <w:sz w:val="32"/>
          <w:szCs w:val="32"/>
        </w:rPr>
      </w:pPr>
    </w:p>
    <w:p>
      <w:pPr>
        <w:spacing w:line="600" w:lineRule="exact"/>
        <w:jc w:val="center"/>
        <w:outlineLvl w:val="0"/>
        <w:rPr>
          <w:rFonts w:ascii="仿宋" w:hAnsi="仿宋" w:eastAsia="仿宋"/>
        </w:rPr>
      </w:pPr>
      <w:bookmarkStart w:id="80" w:name="_Toc15396618"/>
      <w:bookmarkStart w:id="81" w:name="_Toc16768"/>
      <w:r>
        <w:rPr>
          <w:rFonts w:hint="eastAsia" w:ascii="黑体" w:hAnsi="黑体" w:eastAsia="黑体"/>
          <w:sz w:val="44"/>
          <w:szCs w:val="44"/>
        </w:rPr>
        <w:t>第</w:t>
      </w:r>
      <w:r>
        <w:rPr>
          <w:rStyle w:val="30"/>
          <w:rFonts w:hint="eastAsia" w:ascii="黑体" w:hAnsi="黑体" w:eastAsia="黑体"/>
          <w:b w:val="0"/>
        </w:rPr>
        <w:t>五部分附表</w:t>
      </w:r>
      <w:bookmarkEnd w:id="71"/>
      <w:bookmarkEnd w:id="80"/>
      <w:bookmarkEnd w:id="81"/>
      <w:bookmarkStart w:id="82" w:name="_Toc15396619"/>
    </w:p>
    <w:p>
      <w:pPr>
        <w:pStyle w:val="14"/>
        <w:spacing w:before="0" w:after="0" w:line="640" w:lineRule="exact"/>
        <w:rPr>
          <w:rFonts w:ascii="仿宋" w:hAnsi="仿宋" w:eastAsia="仿宋"/>
          <w:b w:val="0"/>
        </w:rPr>
      </w:pPr>
      <w:bookmarkStart w:id="83" w:name="_Toc31729"/>
    </w:p>
    <w:p>
      <w:pPr>
        <w:pStyle w:val="14"/>
        <w:spacing w:before="0" w:after="0" w:line="640" w:lineRule="exact"/>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w:t>
      </w:r>
      <w:r>
        <w:rPr>
          <w:rFonts w:hint="eastAsia" w:ascii="仿宋" w:hAnsi="仿宋" w:eastAsia="仿宋"/>
          <w:b w:val="0"/>
          <w:bCs w:val="0"/>
        </w:rPr>
        <w:t>决算总表</w:t>
      </w:r>
      <w:bookmarkEnd w:id="82"/>
      <w:bookmarkEnd w:id="83"/>
    </w:p>
    <w:p>
      <w:pPr>
        <w:pStyle w:val="14"/>
        <w:spacing w:before="0" w:after="0" w:line="640" w:lineRule="exact"/>
        <w:rPr>
          <w:rFonts w:ascii="仿宋" w:hAnsi="仿宋" w:eastAsia="仿宋"/>
        </w:rPr>
      </w:pPr>
      <w:bookmarkStart w:id="84" w:name="_Toc15396620"/>
      <w:bookmarkStart w:id="85" w:name="_Toc1255"/>
      <w:r>
        <w:rPr>
          <w:rFonts w:hint="eastAsia" w:ascii="仿宋" w:hAnsi="仿宋" w:eastAsia="仿宋"/>
          <w:b w:val="0"/>
        </w:rPr>
        <w:t>二、收</w:t>
      </w:r>
      <w:r>
        <w:rPr>
          <w:rStyle w:val="31"/>
          <w:rFonts w:hint="eastAsia" w:ascii="仿宋" w:hAnsi="仿宋" w:eastAsia="仿宋"/>
          <w:b w:val="0"/>
          <w:bCs w:val="0"/>
        </w:rPr>
        <w:t>入决算表</w:t>
      </w:r>
      <w:bookmarkEnd w:id="84"/>
      <w:bookmarkEnd w:id="85"/>
    </w:p>
    <w:p>
      <w:pPr>
        <w:pStyle w:val="14"/>
        <w:spacing w:before="0" w:after="0" w:line="640" w:lineRule="exact"/>
        <w:rPr>
          <w:rFonts w:ascii="仿宋" w:hAnsi="仿宋" w:eastAsia="仿宋"/>
        </w:rPr>
      </w:pPr>
      <w:bookmarkStart w:id="86" w:name="_Toc15396621"/>
      <w:bookmarkStart w:id="87" w:name="_Toc16214"/>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w:t>
      </w:r>
      <w:r>
        <w:rPr>
          <w:rFonts w:hint="eastAsia" w:ascii="仿宋" w:hAnsi="仿宋" w:eastAsia="仿宋"/>
          <w:b w:val="0"/>
          <w:bCs w:val="0"/>
        </w:rPr>
        <w:t>决算表</w:t>
      </w:r>
      <w:bookmarkEnd w:id="86"/>
      <w:bookmarkEnd w:id="87"/>
    </w:p>
    <w:p>
      <w:pPr>
        <w:pStyle w:val="14"/>
        <w:spacing w:before="0" w:after="0" w:line="640" w:lineRule="exact"/>
        <w:rPr>
          <w:rFonts w:ascii="仿宋" w:hAnsi="仿宋" w:eastAsia="仿宋"/>
          <w:b w:val="0"/>
        </w:rPr>
      </w:pPr>
      <w:bookmarkStart w:id="88" w:name="_Toc15396622"/>
      <w:bookmarkStart w:id="89" w:name="_Toc21890"/>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w:t>
      </w:r>
      <w:r>
        <w:rPr>
          <w:rFonts w:hint="eastAsia" w:ascii="仿宋" w:hAnsi="仿宋" w:eastAsia="仿宋"/>
          <w:b w:val="0"/>
          <w:bCs w:val="0"/>
        </w:rPr>
        <w:t>决算总表</w:t>
      </w:r>
      <w:bookmarkEnd w:id="88"/>
      <w:bookmarkEnd w:id="89"/>
    </w:p>
    <w:p>
      <w:pPr>
        <w:pStyle w:val="14"/>
        <w:spacing w:before="0" w:after="0" w:line="640" w:lineRule="exact"/>
        <w:rPr>
          <w:rStyle w:val="31"/>
          <w:rFonts w:ascii="仿宋" w:hAnsi="仿宋" w:eastAsia="仿宋"/>
          <w:b w:val="0"/>
          <w:bCs w:val="0"/>
        </w:rPr>
      </w:pPr>
      <w:bookmarkStart w:id="90" w:name="_Toc15396623"/>
      <w:bookmarkStart w:id="91" w:name="_Toc12870"/>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w:t>
      </w:r>
      <w:r>
        <w:rPr>
          <w:rFonts w:hint="eastAsia" w:ascii="仿宋" w:hAnsi="仿宋" w:eastAsia="仿宋"/>
          <w:b w:val="0"/>
          <w:bCs w:val="0"/>
        </w:rPr>
        <w:t>决算明细表</w:t>
      </w:r>
      <w:bookmarkEnd w:id="90"/>
      <w:bookmarkEnd w:id="91"/>
      <w:bookmarkStart w:id="92" w:name="_Toc15396624"/>
    </w:p>
    <w:p>
      <w:pPr>
        <w:pStyle w:val="14"/>
        <w:spacing w:before="0" w:after="0" w:line="640" w:lineRule="exact"/>
        <w:rPr>
          <w:rFonts w:ascii="仿宋" w:hAnsi="仿宋" w:eastAsia="仿宋"/>
        </w:rPr>
      </w:pPr>
      <w:bookmarkStart w:id="93" w:name="_Toc12051"/>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92"/>
      <w:bookmarkEnd w:id="93"/>
    </w:p>
    <w:p>
      <w:pPr>
        <w:pStyle w:val="14"/>
        <w:spacing w:before="0" w:after="0" w:line="640" w:lineRule="exact"/>
        <w:rPr>
          <w:rFonts w:ascii="仿宋" w:hAnsi="仿宋" w:eastAsia="仿宋"/>
        </w:rPr>
      </w:pPr>
      <w:bookmarkStart w:id="94" w:name="_Toc15396625"/>
      <w:bookmarkStart w:id="95" w:name="_Toc27790"/>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94"/>
      <w:bookmarkEnd w:id="95"/>
    </w:p>
    <w:p>
      <w:pPr>
        <w:pStyle w:val="14"/>
        <w:spacing w:before="0" w:after="0" w:line="640" w:lineRule="exact"/>
        <w:rPr>
          <w:rFonts w:ascii="仿宋" w:hAnsi="仿宋" w:eastAsia="仿宋"/>
        </w:rPr>
      </w:pPr>
      <w:bookmarkStart w:id="96" w:name="_Toc15396626"/>
      <w:bookmarkStart w:id="97" w:name="_Toc4324"/>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6"/>
      <w:bookmarkEnd w:id="97"/>
    </w:p>
    <w:p>
      <w:pPr>
        <w:pStyle w:val="14"/>
        <w:spacing w:before="0" w:after="0" w:line="640" w:lineRule="exact"/>
        <w:rPr>
          <w:rFonts w:ascii="仿宋" w:hAnsi="仿宋" w:eastAsia="仿宋"/>
        </w:rPr>
      </w:pPr>
      <w:bookmarkStart w:id="98" w:name="_Toc15396627"/>
      <w:bookmarkStart w:id="99" w:name="_Toc25665"/>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8"/>
      <w:bookmarkEnd w:id="99"/>
    </w:p>
    <w:p>
      <w:pPr>
        <w:pStyle w:val="14"/>
        <w:spacing w:before="0" w:after="0" w:line="640" w:lineRule="exact"/>
        <w:rPr>
          <w:rFonts w:ascii="仿宋" w:hAnsi="仿宋" w:eastAsia="仿宋"/>
        </w:rPr>
      </w:pPr>
      <w:bookmarkStart w:id="100" w:name="_Toc15396628"/>
      <w:bookmarkStart w:id="101" w:name="_Toc25855"/>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100"/>
      <w:bookmarkEnd w:id="101"/>
    </w:p>
    <w:p>
      <w:pPr>
        <w:pStyle w:val="14"/>
        <w:spacing w:before="0" w:after="0" w:line="640" w:lineRule="exact"/>
        <w:rPr>
          <w:rFonts w:ascii="仿宋" w:hAnsi="仿宋" w:eastAsia="仿宋"/>
        </w:rPr>
      </w:pPr>
      <w:bookmarkStart w:id="102" w:name="_Toc15396629"/>
      <w:bookmarkStart w:id="103" w:name="_Toc32374"/>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102"/>
      <w:bookmarkEnd w:id="103"/>
    </w:p>
    <w:p>
      <w:pPr>
        <w:pStyle w:val="14"/>
        <w:spacing w:before="0" w:after="0" w:line="640" w:lineRule="exact"/>
        <w:rPr>
          <w:rFonts w:ascii="仿宋" w:hAnsi="仿宋" w:eastAsia="仿宋"/>
        </w:rPr>
      </w:pPr>
      <w:bookmarkStart w:id="104" w:name="_Toc15396630"/>
      <w:bookmarkStart w:id="105" w:name="_Toc31344"/>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104"/>
      <w:bookmarkEnd w:id="105"/>
    </w:p>
    <w:p>
      <w:pPr>
        <w:pStyle w:val="14"/>
        <w:spacing w:before="0" w:after="0" w:line="640" w:lineRule="exact"/>
        <w:rPr>
          <w:rStyle w:val="31"/>
          <w:rFonts w:ascii="仿宋" w:hAnsi="仿宋" w:eastAsia="仿宋"/>
          <w:b w:val="0"/>
          <w:bCs w:val="0"/>
        </w:rPr>
      </w:pPr>
      <w:bookmarkStart w:id="106" w:name="_Toc15396631"/>
      <w:bookmarkStart w:id="107" w:name="_Toc6932"/>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w:t>
      </w:r>
      <w:r>
        <w:rPr>
          <w:rFonts w:hint="eastAsia" w:ascii="仿宋" w:hAnsi="仿宋" w:eastAsia="仿宋"/>
          <w:b w:val="0"/>
          <w:bCs w:val="0"/>
        </w:rPr>
        <w:t>财政拨款收入支出决算表</w:t>
      </w:r>
      <w:bookmarkEnd w:id="106"/>
      <w:bookmarkEnd w:id="107"/>
    </w:p>
    <w:p>
      <w:pPr>
        <w:spacing w:line="640" w:lineRule="exact"/>
        <w:rPr>
          <w:rFonts w:eastAsia="仿宋"/>
          <w:sz w:val="32"/>
          <w:szCs w:val="32"/>
        </w:rPr>
      </w:pPr>
      <w:bookmarkStart w:id="108" w:name="_Toc29284"/>
      <w:r>
        <w:rPr>
          <w:rStyle w:val="31"/>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7"/>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BA7"/>
    <w:multiLevelType w:val="singleLevel"/>
    <w:tmpl w:val="17281BA7"/>
    <w:lvl w:ilvl="0" w:tentative="0">
      <w:start w:val="9"/>
      <w:numFmt w:val="chineseCounting"/>
      <w:suff w:val="nothing"/>
      <w:lvlText w:val="%1、"/>
      <w:lvlJc w:val="left"/>
      <w:rPr>
        <w:rFonts w:hint="eastAsia"/>
      </w:rPr>
    </w:lvl>
  </w:abstractNum>
  <w:abstractNum w:abstractNumId="1">
    <w:nsid w:val="222E743D"/>
    <w:multiLevelType w:val="multilevel"/>
    <w:tmpl w:val="222E743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28E5ADC"/>
    <w:multiLevelType w:val="singleLevel"/>
    <w:tmpl w:val="228E5ADC"/>
    <w:lvl w:ilvl="0" w:tentative="0">
      <w:start w:val="1"/>
      <w:numFmt w:val="chineseCounting"/>
      <w:suff w:val="nothing"/>
      <w:lvlText w:val="（%1）"/>
      <w:lvlJc w:val="left"/>
      <w:rPr>
        <w:rFonts w:hint="eastAsia"/>
        <w:lang w:val="en-US"/>
      </w:rPr>
    </w:lvl>
  </w:abstractNum>
  <w:abstractNum w:abstractNumId="3">
    <w:nsid w:val="5C311A21"/>
    <w:multiLevelType w:val="singleLevel"/>
    <w:tmpl w:val="5C311A21"/>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69385237"/>
    <w:multiLevelType w:val="singleLevel"/>
    <w:tmpl w:val="69385237"/>
    <w:lvl w:ilvl="0" w:tentative="0">
      <w:start w:val="3"/>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lZTFjMTJjZGMzNjc1NmM4Zjk0ZDQ1ZWFlY2JmNzcifQ=="/>
  </w:docVars>
  <w:rsids>
    <w:rsidRoot w:val="00AC2329"/>
    <w:rsid w:val="003427CC"/>
    <w:rsid w:val="004A6E7F"/>
    <w:rsid w:val="004E6C15"/>
    <w:rsid w:val="007824AB"/>
    <w:rsid w:val="00913125"/>
    <w:rsid w:val="00940074"/>
    <w:rsid w:val="00AC2329"/>
    <w:rsid w:val="00EA0B0D"/>
    <w:rsid w:val="24954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9"/>
    <w:qFormat/>
    <w:uiPriority w:val="99"/>
    <w:pPr>
      <w:tabs>
        <w:tab w:val="center" w:pos="4153"/>
        <w:tab w:val="right" w:pos="8306"/>
      </w:tabs>
      <w:snapToGrid w:val="0"/>
      <w:jc w:val="left"/>
    </w:pPr>
    <w:rPr>
      <w:sz w:val="18"/>
      <w:szCs w:val="18"/>
    </w:rPr>
  </w:style>
  <w:style w:type="paragraph" w:styleId="6">
    <w:name w:val="header"/>
    <w:basedOn w:val="1"/>
    <w:link w:val="48"/>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9"/>
    <w:link w:val="13"/>
    <w:qFormat/>
    <w:uiPriority w:val="9"/>
    <w:rPr>
      <w:rFonts w:ascii="Times New Roman" w:hAnsi="Times New Roman"/>
      <w:b/>
      <w:bCs/>
      <w:kern w:val="44"/>
      <w:sz w:val="44"/>
      <w:szCs w:val="44"/>
    </w:rPr>
  </w:style>
  <w:style w:type="character" w:customStyle="1" w:styleId="31">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9"/>
    <w:semiHidden/>
    <w:qFormat/>
    <w:uiPriority w:val="99"/>
    <w:rPr>
      <w:rFonts w:ascii="Times New Roman" w:hAnsi="Times New Roman"/>
      <w:kern w:val="2"/>
      <w:sz w:val="18"/>
      <w:szCs w:val="18"/>
    </w:rPr>
  </w:style>
  <w:style w:type="character" w:customStyle="1" w:styleId="34">
    <w:name w:val="标题 3 Char"/>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font41"/>
    <w:basedOn w:val="9"/>
    <w:qFormat/>
    <w:uiPriority w:val="0"/>
    <w:rPr>
      <w:rFonts w:hint="eastAsia" w:ascii="宋体" w:hAnsi="宋体" w:eastAsia="宋体" w:cs="宋体"/>
      <w:color w:val="000000"/>
      <w:sz w:val="32"/>
      <w:szCs w:val="32"/>
      <w:u w:val="none"/>
    </w:rPr>
  </w:style>
  <w:style w:type="character" w:customStyle="1" w:styleId="40">
    <w:name w:val="font51"/>
    <w:basedOn w:val="9"/>
    <w:qFormat/>
    <w:uiPriority w:val="0"/>
    <w:rPr>
      <w:rFonts w:hint="eastAsia" w:ascii="宋体" w:hAnsi="宋体" w:eastAsia="宋体" w:cs="宋体"/>
      <w:color w:val="000000"/>
      <w:sz w:val="20"/>
      <w:szCs w:val="20"/>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批注文字 Char"/>
    <w:basedOn w:val="9"/>
    <w:semiHidden/>
    <w:uiPriority w:val="99"/>
    <w:rPr>
      <w:kern w:val="2"/>
      <w:sz w:val="21"/>
      <w:szCs w:val="24"/>
    </w:rPr>
  </w:style>
  <w:style w:type="paragraph" w:customStyle="1" w:styleId="44">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5">
    <w:name w:val="页眉 Char1"/>
    <w:basedOn w:val="9"/>
    <w:semiHidden/>
    <w:uiPriority w:val="99"/>
    <w:rPr>
      <w:kern w:val="2"/>
      <w:sz w:val="18"/>
      <w:szCs w:val="18"/>
    </w:rPr>
  </w:style>
  <w:style w:type="paragraph" w:customStyle="1" w:styleId="46">
    <w:name w:val="Footer0"/>
    <w:basedOn w:val="1"/>
    <w:qFormat/>
    <w:uiPriority w:val="99"/>
    <w:pPr>
      <w:tabs>
        <w:tab w:val="center" w:pos="4153"/>
        <w:tab w:val="right" w:pos="8306"/>
      </w:tabs>
      <w:snapToGrid w:val="0"/>
      <w:jc w:val="left"/>
    </w:pPr>
    <w:rPr>
      <w:sz w:val="18"/>
      <w:szCs w:val="18"/>
    </w:rPr>
  </w:style>
  <w:style w:type="character" w:customStyle="1" w:styleId="47">
    <w:name w:val="页脚 Char1"/>
    <w:basedOn w:val="9"/>
    <w:uiPriority w:val="99"/>
    <w:rPr>
      <w:kern w:val="2"/>
      <w:sz w:val="18"/>
      <w:szCs w:val="18"/>
    </w:rPr>
  </w:style>
  <w:style w:type="character" w:customStyle="1" w:styleId="48">
    <w:name w:val="页眉 字符"/>
    <w:basedOn w:val="9"/>
    <w:link w:val="6"/>
    <w:semiHidden/>
    <w:uiPriority w:val="99"/>
    <w:rPr>
      <w:kern w:val="2"/>
      <w:sz w:val="18"/>
      <w:szCs w:val="18"/>
    </w:rPr>
  </w:style>
  <w:style w:type="character" w:customStyle="1" w:styleId="49">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endParaRPr lang="zh-CN" altLang="en-US"/>
          </a:p>
        </c:rich>
      </c:tx>
      <c:layout/>
      <c:overlay val="0"/>
      <c:spPr>
        <a:noFill/>
        <a:ln>
          <a:noFill/>
        </a:ln>
        <a:effectLst/>
      </c:spPr>
    </c:title>
    <c:autoTitleDeleted val="0"/>
    <c:plotArea>
      <c:layout>
        <c:manualLayout>
          <c:layoutTarget val="inner"/>
          <c:xMode val="edge"/>
          <c:yMode val="edge"/>
          <c:x val="0.0805750000000002"/>
          <c:y val="0.1275"/>
          <c:w val="0.8938"/>
          <c:h val="0.716066666666667"/>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1259.87</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1213.55</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dLbls>
          <c:showLegendKey val="0"/>
          <c:showVal val="0"/>
          <c:showCatName val="0"/>
          <c:showSerName val="0"/>
          <c:showPercent val="0"/>
          <c:showBubbleSize val="0"/>
        </c:dLbls>
        <c:gapWidth val="219"/>
        <c:overlap val="-27"/>
        <c:axId val="235398272"/>
        <c:axId val="23539980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15:ser>
            </c15:filteredBarSeries>
          </c:ext>
        </c:extLst>
      </c:barChart>
      <c:catAx>
        <c:axId val="2353982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9808"/>
        <c:crosses val="autoZero"/>
        <c:auto val="1"/>
        <c:lblAlgn val="ctr"/>
        <c:lblOffset val="100"/>
        <c:noMultiLvlLbl val="0"/>
      </c:catAx>
      <c:valAx>
        <c:axId val="235399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8272"/>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28724672228844"/>
                      <c:h val="0.13941236068895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1821.21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911.23</c:v>
                </c:pt>
                <c:pt idx="1">
                  <c:v>348.64</c:v>
                </c:pt>
                <c:pt idx="2">
                  <c:v>0</c:v>
                </c:pt>
                <c:pt idx="3">
                  <c:v>0</c:v>
                </c:pt>
                <c:pt idx="4">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1259.87</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1213.55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77875456"/>
        <c:axId val="7788953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77875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89536"/>
        <c:crosses val="autoZero"/>
        <c:auto val="1"/>
        <c:lblAlgn val="ctr"/>
        <c:lblOffset val="100"/>
        <c:noMultiLvlLbl val="0"/>
      </c:catAx>
      <c:valAx>
        <c:axId val="77889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75456"/>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1259.87</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1213.55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77911168"/>
        <c:axId val="7791270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779111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12704"/>
        <c:crosses val="autoZero"/>
        <c:auto val="1"/>
        <c:lblAlgn val="ctr"/>
        <c:lblOffset val="100"/>
        <c:noMultiLvlLbl val="0"/>
      </c:catAx>
      <c:valAx>
        <c:axId val="77912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11168"/>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1064.45</c:v>
                </c:pt>
                <c:pt idx="1">
                  <c:v>90.1</c:v>
                </c:pt>
                <c:pt idx="2">
                  <c:v>46.26</c:v>
                </c:pt>
                <c:pt idx="3">
                  <c:v>1.5</c:v>
                </c:pt>
                <c:pt idx="4">
                  <c:v>57.55</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10</cp:revision>
  <cp:lastPrinted>2022-08-06T02:23:00Z</cp:lastPrinted>
  <dcterms:created xsi:type="dcterms:W3CDTF">2020-08-05T01:49:00Z</dcterms:created>
  <dcterms:modified xsi:type="dcterms:W3CDTF">2023-02-22T02:06:00Z</dcterms:modified>
</cp:coreProperties>
</file>

<file path=customXml/item11.xml><?xml version="1.0" encoding="utf-8"?>
<Properties xmlns="http://schemas.openxmlformats.org/officeDocument/2006/extended-properties" xmlns:vt="http://schemas.openxmlformats.org/officeDocument/2006/docPropsVTypes">
  <Template>Normal</Template>
  <Company>四川省财政厅</Company>
  <Pages>19</Pages>
  <Words>5926</Words>
  <Characters>7851</Characters>
  <Lines>57</Lines>
  <Paragraphs>16</Paragraphs>
  <TotalTime>6</TotalTime>
  <ScaleCrop>false</ScaleCrop>
  <LinksUpToDate>false</LinksUpToDate>
  <CharactersWithSpaces>7881</CharactersWithSpaces>
  <Application>WPS Office_11.1.0.9208_F1E327BC-269C-435d-A152-05C5408002CA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3.xml><?xml version="1.0" encoding="utf-8"?>
<Properties xmlns:vt="http://schemas.openxmlformats.org/officeDocument/2006/docPropsVTypes" xmlns="http://schemas.openxmlformats.org/officeDocument/2006/extended-properties">
  <Template>Normal</Template>
  <TotalTime>6</TotalTime>
  <Pages>19</Pages>
  <Words>5926</Words>
  <Characters>7851</Characters>
  <Application>WPS Office_11.1.0.9208_F1E327BC-269C-435d-A152-05C5408002CA</Application>
  <DocSecurity>0</DocSecurity>
  <Lines>57</Lines>
  <Paragraphs>16</Paragraphs>
  <Company>四川省财政厅</Company>
  <CharactersWithSpaces>7881</CharactersWithSpaces>
  <AppVersion>12.0000</AppVersion>
</Properties>
</file>

<file path=customXml/item14.xml><?xml version="1.0" encoding="utf-8"?>
<Properties xmlns="http://schemas.openxmlformats.org/officeDocument/2006/extended-properties" xmlns:vt="http://schemas.openxmlformats.org/officeDocument/2006/docPropsVTypes">
  <Template>Normal</Template>
  <TotalTime>10</TotalTime>
  <Pages>16</Pages>
  <Words>1137</Words>
  <Characters>6482</Characters>
  <Application>Microsoft Office Word</Application>
  <DocSecurity>0</DocSecurity>
  <Lines>54</Lines>
  <Paragraphs>15</Paragraphs>
  <ScaleCrop>false</ScaleCrop>
  <Company>四川省财政厅</Company>
  <LinksUpToDate>false</LinksUpToDate>
  <CharactersWithSpaces>7604</CharactersWithSpaces>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cp:revision>
  <cp:lastPrinted>2022-08-06T02:23:00Z</cp:lastPrinted>
  <dcterms:created xsi:type="dcterms:W3CDTF">2020-08-05T01:49:00Z</dcterms:created>
  <dcterms:modified xsi:type="dcterms:W3CDTF">2022-11-14T06:40:28Z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2022-11-14T06:40:28Z</dcterms:modified>
  <dc:title>四川省***</dc:title>
  <cp:revision>2</cp:revision>
</cp:coreProperties>
</file>

<file path=customXml/item4.xml><?xml version="1.0" encoding="utf-8"?>
<Properties xmlns:vt="http://schemas.openxmlformats.org/officeDocument/2006/docPropsVTypes" xmlns="http://schemas.openxmlformats.org/officeDocument/2006/extended-properties">
  <Template>Normal</Template>
  <TotalTime>10</TotalTime>
  <Pages>16</Pages>
  <Words>1137</Words>
  <Characters>6482</Characters>
  <Application>Microsoft Office Word</Application>
  <DocSecurity>0</DocSecurity>
  <Lines>54</Lines>
  <Paragraphs>15</Paragraphs>
  <Company>四川省财政厅</Company>
  <CharactersWithSpaces>7604</CharactersWithSpaces>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10</cp:revision>
  <cp:lastPrinted>2022-08-06T02:23:00Z</cp:lastPrinted>
  <dcterms:created xsi:type="dcterms:W3CDTF">2020-08-05T01:49:00Z</dcterms:created>
  <dcterms:modified xsi:type="dcterms:W3CDTF">2023-02-22T02:06:00Z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391CD3-9457-4D3A-86F0-D05EFC842B9C}">
  <ds:schemaRefs/>
</ds:datastoreItem>
</file>

<file path=customXml/itemProps11.xml><?xml version="1.0" encoding="utf-8"?>
<ds:datastoreItem xmlns:ds="http://schemas.openxmlformats.org/officeDocument/2006/customXml" ds:itemID="{E84216A3-5066-454A-8619-587E77AD738C}">
  <ds:schemaRefs/>
</ds:datastoreItem>
</file>

<file path=customXml/itemProps12.xml><?xml version="1.0" encoding="utf-8"?>
<ds:datastoreItem xmlns:ds="http://schemas.openxmlformats.org/officeDocument/2006/customXml" ds:itemID="{C103C205-5658-4E83-A062-220FF5D22381}">
  <ds:schemaRefs/>
</ds:datastoreItem>
</file>

<file path=customXml/itemProps13.xml><?xml version="1.0" encoding="utf-8"?>
<ds:datastoreItem xmlns:ds="http://schemas.openxmlformats.org/officeDocument/2006/customXml" ds:itemID="{E4196008-52EA-4AE4-B2A1-0330FBAE4245}">
  <ds:schemaRefs/>
</ds:datastoreItem>
</file>

<file path=customXml/itemProps14.xml><?xml version="1.0" encoding="utf-8"?>
<ds:datastoreItem xmlns:ds="http://schemas.openxmlformats.org/officeDocument/2006/customXml" ds:itemID="{DED30E08-04C9-4DD8-9E35-647A168A076C}">
  <ds:schemaRefs/>
</ds:datastoreItem>
</file>

<file path=customXml/itemProps2.xml><?xml version="1.0" encoding="utf-8"?>
<ds:datastoreItem xmlns:ds="http://schemas.openxmlformats.org/officeDocument/2006/customXml" ds:itemID="{C206F3D6-208D-4347-9CFC-B256E0CE25B0}">
  <ds:schemaRefs/>
</ds:datastoreItem>
</file>

<file path=customXml/itemProps3.xml><?xml version="1.0" encoding="utf-8"?>
<ds:datastoreItem xmlns:ds="http://schemas.openxmlformats.org/officeDocument/2006/customXml" ds:itemID="{173DA7E4-3AE7-41BD-AD1D-20D3AA81427F}">
  <ds:schemaRefs/>
</ds:datastoreItem>
</file>

<file path=customXml/itemProps4.xml><?xml version="1.0" encoding="utf-8"?>
<ds:datastoreItem xmlns:ds="http://schemas.openxmlformats.org/officeDocument/2006/customXml" ds:itemID="{2CCCD7F4-C4EF-43FB-9E25-B13591B5ED6F}">
  <ds:schemaRefs/>
</ds:datastoreItem>
</file>

<file path=customXml/itemProps5.xml><?xml version="1.0" encoding="utf-8"?>
<ds:datastoreItem xmlns:ds="http://schemas.openxmlformats.org/officeDocument/2006/customXml" ds:itemID="{8391A709-8FE8-4F1E-8DE7-33FA395ACB70}">
  <ds:schemaRefs/>
</ds:datastoreItem>
</file>

<file path=customXml/itemProps6.xml><?xml version="1.0" encoding="utf-8"?>
<ds:datastoreItem xmlns:ds="http://schemas.openxmlformats.org/officeDocument/2006/customXml" ds:itemID="{3FA590FF-C5DF-4D91-923B-C6DB52CA94F4}">
  <ds:schemaRefs/>
</ds:datastoreItem>
</file>

<file path=customXml/itemProps7.xml><?xml version="1.0" encoding="utf-8"?>
<ds:datastoreItem xmlns:ds="http://schemas.openxmlformats.org/officeDocument/2006/customXml" ds:itemID="{43BFD943-D54F-4167-B303-BDD5E1EA7470}">
  <ds:schemaRefs/>
</ds:datastoreItem>
</file>

<file path=customXml/itemProps8.xml><?xml version="1.0" encoding="utf-8"?>
<ds:datastoreItem xmlns:ds="http://schemas.openxmlformats.org/officeDocument/2006/customXml" ds:itemID="{103FC9E3-676A-4577-B791-820BE173ED8D}">
  <ds:schemaRefs/>
</ds:datastoreItem>
</file>

<file path=customXml/itemProps9.xml><?xml version="1.0" encoding="utf-8"?>
<ds:datastoreItem xmlns:ds="http://schemas.openxmlformats.org/officeDocument/2006/customXml" ds:itemID="{6594E610-25FC-47E3-BD2E-D7979C3D7D2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1131</Words>
  <Characters>6449</Characters>
  <Lines>53</Lines>
  <Paragraphs>15</Paragraphs>
  <TotalTime>13</TotalTime>
  <ScaleCrop>false</ScaleCrop>
  <LinksUpToDate>false</LinksUpToDate>
  <CharactersWithSpaces>7565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2024-12-25T03:34:58Z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53FE8F97FCF64496AD8B8824D9BCC224</vt:lpwstr>
  </property>
</Properties>
</file>