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77193"/>
      <w:bookmarkStart w:id="4" w:name="_Toc15396597"/>
      <w:bookmarkStart w:id="5" w:name="_Toc1537742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194"/>
      <w:bookmarkStart w:id="8" w:name="_Toc15306268"/>
      <w:bookmarkStart w:id="9" w:name="_Toc15378442"/>
      <w:bookmarkStart w:id="10" w:name="_Toc15396598"/>
      <w:bookmarkStart w:id="11" w:name="_Toc15377426"/>
      <w:r>
        <w:rPr>
          <w:rFonts w:hint="eastAsia" w:ascii="方正小标宋简体" w:hAnsi="方正小标宋简体" w:eastAsia="方正小标宋简体" w:cs="方正小标宋简体"/>
          <w:sz w:val="72"/>
          <w:szCs w:val="72"/>
        </w:rPr>
        <w:t>通江县政协办公室</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  录</w:t>
      </w:r>
    </w:p>
    <w:p>
      <w:pPr>
        <w:widowControl/>
        <w:jc w:val="center"/>
        <w:rPr>
          <w:rFonts w:ascii="黑体" w:hAnsi="黑体" w:eastAsia="黑体" w:cstheme="minorBidi"/>
          <w:sz w:val="28"/>
          <w:szCs w:val="28"/>
        </w:rPr>
      </w:pPr>
    </w:p>
    <w:p>
      <w:pPr>
        <w:pStyle w:val="11"/>
      </w:pPr>
      <w:r>
        <w:rPr>
          <w:rFonts w:hint="eastAsia"/>
        </w:rPr>
        <w:t>公开时间：2022年8月25日</w:t>
      </w:r>
    </w:p>
    <w:p/>
    <w:p>
      <w:pPr>
        <w:pStyle w:val="11"/>
        <w:adjustRightInd w:val="0"/>
        <w:snapToGrid w:val="0"/>
        <w:spacing w:before="0" w:line="440" w:lineRule="exact"/>
        <w:jc w:val="distribute"/>
        <w:rPr>
          <w:rFonts w:cstheme="minorBidi"/>
          <w:sz w:val="24"/>
          <w:szCs w:val="24"/>
        </w:rPr>
      </w:pPr>
      <w:r>
        <w:rPr>
          <w:rFonts w:hint="eastAsia"/>
          <w:sz w:val="24"/>
        </w:rPr>
        <w:t>第一部分部门概况˙˙˙˙˙˙˙˙˙˙˙˙˙˙˙˙˙˙˙˙˙˙˙˙˙˙</w:t>
      </w:r>
      <w:r>
        <w:rPr>
          <w:rFonts w:hint="eastAsia" w:ascii="Times New Roman" w:hAnsi="Times New Roman" w:eastAsia="宋体"/>
          <w:sz w:val="24"/>
          <w:szCs w:val="24"/>
        </w:rPr>
        <w:t>1</w:t>
      </w:r>
    </w:p>
    <w:p>
      <w:pPr>
        <w:pStyle w:val="12"/>
        <w:tabs>
          <w:tab w:val="right" w:leader="dot" w:pos="8364"/>
          <w:tab w:val="clear" w:pos="8296"/>
        </w:tabs>
        <w:adjustRightInd w:val="0"/>
        <w:snapToGrid w:val="0"/>
        <w:spacing w:line="440" w:lineRule="exact"/>
        <w:jc w:val="distribute"/>
        <w:rPr>
          <w:sz w:val="24"/>
        </w:rPr>
      </w:pPr>
      <w:r>
        <w:rPr>
          <w:rFonts w:hint="eastAsia"/>
          <w:sz w:val="24"/>
        </w:rPr>
        <w:t>一、职能简介˙˙˙˙˙˙˙˙˙˙˙˙˙˙˙˙˙˙˙˙˙˙˙˙˙˙ 1</w:t>
      </w:r>
    </w:p>
    <w:p>
      <w:pPr>
        <w:pStyle w:val="12"/>
        <w:adjustRightInd w:val="0"/>
        <w:snapToGrid w:val="0"/>
        <w:spacing w:line="440" w:lineRule="exact"/>
        <w:jc w:val="distribute"/>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w:t>
      </w:r>
      <w:r>
        <w:rPr>
          <w:rFonts w:hint="eastAsia"/>
          <w:sz w:val="24"/>
        </w:rPr>
        <w:t>˙˙˙˙˙˙˙˙˙˙˙˙˙˙˙˙˙˙˙ 1</w:t>
      </w:r>
    </w:p>
    <w:p>
      <w:pPr>
        <w:pStyle w:val="11"/>
        <w:adjustRightInd w:val="0"/>
        <w:snapToGrid w:val="0"/>
        <w:spacing w:before="0" w:line="440" w:lineRule="exact"/>
        <w:jc w:val="distribute"/>
        <w:rPr>
          <w:sz w:val="24"/>
          <w:szCs w:val="24"/>
        </w:rPr>
      </w:pPr>
      <w:r>
        <w:rPr>
          <w:rFonts w:hint="eastAsia"/>
          <w:sz w:val="24"/>
        </w:rPr>
        <w:t>第二部分 2021年度部门决算情况说明˙˙˙˙˙˙˙˙˙˙˙˙˙˙˙˙˙</w:t>
      </w:r>
      <w:r>
        <w:rPr>
          <w:rFonts w:hint="eastAsia" w:ascii="Times New Roman" w:hAnsi="Times New Roman" w:eastAsia="宋体"/>
          <w:sz w:val="24"/>
          <w:szCs w:val="24"/>
        </w:rPr>
        <w:t>7</w:t>
      </w:r>
    </w:p>
    <w:p>
      <w:pPr>
        <w:pStyle w:val="12"/>
        <w:adjustRightInd w:val="0"/>
        <w:snapToGrid w:val="0"/>
        <w:spacing w:line="440" w:lineRule="exact"/>
        <w:jc w:val="distribute"/>
        <w:rPr>
          <w:rFonts w:ascii="仿宋" w:hAnsi="仿宋" w:eastAsia="仿宋" w:cstheme="minorBidi"/>
          <w:sz w:val="24"/>
        </w:rPr>
      </w:pPr>
      <w:r>
        <w:rPr>
          <w:rFonts w:hint="eastAsia"/>
          <w:sz w:val="24"/>
        </w:rPr>
        <w:t>一、收入支出决算总体情况说明˙˙˙˙˙˙˙˙˙˙˙˙˙˙˙˙˙˙ 7</w:t>
      </w:r>
    </w:p>
    <w:p>
      <w:pPr>
        <w:pStyle w:val="12"/>
        <w:adjustRightInd w:val="0"/>
        <w:snapToGrid w:val="0"/>
        <w:spacing w:line="440" w:lineRule="exact"/>
        <w:jc w:val="distribute"/>
        <w:rPr>
          <w:rFonts w:ascii="仿宋" w:hAnsi="仿宋" w:eastAsia="仿宋" w:cstheme="minorBidi"/>
          <w:sz w:val="24"/>
        </w:rPr>
      </w:pPr>
      <w:r>
        <w:rPr>
          <w:rFonts w:hint="eastAsia"/>
          <w:sz w:val="24"/>
        </w:rPr>
        <w:t>二、收入决算情况说明˙˙˙˙˙˙˙˙˙˙˙˙˙˙˙˙˙˙˙˙˙˙ 7</w:t>
      </w:r>
    </w:p>
    <w:p>
      <w:pPr>
        <w:pStyle w:val="12"/>
        <w:adjustRightInd w:val="0"/>
        <w:snapToGrid w:val="0"/>
        <w:spacing w:line="440" w:lineRule="exact"/>
        <w:jc w:val="distribute"/>
        <w:rPr>
          <w:rFonts w:ascii="仿宋" w:hAnsi="仿宋" w:eastAsia="仿宋" w:cstheme="minorBidi"/>
          <w:sz w:val="24"/>
        </w:rPr>
      </w:pPr>
      <w:r>
        <w:rPr>
          <w:rFonts w:hint="eastAsia"/>
          <w:sz w:val="24"/>
        </w:rPr>
        <w:t>三、支出决算情况说明˙˙˙˙˙˙˙˙˙˙˙˙˙˙˙˙˙˙˙˙˙˙ 8</w:t>
      </w:r>
    </w:p>
    <w:p>
      <w:pPr>
        <w:pStyle w:val="12"/>
        <w:adjustRightInd w:val="0"/>
        <w:snapToGrid w:val="0"/>
        <w:spacing w:line="440" w:lineRule="exact"/>
        <w:jc w:val="distribute"/>
        <w:rPr>
          <w:rFonts w:ascii="仿宋" w:hAnsi="仿宋" w:eastAsia="仿宋" w:cstheme="minorBidi"/>
          <w:sz w:val="24"/>
        </w:rPr>
      </w:pPr>
      <w:r>
        <w:rPr>
          <w:rFonts w:hint="eastAsia"/>
          <w:sz w:val="24"/>
        </w:rPr>
        <w:t>四、财政拨款收入支出决算总体情况说明˙˙˙˙˙˙˙˙˙˙˙˙˙˙ 9</w:t>
      </w:r>
    </w:p>
    <w:p>
      <w:pPr>
        <w:pStyle w:val="12"/>
        <w:adjustRightInd w:val="0"/>
        <w:snapToGrid w:val="0"/>
        <w:spacing w:line="440" w:lineRule="exact"/>
        <w:jc w:val="distribute"/>
        <w:rPr>
          <w:rFonts w:ascii="仿宋" w:hAnsi="仿宋" w:eastAsia="仿宋" w:cstheme="minorBidi"/>
          <w:sz w:val="24"/>
        </w:rPr>
      </w:pPr>
      <w:r>
        <w:rPr>
          <w:rFonts w:hint="eastAsia"/>
          <w:sz w:val="24"/>
        </w:rPr>
        <w:t>五、一般公共预算财政拨款支出决算情况说明˙˙˙˙˙˙˙˙˙˙˙˙ 9</w:t>
      </w:r>
    </w:p>
    <w:p>
      <w:pPr>
        <w:pStyle w:val="12"/>
        <w:adjustRightInd w:val="0"/>
        <w:snapToGrid w:val="0"/>
        <w:spacing w:line="440" w:lineRule="exact"/>
        <w:jc w:val="distribute"/>
        <w:rPr>
          <w:rFonts w:ascii="仿宋" w:hAnsi="仿宋" w:eastAsia="仿宋" w:cstheme="minorBidi"/>
          <w:sz w:val="24"/>
        </w:rPr>
      </w:pPr>
      <w:r>
        <w:rPr>
          <w:rFonts w:hint="eastAsia"/>
          <w:sz w:val="24"/>
        </w:rPr>
        <w:t>六、一般公共预算财政拨款基本支出决算情况说明˙˙˙˙˙˙˙˙˙ 12</w:t>
      </w:r>
    </w:p>
    <w:p>
      <w:pPr>
        <w:pStyle w:val="12"/>
        <w:adjustRightInd w:val="0"/>
        <w:snapToGrid w:val="0"/>
        <w:spacing w:line="440" w:lineRule="exact"/>
        <w:jc w:val="distribute"/>
        <w:rPr>
          <w:rFonts w:ascii="仿宋" w:hAnsi="仿宋" w:eastAsia="仿宋" w:cstheme="minorBidi"/>
          <w:sz w:val="24"/>
        </w:rPr>
      </w:pPr>
      <w:r>
        <w:rPr>
          <w:rFonts w:hint="eastAsia"/>
          <w:sz w:val="24"/>
        </w:rPr>
        <w:t>七、“三公”经费财政拨款支出决算情况说明˙˙˙˙˙˙˙˙˙˙˙˙ 12</w:t>
      </w:r>
    </w:p>
    <w:p>
      <w:pPr>
        <w:pStyle w:val="12"/>
        <w:adjustRightInd w:val="0"/>
        <w:snapToGrid w:val="0"/>
        <w:spacing w:line="440" w:lineRule="exact"/>
        <w:jc w:val="distribute"/>
        <w:rPr>
          <w:rFonts w:ascii="仿宋" w:hAnsi="仿宋" w:eastAsia="仿宋" w:cstheme="minorBidi"/>
          <w:sz w:val="24"/>
        </w:rPr>
      </w:pPr>
      <w:r>
        <w:rPr>
          <w:rFonts w:hint="eastAsia"/>
          <w:sz w:val="24"/>
        </w:rPr>
        <w:t>八、政府性基金预算支出决算情况说明˙˙˙˙˙˙˙˙˙˙˙˙˙˙ 14</w:t>
      </w:r>
    </w:p>
    <w:p>
      <w:pPr>
        <w:pStyle w:val="12"/>
        <w:adjustRightInd w:val="0"/>
        <w:snapToGrid w:val="0"/>
        <w:spacing w:line="440" w:lineRule="exact"/>
        <w:jc w:val="distribute"/>
        <w:rPr>
          <w:sz w:val="24"/>
        </w:rPr>
      </w:pPr>
      <w:r>
        <w:rPr>
          <w:rFonts w:hint="eastAsia"/>
          <w:sz w:val="24"/>
        </w:rPr>
        <w:t>九、国有资本经营预算支出决算情况说明˙˙˙˙˙˙˙˙˙˙˙˙˙ 14</w:t>
      </w:r>
    </w:p>
    <w:p>
      <w:pPr>
        <w:pStyle w:val="12"/>
        <w:adjustRightInd w:val="0"/>
        <w:snapToGrid w:val="0"/>
        <w:spacing w:line="440" w:lineRule="exact"/>
        <w:jc w:val="distribute"/>
        <w:rPr>
          <w:sz w:val="24"/>
        </w:rPr>
      </w:pPr>
      <w:r>
        <w:rPr>
          <w:rFonts w:hint="eastAsia"/>
          <w:sz w:val="24"/>
        </w:rPr>
        <w:t>十、其他重要事项的情况说明˙˙˙˙˙˙˙˙˙˙˙˙˙˙˙˙˙˙ 14</w:t>
      </w:r>
    </w:p>
    <w:p>
      <w:pPr>
        <w:pStyle w:val="11"/>
        <w:adjustRightInd w:val="0"/>
        <w:snapToGrid w:val="0"/>
        <w:spacing w:before="0" w:line="440" w:lineRule="exact"/>
        <w:jc w:val="distribute"/>
        <w:rPr>
          <w:rFonts w:cstheme="minorBidi"/>
          <w:sz w:val="24"/>
          <w:szCs w:val="24"/>
        </w:rPr>
      </w:pPr>
      <w:r>
        <w:rPr>
          <w:rFonts w:hint="eastAsia"/>
          <w:sz w:val="24"/>
        </w:rPr>
        <w:t>第三部分名词解释˙˙˙˙˙˙˙˙˙˙˙˙˙˙˙˙˙˙˙˙˙˙˙˙˙</w:t>
      </w:r>
      <w:r>
        <w:rPr>
          <w:rFonts w:hint="eastAsia" w:ascii="Times New Roman" w:hAnsi="Times New Roman" w:eastAsia="宋体"/>
          <w:sz w:val="24"/>
          <w:szCs w:val="24"/>
        </w:rPr>
        <w:t>16</w:t>
      </w:r>
    </w:p>
    <w:p>
      <w:pPr>
        <w:pStyle w:val="11"/>
        <w:adjustRightInd w:val="0"/>
        <w:snapToGrid w:val="0"/>
        <w:spacing w:before="0" w:line="440" w:lineRule="exact"/>
        <w:jc w:val="distribute"/>
        <w:rPr>
          <w:rFonts w:cstheme="minorBidi"/>
          <w:sz w:val="24"/>
          <w:szCs w:val="24"/>
        </w:rPr>
      </w:pPr>
      <w:r>
        <w:rPr>
          <w:rFonts w:hint="eastAsia"/>
          <w:sz w:val="24"/>
        </w:rPr>
        <w:t xml:space="preserve">第四部分附件˙˙˙˙˙˙˙˙˙˙˙˙˙˙˙˙˙˙˙˙˙˙˙˙˙˙˙ </w:t>
      </w:r>
      <w:r>
        <w:rPr>
          <w:rFonts w:hint="eastAsia" w:ascii="Times New Roman" w:hAnsi="Times New Roman" w:eastAsia="宋体"/>
          <w:sz w:val="24"/>
          <w:szCs w:val="24"/>
        </w:rPr>
        <w:t>19</w:t>
      </w:r>
    </w:p>
    <w:p>
      <w:pPr>
        <w:pStyle w:val="11"/>
        <w:adjustRightInd w:val="0"/>
        <w:snapToGrid w:val="0"/>
        <w:spacing w:before="0" w:line="440" w:lineRule="exact"/>
        <w:jc w:val="distribute"/>
        <w:rPr>
          <w:rFonts w:cstheme="minorBidi"/>
          <w:sz w:val="24"/>
          <w:szCs w:val="24"/>
        </w:rPr>
      </w:pPr>
      <w:r>
        <w:rPr>
          <w:rFonts w:hint="eastAsia"/>
          <w:sz w:val="24"/>
        </w:rPr>
        <w:t xml:space="preserve">第五部分附表˙˙˙˙˙˙˙˙˙˙˙˙˙˙˙˙˙˙˙˙˙˙˙˙˙˙˙ </w:t>
      </w:r>
      <w:r>
        <w:rPr>
          <w:rFonts w:hint="eastAsia" w:ascii="Times New Roman" w:hAnsi="Times New Roman" w:eastAsia="宋体"/>
          <w:sz w:val="24"/>
          <w:szCs w:val="24"/>
        </w:rPr>
        <w:t>32</w:t>
      </w:r>
    </w:p>
    <w:p>
      <w:pPr>
        <w:pStyle w:val="12"/>
        <w:tabs>
          <w:tab w:val="left" w:pos="5160"/>
          <w:tab w:val="clear" w:pos="8296"/>
        </w:tabs>
        <w:adjustRightInd w:val="0"/>
        <w:snapToGrid w:val="0"/>
        <w:spacing w:line="440" w:lineRule="exact"/>
        <w:jc w:val="distribute"/>
        <w:rPr>
          <w:sz w:val="24"/>
        </w:rPr>
      </w:pPr>
      <w:r>
        <w:rPr>
          <w:rFonts w:hint="eastAsia"/>
          <w:sz w:val="24"/>
        </w:rPr>
        <w:t>一、收入支出决算总表˙˙˙˙˙˙˙˙˙˙˙˙˙˙˙˙˙˙˙˙˙ 32</w:t>
      </w:r>
    </w:p>
    <w:p>
      <w:pPr>
        <w:pStyle w:val="12"/>
        <w:adjustRightInd w:val="0"/>
        <w:snapToGrid w:val="0"/>
        <w:spacing w:line="440" w:lineRule="exact"/>
        <w:jc w:val="distribute"/>
        <w:rPr>
          <w:sz w:val="24"/>
        </w:rPr>
      </w:pPr>
      <w:r>
        <w:rPr>
          <w:rFonts w:hint="eastAsia"/>
          <w:sz w:val="24"/>
        </w:rPr>
        <w:t>二、收入决算表˙˙˙˙˙˙˙˙˙˙˙˙˙˙˙˙˙˙˙˙˙˙˙˙ 32</w:t>
      </w:r>
    </w:p>
    <w:p>
      <w:pPr>
        <w:pStyle w:val="12"/>
        <w:adjustRightInd w:val="0"/>
        <w:snapToGrid w:val="0"/>
        <w:spacing w:line="440" w:lineRule="exact"/>
        <w:jc w:val="distribute"/>
        <w:rPr>
          <w:sz w:val="24"/>
        </w:rPr>
      </w:pPr>
      <w:r>
        <w:rPr>
          <w:rFonts w:hint="eastAsia"/>
          <w:sz w:val="24"/>
        </w:rPr>
        <w:t>三、支出决算表˙˙˙˙˙˙˙˙˙˙˙˙˙˙˙˙˙˙˙˙˙˙˙˙ 32</w:t>
      </w:r>
    </w:p>
    <w:p>
      <w:pPr>
        <w:pStyle w:val="12"/>
        <w:adjustRightInd w:val="0"/>
        <w:snapToGrid w:val="0"/>
        <w:spacing w:line="440" w:lineRule="exact"/>
        <w:jc w:val="distribute"/>
        <w:rPr>
          <w:sz w:val="24"/>
        </w:rPr>
      </w:pPr>
      <w:r>
        <w:rPr>
          <w:rFonts w:hint="eastAsia"/>
          <w:sz w:val="24"/>
        </w:rPr>
        <w:t>四、财政拨款收入支出决算总表˙˙˙˙˙˙˙˙˙˙˙˙˙˙˙˙˙ 32</w:t>
      </w:r>
    </w:p>
    <w:p>
      <w:pPr>
        <w:pStyle w:val="12"/>
        <w:adjustRightInd w:val="0"/>
        <w:snapToGrid w:val="0"/>
        <w:spacing w:line="440" w:lineRule="exact"/>
        <w:jc w:val="distribute"/>
        <w:rPr>
          <w:sz w:val="24"/>
        </w:rPr>
      </w:pPr>
      <w:r>
        <w:rPr>
          <w:rFonts w:hint="eastAsia"/>
          <w:sz w:val="24"/>
        </w:rPr>
        <w:t>五、财政拨款支出决算明细表˙˙˙˙˙˙˙˙˙˙˙˙˙˙˙˙˙˙ 32</w:t>
      </w:r>
    </w:p>
    <w:p>
      <w:pPr>
        <w:pStyle w:val="12"/>
        <w:adjustRightInd w:val="0"/>
        <w:snapToGrid w:val="0"/>
        <w:spacing w:line="440" w:lineRule="exact"/>
        <w:jc w:val="distribute"/>
        <w:rPr>
          <w:sz w:val="24"/>
        </w:rPr>
      </w:pPr>
      <w:r>
        <w:rPr>
          <w:rFonts w:hint="eastAsia"/>
          <w:sz w:val="24"/>
        </w:rPr>
        <w:t>六、一般公共预算财政拨款支出决算表˙˙˙˙˙˙˙˙˙˙˙˙˙˙ 32</w:t>
      </w:r>
    </w:p>
    <w:p>
      <w:pPr>
        <w:pStyle w:val="12"/>
        <w:adjustRightInd w:val="0"/>
        <w:snapToGrid w:val="0"/>
        <w:spacing w:line="440" w:lineRule="exact"/>
        <w:jc w:val="distribute"/>
        <w:rPr>
          <w:sz w:val="24"/>
        </w:rPr>
      </w:pPr>
      <w:r>
        <w:rPr>
          <w:rFonts w:hint="eastAsia"/>
          <w:sz w:val="24"/>
        </w:rPr>
        <w:t>七、一般公共预算财政拨款支出决算明细表˙˙˙˙˙˙˙˙˙˙˙˙ 32</w:t>
      </w:r>
    </w:p>
    <w:p>
      <w:pPr>
        <w:pStyle w:val="12"/>
        <w:adjustRightInd w:val="0"/>
        <w:snapToGrid w:val="0"/>
        <w:spacing w:line="440" w:lineRule="exact"/>
        <w:jc w:val="distribute"/>
        <w:rPr>
          <w:sz w:val="24"/>
        </w:rPr>
      </w:pPr>
      <w:r>
        <w:rPr>
          <w:rFonts w:hint="eastAsia"/>
          <w:sz w:val="24"/>
        </w:rPr>
        <w:t>八、一般公共预算财政拨款基本支出决算表˙˙˙˙˙˙˙˙˙˙˙˙ 32</w:t>
      </w:r>
    </w:p>
    <w:p>
      <w:pPr>
        <w:pStyle w:val="12"/>
        <w:adjustRightInd w:val="0"/>
        <w:snapToGrid w:val="0"/>
        <w:spacing w:line="440" w:lineRule="exact"/>
        <w:jc w:val="distribute"/>
        <w:rPr>
          <w:sz w:val="24"/>
        </w:rPr>
      </w:pPr>
      <w:r>
        <w:rPr>
          <w:rFonts w:hint="eastAsia"/>
          <w:sz w:val="24"/>
        </w:rPr>
        <w:t>九、一般公共预算财政拨款项目支出决算表˙˙˙˙˙˙˙˙˙˙˙˙ 32</w:t>
      </w:r>
    </w:p>
    <w:p>
      <w:pPr>
        <w:pStyle w:val="12"/>
        <w:adjustRightInd w:val="0"/>
        <w:snapToGrid w:val="0"/>
        <w:spacing w:line="440" w:lineRule="exact"/>
        <w:jc w:val="distribute"/>
        <w:rPr>
          <w:sz w:val="24"/>
        </w:rPr>
      </w:pPr>
      <w:r>
        <w:rPr>
          <w:rFonts w:hint="eastAsia"/>
          <w:sz w:val="24"/>
        </w:rPr>
        <w:t>十、一般公共预算财政拨款“三公”经费支出决算表˙˙˙˙˙˙˙˙˙ 32</w:t>
      </w:r>
    </w:p>
    <w:p>
      <w:pPr>
        <w:pStyle w:val="12"/>
        <w:adjustRightInd w:val="0"/>
        <w:snapToGrid w:val="0"/>
        <w:spacing w:line="440" w:lineRule="exact"/>
        <w:jc w:val="distribute"/>
        <w:rPr>
          <w:sz w:val="24"/>
        </w:rPr>
      </w:pPr>
      <w:r>
        <w:rPr>
          <w:rFonts w:hint="eastAsia"/>
          <w:sz w:val="24"/>
        </w:rPr>
        <w:t>十一、政府性基金预算财政拨款收入支出决算表˙˙˙˙˙˙˙˙˙˙ 32</w:t>
      </w:r>
    </w:p>
    <w:p>
      <w:pPr>
        <w:pStyle w:val="12"/>
        <w:adjustRightInd w:val="0"/>
        <w:snapToGrid w:val="0"/>
        <w:spacing w:line="440" w:lineRule="exact"/>
        <w:jc w:val="distribute"/>
        <w:rPr>
          <w:sz w:val="24"/>
        </w:rPr>
      </w:pPr>
      <w:r>
        <w:rPr>
          <w:rFonts w:hint="eastAsia"/>
          <w:sz w:val="24"/>
        </w:rPr>
        <w:t>十二、政府性基金预算财政拨款“三公”经费支出决算表˙˙˙˙˙˙ 32</w:t>
      </w:r>
    </w:p>
    <w:p>
      <w:pPr>
        <w:pStyle w:val="12"/>
        <w:adjustRightInd w:val="0"/>
        <w:snapToGrid w:val="0"/>
        <w:spacing w:line="440" w:lineRule="exact"/>
        <w:jc w:val="distribute"/>
        <w:rPr>
          <w:sz w:val="24"/>
        </w:rPr>
      </w:pPr>
      <w:r>
        <w:rPr>
          <w:rFonts w:hint="eastAsia"/>
          <w:sz w:val="24"/>
        </w:rPr>
        <w:t>十三、国有资本经营预算财政拨款收入支出决算表˙˙˙˙˙˙˙˙˙ 32</w:t>
      </w:r>
    </w:p>
    <w:p>
      <w:pPr>
        <w:pStyle w:val="12"/>
        <w:adjustRightInd w:val="0"/>
        <w:snapToGrid w:val="0"/>
        <w:spacing w:line="440" w:lineRule="exact"/>
        <w:jc w:val="distribute"/>
        <w:rPr>
          <w:sz w:val="24"/>
        </w:rPr>
      </w:pPr>
      <w:r>
        <w:rPr>
          <w:rFonts w:hint="eastAsia"/>
          <w:sz w:val="24"/>
        </w:rPr>
        <w:t>十四、国有资本经营预算财政拨款支出决算表˙˙˙˙˙˙˙˙˙˙˙ 32</w:t>
      </w:r>
    </w:p>
    <w:p>
      <w:p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pStyle w:val="3"/>
        <w:jc w:val="center"/>
        <w:rPr>
          <w:rStyle w:val="25"/>
          <w:rFonts w:ascii="黑体" w:hAnsi="黑体" w:eastAsia="黑体"/>
          <w:b/>
          <w:bCs w:val="0"/>
        </w:rPr>
      </w:pPr>
      <w:bookmarkStart w:id="12" w:name="_Toc15377196"/>
      <w:bookmarkStart w:id="13" w:name="_Toc15396599"/>
      <w:r>
        <w:rPr>
          <w:rFonts w:hint="eastAsia" w:ascii="黑体" w:hAnsi="黑体" w:eastAsia="黑体"/>
          <w:b w:val="0"/>
        </w:rPr>
        <w:t>第一部分 部门</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ind w:left="709"/>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一、职能简介</w:t>
      </w:r>
    </w:p>
    <w:p>
      <w:pPr>
        <w:ind w:firstLine="640" w:firstLineChars="200"/>
      </w:pPr>
      <w:r>
        <w:rPr>
          <w:rFonts w:hint="eastAsia" w:ascii="仿宋_GB2312" w:hAnsi="仿宋" w:eastAsia="仿宋_GB2312" w:cs="仿宋"/>
          <w:sz w:val="32"/>
          <w:szCs w:val="32"/>
        </w:rPr>
        <w:t>通江县政协是县委的领导下的多党合作和政治协商的重要机构，在认真履行政治协商、民主监督、参政议政职能的基础上，通过积极助推</w:t>
      </w:r>
      <w:r>
        <w:rPr>
          <w:rFonts w:hint="eastAsia" w:ascii="仿宋_GB2312" w:hAnsi="仿宋" w:eastAsia="仿宋_GB2312" w:cs="仿宋"/>
          <w:sz w:val="32"/>
          <w:szCs w:val="32"/>
          <w:u w:val="thick" w:color="46CD7E"/>
          <w:shd w:val="clear" w:color="auto" w:fill="DAF5E5"/>
        </w:rPr>
        <w:t>县委、县政府</w:t>
      </w:r>
      <w:r>
        <w:rPr>
          <w:rFonts w:hint="eastAsia" w:ascii="仿宋_GB2312" w:hAnsi="仿宋" w:eastAsia="仿宋_GB2312" w:cs="仿宋"/>
          <w:sz w:val="32"/>
          <w:szCs w:val="32"/>
        </w:rPr>
        <w:t>中心工作，很好地发挥围绕中心、服务大局、凝聚共识的作用。</w:t>
      </w:r>
      <w:r>
        <w:rPr>
          <w:rFonts w:hint="eastAsia" w:ascii="仿宋_GB2312" w:hAnsi="仿宋_GB2312" w:eastAsia="仿宋_GB2312" w:cs="仿宋_GB2312"/>
          <w:sz w:val="32"/>
          <w:szCs w:val="32"/>
        </w:rPr>
        <w:t>对国家和地方的大政方针及政治、经济、文化和社会生活中的重要问题在决策之前和决策执行过程中进行协商；对国家宪法、法律和法规的实施、重大方针政策的贯彻执行，国家机关以及其工作人员的工作，通过建议和批评进行监督；组织调查研究，积极主动地向党政领导机关提出建设性意见，充分发挥委员专长和作用，为改革开放和社会主义现代化建设献计献策。</w:t>
      </w:r>
    </w:p>
    <w:p>
      <w:pPr>
        <w:pStyle w:val="4"/>
        <w:ind w:firstLine="707" w:firstLineChars="221"/>
        <w:rPr>
          <w:rFonts w:ascii="黑体" w:hAnsi="黑体" w:eastAsia="黑体"/>
          <w:b w:val="0"/>
        </w:rPr>
      </w:pPr>
      <w:r>
        <w:rPr>
          <w:rFonts w:hint="eastAsia" w:ascii="黑体" w:hAnsi="黑体" w:eastAsia="黑体"/>
          <w:b w:val="0"/>
          <w:u w:color="46CD7E"/>
        </w:rPr>
        <w:t>二、</w:t>
      </w:r>
      <w:r>
        <w:rPr>
          <w:rFonts w:hint="eastAsia" w:ascii="黑体" w:hAnsi="黑体" w:eastAsia="黑体"/>
          <w:b w:val="0"/>
        </w:rPr>
        <w:t>2021年重点工作</w:t>
      </w:r>
      <w:bookmarkEnd w:id="14"/>
      <w:bookmarkEnd w:id="15"/>
      <w:r>
        <w:rPr>
          <w:rFonts w:hint="eastAsia" w:ascii="黑体" w:hAnsi="黑体" w:eastAsia="黑体"/>
          <w:b w:val="0"/>
        </w:rPr>
        <w:t>完成情况</w:t>
      </w:r>
    </w:p>
    <w:p>
      <w:pPr>
        <w:pStyle w:val="31"/>
        <w:autoSpaceDN w:val="0"/>
        <w:spacing w:line="560" w:lineRule="exact"/>
        <w:ind w:firstLine="640" w:firstLineChars="200"/>
        <w:textAlignment w:val="baseline"/>
        <w:rPr>
          <w:rFonts w:eastAsia="仿宋_GB2312"/>
          <w:color w:val="auto"/>
          <w:sz w:val="32"/>
          <w:szCs w:val="32"/>
        </w:rPr>
      </w:pPr>
      <w:r>
        <w:rPr>
          <w:rFonts w:eastAsia="仿宋_GB2312"/>
          <w:color w:val="auto"/>
          <w:sz w:val="32"/>
          <w:szCs w:val="32"/>
        </w:rPr>
        <w:t>202</w:t>
      </w:r>
      <w:r>
        <w:rPr>
          <w:rFonts w:hint="eastAsia" w:eastAsia="仿宋_GB2312"/>
          <w:color w:val="auto"/>
          <w:sz w:val="32"/>
          <w:szCs w:val="32"/>
        </w:rPr>
        <w:t>1</w:t>
      </w:r>
      <w:r>
        <w:rPr>
          <w:rFonts w:eastAsia="仿宋_GB2312"/>
          <w:color w:val="auto"/>
          <w:sz w:val="32"/>
          <w:szCs w:val="32"/>
        </w:rPr>
        <w:t>年，在</w:t>
      </w:r>
      <w:r>
        <w:rPr>
          <w:rFonts w:hint="eastAsia" w:ascii="仿宋_GB2312" w:hAnsi="仿宋_GB2312" w:eastAsia="仿宋_GB2312" w:cs="仿宋_GB2312"/>
          <w:sz w:val="32"/>
          <w:szCs w:val="32"/>
        </w:rPr>
        <w:t>中共通江县委</w:t>
      </w:r>
      <w:r>
        <w:rPr>
          <w:rFonts w:eastAsia="仿宋_GB2312"/>
          <w:color w:val="auto"/>
          <w:sz w:val="32"/>
          <w:szCs w:val="32"/>
        </w:rPr>
        <w:t>的坚强领导</w:t>
      </w:r>
      <w:r>
        <w:rPr>
          <w:rFonts w:hint="eastAsia" w:eastAsia="仿宋_GB2312"/>
          <w:color w:val="auto"/>
          <w:sz w:val="32"/>
          <w:szCs w:val="32"/>
        </w:rPr>
        <w:t>和</w:t>
      </w:r>
      <w:r>
        <w:rPr>
          <w:rFonts w:eastAsia="仿宋_GB2312"/>
          <w:color w:val="auto"/>
          <w:sz w:val="32"/>
          <w:szCs w:val="32"/>
        </w:rPr>
        <w:t>省市政协</w:t>
      </w:r>
      <w:r>
        <w:rPr>
          <w:rFonts w:hint="eastAsia" w:eastAsia="仿宋_GB2312"/>
          <w:color w:val="auto"/>
          <w:sz w:val="32"/>
          <w:szCs w:val="32"/>
        </w:rPr>
        <w:t>的有力</w:t>
      </w:r>
      <w:r>
        <w:rPr>
          <w:rFonts w:eastAsia="仿宋_GB2312"/>
          <w:color w:val="auto"/>
          <w:sz w:val="32"/>
          <w:szCs w:val="32"/>
        </w:rPr>
        <w:t>指导下，县政协</w:t>
      </w:r>
      <w:r>
        <w:rPr>
          <w:rFonts w:hint="eastAsia" w:eastAsia="仿宋_GB2312"/>
          <w:color w:val="auto"/>
          <w:sz w:val="32"/>
          <w:szCs w:val="32"/>
        </w:rPr>
        <w:t>坚定</w:t>
      </w:r>
      <w:r>
        <w:rPr>
          <w:rFonts w:eastAsia="仿宋_GB2312"/>
          <w:color w:val="auto"/>
          <w:sz w:val="32"/>
          <w:szCs w:val="32"/>
        </w:rPr>
        <w:t>以习近平新时代中国特色社会主义思想为指导，</w:t>
      </w:r>
      <w:r>
        <w:rPr>
          <w:rFonts w:hint="eastAsia" w:eastAsia="仿宋_GB2312"/>
          <w:sz w:val="32"/>
          <w:szCs w:val="32"/>
        </w:rPr>
        <w:t>坚持团结和民主两大主题，</w:t>
      </w:r>
      <w:r>
        <w:rPr>
          <w:rFonts w:eastAsia="仿宋_GB2312"/>
          <w:sz w:val="32"/>
          <w:szCs w:val="32"/>
        </w:rPr>
        <w:t>全面贯彻落实中央、省委、市委、县委政协工作会议精神，提高政治站位，强化责任担当，积极创新履职，</w:t>
      </w:r>
      <w:r>
        <w:rPr>
          <w:rFonts w:ascii="仿宋_GB2312" w:hAnsi="仿宋_GB2312" w:eastAsia="仿宋_GB2312" w:cs="仿宋_GB2312"/>
          <w:sz w:val="32"/>
          <w:szCs w:val="32"/>
        </w:rPr>
        <w:t>较好地完成了</w:t>
      </w:r>
      <w:r>
        <w:rPr>
          <w:rFonts w:hint="eastAsia" w:ascii="仿宋_GB2312" w:hAnsi="仿宋_GB2312" w:eastAsia="仿宋_GB2312" w:cs="仿宋_GB2312"/>
          <w:sz w:val="32"/>
          <w:szCs w:val="32"/>
        </w:rPr>
        <w:t>各项</w:t>
      </w:r>
      <w:r>
        <w:rPr>
          <w:rFonts w:ascii="仿宋_GB2312" w:hAnsi="仿宋_GB2312" w:eastAsia="仿宋_GB2312" w:cs="仿宋_GB2312"/>
          <w:sz w:val="32"/>
          <w:szCs w:val="32"/>
        </w:rPr>
        <w:t>工作</w:t>
      </w:r>
      <w:r>
        <w:rPr>
          <w:rFonts w:ascii="仿宋_GB2312" w:hAnsi="仿宋_GB2312" w:eastAsia="仿宋_GB2312" w:cs="仿宋_GB2312"/>
          <w:spacing w:val="-6"/>
          <w:sz w:val="32"/>
          <w:szCs w:val="32"/>
        </w:rPr>
        <w:t>任务</w:t>
      </w:r>
      <w:r>
        <w:rPr>
          <w:rFonts w:hint="eastAsia" w:ascii="仿宋_GB2312" w:hAnsi="仿宋_GB2312" w:eastAsia="仿宋_GB2312" w:cs="仿宋_GB2312"/>
          <w:spacing w:val="-6"/>
          <w:sz w:val="32"/>
          <w:szCs w:val="32"/>
        </w:rPr>
        <w:t>，</w:t>
      </w:r>
      <w:r>
        <w:rPr>
          <w:rFonts w:eastAsia="仿宋_GB2312"/>
          <w:sz w:val="32"/>
          <w:szCs w:val="32"/>
        </w:rPr>
        <w:t>为加快建设全国革命老区振兴发展示范县</w:t>
      </w:r>
      <w:r>
        <w:rPr>
          <w:rFonts w:hint="eastAsia" w:eastAsia="仿宋_GB2312"/>
          <w:sz w:val="32"/>
          <w:szCs w:val="32"/>
          <w:u w:val="thick" w:color="46CD7E"/>
          <w:shd w:val="clear" w:color="auto" w:fill="DAF5E5"/>
        </w:rPr>
        <w:t>作出</w:t>
      </w:r>
      <w:r>
        <w:rPr>
          <w:rFonts w:eastAsia="仿宋_GB2312"/>
          <w:sz w:val="32"/>
          <w:szCs w:val="32"/>
        </w:rPr>
        <w:t>了积极贡献。</w:t>
      </w:r>
    </w:p>
    <w:p>
      <w:pPr>
        <w:pStyle w:val="31"/>
        <w:autoSpaceDN w:val="0"/>
        <w:spacing w:line="560" w:lineRule="exact"/>
        <w:ind w:firstLine="643" w:firstLineChars="200"/>
        <w:textAlignment w:val="baseline"/>
        <w:rPr>
          <w:rFonts w:ascii="楷体" w:hAnsi="楷体" w:eastAsia="楷体" w:cs="黑体"/>
          <w:b/>
          <w:bCs/>
          <w:sz w:val="32"/>
          <w:szCs w:val="32"/>
        </w:rPr>
      </w:pPr>
      <w:r>
        <w:rPr>
          <w:rFonts w:hint="eastAsia" w:ascii="楷体" w:hAnsi="楷体" w:eastAsia="楷体" w:cs="黑体"/>
          <w:b/>
          <w:bCs/>
          <w:sz w:val="32"/>
          <w:szCs w:val="32"/>
        </w:rPr>
        <w:t>（一）坚决维护核心，坚定方向强定力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始终把党的政治建设摆在首位，</w:t>
      </w:r>
      <w:r>
        <w:rPr>
          <w:rFonts w:hint="eastAsia" w:ascii="仿宋_GB2312" w:hAnsi="仿宋_GB2312" w:eastAsia="仿宋_GB2312" w:cs="仿宋_GB2312"/>
          <w:kern w:val="0"/>
          <w:sz w:val="32"/>
          <w:szCs w:val="32"/>
        </w:rPr>
        <w:t>把学习贯彻习近平总书记“七一”重要讲话精神作为重大政治任务，深入贯彻中共十九届五中、六中全会精神，省委十一届八次九次十次全会精神，</w:t>
      </w:r>
      <w:r>
        <w:rPr>
          <w:rFonts w:hint="eastAsia" w:ascii="仿宋_GB2312" w:hAnsi="仿宋_GB2312" w:eastAsia="仿宋_GB2312" w:cs="仿宋_GB2312"/>
          <w:kern w:val="0"/>
          <w:sz w:val="32"/>
          <w:szCs w:val="32"/>
          <w:u w:val="thick" w:color="46CD7E"/>
          <w:shd w:val="clear" w:color="auto" w:fill="DAF5E5"/>
        </w:rPr>
        <w:t>市第五次党代会</w:t>
      </w:r>
      <w:r>
        <w:rPr>
          <w:rFonts w:hint="eastAsia" w:ascii="仿宋_GB2312" w:hAnsi="仿宋_GB2312" w:eastAsia="仿宋_GB2312" w:cs="仿宋_GB2312"/>
          <w:kern w:val="0"/>
          <w:sz w:val="32"/>
          <w:szCs w:val="32"/>
        </w:rPr>
        <w:t>和县</w:t>
      </w:r>
      <w:bookmarkStart w:id="67" w:name="_GoBack"/>
      <w:bookmarkEnd w:id="67"/>
      <w:r>
        <w:rPr>
          <w:rFonts w:hint="eastAsia" w:ascii="仿宋_GB2312" w:hAnsi="仿宋_GB2312" w:eastAsia="仿宋_GB2312" w:cs="仿宋_GB2312"/>
          <w:kern w:val="0"/>
          <w:sz w:val="32"/>
          <w:szCs w:val="32"/>
        </w:rPr>
        <w:t>第十四次党代会精神，切实增强“四个意识”、坚定“四个自信”、做到“两个维护”。</w:t>
      </w:r>
      <w:r>
        <w:rPr>
          <w:rFonts w:hint="eastAsia" w:ascii="仿宋_GB2312" w:eastAsia="仿宋_GB2312"/>
          <w:sz w:val="32"/>
          <w:szCs w:val="32"/>
        </w:rPr>
        <w:t>严格执行重大问题请示报告制度，坚持年度协商计划、政协工作要点以及重要会议、重大活动、外出考察学习等报县委审批后实施。认真落实中共中央关于加强新时代人民政协党的建设工作的《若干意见》和省委、市委、县委《实施意见》精神，充分发挥县政协党组把方向、管大局、保落实的重要作用，</w:t>
      </w:r>
      <w:r>
        <w:rPr>
          <w:rFonts w:hint="eastAsia" w:eastAsia="仿宋_GB2312"/>
          <w:sz w:val="32"/>
          <w:szCs w:val="32"/>
        </w:rPr>
        <w:t>扎实开展党史学习教育，成立以党组书记任组长的</w:t>
      </w:r>
      <w:r>
        <w:rPr>
          <w:rFonts w:eastAsia="仿宋_GB2312"/>
          <w:sz w:val="32"/>
          <w:szCs w:val="32"/>
        </w:rPr>
        <w:t>县政协庆祝中国共产党成立100周年活动暨党史学习教育领导小组</w:t>
      </w:r>
      <w:r>
        <w:rPr>
          <w:rFonts w:hint="eastAsia" w:eastAsia="仿宋_GB2312"/>
          <w:sz w:val="32"/>
          <w:szCs w:val="32"/>
        </w:rPr>
        <w:t>，制定党史学习教育的实施方案和</w:t>
      </w:r>
      <w:r>
        <w:rPr>
          <w:rFonts w:hint="eastAsia" w:ascii="仿宋_GB2312" w:eastAsia="仿宋_GB2312"/>
          <w:sz w:val="32"/>
          <w:szCs w:val="32"/>
        </w:rPr>
        <w:t>党组理论学习中心组专题学习计划</w:t>
      </w:r>
      <w:r>
        <w:rPr>
          <w:rFonts w:hint="eastAsia" w:eastAsia="仿宋_GB2312"/>
          <w:sz w:val="32"/>
          <w:szCs w:val="32"/>
        </w:rPr>
        <w:t>，组织政协机关干部到川陕革命根据地红军烈士陵园、川陕苏区将帅碑林等地开展党史学习教育主题党日活动，进一步引导政协委员和政协干部学史明理、学史增信、学史崇德、学史力行。</w:t>
      </w:r>
      <w:r>
        <w:rPr>
          <w:rFonts w:hint="eastAsia" w:ascii="仿宋_GB2312" w:hAnsi="仿宋_GB2312" w:eastAsia="仿宋_GB2312" w:cs="仿宋_GB2312"/>
          <w:sz w:val="32"/>
          <w:szCs w:val="32"/>
        </w:rPr>
        <w:t>进一步完善“政协党组</w:t>
      </w:r>
      <w:r>
        <w:rPr>
          <w:rFonts w:hint="eastAsia" w:ascii="仿宋_GB2312" w:hAnsi="仿宋_GB2312" w:eastAsia="仿宋_GB2312" w:cs="仿宋_GB2312"/>
          <w:sz w:val="32"/>
          <w:szCs w:val="32"/>
          <w:u w:val="thick" w:color="909090"/>
          <w:shd w:val="clear" w:color="auto" w:fill="DDDDDD"/>
        </w:rPr>
        <w:t>—</w:t>
      </w:r>
      <w:r>
        <w:rPr>
          <w:rFonts w:hint="eastAsia" w:ascii="仿宋_GB2312" w:hAnsi="仿宋_GB2312" w:eastAsia="仿宋_GB2312" w:cs="仿宋_GB2312"/>
          <w:sz w:val="32"/>
          <w:szCs w:val="32"/>
        </w:rPr>
        <w:t>机关党组</w:t>
      </w:r>
      <w:r>
        <w:rPr>
          <w:rFonts w:hint="eastAsia" w:ascii="仿宋_GB2312" w:hAnsi="仿宋_GB2312" w:eastAsia="仿宋_GB2312" w:cs="仿宋_GB2312"/>
          <w:sz w:val="32"/>
          <w:szCs w:val="32"/>
          <w:u w:val="thick" w:color="909090"/>
          <w:shd w:val="clear" w:color="auto" w:fill="DDDDDD"/>
        </w:rPr>
        <w:t>—</w:t>
      </w:r>
      <w:r>
        <w:rPr>
          <w:rFonts w:hint="eastAsia" w:ascii="仿宋_GB2312" w:hAnsi="仿宋_GB2312" w:eastAsia="仿宋_GB2312" w:cs="仿宋_GB2312"/>
          <w:sz w:val="32"/>
          <w:szCs w:val="32"/>
        </w:rPr>
        <w:t>机关党委</w:t>
      </w:r>
      <w:r>
        <w:rPr>
          <w:rFonts w:hint="eastAsia" w:ascii="仿宋_GB2312" w:hAnsi="仿宋_GB2312" w:eastAsia="仿宋_GB2312" w:cs="仿宋_GB2312"/>
          <w:sz w:val="32"/>
          <w:szCs w:val="32"/>
          <w:u w:val="thick" w:color="909090"/>
          <w:shd w:val="clear" w:color="auto" w:fill="DDDDDD"/>
        </w:rPr>
        <w:t>—</w:t>
      </w:r>
      <w:r>
        <w:rPr>
          <w:rFonts w:hint="eastAsia" w:ascii="仿宋_GB2312" w:hAnsi="仿宋_GB2312" w:eastAsia="仿宋_GB2312" w:cs="仿宋_GB2312"/>
          <w:sz w:val="32"/>
          <w:szCs w:val="32"/>
        </w:rPr>
        <w:t>党支部”的党建工作体系，对机关纪委委员、办公室、专委会党支部进行换届选举，配齐</w:t>
      </w:r>
      <w:r>
        <w:rPr>
          <w:rFonts w:hint="eastAsia" w:ascii="仿宋_GB2312" w:hAnsi="仿宋_GB2312" w:eastAsia="仿宋_GB2312" w:cs="仿宋_GB2312"/>
          <w:sz w:val="32"/>
          <w:szCs w:val="32"/>
          <w:u w:val="thick" w:color="46CD7E"/>
          <w:shd w:val="clear" w:color="auto" w:fill="DAF5E5"/>
        </w:rPr>
        <w:t>配</w:t>
      </w:r>
      <w:r>
        <w:rPr>
          <w:rFonts w:hint="eastAsia" w:ascii="仿宋_GB2312" w:hAnsi="仿宋_GB2312" w:eastAsia="仿宋_GB2312" w:cs="仿宋_GB2312"/>
          <w:sz w:val="32"/>
          <w:szCs w:val="32"/>
        </w:rPr>
        <w:t>强基层党组织工作人员，建立一级抓一级、层层抓落实的党建工作责任制。严格执行党组成员联系相关界别党员委员、无党派人士界、宗教界委员，党员委员联系党外委员制度，实现党的组织对党员委员的全覆盖、党的工作对政协委员的全覆盖。坚持把纪律和规矩挺在前面，全面落实党风廉政建设责任制，扎实抓好“以案促改”工作，</w:t>
      </w:r>
      <w:r>
        <w:rPr>
          <w:rFonts w:hint="eastAsia" w:ascii="仿宋_GB2312" w:eastAsia="仿宋_GB2312"/>
          <w:sz w:val="32"/>
          <w:szCs w:val="32"/>
        </w:rPr>
        <w:t>召开了县政协党组班子严肃换届纪律专题民主生活会和“以案促改”专题讨论会，组织机关干部和部分委员代表集中学习《中国共产党组织处理规定（试行）》等党内法规，集中观看《越界</w:t>
      </w:r>
      <w:r>
        <w:rPr>
          <w:rFonts w:hint="eastAsia" w:ascii="仿宋_GB2312" w:eastAsia="仿宋_GB2312"/>
          <w:sz w:val="32"/>
          <w:szCs w:val="32"/>
          <w:u w:val="thick" w:color="909090"/>
          <w:shd w:val="clear" w:color="auto" w:fill="DDDDDD"/>
        </w:rPr>
        <w:t>—</w:t>
      </w:r>
      <w:r>
        <w:rPr>
          <w:rFonts w:hint="eastAsia" w:ascii="仿宋_GB2312" w:eastAsia="仿宋_GB2312"/>
          <w:sz w:val="32"/>
          <w:szCs w:val="32"/>
        </w:rPr>
        <w:t>部分省管干部违纪违法典型案件警示录Ⅲ》《警钟长鸣》等警示教育片，真正做到警示在先、教育在先。</w:t>
      </w:r>
    </w:p>
    <w:p>
      <w:pPr>
        <w:spacing w:line="560" w:lineRule="exact"/>
        <w:ind w:firstLine="643" w:firstLineChars="200"/>
        <w:rPr>
          <w:rFonts w:ascii="楷体" w:hAnsi="楷体" w:eastAsia="楷体" w:cs="黑体"/>
          <w:b/>
          <w:bCs/>
          <w:color w:val="000000"/>
          <w:kern w:val="0"/>
          <w:sz w:val="32"/>
          <w:szCs w:val="32"/>
        </w:rPr>
      </w:pPr>
      <w:r>
        <w:rPr>
          <w:rFonts w:hint="eastAsia" w:ascii="楷体" w:hAnsi="楷体" w:eastAsia="楷体" w:cs="黑体"/>
          <w:b/>
          <w:bCs/>
          <w:color w:val="000000"/>
          <w:kern w:val="0"/>
          <w:sz w:val="32"/>
          <w:szCs w:val="32"/>
        </w:rPr>
        <w:t>（二）紧紧围绕中心，服务大局增动力</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始终坚持县委中心工作推进到哪里、政协履职就跟进到哪里，</w:t>
      </w:r>
      <w:r>
        <w:rPr>
          <w:rFonts w:hint="eastAsia" w:eastAsia="仿宋_GB2312"/>
          <w:bCs/>
          <w:sz w:val="32"/>
          <w:szCs w:val="32"/>
        </w:rPr>
        <w:t>鲜明主责主业，创新推动“有事来协商”工作走深走实。积极争取县委支持，</w:t>
      </w:r>
      <w:r>
        <w:rPr>
          <w:rStyle w:val="32"/>
          <w:rFonts w:eastAsia="仿宋_GB2312"/>
          <w:sz w:val="32"/>
          <w:szCs w:val="22"/>
        </w:rPr>
        <w:t>县委在成立“有事来协商”试点工作领导小组的基础上，</w:t>
      </w:r>
      <w:r>
        <w:rPr>
          <w:rStyle w:val="32"/>
          <w:rFonts w:hint="eastAsia" w:eastAsia="仿宋_GB2312"/>
          <w:sz w:val="32"/>
          <w:szCs w:val="22"/>
        </w:rPr>
        <w:t>又专门</w:t>
      </w:r>
      <w:r>
        <w:rPr>
          <w:rStyle w:val="32"/>
          <w:rFonts w:eastAsia="仿宋_GB2312"/>
          <w:sz w:val="32"/>
          <w:szCs w:val="22"/>
        </w:rPr>
        <w:t>成立了通江县基层治理协商民主工作领导小组，</w:t>
      </w:r>
      <w:r>
        <w:rPr>
          <w:rFonts w:hint="eastAsia" w:eastAsia="仿宋_GB2312"/>
          <w:bCs/>
          <w:sz w:val="32"/>
          <w:szCs w:val="32"/>
        </w:rPr>
        <w:t>将“有事来协商”工作纳入县委综合目标考核体系和重点督查事项，所需经费纳入年初财政预算予以保障，既保证了党对政协工作的领导，又推动政协协商与基层协商有效衔接。围绕构建“1+2+4+N”协商体系，先后在县政协建立委员议事厅，33个乡镇全覆盖建立乡镇（街道）议事站，有条件的68个村（居）和社会组织建立议事堂，将政协委员和乡贤全员下沉乡镇（街道）政协工作联络组参加小微协商，将全体机关干部分派到乡镇（街道）督导议事站、</w:t>
      </w:r>
      <w:r>
        <w:rPr>
          <w:rFonts w:hint="eastAsia" w:eastAsia="仿宋_GB2312"/>
          <w:bCs/>
          <w:sz w:val="32"/>
          <w:szCs w:val="32"/>
          <w:u w:val="thick" w:color="46CD7E"/>
          <w:shd w:val="clear" w:color="auto" w:fill="DAF5E5"/>
        </w:rPr>
        <w:t>议事堂等</w:t>
      </w:r>
      <w:r>
        <w:rPr>
          <w:rFonts w:hint="eastAsia" w:eastAsia="仿宋_GB2312"/>
          <w:bCs/>
          <w:sz w:val="32"/>
          <w:szCs w:val="32"/>
        </w:rPr>
        <w:t>规范化建设，指导开展协商活动。同时，</w:t>
      </w:r>
      <w:r>
        <w:rPr>
          <w:rFonts w:eastAsia="仿宋_GB2312"/>
          <w:bCs/>
          <w:sz w:val="32"/>
          <w:szCs w:val="32"/>
        </w:rPr>
        <w:t>积极培育协商文化，创作协商文艺作品，编印乡贤文化丛书，拍摄协商专题片，开辟“有事来协商”专栏等，营造起了“党委领导、政府支持、政协搭台、委员主动、各方参与、群众满意”的协商氛围，被人民政协报、四川政协报等媒体重点报道，并在全省</w:t>
      </w:r>
      <w:r>
        <w:rPr>
          <w:rFonts w:hint="eastAsia" w:eastAsia="仿宋_GB2312"/>
          <w:bCs/>
          <w:sz w:val="32"/>
          <w:szCs w:val="32"/>
        </w:rPr>
        <w:t>、全市</w:t>
      </w:r>
      <w:r>
        <w:rPr>
          <w:rFonts w:eastAsia="仿宋_GB2312"/>
          <w:bCs/>
          <w:sz w:val="32"/>
          <w:szCs w:val="32"/>
        </w:rPr>
        <w:t>政协“有事来协商”工作推进会上作交流发言。</w:t>
      </w:r>
      <w:r>
        <w:rPr>
          <w:rFonts w:hint="eastAsia" w:eastAsia="仿宋_GB2312"/>
          <w:bCs/>
          <w:sz w:val="32"/>
          <w:szCs w:val="32"/>
        </w:rPr>
        <w:t>持续发挥民主评议放大效应，</w:t>
      </w:r>
      <w:r>
        <w:rPr>
          <w:rFonts w:hint="eastAsia" w:ascii="仿宋_GB2312" w:hAnsi="仿宋_GB2312" w:eastAsia="仿宋_GB2312" w:cs="仿宋_GB2312"/>
          <w:sz w:val="32"/>
          <w:szCs w:val="32"/>
        </w:rPr>
        <w:t>经请示县委同意</w:t>
      </w:r>
      <w:r>
        <w:rPr>
          <w:rFonts w:eastAsia="仿宋_GB2312"/>
          <w:color w:val="000000"/>
          <w:sz w:val="32"/>
          <w:szCs w:val="32"/>
        </w:rPr>
        <w:t>，围绕促进教育高质量发展、加强应急管理、推进乡村振兴</w:t>
      </w:r>
      <w:r>
        <w:rPr>
          <w:rFonts w:hint="eastAsia" w:eastAsia="仿宋_GB2312"/>
          <w:color w:val="000000"/>
          <w:sz w:val="32"/>
          <w:szCs w:val="32"/>
        </w:rPr>
        <w:t>为主题</w:t>
      </w:r>
      <w:r>
        <w:rPr>
          <w:rFonts w:hint="eastAsia" w:ascii="仿宋_GB2312" w:hAnsi="仿宋_GB2312" w:eastAsia="仿宋_GB2312" w:cs="仿宋_GB2312"/>
          <w:sz w:val="32"/>
          <w:szCs w:val="32"/>
        </w:rPr>
        <w:t>开展“动真格”的民主评议</w:t>
      </w:r>
      <w:r>
        <w:rPr>
          <w:rFonts w:hint="eastAsia" w:eastAsia="仿宋_GB2312"/>
          <w:color w:val="000000"/>
          <w:sz w:val="32"/>
          <w:szCs w:val="32"/>
        </w:rPr>
        <w:t>，相关评议意见得到县委领导肯定。</w:t>
      </w:r>
      <w:r>
        <w:rPr>
          <w:rFonts w:hint="eastAsia" w:eastAsia="仿宋_GB2312"/>
          <w:color w:val="000000"/>
          <w:sz w:val="32"/>
          <w:szCs w:val="32"/>
          <w:u w:val="thick" w:color="909090"/>
          <w:shd w:val="clear" w:color="auto" w:fill="DDDDDD"/>
        </w:rPr>
        <w:t>扎实做好提案办理工作，</w:t>
      </w:r>
      <w:r>
        <w:rPr>
          <w:rFonts w:ascii="仿宋_GB2312" w:hAnsi="仿宋_GB2312" w:eastAsia="仿宋_GB2312" w:cs="仿宋_GB2312"/>
          <w:sz w:val="32"/>
          <w:szCs w:val="32"/>
          <w:u w:val="thick" w:color="909090"/>
          <w:shd w:val="clear" w:color="auto" w:fill="DDDDDD"/>
        </w:rPr>
        <w:t>积极引导委员</w:t>
      </w:r>
      <w:r>
        <w:rPr>
          <w:rFonts w:hint="eastAsia" w:ascii="仿宋_GB2312" w:hAnsi="仿宋_GB2312" w:eastAsia="仿宋_GB2312" w:cs="仿宋_GB2312"/>
          <w:sz w:val="32"/>
          <w:szCs w:val="32"/>
          <w:u w:val="thick" w:color="909090"/>
          <w:shd w:val="clear" w:color="auto" w:fill="DDDDDD"/>
        </w:rPr>
        <w:t>通过撰写提案。</w:t>
      </w:r>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共收到提案</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件，立案</w:t>
      </w:r>
      <w:r>
        <w:rPr>
          <w:rFonts w:hint="eastAsia" w:ascii="仿宋_GB2312" w:hAnsi="仿宋_GB2312" w:eastAsia="仿宋_GB2312" w:cs="仿宋_GB2312"/>
          <w:sz w:val="32"/>
          <w:szCs w:val="32"/>
        </w:rPr>
        <w:t>98</w:t>
      </w:r>
      <w:r>
        <w:rPr>
          <w:rFonts w:ascii="仿宋_GB2312" w:hAnsi="仿宋_GB2312" w:eastAsia="仿宋_GB2312" w:cs="仿宋_GB2312"/>
          <w:sz w:val="32"/>
          <w:szCs w:val="32"/>
        </w:rPr>
        <w:t>件，立案率达</w:t>
      </w:r>
      <w:r>
        <w:rPr>
          <w:rFonts w:hint="eastAsia" w:ascii="仿宋_GB2312" w:hAnsi="仿宋_GB2312" w:eastAsia="仿宋_GB2312" w:cs="仿宋_GB2312"/>
          <w:sz w:val="32"/>
          <w:szCs w:val="32"/>
        </w:rPr>
        <w:t>98</w:t>
      </w:r>
      <w:r>
        <w:rPr>
          <w:rFonts w:ascii="仿宋_GB2312" w:hAnsi="仿宋_GB2312" w:eastAsia="仿宋_GB2312" w:cs="仿宋_GB2312"/>
          <w:sz w:val="32"/>
          <w:szCs w:val="32"/>
        </w:rPr>
        <w:t>%，并按照“分级负责，归口办理”的原则，对审查立案的提案分别送交相关单位办理。</w:t>
      </w:r>
      <w:r>
        <w:rPr>
          <w:rFonts w:hint="eastAsia" w:ascii="仿宋_GB2312" w:hAnsi="仿宋_GB2312" w:eastAsia="仿宋_GB2312" w:cs="仿宋_GB2312"/>
          <w:sz w:val="32"/>
          <w:szCs w:val="32"/>
        </w:rPr>
        <w:t>同时，将提案办理与</w:t>
      </w:r>
      <w:r>
        <w:rPr>
          <w:rFonts w:ascii="仿宋_GB2312" w:hAnsi="仿宋_GB2312" w:eastAsia="仿宋_GB2312" w:cs="仿宋_GB2312"/>
          <w:sz w:val="32"/>
          <w:szCs w:val="32"/>
        </w:rPr>
        <w:t>调研</w:t>
      </w:r>
      <w:r>
        <w:rPr>
          <w:rFonts w:hint="eastAsia" w:ascii="仿宋_GB2312" w:hAnsi="仿宋_GB2312" w:eastAsia="仿宋_GB2312" w:cs="仿宋_GB2312"/>
          <w:sz w:val="32"/>
          <w:szCs w:val="32"/>
        </w:rPr>
        <w:t>视察</w:t>
      </w:r>
      <w:r>
        <w:rPr>
          <w:rFonts w:ascii="仿宋_GB2312" w:hAnsi="仿宋_GB2312" w:eastAsia="仿宋_GB2312" w:cs="仿宋_GB2312"/>
          <w:sz w:val="32"/>
          <w:szCs w:val="32"/>
        </w:rPr>
        <w:t>、协商</w:t>
      </w:r>
      <w:r>
        <w:rPr>
          <w:rFonts w:hint="eastAsia" w:ascii="仿宋_GB2312" w:hAnsi="仿宋_GB2312" w:eastAsia="仿宋_GB2312" w:cs="仿宋_GB2312"/>
          <w:sz w:val="32"/>
          <w:szCs w:val="32"/>
        </w:rPr>
        <w:t>议政</w:t>
      </w:r>
      <w:r>
        <w:rPr>
          <w:rFonts w:ascii="仿宋_GB2312" w:hAnsi="仿宋_GB2312" w:eastAsia="仿宋_GB2312" w:cs="仿宋_GB2312"/>
          <w:sz w:val="32"/>
          <w:szCs w:val="32"/>
        </w:rPr>
        <w:t>、民主</w:t>
      </w:r>
      <w:r>
        <w:rPr>
          <w:rFonts w:hint="eastAsia" w:ascii="仿宋_GB2312" w:hAnsi="仿宋_GB2312" w:eastAsia="仿宋_GB2312" w:cs="仿宋_GB2312"/>
          <w:sz w:val="32"/>
          <w:szCs w:val="32"/>
        </w:rPr>
        <w:t>监督</w:t>
      </w:r>
      <w:r>
        <w:rPr>
          <w:rFonts w:ascii="仿宋_GB2312" w:hAnsi="仿宋_GB2312" w:eastAsia="仿宋_GB2312" w:cs="仿宋_GB2312"/>
          <w:sz w:val="32"/>
          <w:szCs w:val="32"/>
        </w:rPr>
        <w:t>等日常履职工作形成互动，</w:t>
      </w:r>
      <w:r>
        <w:rPr>
          <w:rFonts w:ascii="仿宋_GB2312" w:eastAsia="仿宋_GB2312"/>
          <w:sz w:val="32"/>
          <w:szCs w:val="32"/>
        </w:rPr>
        <w:t>努力实现提办质量双提升</w:t>
      </w:r>
      <w:r>
        <w:rPr>
          <w:rFonts w:hint="eastAsia" w:ascii="仿宋_GB2312" w:eastAsia="仿宋_GB2312"/>
          <w:sz w:val="32"/>
          <w:szCs w:val="32"/>
        </w:rPr>
        <w:t>。</w:t>
      </w:r>
    </w:p>
    <w:p>
      <w:pPr>
        <w:spacing w:line="560" w:lineRule="exact"/>
        <w:ind w:firstLine="643" w:firstLineChars="200"/>
        <w:rPr>
          <w:rFonts w:ascii="楷体" w:hAnsi="楷体" w:eastAsia="楷体" w:cs="黑体"/>
          <w:b/>
          <w:bCs/>
          <w:color w:val="000000"/>
          <w:kern w:val="0"/>
          <w:sz w:val="32"/>
          <w:szCs w:val="32"/>
        </w:rPr>
      </w:pPr>
      <w:r>
        <w:rPr>
          <w:rFonts w:hint="eastAsia" w:ascii="楷体" w:hAnsi="楷体" w:eastAsia="楷体" w:cs="黑体"/>
          <w:b/>
          <w:bCs/>
          <w:color w:val="000000"/>
          <w:kern w:val="0"/>
          <w:sz w:val="32"/>
          <w:szCs w:val="32"/>
          <w:u w:val="thick" w:color="909090"/>
          <w:shd w:val="clear" w:color="auto" w:fill="DDDDDD"/>
        </w:rPr>
        <w:t>（三）广泛凝聚人心，履职为民聚合力</w:t>
      </w:r>
    </w:p>
    <w:p>
      <w:pPr>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充分发挥政协组织包容性强、联系</w:t>
      </w:r>
      <w:r>
        <w:rPr>
          <w:rFonts w:ascii="仿宋_GB2312" w:hAnsi="仿宋_GB2312" w:eastAsia="仿宋_GB2312" w:cs="仿宋_GB2312"/>
          <w:sz w:val="32"/>
          <w:szCs w:val="32"/>
        </w:rPr>
        <w:t>面广的独特优势，把凝聚人心、汇聚力量摆到政协工作的重要位置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持续用力抓好创新发展乡贤文化，</w:t>
      </w:r>
      <w:r>
        <w:rPr>
          <w:rFonts w:hint="eastAsia" w:ascii="仿宋_GB2312" w:hAnsi="仿宋_GB2312" w:eastAsia="仿宋_GB2312" w:cs="仿宋_GB2312"/>
          <w:sz w:val="32"/>
          <w:szCs w:val="32"/>
        </w:rPr>
        <w:t>不断完善乡贤评选机制、乡贤服务机制、乡贤参事机制、乡贤礼遇机制，精心筹备编印乡贤文化丛书。把198名乡贤下沉乡镇（街道）参加小微协商，将乡贤代表作为协商活动召集人之一，组织委员、群众等有序开展协商活动。深入推进“创引帮”“双助”活动，</w:t>
      </w:r>
      <w:r>
        <w:rPr>
          <w:rFonts w:ascii="仿宋_GB2312" w:hAnsi="仿宋_GB2312" w:eastAsia="仿宋_GB2312" w:cs="仿宋_GB2312"/>
          <w:sz w:val="32"/>
          <w:szCs w:val="32"/>
        </w:rPr>
        <w:t>用好政协界别资源和委员影响力，组织引导企业委员回乡创业，引领产业发展，扎实开展困难企业和群众帮扶、爱心助残、为烈属捐款等活动</w:t>
      </w:r>
      <w:r>
        <w:rPr>
          <w:rFonts w:hint="eastAsia" w:ascii="仿宋_GB2312" w:hAnsi="仿宋_GB2312" w:eastAsia="仿宋_GB2312" w:cs="仿宋_GB2312"/>
          <w:sz w:val="32"/>
          <w:szCs w:val="32"/>
        </w:rPr>
        <w:t>。切实担负县委交给县政协做大做强通江银耳（食用菌）产业的重任，召开2021年通江银耳（食用菌）产业发展动员大会，督促相关部门将银耳产业发展、耳林培育纳入年度目标考核，积极组织和安排相关技术人员进村入户到企业实地加强技术指导等方式，不断加大各环节督导。深入贯彻中央和省委、市委、县委关于巩固拓展脱贫攻坚成果同乡村振兴有效衔接的决策部署，扎实抓好驻村帮扶等工作，先后选派3名年富力强的干部到瓦室镇夏家村驻村帮扶，持续巩固脱贫攻坚成果。</w:t>
      </w:r>
      <w:r>
        <w:rPr>
          <w:rFonts w:hint="eastAsia" w:ascii="仿宋_GB2312" w:eastAsia="仿宋_GB2312"/>
          <w:sz w:val="32"/>
          <w:szCs w:val="32"/>
        </w:rPr>
        <w:t>县政协领导深入挂联乡（镇），</w:t>
      </w:r>
      <w:r>
        <w:rPr>
          <w:rFonts w:hint="eastAsia" w:ascii="仿宋_GB2312" w:hAnsi="仿宋_GB2312" w:eastAsia="仿宋_GB2312" w:cs="仿宋_GB2312"/>
          <w:kern w:val="0"/>
          <w:sz w:val="32"/>
          <w:szCs w:val="32"/>
        </w:rPr>
        <w:t>积极开展乡（镇）换届、安全生产、森林防灭火、防汛</w:t>
      </w:r>
      <w:r>
        <w:rPr>
          <w:rFonts w:hint="eastAsia" w:ascii="仿宋_GB2312" w:hAnsi="仿宋_GB2312" w:eastAsia="仿宋_GB2312" w:cs="仿宋_GB2312"/>
          <w:sz w:val="32"/>
          <w:szCs w:val="32"/>
        </w:rPr>
        <w:t>减灾等工作督导</w:t>
      </w:r>
      <w:r>
        <w:rPr>
          <w:rFonts w:hint="eastAsia" w:ascii="仿宋_GB2312" w:hAnsi="仿宋_GB2312" w:eastAsia="仿宋_GB2312" w:cs="仿宋_GB2312"/>
          <w:sz w:val="32"/>
          <w:szCs w:val="32"/>
          <w:u w:val="thick" w:color="46CD7E"/>
          <w:shd w:val="clear" w:color="auto" w:fill="DAF5E5"/>
        </w:rPr>
        <w:t>，常态化</w:t>
      </w:r>
      <w:r>
        <w:rPr>
          <w:rFonts w:hint="eastAsia" w:ascii="仿宋_GB2312" w:hAnsi="仿宋_GB2312" w:eastAsia="仿宋_GB2312" w:cs="仿宋_GB2312"/>
          <w:sz w:val="32"/>
          <w:szCs w:val="32"/>
        </w:rPr>
        <w:t>抓好疫情防控工作等。</w:t>
      </w:r>
    </w:p>
    <w:p>
      <w:pPr>
        <w:snapToGrid w:val="0"/>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（四）始终不忘初心，自身建设添内力</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不断强化“五自”（自豪</w:t>
      </w:r>
      <w:r>
        <w:rPr>
          <w:rFonts w:hint="eastAsia" w:ascii="仿宋_GB2312" w:hAnsi="仿宋_GB2312" w:eastAsia="仿宋_GB2312" w:cs="仿宋_GB2312"/>
          <w:kern w:val="0"/>
          <w:sz w:val="32"/>
          <w:szCs w:val="32"/>
        </w:rPr>
        <w:t>、自信、自觉、自主、自律）理念，着力</w:t>
      </w:r>
      <w:r>
        <w:rPr>
          <w:rFonts w:hint="eastAsia" w:ascii="仿宋_GB2312" w:eastAsia="仿宋_GB2312"/>
          <w:sz w:val="32"/>
          <w:szCs w:val="32"/>
        </w:rPr>
        <w:t>打造“懂政协、会协商、善议政，守纪律、讲规矩、重品行”的委员队伍</w:t>
      </w:r>
      <w:r>
        <w:rPr>
          <w:rFonts w:hint="eastAsia" w:ascii="仿宋_GB2312" w:eastAsia="仿宋_GB2312" w:cs="仿宋_GB2312"/>
          <w:sz w:val="32"/>
          <w:szCs w:val="32"/>
        </w:rPr>
        <w:t>。</w:t>
      </w:r>
      <w:r>
        <w:rPr>
          <w:rFonts w:hint="eastAsia" w:ascii="仿宋_GB2312" w:hAnsi="仿宋_GB2312" w:eastAsia="仿宋_GB2312" w:cs="仿宋_GB2312"/>
          <w:kern w:val="0"/>
          <w:sz w:val="32"/>
          <w:szCs w:val="32"/>
          <w:u w:val="thick" w:color="46CD7E"/>
          <w:shd w:val="clear" w:color="auto" w:fill="DAF5E5"/>
        </w:rPr>
        <w:t>贯彻执行</w:t>
      </w:r>
      <w:r>
        <w:rPr>
          <w:rFonts w:hint="eastAsia" w:ascii="仿宋_GB2312" w:hAnsi="仿宋_GB2312" w:eastAsia="仿宋_GB2312" w:cs="仿宋_GB2312"/>
          <w:kern w:val="0"/>
          <w:sz w:val="32"/>
          <w:szCs w:val="32"/>
        </w:rPr>
        <w:t>《政协章程》和《政协通江县委员会委员履职尽责管理办法》，</w:t>
      </w:r>
      <w:r>
        <w:rPr>
          <w:rFonts w:hint="eastAsia" w:ascii="仿宋_GB2312" w:eastAsia="仿宋_GB2312" w:cs="仿宋_GB2312"/>
          <w:sz w:val="32"/>
          <w:szCs w:val="32"/>
        </w:rPr>
        <w:t>树立良好形象</w:t>
      </w:r>
      <w:r>
        <w:rPr>
          <w:rFonts w:hint="eastAsia" w:ascii="仿宋_GB2312" w:hAnsi="仿宋_GB2312" w:eastAsia="仿宋_GB2312" w:cs="仿宋_GB2312"/>
          <w:kern w:val="0"/>
          <w:sz w:val="32"/>
          <w:szCs w:val="32"/>
        </w:rPr>
        <w:t>，进一步落实县政协常委提交年度履职报告制度，完善委员履职档案、委员履职情况统计、委员履职评价等机制，</w:t>
      </w:r>
      <w:r>
        <w:rPr>
          <w:rFonts w:hint="eastAsia" w:ascii="仿宋_GB2312" w:eastAsia="仿宋_GB2312"/>
          <w:sz w:val="32"/>
          <w:szCs w:val="32"/>
        </w:rPr>
        <w:t>督促委员主动履职。组织政协干部、委员赴复旦大学、南昌大学参加综合能力提升培训班学习，不断提升履职能力。</w:t>
      </w:r>
      <w:r>
        <w:rPr>
          <w:rFonts w:eastAsia="仿宋_GB2312"/>
          <w:sz w:val="32"/>
          <w:szCs w:val="32"/>
        </w:rPr>
        <w:t>严格遵守换届纪律，扎实抓好换届工作</w:t>
      </w:r>
      <w:r>
        <w:rPr>
          <w:rFonts w:hint="eastAsia" w:eastAsia="仿宋_GB2312"/>
          <w:sz w:val="32"/>
          <w:szCs w:val="32"/>
        </w:rPr>
        <w:t>，高标准召开十一届一次全会，高质量完成县政协换届工作</w:t>
      </w:r>
      <w:r>
        <w:rPr>
          <w:rFonts w:eastAsia="仿宋_GB2312"/>
          <w:sz w:val="32"/>
          <w:szCs w:val="32"/>
        </w:rPr>
        <w:t>。</w:t>
      </w:r>
      <w:r>
        <w:rPr>
          <w:rFonts w:hint="eastAsia" w:eastAsia="仿宋_GB2312"/>
          <w:sz w:val="32"/>
          <w:szCs w:val="28"/>
        </w:rPr>
        <w:t>调整县政协领导班子成员分工，</w:t>
      </w:r>
      <w:r>
        <w:rPr>
          <w:rFonts w:hint="eastAsia" w:eastAsia="仿宋_GB2312"/>
          <w:kern w:val="0"/>
          <w:sz w:val="32"/>
          <w:szCs w:val="32"/>
        </w:rPr>
        <w:t>在县委的关心下，</w:t>
      </w:r>
      <w:r>
        <w:rPr>
          <w:rFonts w:eastAsia="仿宋_GB2312"/>
          <w:kern w:val="0"/>
          <w:sz w:val="32"/>
          <w:szCs w:val="32"/>
        </w:rPr>
        <w:t>充实专委会工作力量</w:t>
      </w:r>
      <w:r>
        <w:rPr>
          <w:rFonts w:hint="eastAsia" w:eastAsia="仿宋_GB2312"/>
          <w:kern w:val="0"/>
          <w:sz w:val="32"/>
          <w:szCs w:val="32"/>
        </w:rPr>
        <w:t>。</w:t>
      </w:r>
      <w:r>
        <w:rPr>
          <w:rFonts w:eastAsia="仿宋_GB2312"/>
          <w:sz w:val="32"/>
          <w:szCs w:val="32"/>
        </w:rPr>
        <w:t>坚持把纪律和规矩挺在前面，坚决反对形式主义、官僚主义，严格落实中央八项规定精神和省委、市委、县委有关规定。支持县纪委监委驻县政协机关纪检监察组工作</w:t>
      </w:r>
      <w:r>
        <w:rPr>
          <w:rFonts w:hint="eastAsia" w:eastAsia="仿宋_GB2312"/>
          <w:sz w:val="32"/>
          <w:szCs w:val="32"/>
        </w:rPr>
        <w:t>。</w:t>
      </w:r>
      <w:r>
        <w:rPr>
          <w:rFonts w:hint="eastAsia" w:eastAsia="仿宋_GB2312"/>
          <w:kern w:val="0"/>
          <w:sz w:val="32"/>
          <w:szCs w:val="32"/>
        </w:rPr>
        <w:t>认真领会和落实市委“讲真话、做实事、去繁冗，有情怀、扬激情、反颓废”要求，进一步精文简会，印发《县政协“机关病”专项整治工作方案》，建立“机关病”专项整治突出问题台账，下大力气整治“机关病”。</w:t>
      </w:r>
      <w:r>
        <w:rPr>
          <w:rFonts w:hint="eastAsia" w:eastAsia="仿宋_GB2312"/>
          <w:sz w:val="32"/>
          <w:szCs w:val="28"/>
        </w:rPr>
        <w:t>持续深化“双晒”（晒工作绩效、晒作风转变）活动，</w:t>
      </w:r>
      <w:r>
        <w:rPr>
          <w:rFonts w:hint="eastAsia" w:eastAsia="仿宋_GB2312"/>
          <w:sz w:val="32"/>
          <w:szCs w:val="28"/>
          <w:u w:val="thick" w:color="46CD7E"/>
          <w:shd w:val="clear" w:color="auto" w:fill="DAF5E5"/>
        </w:rPr>
        <w:t>贯彻执行</w:t>
      </w:r>
      <w:r>
        <w:rPr>
          <w:rFonts w:hint="eastAsia" w:eastAsia="仿宋_GB2312"/>
          <w:sz w:val="32"/>
          <w:szCs w:val="28"/>
        </w:rPr>
        <w:t>《县政协机关干部职工工作失误问责追究办法》等制度。</w:t>
      </w:r>
      <w:r>
        <w:rPr>
          <w:rFonts w:hint="eastAsia" w:eastAsia="仿宋_GB2312"/>
          <w:sz w:val="32"/>
          <w:szCs w:val="32"/>
        </w:rPr>
        <w:t>充分发挥存史、资政、团结、育人的作用，持续推动“三年文史行动计划”，</w:t>
      </w:r>
      <w:r>
        <w:rPr>
          <w:rFonts w:ascii="仿宋_GB2312" w:hAnsi="仿宋_GB2312" w:eastAsia="仿宋_GB2312" w:cs="仿宋_GB2312"/>
          <w:sz w:val="32"/>
          <w:szCs w:val="32"/>
        </w:rPr>
        <w:t>配合完成《市政协文史资料工作三年行动计划》中《</w:t>
      </w:r>
      <w:r>
        <w:rPr>
          <w:rFonts w:hint="eastAsia" w:ascii="仿宋_GB2312" w:hAnsi="仿宋_GB2312" w:eastAsia="仿宋_GB2312" w:cs="仿宋_GB2312"/>
          <w:sz w:val="32"/>
          <w:szCs w:val="32"/>
        </w:rPr>
        <w:t>乡愁记忆</w:t>
      </w:r>
      <w:r>
        <w:rPr>
          <w:rFonts w:ascii="仿宋_GB2312" w:hAnsi="仿宋_GB2312" w:eastAsia="仿宋_GB2312" w:cs="仿宋_GB2312"/>
          <w:sz w:val="32"/>
          <w:szCs w:val="32"/>
        </w:rPr>
        <w:t>》（文字资料、</w:t>
      </w:r>
      <w:r>
        <w:rPr>
          <w:rFonts w:hint="eastAsia" w:ascii="仿宋_GB2312" w:hAnsi="仿宋_GB2312" w:eastAsia="仿宋_GB2312" w:cs="仿宋_GB2312"/>
          <w:sz w:val="32"/>
          <w:szCs w:val="32"/>
          <w:u w:val="thick" w:color="46CD7E"/>
          <w:shd w:val="clear" w:color="auto" w:fill="DAF5E5"/>
        </w:rPr>
        <w:t>图片资料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35</w:t>
      </w:r>
      <w:r>
        <w:rPr>
          <w:rFonts w:ascii="仿宋_GB2312" w:hAnsi="仿宋_GB2312" w:eastAsia="仿宋_GB2312" w:cs="仿宋_GB2312"/>
          <w:sz w:val="32"/>
          <w:szCs w:val="32"/>
        </w:rPr>
        <w:t>篇，完成印发《通江文史》</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期，</w:t>
      </w:r>
      <w:r>
        <w:rPr>
          <w:rFonts w:hint="eastAsia" w:ascii="仿宋_GB2312" w:hAnsi="仿宋_GB2312" w:eastAsia="仿宋_GB2312" w:cs="仿宋_GB2312"/>
          <w:sz w:val="32"/>
          <w:szCs w:val="32"/>
        </w:rPr>
        <w:t>编印</w:t>
      </w:r>
      <w:r>
        <w:rPr>
          <w:rFonts w:hint="eastAsia" w:eastAsia="仿宋_GB2312"/>
          <w:sz w:val="32"/>
          <w:szCs w:val="32"/>
        </w:rPr>
        <w:t>《通江政协简报》12期、发布各类新闻消息200余条，其中《推进政协协商，助力乡村振兴》《搭建协商平台，注重成果转化》等20多篇文字被</w:t>
      </w:r>
      <w:r>
        <w:rPr>
          <w:rFonts w:ascii="仿宋_GB2312" w:hAnsi="仿宋_GB2312" w:eastAsia="仿宋_GB2312" w:cs="仿宋_GB2312"/>
          <w:sz w:val="32"/>
          <w:szCs w:val="32"/>
        </w:rPr>
        <w:t>省、市主流报刊登载，并被多家主流网站转载</w:t>
      </w:r>
      <w:r>
        <w:rPr>
          <w:rFonts w:hint="eastAsia" w:ascii="仿宋_GB2312" w:hAnsi="仿宋_GB2312" w:eastAsia="仿宋_GB2312" w:cs="仿宋_GB2312"/>
          <w:sz w:val="32"/>
          <w:szCs w:val="32"/>
        </w:rPr>
        <w:t>。主动加强与《人民政协报》《四川政协报》等中央、省级、媒体的联系协作，持续讲好政协故事，传播政协好声音。</w:t>
      </w:r>
    </w:p>
    <w:p>
      <w:pPr>
        <w:pStyle w:val="2"/>
        <w:spacing w:before="93"/>
      </w:pPr>
    </w:p>
    <w:p>
      <w:pPr>
        <w:pStyle w:val="2"/>
        <w:spacing w:before="93"/>
      </w:pPr>
    </w:p>
    <w:p>
      <w:pPr>
        <w:pStyle w:val="2"/>
        <w:spacing w:before="93"/>
      </w:pPr>
    </w:p>
    <w:p>
      <w:pPr>
        <w:pStyle w:val="2"/>
        <w:spacing w:before="93"/>
      </w:pPr>
    </w:p>
    <w:p>
      <w:pPr>
        <w:pStyle w:val="3"/>
        <w:ind w:right="-58"/>
        <w:jc w:val="center"/>
        <w:rPr>
          <w:rStyle w:val="25"/>
          <w:rFonts w:ascii="黑体" w:hAnsi="黑体" w:eastAsia="黑体"/>
          <w:b w:val="0"/>
          <w:bCs/>
        </w:rPr>
      </w:pPr>
      <w:bookmarkStart w:id="16" w:name="_Toc15377204"/>
      <w:bookmarkStart w:id="17" w:name="_Toc15396602"/>
      <w:r>
        <w:rPr>
          <w:rFonts w:hint="eastAsia" w:ascii="黑体" w:hAnsi="黑体" w:eastAsia="黑体"/>
          <w:b w:val="0"/>
        </w:rPr>
        <w:t>第二部分 2021年度</w:t>
      </w:r>
      <w:r>
        <w:rPr>
          <w:rStyle w:val="25"/>
          <w:rFonts w:hint="eastAsia" w:ascii="黑体" w:hAnsi="黑体" w:eastAsia="黑体"/>
          <w:b w:val="0"/>
          <w:bCs/>
        </w:rPr>
        <w:t>部门决算情况说明</w:t>
      </w:r>
      <w:bookmarkEnd w:id="16"/>
      <w:bookmarkEnd w:id="17"/>
    </w:p>
    <w:p/>
    <w:p>
      <w:pPr>
        <w:pStyle w:val="24"/>
        <w:numPr>
          <w:ilvl w:val="0"/>
          <w:numId w:val="1"/>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2021年度收、支总计695.6万元。与2020年相比，收、支总计各减少7.85万元，下降1.12</w:t>
      </w:r>
      <w:r>
        <w:rPr>
          <w:rFonts w:ascii="仿宋" w:hAnsi="仿宋" w:eastAsia="仿宋"/>
          <w:sz w:val="32"/>
          <w:szCs w:val="32"/>
        </w:rPr>
        <w:t>%</w:t>
      </w:r>
      <w:r>
        <w:rPr>
          <w:rFonts w:hint="eastAsia" w:ascii="仿宋" w:hAnsi="仿宋" w:eastAsia="仿宋"/>
          <w:sz w:val="32"/>
          <w:szCs w:val="32"/>
        </w:rPr>
        <w:t>。主要变动原因是厉行节约，压缩开支。</w:t>
      </w:r>
    </w:p>
    <w:p>
      <w:pPr>
        <w:pStyle w:val="2"/>
        <w:spacing w:before="93"/>
      </w:pPr>
      <w:r>
        <w:drawing>
          <wp:inline distT="0" distB="0" distL="0" distR="0">
            <wp:extent cx="5269865" cy="3072130"/>
            <wp:effectExtent l="19050" t="0" r="26035" b="0"/>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4"/>
        <w:numPr>
          <w:ilvl w:val="0"/>
          <w:numId w:val="1"/>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21年本年收入合计695.6万元，其中：一般公共预算财政拨款收入695.6万元，占100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p>
    <w:p>
      <w:pPr>
        <w:pStyle w:val="2"/>
        <w:spacing w:before="93"/>
      </w:pPr>
    </w:p>
    <w:p>
      <w:pPr>
        <w:pStyle w:val="2"/>
        <w:spacing w:before="93"/>
      </w:pPr>
    </w:p>
    <w:p>
      <w:pPr>
        <w:pStyle w:val="2"/>
        <w:spacing w:before="93" w:line="240" w:lineRule="exact"/>
      </w:pPr>
    </w:p>
    <w:p>
      <w:pPr>
        <w:pStyle w:val="2"/>
        <w:spacing w:before="93" w:line="240" w:lineRule="exact"/>
      </w:pPr>
    </w:p>
    <w:p>
      <w:pPr>
        <w:pStyle w:val="2"/>
        <w:spacing w:before="93"/>
      </w:pPr>
      <w:r>
        <w:drawing>
          <wp:inline distT="0" distB="0" distL="0" distR="0">
            <wp:extent cx="5268595" cy="3072130"/>
            <wp:effectExtent l="19050" t="0" r="27305"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图2：收入决算结构图</w:t>
      </w:r>
    </w:p>
    <w:p>
      <w:pPr>
        <w:pStyle w:val="24"/>
        <w:numPr>
          <w:ilvl w:val="0"/>
          <w:numId w:val="1"/>
        </w:numPr>
        <w:spacing w:line="600" w:lineRule="exact"/>
        <w:ind w:firstLineChars="0"/>
        <w:outlineLvl w:val="1"/>
        <w:rPr>
          <w:rStyle w:val="26"/>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21年本年支出合计695.6万元，其中：基本支出578.55万元，占83.17</w:t>
      </w:r>
      <w:r>
        <w:rPr>
          <w:rFonts w:ascii="仿宋" w:hAnsi="仿宋" w:eastAsia="仿宋"/>
          <w:sz w:val="32"/>
          <w:szCs w:val="32"/>
        </w:rPr>
        <w:t>%</w:t>
      </w:r>
      <w:r>
        <w:rPr>
          <w:rFonts w:hint="eastAsia" w:ascii="仿宋" w:hAnsi="仿宋" w:eastAsia="仿宋"/>
          <w:sz w:val="32"/>
          <w:szCs w:val="32"/>
        </w:rPr>
        <w:t>；项目支出117.05万元，占16.83</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5269865" cy="3072130"/>
            <wp:effectExtent l="19050" t="0" r="26035" b="0"/>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21年财政拨款收、支总计695.6万元。与</w:t>
      </w:r>
      <w:r>
        <w:rPr>
          <w:rFonts w:ascii="仿宋" w:hAnsi="仿宋" w:eastAsia="仿宋"/>
          <w:sz w:val="32"/>
          <w:szCs w:val="32"/>
        </w:rPr>
        <w:t>20</w:t>
      </w:r>
      <w:r>
        <w:rPr>
          <w:rFonts w:hint="eastAsia" w:ascii="仿宋" w:hAnsi="仿宋" w:eastAsia="仿宋"/>
          <w:sz w:val="32"/>
          <w:szCs w:val="32"/>
        </w:rPr>
        <w:t>20年相比，财政拨款收、支总计各减少7.85万元，下降1.12</w:t>
      </w:r>
      <w:r>
        <w:rPr>
          <w:rFonts w:ascii="仿宋" w:hAnsi="仿宋" w:eastAsia="仿宋"/>
          <w:sz w:val="32"/>
          <w:szCs w:val="32"/>
        </w:rPr>
        <w:t>%</w:t>
      </w:r>
      <w:r>
        <w:rPr>
          <w:rFonts w:hint="eastAsia" w:ascii="仿宋" w:hAnsi="仿宋" w:eastAsia="仿宋"/>
          <w:sz w:val="32"/>
          <w:szCs w:val="32"/>
        </w:rPr>
        <w:t>。主要变动原因是厉行节约，减少支出。</w:t>
      </w:r>
    </w:p>
    <w:p>
      <w:pPr>
        <w:pStyle w:val="2"/>
        <w:spacing w:before="93"/>
      </w:pPr>
      <w:r>
        <w:drawing>
          <wp:inline distT="0" distB="0" distL="0" distR="0">
            <wp:extent cx="5269865" cy="3072130"/>
            <wp:effectExtent l="19050" t="0" r="25674" b="0"/>
            <wp:docPr id="1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21年一般公共预算财政拨款支出695.6万元，占本年支出合计的100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20年相比，一般公共预算财政拨款支出减少7.85万元，下降1.12</w:t>
      </w:r>
      <w:r>
        <w:rPr>
          <w:rFonts w:ascii="仿宋" w:hAnsi="仿宋" w:eastAsia="仿宋"/>
          <w:sz w:val="32"/>
          <w:szCs w:val="32"/>
        </w:rPr>
        <w:t>%</w:t>
      </w:r>
      <w:r>
        <w:rPr>
          <w:rFonts w:hint="eastAsia" w:ascii="仿宋" w:hAnsi="仿宋" w:eastAsia="仿宋"/>
          <w:sz w:val="32"/>
          <w:szCs w:val="32"/>
        </w:rPr>
        <w:t>。主要变动原因是厉行节约，支出减少。</w:t>
      </w:r>
    </w:p>
    <w:p>
      <w:pPr>
        <w:spacing w:line="600" w:lineRule="exact"/>
        <w:ind w:firstLine="640" w:firstLineChars="200"/>
        <w:rPr>
          <w:rFonts w:ascii="仿宋" w:hAnsi="仿宋" w:eastAsia="仿宋"/>
          <w:sz w:val="32"/>
          <w:szCs w:val="32"/>
        </w:rPr>
      </w:pPr>
    </w:p>
    <w:p>
      <w:pPr>
        <w:pStyle w:val="2"/>
        <w:spacing w:before="93"/>
      </w:pPr>
    </w:p>
    <w:p>
      <w:pPr>
        <w:pStyle w:val="2"/>
        <w:spacing w:before="93" w:line="300" w:lineRule="exact"/>
      </w:pPr>
    </w:p>
    <w:p>
      <w:pPr>
        <w:pStyle w:val="2"/>
        <w:spacing w:before="93" w:line="300" w:lineRule="exact"/>
      </w:pPr>
    </w:p>
    <w:p>
      <w:pPr>
        <w:pStyle w:val="2"/>
        <w:spacing w:before="93" w:line="300" w:lineRule="exact"/>
      </w:pPr>
    </w:p>
    <w:p>
      <w:pPr>
        <w:pStyle w:val="2"/>
        <w:spacing w:before="93"/>
      </w:pPr>
      <w:r>
        <w:drawing>
          <wp:inline distT="0" distB="0" distL="0" distR="0">
            <wp:extent cx="5270500" cy="2619375"/>
            <wp:effectExtent l="19050" t="0" r="2540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21年一般公共预算财政拨款支出695.6万元，主要用于以下方面</w:t>
      </w:r>
      <w:r>
        <w:rPr>
          <w:rFonts w:hint="eastAsia" w:ascii="仿宋" w:hAnsi="仿宋" w:eastAsia="仿宋"/>
          <w:sz w:val="32"/>
          <w:szCs w:val="32"/>
          <w:u w:val="thick" w:color="46CD7E"/>
          <w:shd w:val="clear" w:color="auto" w:fill="DAF5E5"/>
        </w:rPr>
        <w:t>：</w:t>
      </w:r>
      <w:r>
        <w:rPr>
          <w:rFonts w:hint="eastAsia" w:ascii="仿宋" w:hAnsi="仿宋" w:eastAsia="仿宋"/>
          <w:b/>
          <w:sz w:val="32"/>
          <w:szCs w:val="32"/>
        </w:rPr>
        <w:t>一般公共服务（类）</w:t>
      </w:r>
      <w:r>
        <w:rPr>
          <w:rFonts w:hint="eastAsia" w:ascii="仿宋" w:hAnsi="仿宋" w:eastAsia="仿宋"/>
          <w:sz w:val="32"/>
          <w:szCs w:val="32"/>
        </w:rPr>
        <w:t>支出584.36万元，占84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支出47.03万元，占6.8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29.19万元，占4.2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农林水支出</w:t>
      </w:r>
      <w:r>
        <w:rPr>
          <w:rFonts w:hint="eastAsia" w:ascii="仿宋" w:hAnsi="仿宋" w:eastAsia="仿宋"/>
          <w:sz w:val="32"/>
          <w:szCs w:val="32"/>
        </w:rPr>
        <w:t>3.6万元，占0.5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w:t>
      </w:r>
      <w:r>
        <w:rPr>
          <w:rFonts w:hint="eastAsia" w:ascii="仿宋" w:hAnsi="仿宋" w:eastAsia="仿宋"/>
          <w:sz w:val="32"/>
          <w:szCs w:val="32"/>
        </w:rPr>
        <w:t>31.42万元，占4.5</w:t>
      </w:r>
      <w:r>
        <w:rPr>
          <w:rFonts w:ascii="仿宋" w:hAnsi="仿宋" w:eastAsia="仿宋"/>
          <w:sz w:val="32"/>
          <w:szCs w:val="32"/>
        </w:rPr>
        <w:t>%</w:t>
      </w:r>
      <w:r>
        <w:rPr>
          <w:rFonts w:hint="eastAsia" w:ascii="仿宋" w:hAnsi="仿宋" w:eastAsia="仿宋"/>
          <w:sz w:val="32"/>
          <w:szCs w:val="32"/>
        </w:rPr>
        <w:t>。</w:t>
      </w:r>
    </w:p>
    <w:p>
      <w:pPr>
        <w:pStyle w:val="2"/>
        <w:spacing w:before="93"/>
      </w:pPr>
      <w:r>
        <w:rPr>
          <w:rFonts w:hint="eastAsia"/>
        </w:rPr>
        <w:drawing>
          <wp:inline distT="0" distB="0" distL="0" distR="0">
            <wp:extent cx="5274310" cy="2524125"/>
            <wp:effectExtent l="19050" t="0" r="21590" b="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2021年一般公共预算支出决算数为695.6万元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一般公共服务（类）政协事务（款）行政运行（项）</w:t>
      </w:r>
      <w:r>
        <w:rPr>
          <w:rStyle w:val="15"/>
          <w:rFonts w:ascii="仿宋" w:hAnsi="仿宋" w:eastAsia="仿宋"/>
          <w:bCs/>
          <w:sz w:val="32"/>
          <w:szCs w:val="32"/>
        </w:rPr>
        <w:t>:</w:t>
      </w:r>
      <w:r>
        <w:rPr>
          <w:rStyle w:val="15"/>
          <w:rFonts w:hint="eastAsia" w:ascii="仿宋" w:hAnsi="仿宋" w:eastAsia="仿宋"/>
          <w:b w:val="0"/>
          <w:bCs/>
          <w:sz w:val="32"/>
          <w:szCs w:val="32"/>
        </w:rPr>
        <w:t>支出决算为435.52万元，完成预算100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Style w:val="15"/>
          <w:rFonts w:hint="eastAsia" w:ascii="仿宋" w:hAnsi="仿宋" w:eastAsia="仿宋"/>
          <w:bCs/>
          <w:sz w:val="32"/>
          <w:szCs w:val="32"/>
        </w:rPr>
        <w:t>一般公共服务（类）政协事务（款）一般行政管理事务（项）</w:t>
      </w:r>
      <w:r>
        <w:rPr>
          <w:rStyle w:val="15"/>
          <w:rFonts w:ascii="仿宋" w:hAnsi="仿宋" w:eastAsia="仿宋"/>
          <w:bCs/>
          <w:sz w:val="32"/>
          <w:szCs w:val="32"/>
        </w:rPr>
        <w:t>:</w:t>
      </w:r>
      <w:r>
        <w:rPr>
          <w:rStyle w:val="15"/>
          <w:rFonts w:hint="eastAsia" w:ascii="仿宋" w:hAnsi="仿宋" w:eastAsia="仿宋"/>
          <w:b w:val="0"/>
          <w:bCs/>
          <w:sz w:val="32"/>
          <w:szCs w:val="32"/>
        </w:rPr>
        <w:t>支出决算为113.45万元，完成预算100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一般公共服务（类）政协事务（款）事业运行（项）</w:t>
      </w:r>
      <w:r>
        <w:rPr>
          <w:rStyle w:val="15"/>
          <w:rFonts w:ascii="仿宋" w:hAnsi="仿宋" w:eastAsia="仿宋"/>
          <w:bCs/>
          <w:sz w:val="32"/>
          <w:szCs w:val="32"/>
        </w:rPr>
        <w:t>:</w:t>
      </w:r>
      <w:r>
        <w:rPr>
          <w:rStyle w:val="15"/>
          <w:rFonts w:hint="eastAsia" w:ascii="仿宋" w:hAnsi="仿宋" w:eastAsia="仿宋"/>
          <w:b w:val="0"/>
          <w:bCs/>
          <w:sz w:val="32"/>
          <w:szCs w:val="32"/>
        </w:rPr>
        <w:t>支出决算为35.39万元，完成预算100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社会保障和就业（类）人力资源和社会保障管理事务（款）引进人才费用（项）</w:t>
      </w:r>
      <w:r>
        <w:rPr>
          <w:rStyle w:val="15"/>
          <w:rFonts w:ascii="仿宋" w:hAnsi="仿宋" w:eastAsia="仿宋"/>
          <w:bCs/>
          <w:sz w:val="32"/>
          <w:szCs w:val="32"/>
        </w:rPr>
        <w:t>:</w:t>
      </w:r>
      <w:r>
        <w:rPr>
          <w:rStyle w:val="15"/>
          <w:rFonts w:hint="eastAsia" w:ascii="仿宋" w:hAnsi="仿宋" w:eastAsia="仿宋"/>
          <w:b w:val="0"/>
          <w:bCs/>
          <w:sz w:val="32"/>
          <w:szCs w:val="32"/>
        </w:rPr>
        <w:t>支出决算为0.5万元，完成预算100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30" w:firstLineChars="196"/>
        <w:rPr>
          <w:rStyle w:val="15"/>
          <w:rFonts w:ascii="仿宋" w:hAnsi="仿宋" w:eastAsia="仿宋"/>
          <w:b w:val="0"/>
          <w:bCs/>
          <w:sz w:val="32"/>
          <w:szCs w:val="32"/>
        </w:rPr>
      </w:pPr>
      <w:r>
        <w:rPr>
          <w:rStyle w:val="15"/>
          <w:rFonts w:hint="eastAsia" w:ascii="仿宋" w:hAnsi="仿宋" w:eastAsia="仿宋"/>
          <w:bCs/>
          <w:sz w:val="32"/>
          <w:szCs w:val="32"/>
        </w:rPr>
        <w:t>5</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社会保障和就业（类）行政事业单位养老（款）机关事业单位基本养老保险缴费（项）</w:t>
      </w:r>
      <w:r>
        <w:rPr>
          <w:rStyle w:val="15"/>
          <w:rFonts w:ascii="仿宋" w:hAnsi="仿宋" w:eastAsia="仿宋"/>
          <w:bCs/>
          <w:sz w:val="32"/>
          <w:szCs w:val="32"/>
        </w:rPr>
        <w:t>:</w:t>
      </w:r>
      <w:r>
        <w:rPr>
          <w:rStyle w:val="15"/>
          <w:rFonts w:hint="eastAsia" w:ascii="仿宋" w:hAnsi="仿宋" w:eastAsia="仿宋"/>
          <w:b w:val="0"/>
          <w:bCs/>
          <w:sz w:val="32"/>
          <w:szCs w:val="32"/>
        </w:rPr>
        <w:t>支出决算为41.89万元，完成预算100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spacing w:before="93"/>
        <w:ind w:firstLine="630" w:firstLineChars="196"/>
        <w:rPr>
          <w:rStyle w:val="15"/>
          <w:rFonts w:ascii="仿宋" w:hAnsi="仿宋" w:eastAsia="仿宋"/>
          <w:b w:val="0"/>
          <w:bCs/>
          <w:sz w:val="32"/>
          <w:szCs w:val="32"/>
        </w:rPr>
      </w:pPr>
      <w:r>
        <w:rPr>
          <w:rStyle w:val="15"/>
          <w:rFonts w:hint="eastAsia" w:ascii="仿宋" w:hAnsi="仿宋" w:eastAsia="仿宋"/>
          <w:bCs/>
          <w:sz w:val="32"/>
          <w:szCs w:val="32"/>
        </w:rPr>
        <w:t>6</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社会保障和就业（类）行政事业单位养老（款）机关事业单位职业年金缴费（项）</w:t>
      </w:r>
      <w:r>
        <w:rPr>
          <w:rStyle w:val="15"/>
          <w:rFonts w:ascii="仿宋" w:hAnsi="仿宋" w:eastAsia="仿宋"/>
          <w:bCs/>
          <w:sz w:val="32"/>
          <w:szCs w:val="32"/>
        </w:rPr>
        <w:t>:</w:t>
      </w:r>
      <w:r>
        <w:rPr>
          <w:rStyle w:val="15"/>
          <w:rFonts w:hint="eastAsia" w:ascii="仿宋" w:hAnsi="仿宋" w:eastAsia="仿宋"/>
          <w:b w:val="0"/>
          <w:bCs/>
          <w:sz w:val="32"/>
          <w:szCs w:val="32"/>
        </w:rPr>
        <w:t>支出决算为4.64万元，完成预算100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7</w:t>
      </w:r>
      <w:r>
        <w:rPr>
          <w:rStyle w:val="15"/>
          <w:rFonts w:ascii="仿宋" w:hAnsi="仿宋" w:eastAsia="仿宋"/>
          <w:bCs/>
          <w:sz w:val="32"/>
          <w:szCs w:val="32"/>
        </w:rPr>
        <w:t>.</w:t>
      </w: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（类）行政事业单位医疗（款）行政单位医疗（项）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支出决算为22.36万元，完成预算100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8</w:t>
      </w:r>
      <w:r>
        <w:rPr>
          <w:rStyle w:val="15"/>
          <w:rFonts w:ascii="仿宋" w:hAnsi="仿宋" w:eastAsia="仿宋"/>
          <w:bCs/>
          <w:sz w:val="32"/>
          <w:szCs w:val="32"/>
        </w:rPr>
        <w:t>.</w:t>
      </w: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支出决算为2.26万元，完成预算100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9</w:t>
      </w:r>
      <w:r>
        <w:rPr>
          <w:rStyle w:val="15"/>
          <w:rFonts w:ascii="仿宋" w:hAnsi="仿宋" w:eastAsia="仿宋"/>
          <w:bCs/>
          <w:sz w:val="32"/>
          <w:szCs w:val="32"/>
        </w:rPr>
        <w:t>.</w:t>
      </w: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（类）行政事业单位医疗（款）公务员医疗补助（项）</w:t>
      </w:r>
      <w:r>
        <w:rPr>
          <w:rStyle w:val="15"/>
          <w:rFonts w:ascii="仿宋" w:hAnsi="仿宋" w:eastAsia="仿宋"/>
          <w:bCs/>
          <w:sz w:val="32"/>
          <w:szCs w:val="32"/>
        </w:rPr>
        <w:t>:</w:t>
      </w:r>
      <w:r>
        <w:rPr>
          <w:rStyle w:val="15"/>
          <w:rFonts w:hint="eastAsia" w:ascii="仿宋" w:hAnsi="仿宋" w:eastAsia="仿宋"/>
          <w:b w:val="0"/>
          <w:bCs/>
          <w:sz w:val="32"/>
          <w:szCs w:val="32"/>
        </w:rPr>
        <w:t>支出决算为4.57万元，完成预算100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10</w:t>
      </w:r>
      <w:r>
        <w:rPr>
          <w:rStyle w:val="15"/>
          <w:rFonts w:ascii="仿宋" w:hAnsi="仿宋" w:eastAsia="仿宋"/>
          <w:bCs/>
          <w:sz w:val="32"/>
          <w:szCs w:val="32"/>
        </w:rPr>
        <w:t>.</w:t>
      </w:r>
      <w:r>
        <w:rPr>
          <w:rFonts w:hint="eastAsia" w:ascii="仿宋" w:hAnsi="仿宋" w:eastAsia="仿宋"/>
          <w:b/>
          <w:bCs/>
          <w:sz w:val="32"/>
          <w:szCs w:val="32"/>
        </w:rPr>
        <w:t>农林水</w:t>
      </w:r>
      <w:r>
        <w:rPr>
          <w:rStyle w:val="15"/>
          <w:rFonts w:hint="eastAsia" w:ascii="仿宋" w:hAnsi="仿宋" w:eastAsia="仿宋"/>
          <w:bCs/>
          <w:sz w:val="32"/>
          <w:szCs w:val="32"/>
        </w:rPr>
        <w:t>（类）扶贫（款）其他扶贫（项）</w:t>
      </w:r>
      <w:r>
        <w:rPr>
          <w:rStyle w:val="15"/>
          <w:rFonts w:ascii="仿宋" w:hAnsi="仿宋" w:eastAsia="仿宋"/>
          <w:bCs/>
          <w:sz w:val="32"/>
          <w:szCs w:val="32"/>
        </w:rPr>
        <w:t>:</w:t>
      </w:r>
      <w:r>
        <w:rPr>
          <w:rStyle w:val="15"/>
          <w:rFonts w:hint="eastAsia" w:ascii="仿宋" w:hAnsi="仿宋" w:eastAsia="仿宋"/>
          <w:b w:val="0"/>
          <w:bCs/>
          <w:sz w:val="32"/>
          <w:szCs w:val="32"/>
        </w:rPr>
        <w:t>支出决算为3.6万元，完成预算100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11</w:t>
      </w:r>
      <w:r>
        <w:rPr>
          <w:rStyle w:val="15"/>
          <w:rFonts w:ascii="仿宋" w:hAnsi="仿宋" w:eastAsia="仿宋"/>
          <w:bCs/>
          <w:sz w:val="32"/>
          <w:szCs w:val="32"/>
        </w:rPr>
        <w:t>.</w:t>
      </w:r>
      <w:r>
        <w:rPr>
          <w:rFonts w:hint="eastAsia" w:ascii="仿宋" w:hAnsi="仿宋" w:eastAsia="仿宋"/>
          <w:b/>
          <w:bCs/>
          <w:sz w:val="32"/>
          <w:szCs w:val="32"/>
        </w:rPr>
        <w:t>住房保障</w:t>
      </w:r>
      <w:r>
        <w:rPr>
          <w:rStyle w:val="15"/>
          <w:rFonts w:hint="eastAsia" w:ascii="仿宋" w:hAnsi="仿宋" w:eastAsia="仿宋"/>
          <w:bCs/>
          <w:sz w:val="32"/>
          <w:szCs w:val="32"/>
        </w:rPr>
        <w:t>（类）住房改革（款）住房公积金（项）</w:t>
      </w:r>
      <w:r>
        <w:rPr>
          <w:rStyle w:val="15"/>
          <w:rFonts w:ascii="仿宋" w:hAnsi="仿宋" w:eastAsia="仿宋"/>
          <w:bCs/>
          <w:sz w:val="32"/>
          <w:szCs w:val="32"/>
        </w:rPr>
        <w:t>:</w:t>
      </w:r>
      <w:r>
        <w:rPr>
          <w:rStyle w:val="15"/>
          <w:rFonts w:hint="eastAsia" w:ascii="仿宋" w:hAnsi="仿宋" w:eastAsia="仿宋"/>
          <w:b w:val="0"/>
          <w:bCs/>
          <w:sz w:val="32"/>
          <w:szCs w:val="32"/>
        </w:rPr>
        <w:t>支出决算为31.42万元，完成预算100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tabs>
          <w:tab w:val="right" w:pos="8306"/>
        </w:tabs>
        <w:spacing w:line="600" w:lineRule="exact"/>
        <w:ind w:firstLine="640"/>
        <w:outlineLvl w:val="1"/>
        <w:rPr>
          <w:rStyle w:val="26"/>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21年一般公共预算财政拨款基本支出578.55万元，其中：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501.92万元，主要包括：基本工资、津贴补贴、奖金、绩效工资、机关事业单位基本养老保险缴费、职业年金缴费、其他社会保障缴费、其他工资福利支出、生活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公用经费76.63万元，主要包括：办公费、印刷费、水费、电费、邮电费、差旅费、会议费、公务接待费、劳务费、工会经费、福利费、其他交通费。</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21年“三公”经费财政拨款支出决算为0.45万元，完成预算100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21年“三公”经费财政拨款支出决算中，公务接待费支出决算0.45万元，占100</w:t>
      </w:r>
      <w:r>
        <w:rPr>
          <w:rFonts w:ascii="仿宋" w:hAnsi="仿宋" w:eastAsia="仿宋"/>
          <w:sz w:val="32"/>
          <w:szCs w:val="32"/>
        </w:rPr>
        <w:t>%</w:t>
      </w:r>
      <w:r>
        <w:rPr>
          <w:rFonts w:hint="eastAsia" w:ascii="仿宋" w:hAnsi="仿宋" w:eastAsia="仿宋"/>
          <w:sz w:val="32"/>
          <w:szCs w:val="32"/>
        </w:rPr>
        <w:t>。无因公出国（境）经费支出和公务用车购置及运行维护费支出。具体情况如下：</w:t>
      </w:r>
    </w:p>
    <w:p>
      <w:pPr>
        <w:pStyle w:val="2"/>
        <w:spacing w:before="93"/>
      </w:pPr>
      <w:r>
        <w:rPr>
          <w:rFonts w:hint="eastAsia"/>
        </w:rPr>
        <w:drawing>
          <wp:inline distT="0" distB="0" distL="0" distR="0">
            <wp:extent cx="5274310" cy="3076575"/>
            <wp:effectExtent l="19050" t="0" r="21590" b="0"/>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sz w:val="32"/>
          <w:szCs w:val="32"/>
        </w:rPr>
        <w:t>0.45万元，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20年减少0.035万元，下降7.22</w:t>
      </w:r>
      <w:r>
        <w:rPr>
          <w:rFonts w:ascii="仿宋_GB2312" w:eastAsia="仿宋_GB2312"/>
          <w:sz w:val="32"/>
          <w:szCs w:val="32"/>
        </w:rPr>
        <w:t>%</w:t>
      </w:r>
      <w:r>
        <w:rPr>
          <w:rFonts w:hint="eastAsia" w:ascii="仿宋_GB2312" w:eastAsia="仿宋_GB2312"/>
          <w:sz w:val="32"/>
          <w:szCs w:val="32"/>
        </w:rPr>
        <w:t>。主要原因是认真贯彻落实中央八项规定、</w:t>
      </w:r>
      <w:r>
        <w:rPr>
          <w:rFonts w:hint="eastAsia" w:ascii="仿宋_GB2312" w:eastAsia="仿宋_GB2312"/>
          <w:sz w:val="32"/>
          <w:szCs w:val="32"/>
          <w:u w:val="thick" w:color="46CD7E"/>
          <w:shd w:val="clear" w:color="auto" w:fill="DAF5E5"/>
        </w:rPr>
        <w:t>省委、省政府</w:t>
      </w:r>
      <w:r>
        <w:rPr>
          <w:rFonts w:hint="eastAsia" w:ascii="仿宋_GB2312" w:eastAsia="仿宋_GB2312"/>
          <w:sz w:val="32"/>
          <w:szCs w:val="32"/>
        </w:rPr>
        <w:t>十项规定、</w:t>
      </w:r>
      <w:r>
        <w:rPr>
          <w:rFonts w:hint="eastAsia" w:ascii="仿宋_GB2312" w:eastAsia="仿宋_GB2312"/>
          <w:sz w:val="32"/>
          <w:szCs w:val="32"/>
          <w:u w:val="thick" w:color="46CD7E"/>
          <w:shd w:val="clear" w:color="auto" w:fill="DAF5E5"/>
        </w:rPr>
        <w:t>市委、市政府</w:t>
      </w:r>
      <w:r>
        <w:rPr>
          <w:rFonts w:hint="eastAsia" w:ascii="仿宋_GB2312" w:eastAsia="仿宋_GB2312"/>
          <w:sz w:val="32"/>
          <w:szCs w:val="32"/>
        </w:rPr>
        <w:t>九项规定和</w:t>
      </w:r>
      <w:r>
        <w:rPr>
          <w:rFonts w:hint="eastAsia" w:ascii="仿宋_GB2312" w:eastAsia="仿宋_GB2312"/>
          <w:sz w:val="32"/>
          <w:szCs w:val="32"/>
          <w:u w:val="thick" w:color="46CD7E"/>
          <w:shd w:val="clear" w:color="auto" w:fill="DAF5E5"/>
        </w:rPr>
        <w:t>县委、县政府</w:t>
      </w:r>
      <w:r>
        <w:rPr>
          <w:rFonts w:hint="eastAsia" w:ascii="仿宋_GB2312" w:eastAsia="仿宋_GB2312"/>
          <w:sz w:val="32"/>
          <w:szCs w:val="32"/>
        </w:rPr>
        <w:t>十项规定要求，压缩开支。其中：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0.45</w:t>
      </w:r>
      <w:r>
        <w:rPr>
          <w:rFonts w:hint="eastAsia" w:ascii="仿宋_GB2312" w:eastAsia="仿宋_GB2312"/>
          <w:sz w:val="32"/>
          <w:szCs w:val="32"/>
        </w:rPr>
        <w:t>万元，主要用于接待国内其他政协等相关单位考察学习以及上级单位的调研督查等开支的交通费、用餐费。国内公务接待15批次，176人次（不包括陪同人员），共计支出0.45万元，具体内容包括：其他市县政协来通考察“有事来协商”平台建设工作10批次0.3万元，省市政协来通视察督查政协工作5批次0.15万元。</w:t>
      </w:r>
    </w:p>
    <w:p>
      <w:pPr>
        <w:spacing w:line="600" w:lineRule="exact"/>
        <w:ind w:firstLine="640"/>
        <w:outlineLvl w:val="1"/>
        <w:rPr>
          <w:rStyle w:val="26"/>
          <w:rFonts w:ascii="黑体" w:hAnsi="黑体" w:eastAsia="黑体"/>
        </w:rPr>
      </w:pPr>
      <w:bookmarkStart w:id="40" w:name="_Toc15396610"/>
      <w:bookmarkStart w:id="41"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2"/>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21年，县政协机关运行经费支出76.63万元，比</w:t>
      </w:r>
      <w:r>
        <w:rPr>
          <w:rFonts w:ascii="仿宋_GB2312" w:eastAsia="仿宋_GB2312"/>
          <w:sz w:val="32"/>
          <w:szCs w:val="32"/>
        </w:rPr>
        <w:t>20</w:t>
      </w:r>
      <w:r>
        <w:rPr>
          <w:rFonts w:hint="eastAsia" w:ascii="仿宋_GB2312" w:eastAsia="仿宋_GB2312"/>
          <w:sz w:val="32"/>
          <w:szCs w:val="32"/>
        </w:rPr>
        <w:t>20年减少0.11万元，下降0.14</w:t>
      </w:r>
      <w:r>
        <w:rPr>
          <w:rFonts w:ascii="仿宋_GB2312" w:eastAsia="仿宋_GB2312"/>
          <w:sz w:val="32"/>
          <w:szCs w:val="32"/>
        </w:rPr>
        <w:t>%</w:t>
      </w:r>
      <w:r>
        <w:rPr>
          <w:rFonts w:hint="eastAsia" w:ascii="仿宋_GB2312" w:eastAsia="仿宋_GB2312"/>
          <w:sz w:val="32"/>
          <w:szCs w:val="32"/>
        </w:rPr>
        <w:t>。主要原因是厉行节约，压缩公务接待等开支。</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21年，县政协机关无政府采购支出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日，县政协机关共有车辆0辆，当年没有购置公务用车；没有单价</w:t>
      </w:r>
      <w:r>
        <w:rPr>
          <w:rFonts w:ascii="仿宋_GB2312" w:eastAsia="仿宋_GB2312"/>
          <w:sz w:val="32"/>
          <w:szCs w:val="32"/>
        </w:rPr>
        <w:t>50</w:t>
      </w:r>
      <w:r>
        <w:rPr>
          <w:rFonts w:hint="eastAsia" w:ascii="仿宋_GB2312" w:eastAsia="仿宋_GB2312"/>
          <w:sz w:val="32"/>
          <w:szCs w:val="32"/>
        </w:rPr>
        <w:t>万元以上通用设备及单价</w:t>
      </w:r>
      <w:r>
        <w:rPr>
          <w:rFonts w:ascii="仿宋_GB2312" w:eastAsia="仿宋_GB2312"/>
          <w:sz w:val="32"/>
          <w:szCs w:val="32"/>
        </w:rPr>
        <w:t>100</w:t>
      </w:r>
      <w:r>
        <w:rPr>
          <w:rFonts w:hint="eastAsia" w:ascii="仿宋_GB2312" w:eastAsia="仿宋_GB2312"/>
          <w:sz w:val="32"/>
          <w:szCs w:val="32"/>
        </w:rPr>
        <w:t>万元以上专用设备。</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政协会议项目等1个项目开展了预算事前绩效评估，对1个项目编制了绩效目标，预算执行过程中，选取1个项目开展绩效监控，年终执行完毕后，对1个项目开展了绩效自评。同时，本部门对2021年部门整体开展绩效自评，《2021年</w:t>
      </w:r>
      <w:r>
        <w:rPr>
          <w:rFonts w:hint="eastAsia" w:ascii="仿宋_GB2312" w:hAnsi="仿宋_GB2312" w:eastAsia="仿宋_GB2312" w:cs="仿宋_GB2312"/>
          <w:sz w:val="32"/>
          <w:szCs w:val="32"/>
          <w:u w:val="thick" w:color="46CD7E"/>
          <w:shd w:val="clear" w:color="auto" w:fill="DAF5E5"/>
        </w:rPr>
        <w:t>县政协各部门</w:t>
      </w:r>
      <w:r>
        <w:rPr>
          <w:rFonts w:hint="eastAsia" w:ascii="仿宋_GB2312" w:hAnsi="仿宋_GB2312" w:eastAsia="仿宋_GB2312" w:cs="仿宋_GB2312"/>
          <w:sz w:val="32"/>
          <w:szCs w:val="32"/>
        </w:rPr>
        <w:t>整体绩效评价报告》见附件（第四部分）。</w:t>
      </w:r>
    </w:p>
    <w:p>
      <w:pPr>
        <w:autoSpaceDE w:val="0"/>
        <w:autoSpaceDN w:val="0"/>
        <w:adjustRightInd w:val="0"/>
        <w:spacing w:line="600" w:lineRule="exact"/>
        <w:ind w:firstLine="643" w:firstLineChars="200"/>
        <w:rPr>
          <w:rFonts w:ascii="仿宋" w:hAnsi="仿宋" w:eastAsia="仿宋"/>
          <w:b/>
          <w:sz w:val="32"/>
          <w:szCs w:val="32"/>
        </w:rPr>
      </w:pP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color w:val="auto"/>
          <w:sz w:val="32"/>
          <w:szCs w:val="32"/>
        </w:rPr>
        <w:t>2</w:t>
      </w:r>
      <w:r>
        <w:rPr>
          <w:rFonts w:ascii="仿宋_GB2312" w:eastAsia="仿宋_GB2312"/>
          <w:sz w:val="32"/>
          <w:szCs w:val="32"/>
        </w:rPr>
        <w:t>.</w:t>
      </w:r>
      <w:r>
        <w:rPr>
          <w:rFonts w:hint="eastAsia" w:ascii="仿宋_GB2312" w:eastAsia="仿宋_GB2312"/>
          <w:sz w:val="32"/>
          <w:szCs w:val="32"/>
        </w:rPr>
        <w:t>一般公共服务（类）政协事务（款）行政运行（项）：指用于保障政协机关正常运转，用于行政运行方面的经费支出。</w:t>
      </w:r>
    </w:p>
    <w:p>
      <w:pPr>
        <w:spacing w:line="600" w:lineRule="exact"/>
        <w:ind w:firstLine="640" w:firstLineChars="200"/>
        <w:rPr>
          <w:rStyle w:val="15"/>
          <w:rFonts w:ascii="仿宋" w:hAnsi="仿宋" w:eastAsia="仿宋"/>
          <w:b w:val="0"/>
          <w:bCs/>
          <w:sz w:val="32"/>
          <w:szCs w:val="32"/>
        </w:rPr>
      </w:pPr>
      <w:r>
        <w:rPr>
          <w:rStyle w:val="15"/>
          <w:rFonts w:hint="eastAsia" w:ascii="仿宋_GB2312" w:hAnsi="仿宋" w:eastAsia="仿宋_GB2312"/>
          <w:b w:val="0"/>
          <w:bCs/>
          <w:sz w:val="32"/>
          <w:szCs w:val="32"/>
        </w:rPr>
        <w:t>3.一般公共服务（类）政协事务（款）一般行政管理事务（项）:指用于政协机关的其他项目支出。</w:t>
      </w:r>
    </w:p>
    <w:p>
      <w:pPr>
        <w:pStyle w:val="23"/>
        <w:spacing w:line="560" w:lineRule="exact"/>
        <w:ind w:firstLine="640" w:firstLineChars="200"/>
        <w:rPr>
          <w:rFonts w:ascii="仿宋_GB2312" w:eastAsia="仿宋_GB2312"/>
          <w:sz w:val="32"/>
          <w:szCs w:val="32"/>
        </w:rPr>
      </w:pPr>
      <w:r>
        <w:rPr>
          <w:rStyle w:val="15"/>
          <w:rFonts w:hint="eastAsia" w:ascii="仿宋_GB2312" w:hAnsi="仿宋" w:eastAsia="仿宋_GB2312"/>
          <w:b w:val="0"/>
          <w:bCs/>
          <w:sz w:val="32"/>
          <w:szCs w:val="32"/>
        </w:rPr>
        <w:t>4.一般公共服务（类）政协事务（款）事业运行（项）:指用于政协机关所属事业单位的基本支出。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5.社会保障和就业（类）人力资源和社会保障管理事务（款）引进人才费用（项）:指用于引智成果推广等方面的支出。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6.社会保障和就业（类）行政事业单位养老（款）机关事业单位基本养老保险缴费（项）:指机关事业单位基本养老保险缴费支出。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7.社会保障和就业（类）行政事业单位养老（款）机关事业单位职业年金缴费（项）:指机关事业单位缴纳的职业年金支出。</w:t>
      </w:r>
    </w:p>
    <w:p>
      <w:pPr>
        <w:spacing w:line="600" w:lineRule="exact"/>
        <w:ind w:firstLine="640" w:firstLineChars="200"/>
        <w:rPr>
          <w:rStyle w:val="15"/>
          <w:rFonts w:ascii="仿宋_GB2312" w:hAnsi="仿宋" w:eastAsia="仿宋_GB2312"/>
          <w:b w:val="0"/>
          <w:bCs/>
          <w:sz w:val="32"/>
          <w:szCs w:val="32"/>
        </w:rPr>
      </w:pPr>
      <w:r>
        <w:rPr>
          <w:rFonts w:hint="eastAsia" w:ascii="仿宋_GB2312" w:hAnsi="仿宋" w:eastAsia="仿宋_GB2312"/>
          <w:bCs/>
          <w:sz w:val="32"/>
          <w:szCs w:val="32"/>
        </w:rPr>
        <w:t>8.卫生健康</w:t>
      </w:r>
      <w:r>
        <w:rPr>
          <w:rStyle w:val="15"/>
          <w:rFonts w:hint="eastAsia" w:ascii="仿宋_GB2312" w:hAnsi="仿宋" w:eastAsia="仿宋_GB2312"/>
          <w:b w:val="0"/>
          <w:bCs/>
          <w:sz w:val="32"/>
          <w:szCs w:val="32"/>
        </w:rPr>
        <w:t>（类）行政事业单位医疗（款）行政单位医疗（项）:指行政单位基本医疗保险缴费经费。</w:t>
      </w:r>
    </w:p>
    <w:p>
      <w:pPr>
        <w:spacing w:line="600" w:lineRule="exact"/>
        <w:ind w:firstLine="640" w:firstLineChars="200"/>
        <w:rPr>
          <w:rStyle w:val="15"/>
          <w:rFonts w:ascii="仿宋_GB2312" w:hAnsi="仿宋" w:eastAsia="仿宋_GB2312"/>
          <w:b w:val="0"/>
          <w:bCs/>
          <w:sz w:val="32"/>
          <w:szCs w:val="32"/>
        </w:rPr>
      </w:pPr>
      <w:r>
        <w:rPr>
          <w:rStyle w:val="15"/>
          <w:rFonts w:hint="eastAsia" w:ascii="仿宋_GB2312" w:hAnsi="仿宋" w:eastAsia="仿宋_GB2312"/>
          <w:b w:val="0"/>
          <w:bCs/>
          <w:sz w:val="32"/>
          <w:szCs w:val="32"/>
        </w:rPr>
        <w:t>9.</w:t>
      </w:r>
      <w:r>
        <w:rPr>
          <w:rFonts w:hint="eastAsia" w:ascii="仿宋_GB2312" w:hAnsi="仿宋" w:eastAsia="仿宋_GB2312"/>
          <w:bCs/>
          <w:sz w:val="32"/>
          <w:szCs w:val="32"/>
        </w:rPr>
        <w:t>卫生健康</w:t>
      </w:r>
      <w:r>
        <w:rPr>
          <w:rStyle w:val="15"/>
          <w:rFonts w:hint="eastAsia" w:ascii="仿宋_GB2312" w:hAnsi="仿宋" w:eastAsia="仿宋_GB2312"/>
          <w:b w:val="0"/>
          <w:bCs/>
          <w:sz w:val="32"/>
          <w:szCs w:val="32"/>
        </w:rPr>
        <w:t>（类）行政事业单位医疗（款）事业单位医疗（项）:指事业单位基本医疗保险缴费经费。</w:t>
      </w:r>
    </w:p>
    <w:p>
      <w:pPr>
        <w:ind w:firstLine="640" w:firstLineChars="200"/>
        <w:rPr>
          <w:rStyle w:val="15"/>
          <w:rFonts w:ascii="仿宋_GB2312" w:hAnsi="仿宋" w:eastAsia="仿宋_GB2312"/>
          <w:b w:val="0"/>
          <w:bCs/>
          <w:sz w:val="32"/>
          <w:szCs w:val="32"/>
        </w:rPr>
      </w:pPr>
      <w:r>
        <w:rPr>
          <w:rFonts w:hint="eastAsia" w:ascii="仿宋_GB2312" w:hAnsi="仿宋" w:eastAsia="仿宋_GB2312"/>
          <w:bCs/>
          <w:sz w:val="32"/>
          <w:szCs w:val="32"/>
        </w:rPr>
        <w:t>10</w:t>
      </w:r>
      <w:r>
        <w:rPr>
          <w:rFonts w:ascii="仿宋_GB2312" w:hAnsi="仿宋" w:eastAsia="仿宋_GB2312"/>
          <w:bCs/>
          <w:sz w:val="32"/>
          <w:szCs w:val="32"/>
        </w:rPr>
        <w:t>.</w:t>
      </w:r>
      <w:r>
        <w:rPr>
          <w:rFonts w:hint="eastAsia" w:ascii="仿宋_GB2312" w:hAnsi="仿宋" w:eastAsia="仿宋_GB2312"/>
          <w:bCs/>
          <w:sz w:val="32"/>
          <w:szCs w:val="32"/>
        </w:rPr>
        <w:t>卫生健康</w:t>
      </w:r>
      <w:r>
        <w:rPr>
          <w:rStyle w:val="15"/>
          <w:rFonts w:hint="eastAsia" w:ascii="仿宋_GB2312" w:hAnsi="仿宋" w:eastAsia="仿宋_GB2312"/>
          <w:b w:val="0"/>
          <w:bCs/>
          <w:sz w:val="32"/>
          <w:szCs w:val="32"/>
        </w:rPr>
        <w:t>（类）行政事业单位医疗（款）公务员医疗补助（项）:指公务员医疗补助经费。</w:t>
      </w:r>
    </w:p>
    <w:p>
      <w:pPr>
        <w:ind w:firstLine="640" w:firstLineChars="200"/>
        <w:rPr>
          <w:rFonts w:ascii="仿宋_GB2312" w:hAnsi="仿宋" w:eastAsia="仿宋_GB2312"/>
          <w:bCs/>
          <w:sz w:val="32"/>
          <w:szCs w:val="32"/>
        </w:rPr>
      </w:pPr>
      <w:r>
        <w:rPr>
          <w:rFonts w:hint="eastAsia" w:ascii="仿宋_GB2312" w:hAnsi="仿宋" w:eastAsia="仿宋_GB2312"/>
          <w:bCs/>
          <w:sz w:val="32"/>
          <w:szCs w:val="32"/>
        </w:rPr>
        <w:t>11.农林水（类）扶贫（款）其他扶贫（项）:指用于农村扶贫开发等方面的支出。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住房保障（类）住房改革（款）住房公积金（项）：指用于按政策规定为职工缴纳的住房公积金支出。</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 xml:space="preserve">. </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u w:color="46CD7E"/>
        </w:rPr>
        <w:t>16</w:t>
      </w:r>
      <w:r>
        <w:rPr>
          <w:rFonts w:ascii="仿宋_GB2312" w:eastAsia="仿宋_GB2312"/>
          <w:color w:val="auto"/>
          <w:sz w:val="32"/>
          <w:szCs w:val="32"/>
          <w:u w:color="46CD7E"/>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w:t>
      </w:r>
      <w:r>
        <w:rPr>
          <w:rFonts w:hint="eastAsia" w:ascii="仿宋_GB2312" w:eastAsia="仿宋_GB2312"/>
          <w:color w:val="auto"/>
          <w:sz w:val="32"/>
          <w:szCs w:val="32"/>
          <w:u w:val="thick" w:color="46CD7E"/>
          <w:shd w:val="clear" w:color="auto" w:fill="DAF5E5"/>
        </w:rPr>
        <w:t>材料费</w:t>
      </w:r>
      <w:r>
        <w:rPr>
          <w:rFonts w:hint="eastAsia" w:ascii="仿宋_GB2312" w:eastAsia="仿宋_GB2312"/>
          <w:color w:val="auto"/>
          <w:sz w:val="32"/>
          <w:szCs w:val="32"/>
        </w:rPr>
        <w:t>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center"/>
        <w:rPr>
          <w:rFonts w:ascii="方正小标宋简体" w:hAnsi="宋体" w:eastAsia="方正小标宋简体"/>
          <w:kern w:val="0"/>
          <w:sz w:val="40"/>
          <w:szCs w:val="44"/>
        </w:rPr>
      </w:pP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u w:val="thick" w:color="46CD7E"/>
          <w:shd w:val="clear" w:color="auto" w:fill="DAF5E5"/>
        </w:rPr>
        <w:t>县政协各部门</w:t>
      </w: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（一）机构组成。县政协内设办公室、提案委、经济委、法制群团委、教科文卫委、文史委、人资环委、委员委、委员培训中心、农业农村委、</w:t>
      </w:r>
      <w:r>
        <w:rPr>
          <w:rFonts w:hint="eastAsia" w:ascii="仿宋_GB2312" w:hAnsi="宋体" w:eastAsia="仿宋_GB2312" w:cs="宋体"/>
          <w:kern w:val="0"/>
          <w:sz w:val="32"/>
          <w:szCs w:val="32"/>
          <w:u w:val="thick" w:color="46CD7E"/>
          <w:shd w:val="clear" w:color="auto" w:fill="DAF5E5"/>
          <w:lang w:val="zh-CN"/>
        </w:rPr>
        <w:t>民族宗教委</w:t>
      </w:r>
      <w:r>
        <w:rPr>
          <w:rFonts w:hint="eastAsia" w:ascii="仿宋_GB2312" w:hAnsi="宋体" w:eastAsia="仿宋_GB2312" w:cs="宋体"/>
          <w:kern w:val="0"/>
          <w:sz w:val="32"/>
          <w:szCs w:val="32"/>
          <w:shd w:val="clear" w:color="auto" w:fill="FFFFFF"/>
          <w:lang w:val="zh-CN"/>
        </w:rPr>
        <w:t>和港澳台侨委11个职能机构。</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（二）机构职能。人民政协是中国共产党领导的多党合作和政治协商的重要机构，在认真履行政治协商、民主监督、</w:t>
      </w:r>
      <w:r>
        <w:rPr>
          <w:rFonts w:hint="eastAsia" w:ascii="仿宋_GB2312" w:hAnsi="宋体" w:eastAsia="仿宋_GB2312" w:cs="宋体"/>
          <w:kern w:val="0"/>
          <w:sz w:val="32"/>
          <w:szCs w:val="32"/>
          <w:u w:val="thick" w:color="46CD7E"/>
          <w:shd w:val="clear" w:color="auto" w:fill="DAF5E5"/>
          <w:lang w:val="zh-CN"/>
        </w:rPr>
        <w:t>参政议政等</w:t>
      </w:r>
      <w:r>
        <w:rPr>
          <w:rFonts w:hint="eastAsia" w:ascii="仿宋_GB2312" w:hAnsi="宋体" w:eastAsia="仿宋_GB2312" w:cs="宋体"/>
          <w:kern w:val="0"/>
          <w:sz w:val="32"/>
          <w:szCs w:val="32"/>
          <w:shd w:val="clear" w:color="auto" w:fill="FFFFFF"/>
          <w:lang w:val="zh-CN"/>
        </w:rPr>
        <w:t>自身职能的基础上，通过积极助推</w:t>
      </w:r>
      <w:r>
        <w:rPr>
          <w:rFonts w:hint="eastAsia" w:ascii="仿宋_GB2312" w:hAnsi="宋体" w:eastAsia="仿宋_GB2312" w:cs="宋体"/>
          <w:kern w:val="0"/>
          <w:sz w:val="32"/>
          <w:szCs w:val="32"/>
          <w:u w:val="thick" w:color="46CD7E"/>
          <w:shd w:val="clear" w:color="auto" w:fill="DAF5E5"/>
          <w:lang w:val="zh-CN"/>
        </w:rPr>
        <w:t>县委、县政府</w:t>
      </w:r>
      <w:r>
        <w:rPr>
          <w:rFonts w:hint="eastAsia" w:ascii="仿宋_GB2312" w:hAnsi="宋体" w:eastAsia="仿宋_GB2312" w:cs="宋体"/>
          <w:kern w:val="0"/>
          <w:sz w:val="32"/>
          <w:szCs w:val="32"/>
          <w:shd w:val="clear" w:color="auto" w:fill="FFFFFF"/>
          <w:lang w:val="zh-CN"/>
        </w:rPr>
        <w:t>中心工作，很好地发挥了围绕中心、服务大局、凝聚共识的作用。</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r>
        <w:rPr>
          <w:rFonts w:hint="eastAsia" w:ascii="仿宋_GB2312" w:hAnsi="宋体" w:eastAsia="仿宋_GB2312" w:cs="宋体"/>
          <w:kern w:val="0"/>
          <w:sz w:val="32"/>
          <w:szCs w:val="32"/>
          <w:u w:val="thick" w:color="46CD7E"/>
          <w:shd w:val="clear" w:color="auto" w:fill="DAF5E5"/>
          <w:lang w:val="zh-CN"/>
        </w:rPr>
        <w:t>截至</w:t>
      </w:r>
      <w:r>
        <w:rPr>
          <w:rFonts w:hint="eastAsia" w:ascii="仿宋_GB2312" w:hAnsi="宋体" w:eastAsia="仿宋_GB2312" w:cs="宋体"/>
          <w:kern w:val="0"/>
          <w:sz w:val="32"/>
          <w:szCs w:val="32"/>
          <w:shd w:val="clear" w:color="auto" w:fill="FFFFFF"/>
          <w:lang w:val="zh-CN"/>
        </w:rPr>
        <w:t>2021年12月底，政协机关工作人员共57人。在编人员33人（行政在职22人，驻口纪检组2人，事业及工勤人员9人），驻会人员20人，上派1人，购买服务人员3人。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（一）部门财政资金收入情况。2021年县政协办财政资金预算总收入695.6万元，其中：人员类635.6万元，运转类60万元（政协会议经费）。</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（二）部门财政资金支出情况。2021年政协办财政资金预算总支出695.6万元，其中：人员类635.6万元，运转类60万元（政协会议经费）。</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政协办按照职能职责，加强政协系统党的建设，健全党员常委履职建言点评制度，以党员常委带动政协委员高质量履职，不断提升政协工作水平，抓好“有事来协商”平台建设，创新开展民主监督，提高建言资政水平，继续开展评选表扬和乡贤文化活动，助力乡村振兴，密切与东西部扶贫协作地区政协交流互动，助推特色产业发展，加强委员服务管理，持续深化“双晒”活动，加强“书香政协”“法制政协”建设，认真实施文史资料工作三年行动计划，按要求做好史料征编工作。做好《通江县政协履职实录（202</w:t>
      </w:r>
      <w:r>
        <w:rPr>
          <w:rFonts w:hint="eastAsia" w:ascii="仿宋_GB2312" w:hAnsi="宋体" w:eastAsia="仿宋_GB2312" w:cs="宋体"/>
          <w:kern w:val="0"/>
          <w:sz w:val="32"/>
          <w:szCs w:val="32"/>
          <w:u w:val="thick" w:color="909090"/>
          <w:shd w:val="clear" w:color="auto" w:fill="DDDDDD"/>
          <w:lang w:val="zh-CN"/>
        </w:rPr>
        <w:t>0-</w:t>
      </w:r>
      <w:r>
        <w:rPr>
          <w:rFonts w:hint="eastAsia" w:ascii="仿宋_GB2312" w:hAnsi="宋体" w:eastAsia="仿宋_GB2312" w:cs="宋体"/>
          <w:kern w:val="0"/>
          <w:sz w:val="32"/>
          <w:szCs w:val="32"/>
          <w:shd w:val="clear" w:color="auto" w:fill="FFFFFF"/>
          <w:lang w:val="zh-CN"/>
        </w:rPr>
        <w:t>2021年度）》编撰工作。办好《通江文史》，增强可读性，传递正能量。部门整体预算绩效目标，涉及人员类和运转类目标，预算资金分别为635.6万元、60万元，合计695.6万元。根据政协实际，产出指标设置了数量、质量、成本、时效等4个二级指标及25个三级指标，效益指标设置了社会效益和可持续影响等2个二级指标及5个三级指标，满意度指标设置了服务对象满意度1个二级指标和2个三级指标。</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u w:val="thick" w:color="46CD7E"/>
          <w:shd w:val="clear" w:color="auto" w:fill="DAF5E5"/>
          <w:lang w:val="zh-CN"/>
        </w:rPr>
        <w:t>截至</w:t>
      </w:r>
      <w:r>
        <w:rPr>
          <w:rFonts w:hint="eastAsia" w:ascii="仿宋_GB2312" w:hAnsi="宋体" w:eastAsia="仿宋_GB2312" w:cs="宋体"/>
          <w:kern w:val="0"/>
          <w:sz w:val="32"/>
          <w:szCs w:val="32"/>
          <w:shd w:val="clear" w:color="auto" w:fill="FFFFFF"/>
          <w:lang w:val="zh-CN"/>
        </w:rPr>
        <w:t>2021年底，完成了年度总体目标，各项指标基本实现。人员类完成预算收入635.6万元，运转类完成1个专项预算收入60万元。2021年完成支出695.6万元，其中：人员类支出635.6万元；运转类支出60万元。22个三级指标值也全部完成。</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u w:val="thick" w:color="909090"/>
          <w:shd w:val="clear" w:color="auto" w:fill="DDDDDD"/>
          <w:lang w:val="zh-CN"/>
        </w:rPr>
        <w:t>县政协办对本单位的预算配置、预算执行、预算管理、职责履行和新增财政支出、一般性支出、会议支出、办公经费支出、机构编制和工资管理、厉行节约保障措施等方面的执行情况进行了自评，预算编制质量较好、预算信息公开符合要求，预算执行进度良好、财务制度健全，</w:t>
      </w:r>
      <w:r>
        <w:rPr>
          <w:rFonts w:hint="eastAsia" w:ascii="仿宋_GB2312" w:hAnsi="宋体" w:eastAsia="仿宋_GB2312" w:cs="宋体"/>
          <w:kern w:val="0"/>
          <w:sz w:val="32"/>
          <w:szCs w:val="32"/>
          <w:shd w:val="clear" w:color="auto" w:fill="FFFFFF"/>
          <w:lang w:val="zh-CN"/>
        </w:rPr>
        <w:t>会计核算总体规范、准确，项目在实施过程中严格执行有关规定。资金严格按县行政单位财务管理制度执行，资金支出严格按程序审批，并采取财政直接支付、财政授权等支付方式。预算完成率100%，做到收支平衡。经自查，未发现评价资金有违反国家相关财经制度和违反财经纪律的现象。</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县政协办按照财政预算资金目标绩效管理的要求，加强平时管理。序时支出，严格按照年初的目标要求支出，在可能偏离绩效目标的资金支出时，及时向领导报告及时纠正。每季度向主席会及机关党组报告一次预算资金执行情况及绩效实现情况，2021年9月进行了专门的预算绩效监控分析，对发现的问题进行了及时整改，确保了全年绩效目标实现。2020年的绩效自评及时在县人民政府门户网站进行公开。</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三）自评质量。政协办在对预算资金绩效支出进行自评时，对照资金的支付时间、用途、效益进行了全面的自查，对项目支出进行了实地查看，抽查了部分资料，并对部分相关人员进行谈话了解，确保了自评的准确度。从整体情况来看，县政协高度重视财政资金的支出绩效，从预算、执行、验收、资金支付等流程层层把关，严格按照单位预算控制部门整体支出，涉及“三重一大”事项都经过了县政协党组会、主席会研究。所有项目资金严格按照项目申报的实施方案组织实施，依据相应的资金管理办法切实做到项目资金专项专用，无截留、无挪用等现象。从评价情况来看，满意度较高，项目绩效目标完成情况好，绩效目标如期保质保量实现。</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按照财政资金使用用途和目的，县政协办认真执行年初预算资金计划，账务核算及时规范，保障了机关正常运转，促进了项目建设全面完成，全年基本支出保证了单位正常运行和日常工作的正常开展，项目产出、效益、满意度指标均达到预设</w:t>
      </w:r>
      <w:r>
        <w:rPr>
          <w:rFonts w:hint="eastAsia" w:ascii="仿宋_GB2312" w:hAnsi="宋体" w:eastAsia="仿宋_GB2312" w:cs="宋体"/>
          <w:kern w:val="0"/>
          <w:sz w:val="32"/>
          <w:szCs w:val="32"/>
          <w:u w:val="thick" w:color="46CD7E"/>
          <w:shd w:val="clear" w:color="auto" w:fill="DAF5E5"/>
          <w:lang w:val="zh-CN"/>
        </w:rPr>
        <w:t>值</w:t>
      </w:r>
      <w:r>
        <w:rPr>
          <w:rFonts w:hint="eastAsia" w:ascii="仿宋_GB2312" w:hAnsi="宋体" w:eastAsia="仿宋_GB2312" w:cs="宋体"/>
          <w:kern w:val="0"/>
          <w:sz w:val="32"/>
          <w:szCs w:val="32"/>
          <w:shd w:val="clear" w:color="auto" w:fill="FFFFFF"/>
          <w:lang w:val="zh-CN"/>
        </w:rPr>
        <w:t>的100%，项目达到预期绩效目标。</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（二）存在问题。单位绩效指标</w:t>
      </w:r>
      <w:r>
        <w:rPr>
          <w:rFonts w:hint="eastAsia" w:ascii="仿宋_GB2312" w:hAnsi="宋体" w:eastAsia="仿宋_GB2312" w:cs="宋体"/>
          <w:kern w:val="0"/>
          <w:sz w:val="32"/>
          <w:szCs w:val="32"/>
          <w:u w:val="thick" w:color="46CD7E"/>
          <w:shd w:val="clear" w:color="auto" w:fill="DAF5E5"/>
          <w:lang w:val="zh-CN"/>
        </w:rPr>
        <w:t>细化程度</w:t>
      </w:r>
      <w:r>
        <w:rPr>
          <w:rFonts w:hint="eastAsia" w:ascii="仿宋_GB2312" w:hAnsi="宋体" w:eastAsia="仿宋_GB2312" w:cs="宋体"/>
          <w:kern w:val="0"/>
          <w:sz w:val="32"/>
          <w:szCs w:val="32"/>
          <w:shd w:val="clear" w:color="auto" w:fill="FFFFFF"/>
          <w:lang w:val="zh-CN"/>
        </w:rPr>
        <w:t>不够，个别指标设置不精准。</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（三）改进建议。进一步细化精准设置三级指标。</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ascii="黑体" w:hAnsi="黑体" w:eastAsia="黑体"/>
          <w:lang w:val="zh-CN"/>
        </w:rPr>
      </w:pPr>
      <w:r>
        <w:rPr>
          <w:rFonts w:hint="eastAsia" w:ascii="黑体" w:hAnsi="黑体" w:eastAsia="黑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2021年政协会议</w:t>
      </w:r>
      <w:r>
        <w:rPr>
          <w:rFonts w:hint="eastAsia" w:ascii="方正小标宋简体" w:hAnsi="方正小标宋简体" w:eastAsia="方正小标宋简体" w:cs="方正小标宋简体"/>
          <w:sz w:val="40"/>
          <w:szCs w:val="40"/>
          <w:lang w:val="zh-CN"/>
        </w:rPr>
        <w:t>专项预算项目支出绩效</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政协会议是政协重要履职形式，通过政协会议集中协商议政、广泛凝聚人心、达成共识，促进政协各项工作落地落实。政协办公室的任务是筹备、组织各类政协会议的召开，贯彻落实和监督检查各类政协会议精神的执行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2．项目立项、资金申报的依据。政协会议经费的</w:t>
      </w:r>
      <w:r>
        <w:rPr>
          <w:rFonts w:hint="eastAsia" w:ascii="仿宋_GB2312" w:hAnsi="宋体" w:eastAsia="仿宋_GB2312"/>
          <w:sz w:val="32"/>
          <w:szCs w:val="32"/>
          <w:u w:val="thick" w:color="46CD7E"/>
          <w:shd w:val="clear" w:color="auto" w:fill="DAF5E5"/>
          <w:lang w:val="zh-CN"/>
        </w:rPr>
        <w:t>立项是</w:t>
      </w:r>
      <w:r>
        <w:rPr>
          <w:rFonts w:hint="eastAsia" w:ascii="仿宋_GB2312" w:hAnsi="宋体" w:eastAsia="仿宋_GB2312"/>
          <w:sz w:val="32"/>
          <w:szCs w:val="32"/>
          <w:lang w:val="zh-CN"/>
        </w:rPr>
        <w:t>按照《政协章程》、组织要求和预算管理规定对召开的政协全会、常委会、党组会、工作会等各类会议进行的，资金申报按照规定的会议标准和预算管理规定作为依据进行测算形成。</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县政协机关严格按照预算资金管理办法执行，并制定了机关财务管理制度、项目资金管理办法加强资金管理，确保发挥实效。资金支持项目的条件是按照是否召开相关会议以及会议的规模确定，支持的范围是按照会议是否属于政协全会、常委会、党组会、工作会等会议确定，支持方式是提供会议场所、相关设施设备、后勤服务、会议精神落实情况监督检查等必要保障支出。</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4．资金分配的原则及考虑因素。按照不超过相应级别会议确定的标准据实分配会议所需资金，重点考虑全局性会议以及需要特殊保障的会议，如政协全会以及会议召开中的疫情防控等因素。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1．项目主要内容。主要包括政协全会、常委会、党组会、工作会等各类会议。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2021年政协会议项目产出指标下设置数量、质量、时效、成本等4个二级指标及政协全会、常委会、党组会、委员培训会、工作会等17个三级指标，效益指标下社会效益和可持续影响2个二级指标及3个三级指标，满意度指标下服务对象满意度1个二级指标和2个三级指标。会议实施进度按法定和年初确定的时间安排，其中政协全会每年1次、常委会按每季度1次全年4次、党组会按每月1次全年12次、工作会议按每周1次全年50次、委员培训会按上下半年各1次全年2次召开。</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3．按照县政协的实际，确定的政协会议申报内容与实际相符，申报目标符合相关要求，合理可行。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政协会议项目自评采取会议是否召开作为依据，由办公室相关人员组成自评工作组，对全年政协会议的召开情况进行资料收集，对资金支出情况进行归类汇总，按指标评价体系进行自评打分，根据项目实施情况规范撰写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2021年政协会议专项资金申报60万元，批复60万元。该项资金通过绩效管理系统进行逐级申报审核，符合资金管理相关规定。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u w:val="thick" w:color="909090"/>
          <w:shd w:val="clear" w:color="auto" w:fill="DDDDDD"/>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2021年预算政协会议项目计划资金60万元。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u w:val="thick" w:color="46CD7E"/>
          <w:shd w:val="clear" w:color="auto" w:fill="DAF5E5"/>
          <w:lang w:val="zh-CN"/>
        </w:rPr>
        <w:t>截至</w:t>
      </w:r>
      <w:r>
        <w:rPr>
          <w:rFonts w:hint="eastAsia" w:ascii="仿宋_GB2312" w:hAnsi="宋体" w:eastAsia="仿宋_GB2312"/>
          <w:sz w:val="32"/>
          <w:szCs w:val="32"/>
          <w:lang w:val="zh-CN"/>
        </w:rPr>
        <w:t>2021年底到位60万元，全部为财政预算拨款资金，资金到位率100%。无单位</w:t>
      </w:r>
      <w:r>
        <w:rPr>
          <w:rFonts w:hint="eastAsia" w:ascii="仿宋_GB2312" w:hAnsi="宋体" w:eastAsia="仿宋_GB2312"/>
          <w:sz w:val="32"/>
          <w:szCs w:val="32"/>
          <w:u w:val="thick" w:color="46CD7E"/>
          <w:shd w:val="clear" w:color="auto" w:fill="DAF5E5"/>
          <w:lang w:val="zh-CN"/>
        </w:rPr>
        <w:t>自筹资金</w:t>
      </w:r>
      <w:r>
        <w:rPr>
          <w:rFonts w:hint="eastAsia" w:ascii="仿宋_GB2312" w:hAnsi="宋体" w:eastAsia="仿宋_GB2312"/>
          <w:sz w:val="32"/>
          <w:szCs w:val="32"/>
          <w:lang w:val="zh-CN"/>
        </w:rPr>
        <w:t>及其他渠道资金。按会议召开</w:t>
      </w:r>
      <w:r>
        <w:rPr>
          <w:rFonts w:hint="eastAsia" w:ascii="仿宋_GB2312" w:hAnsi="宋体" w:eastAsia="仿宋_GB2312"/>
          <w:sz w:val="32"/>
          <w:szCs w:val="32"/>
          <w:u w:color="46CD7E"/>
          <w:lang w:val="zh-CN"/>
        </w:rPr>
        <w:t>情况</w:t>
      </w:r>
      <w:r>
        <w:rPr>
          <w:rFonts w:hint="eastAsia" w:ascii="仿宋_GB2312" w:hAnsi="宋体" w:eastAsia="仿宋_GB2312"/>
          <w:sz w:val="32"/>
          <w:szCs w:val="32"/>
          <w:lang w:val="zh-CN"/>
        </w:rPr>
        <w:t>资金及时划拨到位。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 w:hAnsi="仿宋" w:eastAsia="仿宋" w:cs="仿宋"/>
          <w:sz w:val="32"/>
          <w:szCs w:val="32"/>
        </w:rPr>
        <w:t>县政协办</w:t>
      </w:r>
      <w:r>
        <w:rPr>
          <w:rFonts w:hint="eastAsia" w:ascii="仿宋" w:hAnsi="仿宋" w:eastAsia="仿宋" w:cs="仿宋"/>
          <w:sz w:val="32"/>
          <w:szCs w:val="32"/>
          <w:u w:val="thick" w:color="46CD7E"/>
          <w:shd w:val="clear" w:color="auto" w:fill="DAF5E5"/>
        </w:rPr>
        <w:t>截至</w:t>
      </w:r>
      <w:r>
        <w:rPr>
          <w:rFonts w:hint="eastAsia" w:ascii="仿宋" w:hAnsi="仿宋" w:eastAsia="仿宋" w:cs="仿宋"/>
          <w:sz w:val="32"/>
          <w:szCs w:val="32"/>
        </w:rPr>
        <w:t>2021年底政协会议项目资金支出60万元，用于召开政协全会、党组会、常委会等支出，支付全部完成，支付依据合法合规，与预算相符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
          <w:sz w:val="32"/>
          <w:szCs w:val="32"/>
        </w:rPr>
        <w:t>该项目资金按照县项目资金管理办法由政协办公室组织实施，实施过程中及时向政协领导报告实施进度，接受各方监督，该项目没有基建项目等需公开招投标及涉及政府采购的项目。资金收支后及时按会计制度核算记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政协办按年初确定的会议时间筹备召开各类政协会议，政协全会、常委会由政协主席会组织召开、政协党组会由政协党组组织召开、其余会议由政协主席会或机关党组及各委室根据实际情况组织召开。</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2021年政协各类会议的召开均符合《政协章程》、各级组织和各级会议规定要求以及政协会议项目管理规定。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政协机关严格控制政协会议的召开时间、内容、规模和资金预算，对会议召开前、中、后实行全过程监督。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按照2021年年初计划设定目标，</w:t>
      </w:r>
      <w:r>
        <w:rPr>
          <w:rFonts w:hint="eastAsia" w:ascii="仿宋_GB2312" w:hAnsi="宋体" w:eastAsia="仿宋_GB2312"/>
          <w:sz w:val="32"/>
          <w:szCs w:val="32"/>
          <w:u w:val="thick" w:color="46CD7E"/>
          <w:shd w:val="clear" w:color="auto" w:fill="DAF5E5"/>
          <w:lang w:val="zh-CN"/>
        </w:rPr>
        <w:t>截至</w:t>
      </w:r>
      <w:r>
        <w:rPr>
          <w:rFonts w:hint="eastAsia" w:ascii="仿宋_GB2312" w:hAnsi="宋体" w:eastAsia="仿宋_GB2312"/>
          <w:sz w:val="32"/>
          <w:szCs w:val="32"/>
          <w:lang w:val="zh-CN"/>
        </w:rPr>
        <w:t>2021年12月31日</w:t>
      </w:r>
      <w:r>
        <w:rPr>
          <w:rFonts w:hint="eastAsia" w:ascii="仿宋_GB2312" w:hAnsi="宋体" w:eastAsia="仿宋_GB2312"/>
          <w:sz w:val="32"/>
          <w:szCs w:val="32"/>
          <w:u w:val="thick" w:color="46CD7E"/>
          <w:shd w:val="clear" w:color="auto" w:fill="DAF5E5"/>
          <w:lang w:val="zh-CN"/>
        </w:rPr>
        <w:t>县政协已</w:t>
      </w:r>
      <w:r>
        <w:rPr>
          <w:rFonts w:hint="eastAsia" w:ascii="仿宋_GB2312" w:hAnsi="宋体" w:eastAsia="仿宋_GB2312"/>
          <w:sz w:val="32"/>
          <w:szCs w:val="32"/>
          <w:lang w:val="zh-CN"/>
        </w:rPr>
        <w:t>全面完成各项工作任务。全年召开政协全会2次、常委会4次，党组会12次，委员培训及各类工作会议按要求完成。质量指标均达98%以上，全部在规定时间完成，支出均控制在年初预算之内。项目资金无结余，无违规违纪，自评得分100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项目社会效益明显，通过召开政协全会，广泛凝聚人心、达成共识，委员和群众满意度高。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按照财政资金使用用途和目的，县政协办认真执行年初预算资金计划，账务核算及时规范，促进了项目建设全面完成，项目产出、效益、满意度指标均达到预设</w:t>
      </w:r>
      <w:r>
        <w:rPr>
          <w:rFonts w:hint="eastAsia" w:ascii="仿宋_GB2312" w:hAnsi="宋体" w:eastAsia="仿宋_GB2312"/>
          <w:sz w:val="32"/>
          <w:szCs w:val="32"/>
          <w:u w:val="thick" w:color="46CD7E"/>
          <w:shd w:val="clear" w:color="auto" w:fill="DAF5E5"/>
          <w:lang w:val="zh-CN"/>
        </w:rPr>
        <w:t>值</w:t>
      </w:r>
      <w:r>
        <w:rPr>
          <w:rFonts w:hint="eastAsia" w:ascii="仿宋_GB2312" w:hAnsi="宋体" w:eastAsia="仿宋_GB2312"/>
          <w:sz w:val="32"/>
          <w:szCs w:val="32"/>
          <w:lang w:val="zh-CN"/>
        </w:rPr>
        <w:t>的100%，项目达到预期绩效目标。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年初在设定评价三级指标时不够精准。</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针对三级指标设置不够精准的问题，下一步严格按要求细化</w:t>
      </w:r>
      <w:r>
        <w:rPr>
          <w:rFonts w:hint="eastAsia" w:ascii="仿宋_GB2312" w:hAnsi="宋体" w:eastAsia="仿宋_GB2312" w:cs="宋体"/>
          <w:kern w:val="0"/>
          <w:sz w:val="32"/>
          <w:szCs w:val="32"/>
          <w:shd w:val="clear" w:color="auto" w:fill="FFFFFF"/>
          <w:lang w:val="zh-CN"/>
        </w:rPr>
        <w:t>精准设置三级指标</w:t>
      </w:r>
      <w:r>
        <w:rPr>
          <w:rFonts w:hint="eastAsia" w:ascii="仿宋_GB2312" w:hAnsi="宋体" w:eastAsia="仿宋_GB2312"/>
          <w:sz w:val="32"/>
          <w:szCs w:val="32"/>
          <w:lang w:val="zh-CN"/>
        </w:rPr>
        <w:t>。</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pPr>
    </w:p>
    <w:p>
      <w:pPr>
        <w:pStyle w:val="2"/>
        <w:spacing w:before="93"/>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pPr>
    </w:p>
    <w:p>
      <w:pPr>
        <w:pStyle w:val="2"/>
        <w:spacing w:beforeLines="0"/>
      </w:pPr>
      <w:r>
        <w:rPr>
          <w:rFonts w:hint="eastAsia"/>
        </w:rPr>
        <w:t>附表：</w:t>
      </w:r>
    </w:p>
    <w:p>
      <w:pPr>
        <w:pStyle w:val="2"/>
        <w:spacing w:before="93"/>
        <w:jc w:val="center"/>
        <w:rPr>
          <w:rFonts w:ascii="方正小标宋简体" w:eastAsia="方正小标宋简体"/>
          <w:sz w:val="40"/>
          <w:szCs w:val="40"/>
        </w:rPr>
      </w:pPr>
      <w:r>
        <w:rPr>
          <w:rFonts w:hint="eastAsia" w:ascii="方正小标宋简体" w:eastAsia="方正小标宋简体"/>
          <w:sz w:val="40"/>
          <w:szCs w:val="40"/>
        </w:rPr>
        <w:t>2021年整体支出绩效目标自评表</w:t>
      </w:r>
    </w:p>
    <w:tbl>
      <w:tblPr>
        <w:tblStyle w:val="13"/>
        <w:tblW w:w="13905" w:type="dxa"/>
        <w:tblInd w:w="95" w:type="dxa"/>
        <w:tblLayout w:type="fixed"/>
        <w:tblCellMar>
          <w:top w:w="0" w:type="dxa"/>
          <w:left w:w="108" w:type="dxa"/>
          <w:bottom w:w="0" w:type="dxa"/>
          <w:right w:w="108" w:type="dxa"/>
        </w:tblCellMar>
      </w:tblPr>
      <w:tblGrid>
        <w:gridCol w:w="722"/>
        <w:gridCol w:w="851"/>
        <w:gridCol w:w="425"/>
        <w:gridCol w:w="709"/>
        <w:gridCol w:w="3118"/>
        <w:gridCol w:w="709"/>
        <w:gridCol w:w="142"/>
        <w:gridCol w:w="567"/>
        <w:gridCol w:w="141"/>
        <w:gridCol w:w="1276"/>
        <w:gridCol w:w="851"/>
        <w:gridCol w:w="708"/>
        <w:gridCol w:w="426"/>
        <w:gridCol w:w="425"/>
        <w:gridCol w:w="709"/>
        <w:gridCol w:w="1134"/>
        <w:gridCol w:w="992"/>
      </w:tblGrid>
      <w:tr>
        <w:tblPrEx>
          <w:tblLayout w:type="fixed"/>
          <w:tblCellMar>
            <w:top w:w="0" w:type="dxa"/>
            <w:left w:w="108" w:type="dxa"/>
            <w:bottom w:w="0" w:type="dxa"/>
            <w:right w:w="108" w:type="dxa"/>
          </w:tblCellMar>
        </w:tblPrEx>
        <w:trPr>
          <w:trHeight w:val="270" w:hRule="atLeast"/>
        </w:trPr>
        <w:tc>
          <w:tcPr>
            <w:tcW w:w="5825" w:type="dxa"/>
            <w:gridSpan w:val="5"/>
            <w:tcBorders>
              <w:top w:val="single" w:color="auto" w:sz="4" w:space="0"/>
              <w:left w:val="single" w:color="auto" w:sz="4" w:space="0"/>
              <w:bottom w:val="single" w:color="auto" w:sz="4" w:space="0"/>
              <w:right w:val="nil"/>
            </w:tcBorders>
            <w:shd w:val="clear" w:color="auto" w:fill="auto"/>
            <w:vAlign w:val="center"/>
          </w:tcPr>
          <w:p>
            <w:pPr>
              <w:widowControl/>
              <w:spacing w:line="200" w:lineRule="exact"/>
              <w:ind w:firstLine="40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部门名称</w:t>
            </w:r>
          </w:p>
        </w:tc>
        <w:tc>
          <w:tcPr>
            <w:tcW w:w="8080"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县政协办</w:t>
            </w:r>
          </w:p>
        </w:tc>
      </w:tr>
      <w:tr>
        <w:tblPrEx>
          <w:tblLayout w:type="fixed"/>
          <w:tblCellMar>
            <w:top w:w="0" w:type="dxa"/>
            <w:left w:w="108" w:type="dxa"/>
            <w:bottom w:w="0" w:type="dxa"/>
            <w:right w:w="108" w:type="dxa"/>
          </w:tblCellMar>
        </w:tblPrEx>
        <w:trPr>
          <w:trHeight w:val="270" w:hRule="atLeast"/>
        </w:trPr>
        <w:tc>
          <w:tcPr>
            <w:tcW w:w="72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年度主要任务</w:t>
            </w:r>
          </w:p>
        </w:tc>
        <w:tc>
          <w:tcPr>
            <w:tcW w:w="1276" w:type="dxa"/>
            <w:gridSpan w:val="2"/>
            <w:vMerge w:val="restart"/>
            <w:tcBorders>
              <w:top w:val="nil"/>
              <w:left w:val="single" w:color="auto" w:sz="4" w:space="0"/>
              <w:bottom w:val="single" w:color="000000" w:sz="4" w:space="0"/>
              <w:right w:val="nil"/>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任务名称</w:t>
            </w:r>
          </w:p>
        </w:tc>
        <w:tc>
          <w:tcPr>
            <w:tcW w:w="3827"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主要内容</w:t>
            </w:r>
          </w:p>
        </w:tc>
        <w:tc>
          <w:tcPr>
            <w:tcW w:w="8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分值</w:t>
            </w:r>
          </w:p>
        </w:tc>
        <w:tc>
          <w:tcPr>
            <w:tcW w:w="283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预算金额（万元）</w:t>
            </w:r>
          </w:p>
        </w:tc>
        <w:tc>
          <w:tcPr>
            <w:tcW w:w="340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实际执行（万元）</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得分</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000000"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1276" w:type="dxa"/>
            <w:gridSpan w:val="2"/>
            <w:vMerge w:val="continue"/>
            <w:tcBorders>
              <w:top w:val="nil"/>
              <w:left w:val="single" w:color="auto" w:sz="4" w:space="0"/>
              <w:bottom w:val="single" w:color="000000" w:sz="4" w:space="0"/>
              <w:right w:val="nil"/>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gridSpan w:val="2"/>
            <w:vMerge w:val="continue"/>
            <w:tcBorders>
              <w:top w:val="nil"/>
              <w:left w:val="single" w:color="auto" w:sz="4" w:space="0"/>
              <w:bottom w:val="single" w:color="000000"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708"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总额</w:t>
            </w:r>
          </w:p>
        </w:tc>
        <w:tc>
          <w:tcPr>
            <w:tcW w:w="127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财政拨款</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其他资金</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总额</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财政拨款</w:t>
            </w:r>
          </w:p>
        </w:tc>
        <w:tc>
          <w:tcPr>
            <w:tcW w:w="113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其他资金</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r>
      <w:tr>
        <w:tblPrEx>
          <w:tblLayout w:type="fixed"/>
          <w:tblCellMar>
            <w:top w:w="0" w:type="dxa"/>
            <w:left w:w="108" w:type="dxa"/>
            <w:bottom w:w="0" w:type="dxa"/>
            <w:right w:w="108" w:type="dxa"/>
          </w:tblCellMar>
        </w:tblPrEx>
        <w:trPr>
          <w:trHeight w:val="521" w:hRule="atLeast"/>
        </w:trPr>
        <w:tc>
          <w:tcPr>
            <w:tcW w:w="722" w:type="dxa"/>
            <w:vMerge w:val="continue"/>
            <w:tcBorders>
              <w:top w:val="nil"/>
              <w:left w:val="single" w:color="auto" w:sz="4" w:space="0"/>
              <w:bottom w:val="single" w:color="000000"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政治协商工作</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围绕县委中心大局建言资政、凝聚共识，发挥专门协商机构作用，加强政协履职能力建设。</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708"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495.6</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495.6</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495.6</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495.6</w:t>
            </w:r>
          </w:p>
        </w:tc>
        <w:tc>
          <w:tcPr>
            <w:tcW w:w="113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r>
      <w:tr>
        <w:tblPrEx>
          <w:tblLayout w:type="fixed"/>
          <w:tblCellMar>
            <w:top w:w="0" w:type="dxa"/>
            <w:left w:w="108" w:type="dxa"/>
            <w:bottom w:w="0" w:type="dxa"/>
            <w:right w:w="108" w:type="dxa"/>
          </w:tblCellMar>
        </w:tblPrEx>
        <w:trPr>
          <w:trHeight w:val="558" w:hRule="atLeast"/>
        </w:trPr>
        <w:tc>
          <w:tcPr>
            <w:tcW w:w="722" w:type="dxa"/>
            <w:vMerge w:val="continue"/>
            <w:tcBorders>
              <w:top w:val="nil"/>
              <w:left w:val="single" w:color="auto" w:sz="4" w:space="0"/>
              <w:bottom w:val="single" w:color="000000"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1276" w:type="dxa"/>
            <w:gridSpan w:val="2"/>
            <w:tcBorders>
              <w:top w:val="nil"/>
              <w:left w:val="nil"/>
              <w:bottom w:val="nil"/>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政协会议经费</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召开政协全会，常委会等相关会议，履职尽责、充分发挥政协职能作用。</w:t>
            </w:r>
          </w:p>
        </w:tc>
        <w:tc>
          <w:tcPr>
            <w:tcW w:w="851" w:type="dxa"/>
            <w:gridSpan w:val="2"/>
            <w:tcBorders>
              <w:top w:val="nil"/>
              <w:left w:val="nil"/>
              <w:bottom w:val="nil"/>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708"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w:t>
            </w:r>
          </w:p>
        </w:tc>
        <w:tc>
          <w:tcPr>
            <w:tcW w:w="1276"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w:t>
            </w:r>
          </w:p>
        </w:tc>
        <w:tc>
          <w:tcPr>
            <w:tcW w:w="113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992" w:type="dxa"/>
            <w:tcBorders>
              <w:top w:val="nil"/>
              <w:left w:val="nil"/>
              <w:bottom w:val="nil"/>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000000"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510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合   计</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708"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545.6</w:t>
            </w:r>
          </w:p>
        </w:tc>
        <w:tc>
          <w:tcPr>
            <w:tcW w:w="127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545.6</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545.6</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545.6</w:t>
            </w:r>
          </w:p>
        </w:tc>
        <w:tc>
          <w:tcPr>
            <w:tcW w:w="113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r>
      <w:tr>
        <w:tblPrEx>
          <w:tblLayout w:type="fixed"/>
          <w:tblCellMar>
            <w:top w:w="0" w:type="dxa"/>
            <w:left w:w="108" w:type="dxa"/>
            <w:bottom w:w="0" w:type="dxa"/>
            <w:right w:w="108" w:type="dxa"/>
          </w:tblCellMar>
        </w:tblPrEx>
        <w:trPr>
          <w:trHeight w:val="270" w:hRule="atLeast"/>
        </w:trPr>
        <w:tc>
          <w:tcPr>
            <w:tcW w:w="72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年度总体目标</w:t>
            </w:r>
          </w:p>
        </w:tc>
        <w:tc>
          <w:tcPr>
            <w:tcW w:w="7938"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预期目标</w:t>
            </w:r>
          </w:p>
        </w:tc>
        <w:tc>
          <w:tcPr>
            <w:tcW w:w="5245"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实际完成目标</w:t>
            </w:r>
          </w:p>
        </w:tc>
      </w:tr>
      <w:tr>
        <w:tblPrEx>
          <w:tblLayout w:type="fixed"/>
          <w:tblCellMar>
            <w:top w:w="0" w:type="dxa"/>
            <w:left w:w="108" w:type="dxa"/>
            <w:bottom w:w="0" w:type="dxa"/>
            <w:right w:w="108" w:type="dxa"/>
          </w:tblCellMar>
        </w:tblPrEx>
        <w:trPr>
          <w:trHeight w:val="971" w:hRule="atLeast"/>
        </w:trPr>
        <w:tc>
          <w:tcPr>
            <w:tcW w:w="722" w:type="dxa"/>
            <w:vMerge w:val="continue"/>
            <w:tcBorders>
              <w:top w:val="nil"/>
              <w:left w:val="single" w:color="auto" w:sz="4" w:space="0"/>
              <w:bottom w:val="single" w:color="000000"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7938"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加强政协系统党的建设，健全党员常委履职建言点评制度，以党员常委带动政协委员高质量履职，不断</w:t>
            </w:r>
            <w:r>
              <w:rPr>
                <w:rFonts w:hint="eastAsia" w:cs="宋体" w:asciiTheme="minorEastAsia" w:hAnsiTheme="minorEastAsia" w:eastAsiaTheme="minorEastAsia"/>
                <w:color w:val="000000"/>
                <w:kern w:val="0"/>
                <w:sz w:val="18"/>
                <w:szCs w:val="18"/>
                <w:u w:val="thick" w:color="46CD7E"/>
                <w:shd w:val="clear" w:color="auto" w:fill="DAF5E5"/>
              </w:rPr>
              <w:t>提高</w:t>
            </w:r>
            <w:r>
              <w:rPr>
                <w:rFonts w:hint="eastAsia" w:cs="宋体" w:asciiTheme="minorEastAsia" w:hAnsiTheme="minorEastAsia" w:eastAsiaTheme="minorEastAsia"/>
                <w:color w:val="000000"/>
                <w:kern w:val="0"/>
                <w:sz w:val="18"/>
                <w:szCs w:val="18"/>
              </w:rPr>
              <w:t>政协工作水平，抓好“有事来协商”平台建设，创新开展民主监督，提高建言资政水平，助力乡村振兴</w:t>
            </w:r>
            <w:r>
              <w:rPr>
                <w:rFonts w:hint="eastAsia" w:cs="宋体" w:asciiTheme="minorEastAsia" w:hAnsiTheme="minorEastAsia" w:eastAsiaTheme="minorEastAsia"/>
                <w:color w:val="000000"/>
                <w:kern w:val="0"/>
                <w:sz w:val="18"/>
                <w:szCs w:val="18"/>
                <w:u w:val="thick" w:color="46CD7E"/>
                <w:shd w:val="clear" w:color="auto" w:fill="DAF5E5"/>
              </w:rPr>
              <w:t>。</w:t>
            </w:r>
          </w:p>
        </w:tc>
        <w:tc>
          <w:tcPr>
            <w:tcW w:w="5245"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加强政协系统党的建设，健全党员常委履职建言点评制度，抓好“有事来协商”建设，创新开展民主监督，提高建言资政水平，助力乡村振兴，密切与东西部扶贫协作地区政协交流互动，助推特色产业发展，加强委员服务管理。</w:t>
            </w:r>
          </w:p>
        </w:tc>
      </w:tr>
      <w:tr>
        <w:tblPrEx>
          <w:tblLayout w:type="fixed"/>
          <w:tblCellMar>
            <w:top w:w="0" w:type="dxa"/>
            <w:left w:w="108" w:type="dxa"/>
            <w:bottom w:w="0" w:type="dxa"/>
            <w:right w:w="108" w:type="dxa"/>
          </w:tblCellMar>
        </w:tblPrEx>
        <w:trPr>
          <w:trHeight w:val="450" w:hRule="atLeast"/>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绩 </w:t>
            </w:r>
          </w:p>
          <w:p>
            <w:pPr>
              <w:widowControl/>
              <w:jc w:val="center"/>
              <w:rPr>
                <w:rFonts w:cs="宋体" w:asciiTheme="minorEastAsia" w:hAnsiTheme="minorEastAsia" w:eastAsiaTheme="minorEastAsia"/>
                <w:kern w:val="0"/>
                <w:sz w:val="18"/>
                <w:szCs w:val="18"/>
                <w:u w:color="46CD7E"/>
              </w:rPr>
            </w:pPr>
            <w:r>
              <w:rPr>
                <w:rFonts w:hint="eastAsia" w:cs="宋体" w:asciiTheme="minorEastAsia" w:hAnsiTheme="minorEastAsia" w:eastAsiaTheme="minorEastAsia"/>
                <w:kern w:val="0"/>
                <w:sz w:val="18"/>
                <w:szCs w:val="18"/>
              </w:rPr>
              <w:t xml:space="preserve">效 </w:t>
            </w:r>
          </w:p>
          <w:p>
            <w:pPr>
              <w:widowControl/>
              <w:jc w:val="center"/>
              <w:rPr>
                <w:rFonts w:cs="宋体" w:asciiTheme="minorEastAsia" w:hAnsiTheme="minorEastAsia" w:eastAsiaTheme="minorEastAsia"/>
                <w:kern w:val="0"/>
                <w:sz w:val="18"/>
                <w:szCs w:val="18"/>
                <w:u w:color="46CD7E"/>
              </w:rPr>
            </w:pPr>
            <w:r>
              <w:rPr>
                <w:rFonts w:hint="eastAsia" w:cs="宋体" w:asciiTheme="minorEastAsia" w:hAnsiTheme="minorEastAsia" w:eastAsiaTheme="minorEastAsia"/>
                <w:kern w:val="0"/>
                <w:sz w:val="18"/>
                <w:szCs w:val="18"/>
                <w:u w:color="46CD7E"/>
              </w:rPr>
              <w:t xml:space="preserve">指 </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p>
            <w:pPr>
              <w:pStyle w:val="2"/>
              <w:spacing w:before="93"/>
            </w:pPr>
          </w:p>
          <w:p>
            <w:pPr>
              <w:pStyle w:val="2"/>
              <w:spacing w:before="93"/>
            </w:pPr>
          </w:p>
          <w:p>
            <w:pPr>
              <w:pStyle w:val="2"/>
              <w:spacing w:before="93"/>
            </w:pPr>
          </w:p>
          <w:p>
            <w:pPr>
              <w:pStyle w:val="2"/>
              <w:spacing w:before="93"/>
            </w:pPr>
          </w:p>
          <w:p>
            <w:pPr>
              <w:pStyle w:val="2"/>
              <w:spacing w:before="93"/>
            </w:pP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绩</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w:t>
            </w:r>
          </w:p>
          <w:p>
            <w:pPr>
              <w:pStyle w:val="2"/>
              <w:spacing w:before="93"/>
              <w:jc w:val="center"/>
            </w:pPr>
            <w:r>
              <w:rPr>
                <w:rFonts w:hint="eastAsia" w:cs="宋体" w:asciiTheme="minorEastAsia" w:hAnsiTheme="minorEastAsia" w:eastAsiaTheme="minorEastAsia"/>
                <w:sz w:val="18"/>
                <w:szCs w:val="18"/>
              </w:rPr>
              <w:t>标</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一级</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指标</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二级指标</w:t>
            </w: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三级指标</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分值</w:t>
            </w:r>
          </w:p>
        </w:tc>
        <w:tc>
          <w:tcPr>
            <w:tcW w:w="1417"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年度指标值</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全年实际值</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得分</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未完成原因及拟采取的改进措施</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出</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指</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标</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u w:val="thick" w:color="909090"/>
                <w:shd w:val="clear" w:color="auto" w:fill="DDDDDD"/>
              </w:rPr>
              <w:t>(</w:t>
            </w:r>
            <w:r>
              <w:rPr>
                <w:rFonts w:hint="eastAsia" w:cs="宋体" w:asciiTheme="minorEastAsia" w:hAnsiTheme="minorEastAsia" w:eastAsiaTheme="minorEastAsia"/>
                <w:kern w:val="0"/>
                <w:sz w:val="18"/>
                <w:szCs w:val="18"/>
              </w:rPr>
              <w:t>50分</w:t>
            </w:r>
            <w:r>
              <w:rPr>
                <w:rFonts w:hint="eastAsia" w:cs="宋体" w:asciiTheme="minorEastAsia" w:hAnsiTheme="minorEastAsia" w:eastAsiaTheme="minorEastAsia"/>
                <w:kern w:val="0"/>
                <w:sz w:val="18"/>
                <w:szCs w:val="18"/>
                <w:u w:val="thick" w:color="909090"/>
                <w:shd w:val="clear" w:color="auto" w:fill="DDDDDD"/>
              </w:rPr>
              <w:t>)</w:t>
            </w:r>
          </w:p>
          <w:p>
            <w:pPr>
              <w:pStyle w:val="2"/>
              <w:spacing w:before="93"/>
            </w:pPr>
          </w:p>
          <w:p>
            <w:pPr>
              <w:pStyle w:val="2"/>
              <w:spacing w:before="93"/>
            </w:pPr>
          </w:p>
          <w:p>
            <w:pPr>
              <w:pStyle w:val="2"/>
              <w:spacing w:before="93"/>
              <w:jc w:val="center"/>
            </w:pPr>
          </w:p>
          <w:p>
            <w:pPr>
              <w:pStyle w:val="2"/>
              <w:spacing w:before="93"/>
              <w:jc w:val="center"/>
            </w:pPr>
            <w:r>
              <w:rPr>
                <w:rFonts w:hint="eastAsia" w:cs="宋体" w:asciiTheme="minorEastAsia" w:hAnsiTheme="minorEastAsia" w:eastAsiaTheme="minorEastAsia"/>
                <w:sz w:val="18"/>
                <w:szCs w:val="18"/>
              </w:rPr>
              <w:t>产</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出</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指</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标</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u w:val="thick" w:color="909090"/>
                <w:shd w:val="clear" w:color="auto" w:fill="DDDDDD"/>
              </w:rPr>
              <w:t>(</w:t>
            </w:r>
            <w:r>
              <w:rPr>
                <w:rFonts w:hint="eastAsia" w:cs="宋体" w:asciiTheme="minorEastAsia" w:hAnsiTheme="minorEastAsia" w:eastAsiaTheme="minorEastAsia"/>
                <w:sz w:val="18"/>
                <w:szCs w:val="18"/>
              </w:rPr>
              <w:t>50分</w:t>
            </w:r>
            <w:r>
              <w:rPr>
                <w:rFonts w:hint="eastAsia" w:cs="宋体" w:asciiTheme="minorEastAsia" w:hAnsiTheme="minorEastAsia" w:eastAsiaTheme="minorEastAsia"/>
                <w:sz w:val="18"/>
                <w:szCs w:val="18"/>
                <w:u w:val="thick" w:color="909090"/>
                <w:shd w:val="clear" w:color="auto" w:fill="DDDDDD"/>
              </w:rPr>
              <w:t>)</w:t>
            </w:r>
          </w:p>
          <w:p>
            <w:pPr>
              <w:pStyle w:val="2"/>
              <w:spacing w:before="93"/>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数量指标</w:t>
            </w: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政治协商事项</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≥60次</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65</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通江银耳（食用菌）发展</w:t>
            </w:r>
            <w:r>
              <w:rPr>
                <w:rFonts w:hint="eastAsia" w:cs="宋体" w:asciiTheme="minorEastAsia" w:hAnsiTheme="minorEastAsia" w:eastAsiaTheme="minorEastAsia"/>
                <w:color w:val="000000"/>
                <w:kern w:val="0"/>
                <w:sz w:val="18"/>
                <w:szCs w:val="18"/>
                <w:u w:val="thick" w:color="46CD7E"/>
                <w:shd w:val="clear" w:color="auto" w:fill="DAF5E5"/>
              </w:rPr>
              <w:t>，</w:t>
            </w:r>
            <w:r>
              <w:rPr>
                <w:rFonts w:hint="eastAsia" w:cs="宋体" w:asciiTheme="minorEastAsia" w:hAnsiTheme="minorEastAsia" w:eastAsiaTheme="minorEastAsia"/>
                <w:color w:val="000000"/>
                <w:kern w:val="0"/>
                <w:sz w:val="18"/>
                <w:szCs w:val="18"/>
              </w:rPr>
              <w:t>全力助推通江银耳（食用菌）产业做大做强</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≥5亿</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刊印《通江文史》及2020</w:t>
            </w:r>
            <w:r>
              <w:rPr>
                <w:rFonts w:cs="宋体" w:asciiTheme="minorEastAsia" w:hAnsiTheme="minorEastAsia" w:eastAsiaTheme="minorEastAsia"/>
                <w:color w:val="000000"/>
                <w:kern w:val="0"/>
                <w:sz w:val="18"/>
                <w:szCs w:val="18"/>
                <w:u w:val="thick" w:color="46CD7E"/>
                <w:shd w:val="clear" w:color="auto" w:fill="DAF5E5"/>
              </w:rPr>
              <w:t>.</w:t>
            </w:r>
            <w:r>
              <w:rPr>
                <w:rFonts w:hint="eastAsia" w:cs="宋体" w:asciiTheme="minorEastAsia" w:hAnsiTheme="minorEastAsia" w:eastAsiaTheme="minorEastAsia"/>
                <w:color w:val="000000"/>
                <w:kern w:val="0"/>
                <w:sz w:val="18"/>
                <w:szCs w:val="18"/>
                <w:u w:val="thick" w:color="909090"/>
                <w:shd w:val="clear" w:color="auto" w:fill="DDDDDD"/>
              </w:rPr>
              <w:t>2</w:t>
            </w:r>
            <w:r>
              <w:rPr>
                <w:rFonts w:cs="宋体" w:asciiTheme="minorEastAsia" w:hAnsiTheme="minorEastAsia" w:eastAsiaTheme="minorEastAsia"/>
                <w:color w:val="000000"/>
                <w:kern w:val="0"/>
                <w:sz w:val="18"/>
                <w:szCs w:val="18"/>
                <w:u w:val="thick" w:color="909090"/>
                <w:shd w:val="clear" w:color="auto" w:fill="DDDDDD"/>
              </w:rPr>
              <w:t>0</w:t>
            </w:r>
            <w:r>
              <w:rPr>
                <w:rFonts w:hint="eastAsia" w:cs="宋体" w:asciiTheme="minorEastAsia" w:hAnsiTheme="minorEastAsia" w:eastAsiaTheme="minorEastAsia"/>
                <w:color w:val="000000"/>
                <w:kern w:val="0"/>
                <w:sz w:val="18"/>
                <w:szCs w:val="18"/>
              </w:rPr>
              <w:t>21年政协工作履职实录</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≥4期、刊</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5期</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配合政协党组加强机关党风廉政建设，提高机关干部拒腐防变能力</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≥20例</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25例</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举办党风廉政教育活动</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≥1场</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2场</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民主评议</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≥4次</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4次</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创引帮活动</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≥50次</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52次</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458"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召开政协全会，常委会等相关会议，履职尽责、充分发挥政协职能作用</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≥70次</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75次</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质量指标</w:t>
            </w: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政治协商成功率</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99%</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通江银耳（食用菌）发展</w:t>
            </w:r>
            <w:r>
              <w:rPr>
                <w:rFonts w:hint="eastAsia" w:cs="宋体" w:asciiTheme="minorEastAsia" w:hAnsiTheme="minorEastAsia" w:eastAsiaTheme="minorEastAsia"/>
                <w:kern w:val="0"/>
                <w:sz w:val="18"/>
                <w:szCs w:val="18"/>
                <w:u w:val="thick" w:color="46CD7E"/>
                <w:shd w:val="clear" w:color="auto" w:fill="DAF5E5"/>
              </w:rPr>
              <w:t>，</w:t>
            </w:r>
            <w:r>
              <w:rPr>
                <w:rFonts w:hint="eastAsia" w:cs="宋体" w:asciiTheme="minorEastAsia" w:hAnsiTheme="minorEastAsia" w:eastAsiaTheme="minorEastAsia"/>
                <w:kern w:val="0"/>
                <w:sz w:val="18"/>
                <w:szCs w:val="18"/>
              </w:rPr>
              <w:t>全力助推通江银耳（食用菌）产业做大做强</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99%</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委员培训合格率</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99%</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刊印《通江文史》及2020年政协工作履职实录</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合格</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合格</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加强机关党风廉政建设</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99%</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召开政协全会，常委会等相关会议，履职尽责、充分发挥政协职能作用</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99%</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时效指标</w:t>
            </w: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政治协商</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2021年12月</w:t>
            </w:r>
          </w:p>
        </w:tc>
        <w:tc>
          <w:tcPr>
            <w:tcW w:w="1559" w:type="dxa"/>
            <w:gridSpan w:val="2"/>
            <w:tcBorders>
              <w:top w:val="nil"/>
              <w:left w:val="single" w:color="auto" w:sz="4" w:space="0"/>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2021年12月</w:t>
            </w:r>
          </w:p>
        </w:tc>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通江银耳（食用菌）发展</w:t>
            </w:r>
            <w:r>
              <w:rPr>
                <w:rFonts w:hint="eastAsia" w:cs="宋体" w:asciiTheme="minorEastAsia" w:hAnsiTheme="minorEastAsia" w:eastAsiaTheme="minorEastAsia"/>
                <w:kern w:val="0"/>
                <w:sz w:val="18"/>
                <w:szCs w:val="18"/>
                <w:u w:val="thick" w:color="909090"/>
                <w:shd w:val="clear" w:color="auto" w:fill="DDDDDD"/>
              </w:rPr>
              <w:t>,</w:t>
            </w:r>
            <w:r>
              <w:rPr>
                <w:rFonts w:hint="eastAsia" w:cs="宋体" w:asciiTheme="minorEastAsia" w:hAnsiTheme="minorEastAsia" w:eastAsiaTheme="minorEastAsia"/>
                <w:kern w:val="0"/>
                <w:sz w:val="18"/>
                <w:szCs w:val="18"/>
              </w:rPr>
              <w:t>全力助推通江银耳（食用菌）产业做大做强</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长期</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长期</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刊印《通江文史》及2020年政协工作履职实录</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2021年12月</w:t>
            </w:r>
          </w:p>
        </w:tc>
        <w:tc>
          <w:tcPr>
            <w:tcW w:w="1559" w:type="dxa"/>
            <w:gridSpan w:val="2"/>
            <w:tcBorders>
              <w:top w:val="nil"/>
              <w:left w:val="single" w:color="auto" w:sz="4" w:space="0"/>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2021年12月</w:t>
            </w:r>
          </w:p>
        </w:tc>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配合政协党组加强机关党风廉政建设，提高机关干部拒腐防变能力</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2021年12月</w:t>
            </w:r>
          </w:p>
        </w:tc>
        <w:tc>
          <w:tcPr>
            <w:tcW w:w="1559" w:type="dxa"/>
            <w:gridSpan w:val="2"/>
            <w:tcBorders>
              <w:top w:val="nil"/>
              <w:left w:val="single" w:color="auto" w:sz="4" w:space="0"/>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2021年12月</w:t>
            </w:r>
          </w:p>
        </w:tc>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召开政协全会，常委会等相关会议，履职尽责、充分发挥政协职能作用</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2021年12月</w:t>
            </w:r>
          </w:p>
        </w:tc>
        <w:tc>
          <w:tcPr>
            <w:tcW w:w="1559" w:type="dxa"/>
            <w:gridSpan w:val="2"/>
            <w:tcBorders>
              <w:top w:val="nil"/>
              <w:left w:val="single" w:color="auto" w:sz="4" w:space="0"/>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2021年12月</w:t>
            </w:r>
          </w:p>
        </w:tc>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368"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成本指标</w:t>
            </w: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政治协商</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≤635.6万元</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635.6万元</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3827" w:type="dxa"/>
            <w:gridSpan w:val="2"/>
            <w:tcBorders>
              <w:top w:val="single" w:color="auto" w:sz="4" w:space="0"/>
              <w:left w:val="nil"/>
              <w:bottom w:val="single" w:color="auto" w:sz="4" w:space="0"/>
              <w:right w:val="nil"/>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政协会议</w:t>
            </w:r>
          </w:p>
        </w:tc>
        <w:tc>
          <w:tcPr>
            <w:tcW w:w="70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1417"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≤60万元</w:t>
            </w: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60万元</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81"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益</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指</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标</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u w:val="thick" w:color="909090"/>
                <w:shd w:val="clear" w:color="auto" w:fill="DDDDDD"/>
              </w:rPr>
              <w:t>(</w:t>
            </w:r>
            <w:r>
              <w:rPr>
                <w:rFonts w:hint="eastAsia" w:cs="宋体" w:asciiTheme="minorEastAsia" w:hAnsiTheme="minorEastAsia" w:eastAsiaTheme="minorEastAsia"/>
                <w:kern w:val="0"/>
                <w:sz w:val="18"/>
                <w:szCs w:val="18"/>
              </w:rPr>
              <w:t>30分</w:t>
            </w:r>
            <w:r>
              <w:rPr>
                <w:rFonts w:hint="eastAsia" w:cs="宋体" w:asciiTheme="minorEastAsia" w:hAnsiTheme="minorEastAsia" w:eastAsiaTheme="minorEastAsia"/>
                <w:kern w:val="0"/>
                <w:sz w:val="18"/>
                <w:szCs w:val="18"/>
                <w:u w:val="thick" w:color="909090"/>
                <w:shd w:val="clear" w:color="auto" w:fill="DDDDDD"/>
              </w:rPr>
              <w:t>)</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经济效益</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指标</w:t>
            </w: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17" w:type="dxa"/>
            <w:gridSpan w:val="2"/>
            <w:tcBorders>
              <w:top w:val="nil"/>
              <w:left w:val="nil"/>
              <w:bottom w:val="nil"/>
              <w:right w:val="nil"/>
            </w:tcBorders>
            <w:shd w:val="clear" w:color="auto" w:fill="auto"/>
            <w:noWrap/>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55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社会效益</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指标</w:t>
            </w: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政治协商</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417"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长期</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长期</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民主监督</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417"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长期</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长期</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参政议政</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1417"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长期</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长期</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生态效益</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指标</w:t>
            </w: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17"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可持续影响指标</w:t>
            </w: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为县委决策提供有力的基础依据</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1417"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长期</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长期</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搭建政治协商、参政议政沟通渠道</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1417"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长期</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长期</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u w:val="thick" w:color="909090"/>
                <w:shd w:val="clear" w:color="auto" w:fill="DDDDDD"/>
              </w:rPr>
              <w:t>(</w:t>
            </w:r>
            <w:r>
              <w:rPr>
                <w:rFonts w:hint="eastAsia" w:cs="宋体" w:asciiTheme="minorEastAsia" w:hAnsiTheme="minorEastAsia" w:eastAsiaTheme="minorEastAsia"/>
                <w:kern w:val="0"/>
                <w:sz w:val="18"/>
                <w:szCs w:val="18"/>
              </w:rPr>
              <w:t>10分</w:t>
            </w:r>
            <w:r>
              <w:rPr>
                <w:rFonts w:hint="eastAsia" w:cs="宋体" w:asciiTheme="minorEastAsia" w:hAnsiTheme="minorEastAsia" w:eastAsiaTheme="minorEastAsia"/>
                <w:kern w:val="0"/>
                <w:sz w:val="18"/>
                <w:szCs w:val="18"/>
                <w:u w:val="thick" w:color="909090"/>
                <w:shd w:val="clear" w:color="auto" w:fill="DDDDDD"/>
              </w:rPr>
              <w:t>)</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服务对象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满意度指标</w:t>
            </w: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u w:val="thick" w:color="46CD7E"/>
                <w:shd w:val="clear" w:color="auto" w:fill="DAF5E5"/>
              </w:rPr>
              <w:t>县委、县政府</w:t>
            </w:r>
            <w:r>
              <w:rPr>
                <w:rFonts w:hint="eastAsia" w:cs="宋体" w:asciiTheme="minorEastAsia" w:hAnsiTheme="minorEastAsia" w:eastAsiaTheme="minorEastAsia"/>
                <w:color w:val="000000"/>
                <w:kern w:val="0"/>
                <w:sz w:val="18"/>
                <w:szCs w:val="18"/>
              </w:rPr>
              <w:t>和各级各部门满意度</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1417"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≥98%</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99%</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22"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spacing w:line="200" w:lineRule="exact"/>
              <w:rPr>
                <w:rFonts w:cs="宋体" w:asciiTheme="minorEastAsia" w:hAnsiTheme="minorEastAsia" w:eastAsiaTheme="minorEastAsia"/>
                <w:kern w:val="0"/>
                <w:sz w:val="18"/>
                <w:szCs w:val="18"/>
              </w:rPr>
            </w:pP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委员满意度</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1417" w:type="dxa"/>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≥98%</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99%</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65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总分</w:t>
            </w:r>
          </w:p>
        </w:tc>
        <w:tc>
          <w:tcPr>
            <w:tcW w:w="709"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100</w:t>
            </w:r>
          </w:p>
        </w:tc>
        <w:tc>
          <w:tcPr>
            <w:tcW w:w="297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100</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bl>
    <w:p>
      <w:pPr>
        <w:pStyle w:val="2"/>
        <w:spacing w:before="93"/>
      </w:pPr>
    </w:p>
    <w:p>
      <w:pPr>
        <w:pStyle w:val="2"/>
        <w:spacing w:beforeLines="0"/>
        <w:jc w:val="center"/>
        <w:rPr>
          <w:rFonts w:ascii="方正小标宋简体" w:eastAsia="方正小标宋简体"/>
          <w:sz w:val="40"/>
          <w:szCs w:val="40"/>
        </w:rPr>
      </w:pPr>
      <w:r>
        <w:rPr>
          <w:rFonts w:hint="eastAsia" w:ascii="方正小标宋简体" w:hAnsi="宋体" w:eastAsia="方正小标宋简体" w:cs="宋体"/>
          <w:b/>
          <w:sz w:val="40"/>
          <w:szCs w:val="40"/>
        </w:rPr>
        <w:t>2021年政协会议预算项目绩效目标自评表</w:t>
      </w:r>
    </w:p>
    <w:tbl>
      <w:tblPr>
        <w:tblStyle w:val="13"/>
        <w:tblpPr w:leftFromText="180" w:rightFromText="180" w:vertAnchor="text" w:horzAnchor="page" w:tblpX="1281" w:tblpY="660"/>
        <w:tblOverlap w:val="never"/>
        <w:tblW w:w="14142" w:type="dxa"/>
        <w:tblInd w:w="0" w:type="dxa"/>
        <w:tblLayout w:type="fixed"/>
        <w:tblCellMar>
          <w:top w:w="0" w:type="dxa"/>
          <w:left w:w="108" w:type="dxa"/>
          <w:bottom w:w="0" w:type="dxa"/>
          <w:right w:w="108" w:type="dxa"/>
        </w:tblCellMar>
      </w:tblPr>
      <w:tblGrid>
        <w:gridCol w:w="1668"/>
        <w:gridCol w:w="1450"/>
        <w:gridCol w:w="1635"/>
        <w:gridCol w:w="2301"/>
        <w:gridCol w:w="1559"/>
        <w:gridCol w:w="284"/>
        <w:gridCol w:w="5245"/>
      </w:tblGrid>
      <w:tr>
        <w:tblPrEx>
          <w:tblLayout w:type="fixed"/>
          <w:tblCellMar>
            <w:top w:w="0" w:type="dxa"/>
            <w:left w:w="108" w:type="dxa"/>
            <w:bottom w:w="0" w:type="dxa"/>
            <w:right w:w="108" w:type="dxa"/>
          </w:tblCellMar>
        </w:tblPrEx>
        <w:trPr>
          <w:trHeight w:val="4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20" w:lineRule="exact"/>
              <w:jc w:val="center"/>
              <w:textAlignment w:val="center"/>
              <w:rPr>
                <w:rFonts w:cs="宋体" w:asciiTheme="minorEastAsia" w:hAnsiTheme="minorEastAsia" w:eastAsiaTheme="minorEastAsia"/>
                <w:sz w:val="18"/>
                <w:szCs w:val="18"/>
              </w:rPr>
            </w:pPr>
            <w:bookmarkStart w:id="53" w:name="_Toc15396618"/>
            <w:r>
              <w:rPr>
                <w:rFonts w:hint="eastAsia" w:cs="宋体" w:asciiTheme="minorEastAsia" w:hAnsiTheme="minorEastAsia" w:eastAsiaTheme="minorEastAsia"/>
                <w:kern w:val="0"/>
                <w:sz w:val="18"/>
                <w:szCs w:val="18"/>
              </w:rPr>
              <w:t>主管部门及代码</w:t>
            </w:r>
          </w:p>
        </w:tc>
        <w:tc>
          <w:tcPr>
            <w:tcW w:w="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通江县政协办104001</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实施单位</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通江县政协办</w:t>
            </w:r>
          </w:p>
        </w:tc>
      </w:tr>
      <w:tr>
        <w:tblPrEx>
          <w:tblLayout w:type="fixed"/>
          <w:tblCellMar>
            <w:top w:w="0" w:type="dxa"/>
            <w:left w:w="108" w:type="dxa"/>
            <w:bottom w:w="0" w:type="dxa"/>
            <w:right w:w="108" w:type="dxa"/>
          </w:tblCellMar>
        </w:tblPrEx>
        <w:trPr>
          <w:trHeight w:val="454"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项目预算</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执行情况</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预算数：</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执行数：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w:t>
            </w:r>
          </w:p>
        </w:tc>
      </w:tr>
      <w:tr>
        <w:tblPrEx>
          <w:tblLayout w:type="fixed"/>
          <w:tblCellMar>
            <w:top w:w="0" w:type="dxa"/>
            <w:left w:w="108" w:type="dxa"/>
            <w:bottom w:w="0" w:type="dxa"/>
            <w:right w:w="108" w:type="dxa"/>
          </w:tblCellMar>
        </w:tblPrEx>
        <w:trPr>
          <w:trHeight w:val="454"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2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p>
          <w:p>
            <w:pPr>
              <w:widowControl/>
              <w:spacing w:line="2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财政拨款</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60</w:t>
            </w:r>
          </w:p>
        </w:tc>
      </w:tr>
      <w:tr>
        <w:tblPrEx>
          <w:tblLayout w:type="fixed"/>
          <w:tblCellMar>
            <w:top w:w="0" w:type="dxa"/>
            <w:left w:w="108" w:type="dxa"/>
            <w:bottom w:w="0" w:type="dxa"/>
            <w:right w:w="108" w:type="dxa"/>
          </w:tblCellMar>
        </w:tblPrEx>
        <w:trPr>
          <w:trHeight w:val="454"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cs="宋体" w:asciiTheme="minorEastAsia" w:hAnsiTheme="minorEastAsia" w:eastAsiaTheme="minorEastAsia"/>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其他资金</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p>
        </w:tc>
      </w:tr>
      <w:tr>
        <w:tblPrEx>
          <w:tblLayout w:type="fixed"/>
          <w:tblCellMar>
            <w:top w:w="0" w:type="dxa"/>
            <w:left w:w="108" w:type="dxa"/>
            <w:bottom w:w="0" w:type="dxa"/>
            <w:right w:w="108" w:type="dxa"/>
          </w:tblCellMar>
        </w:tblPrEx>
        <w:trPr>
          <w:trHeight w:val="454"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年度总体目标</w:t>
            </w:r>
          </w:p>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完成情况</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预期目标</w:t>
            </w:r>
          </w:p>
        </w:tc>
        <w:tc>
          <w:tcPr>
            <w:tcW w:w="7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目标实际完成情况</w:t>
            </w:r>
          </w:p>
        </w:tc>
      </w:tr>
      <w:tr>
        <w:tblPrEx>
          <w:tblLayout w:type="fixed"/>
          <w:tblCellMar>
            <w:top w:w="0" w:type="dxa"/>
            <w:left w:w="108" w:type="dxa"/>
            <w:bottom w:w="0" w:type="dxa"/>
            <w:right w:w="108" w:type="dxa"/>
          </w:tblCellMar>
        </w:tblPrEx>
        <w:trPr>
          <w:trHeight w:val="660"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召开政协全会，常委会等相关会议，履职尽责、充分发挥政协职能作用。</w:t>
            </w:r>
          </w:p>
        </w:tc>
        <w:tc>
          <w:tcPr>
            <w:tcW w:w="708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全年召开2次政协全会、4次常委会等会议。</w:t>
            </w:r>
          </w:p>
        </w:tc>
      </w:tr>
      <w:tr>
        <w:tblPrEx>
          <w:tblLayout w:type="fixed"/>
          <w:tblCellMar>
            <w:top w:w="0" w:type="dxa"/>
            <w:left w:w="108" w:type="dxa"/>
            <w:bottom w:w="0" w:type="dxa"/>
            <w:right w:w="108" w:type="dxa"/>
          </w:tblCellMar>
        </w:tblPrEx>
        <w:trPr>
          <w:trHeight w:val="454" w:hRule="atLeast"/>
        </w:trPr>
        <w:tc>
          <w:tcPr>
            <w:tcW w:w="16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widowControl/>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450" w:type="dxa"/>
            <w:tcBorders>
              <w:top w:val="single" w:color="000000" w:sz="4" w:space="0"/>
              <w:left w:val="nil"/>
              <w:bottom w:val="single" w:color="000000" w:sz="4" w:space="0"/>
              <w:right w:val="single" w:color="000000" w:sz="4" w:space="0"/>
            </w:tcBorders>
            <w:shd w:val="clear" w:color="auto" w:fill="auto"/>
            <w:vAlign w:val="center"/>
          </w:tcPr>
          <w:p>
            <w:pPr>
              <w:widowControl/>
              <w:spacing w:line="2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一级</w:t>
            </w:r>
          </w:p>
          <w:p>
            <w:pPr>
              <w:widowControl/>
              <w:spacing w:line="2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二级</w:t>
            </w:r>
          </w:p>
          <w:p>
            <w:pPr>
              <w:widowControl/>
              <w:spacing w:line="2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三级</w:t>
            </w:r>
          </w:p>
          <w:p>
            <w:pPr>
              <w:widowControl/>
              <w:spacing w:line="2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预期指标值</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实际完成指标值</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kern w:val="0"/>
                <w:sz w:val="18"/>
                <w:szCs w:val="18"/>
              </w:rPr>
            </w:pPr>
          </w:p>
          <w:p>
            <w:pPr>
              <w:widowControl/>
              <w:spacing w:line="220" w:lineRule="exact"/>
              <w:jc w:val="center"/>
              <w:textAlignment w:val="bottom"/>
              <w:rPr>
                <w:rFonts w:cs="仿宋_GB2312" w:asciiTheme="minorEastAsia" w:hAnsiTheme="minorEastAsia" w:eastAsiaTheme="minorEastAsia"/>
                <w:kern w:val="0"/>
                <w:sz w:val="18"/>
                <w:szCs w:val="18"/>
              </w:rPr>
            </w:pPr>
          </w:p>
          <w:p>
            <w:pPr>
              <w:widowControl/>
              <w:spacing w:line="220" w:lineRule="exact"/>
              <w:jc w:val="center"/>
              <w:textAlignment w:val="bottom"/>
              <w:rPr>
                <w:rFonts w:cs="仿宋_GB2312" w:asciiTheme="minorEastAsia" w:hAnsiTheme="minorEastAsia" w:eastAsiaTheme="minorEastAsia"/>
                <w:kern w:val="0"/>
                <w:sz w:val="18"/>
                <w:szCs w:val="18"/>
              </w:rPr>
            </w:pPr>
          </w:p>
          <w:p>
            <w:pPr>
              <w:widowControl/>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产</w:t>
            </w:r>
          </w:p>
          <w:p>
            <w:pPr>
              <w:widowControl/>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出</w:t>
            </w:r>
          </w:p>
          <w:p>
            <w:pPr>
              <w:widowControl/>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指</w:t>
            </w:r>
          </w:p>
          <w:p>
            <w:pPr>
              <w:widowControl/>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标</w:t>
            </w:r>
          </w:p>
          <w:p>
            <w:pPr>
              <w:pStyle w:val="2"/>
              <w:spacing w:before="93"/>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数量指标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政协全会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2次</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left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聘请专家进行委员培训</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2次</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left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政协常委会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4次</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left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政协机关工作会议</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≥50次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55次</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政协党组会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12次</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质量指标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委员培训合格率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99%</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bottom w:val="single" w:color="auto"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bottom w:val="single" w:color="auto"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left w:val="single" w:color="000000" w:sz="4" w:space="0"/>
              <w:bottom w:val="single" w:color="auto"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政协职能职责知晓率</w:t>
            </w:r>
          </w:p>
        </w:tc>
        <w:tc>
          <w:tcPr>
            <w:tcW w:w="1559"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c>
          <w:tcPr>
            <w:tcW w:w="55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99%</w:t>
            </w:r>
          </w:p>
        </w:tc>
      </w:tr>
      <w:tr>
        <w:tblPrEx>
          <w:tblLayout w:type="fixed"/>
          <w:tblCellMar>
            <w:top w:w="0" w:type="dxa"/>
            <w:left w:w="108" w:type="dxa"/>
            <w:bottom w:w="0" w:type="dxa"/>
            <w:right w:w="108" w:type="dxa"/>
          </w:tblCellMar>
        </w:tblPrEx>
        <w:trPr>
          <w:trHeight w:val="454" w:hRule="atLeast"/>
        </w:trPr>
        <w:tc>
          <w:tcPr>
            <w:tcW w:w="1668"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年度绩效指标</w:t>
            </w:r>
          </w:p>
          <w:p>
            <w:pPr>
              <w:spacing w:line="220" w:lineRule="exact"/>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完成情况</w:t>
            </w:r>
          </w:p>
        </w:tc>
        <w:tc>
          <w:tcPr>
            <w:tcW w:w="1450"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产</w:t>
            </w:r>
          </w:p>
          <w:p>
            <w:pPr>
              <w:widowControl/>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出</w:t>
            </w:r>
          </w:p>
          <w:p>
            <w:pPr>
              <w:widowControl/>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指</w:t>
            </w:r>
          </w:p>
          <w:p>
            <w:pPr>
              <w:widowControl/>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标</w:t>
            </w:r>
          </w:p>
          <w:p>
            <w:pPr>
              <w:spacing w:line="220" w:lineRule="exact"/>
              <w:jc w:val="center"/>
              <w:textAlignment w:val="bottom"/>
              <w:rPr>
                <w:rFonts w:cs="仿宋_GB2312" w:asciiTheme="minorEastAsia" w:hAnsiTheme="minorEastAsia" w:eastAsiaTheme="minorEastAsia"/>
                <w:sz w:val="18"/>
                <w:szCs w:val="18"/>
              </w:rPr>
            </w:pPr>
          </w:p>
        </w:tc>
        <w:tc>
          <w:tcPr>
            <w:tcW w:w="1635" w:type="dxa"/>
            <w:vMerge w:val="restart"/>
            <w:tcBorders>
              <w:top w:val="single" w:color="auto" w:sz="4" w:space="0"/>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时效指标</w:t>
            </w:r>
          </w:p>
        </w:tc>
        <w:tc>
          <w:tcPr>
            <w:tcW w:w="230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政协全会</w:t>
            </w:r>
          </w:p>
        </w:tc>
        <w:tc>
          <w:tcPr>
            <w:tcW w:w="155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2021年3月</w:t>
            </w:r>
          </w:p>
        </w:tc>
        <w:tc>
          <w:tcPr>
            <w:tcW w:w="552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2021年3月、12月</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top w:val="single" w:color="auto" w:sz="4" w:space="0"/>
              <w:left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聘请专家进行委员培训</w:t>
            </w:r>
          </w:p>
        </w:tc>
        <w:tc>
          <w:tcPr>
            <w:tcW w:w="155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2021年12月</w:t>
            </w:r>
          </w:p>
        </w:tc>
        <w:tc>
          <w:tcPr>
            <w:tcW w:w="552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2021年12月</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top w:val="single" w:color="auto" w:sz="4" w:space="0"/>
              <w:left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政协常委会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2021年12月</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2021年12月</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top w:val="single" w:color="auto" w:sz="4" w:space="0"/>
              <w:left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政协机关工作会议</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2021年12月</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2021年12月</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政协党组会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2021年12月</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2021年12月</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成本指标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政协全会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≤25万元</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25万元</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1635" w:type="dxa"/>
            <w:vMerge w:val="continue"/>
            <w:tcBorders>
              <w:left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聘请专家进行委员培训</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≤8万元</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8万元</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1635" w:type="dxa"/>
            <w:vMerge w:val="continue"/>
            <w:tcBorders>
              <w:left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政协常委会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≤12万元</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12万元</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1635" w:type="dxa"/>
            <w:vMerge w:val="continue"/>
            <w:tcBorders>
              <w:left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政协机关工作会议</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≤10万元</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10万元</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政协党组会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≤5万元</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5万元</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效益</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经济效益指标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社会效益指标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提升委员履职尽责水平</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≥90%</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95%</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ind w:left="363" w:leftChars="87" w:hanging="180" w:hangingChars="100"/>
              <w:jc w:val="left"/>
              <w:textAlignment w:val="bottom"/>
              <w:rPr>
                <w:rFonts w:cs="仿宋_GB2312" w:asciiTheme="minorEastAsia" w:hAnsiTheme="minorEastAsia" w:eastAsiaTheme="minorEastAsia"/>
                <w:kern w:val="0"/>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政协职能职责知晓率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ind w:left="363" w:leftChars="87" w:hanging="180" w:hangingChars="100"/>
              <w:jc w:val="left"/>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生态效益指标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rPr>
                <w:rFonts w:cs="宋体" w:asciiTheme="minorEastAsia" w:hAnsiTheme="minorEastAsia" w:eastAsiaTheme="minorEastAsia"/>
                <w:color w:val="000000"/>
                <w:sz w:val="18"/>
                <w:szCs w:val="18"/>
              </w:rPr>
            </w:pP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20" w:lineRule="exact"/>
              <w:jc w:val="center"/>
              <w:rPr>
                <w:rFonts w:cs="仿宋_GB2312" w:asciiTheme="minorEastAsia" w:hAnsiTheme="minorEastAsia" w:eastAsiaTheme="minorEastAsia"/>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sz w:val="18"/>
                <w:szCs w:val="18"/>
              </w:rPr>
            </w:pPr>
            <w:r>
              <w:rPr>
                <w:rFonts w:hint="eastAsia" w:cs="仿宋_GB2312" w:asciiTheme="minorEastAsia" w:hAnsiTheme="minorEastAsia" w:eastAsiaTheme="minorEastAsia"/>
                <w:kern w:val="0"/>
                <w:sz w:val="18"/>
                <w:szCs w:val="18"/>
              </w:rPr>
              <w:t>可持续影响指标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政协履职尽责影响</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长期</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长期</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restart"/>
            <w:tcBorders>
              <w:top w:val="single" w:color="000000" w:sz="4" w:space="0"/>
              <w:left w:val="single" w:color="000000" w:sz="4" w:space="0"/>
              <w:right w:val="single" w:color="000000" w:sz="4" w:space="0"/>
            </w:tcBorders>
            <w:shd w:val="clear" w:color="auto" w:fill="auto"/>
            <w:vAlign w:val="center"/>
          </w:tcPr>
          <w:p>
            <w:pPr>
              <w:spacing w:line="2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w:t>
            </w:r>
            <w:r>
              <w:rPr>
                <w:rFonts w:hint="eastAsia" w:cs="仿宋_GB2312" w:asciiTheme="minorEastAsia" w:hAnsiTheme="minorEastAsia" w:eastAsiaTheme="minorEastAsia"/>
                <w:kern w:val="0"/>
                <w:sz w:val="18"/>
                <w:szCs w:val="18"/>
              </w:rPr>
              <w:br w:type="textWrapping"/>
            </w:r>
            <w:r>
              <w:rPr>
                <w:rFonts w:hint="eastAsia" w:cs="仿宋_GB2312" w:asciiTheme="minorEastAsia" w:hAnsiTheme="minorEastAsia" w:eastAsiaTheme="minorEastAsia"/>
                <w:kern w:val="0"/>
                <w:sz w:val="18"/>
                <w:szCs w:val="18"/>
              </w:rPr>
              <w:t>度指标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满意度</w:t>
            </w:r>
          </w:p>
          <w:p>
            <w:pPr>
              <w:spacing w:line="220" w:lineRule="exact"/>
              <w:jc w:val="center"/>
              <w:textAlignment w:val="bottom"/>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指标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委员培训对象满意度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99%</w:t>
            </w:r>
          </w:p>
        </w:tc>
      </w:tr>
      <w:tr>
        <w:tblPrEx>
          <w:tblLayout w:type="fixed"/>
          <w:tblCellMar>
            <w:top w:w="0" w:type="dxa"/>
            <w:left w:w="108" w:type="dxa"/>
            <w:bottom w:w="0" w:type="dxa"/>
            <w:right w:w="108" w:type="dxa"/>
          </w:tblCellMar>
        </w:tblPrEx>
        <w:trPr>
          <w:trHeight w:val="454" w:hRule="atLeast"/>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spacing w:line="220" w:lineRule="exact"/>
              <w:jc w:val="center"/>
              <w:rPr>
                <w:rFonts w:cs="仿宋_GB2312" w:asciiTheme="minorEastAsia" w:hAnsiTheme="minorEastAsia" w:eastAsiaTheme="minorEastAsia"/>
                <w:sz w:val="18"/>
                <w:szCs w:val="18"/>
              </w:rPr>
            </w:pPr>
          </w:p>
        </w:tc>
        <w:tc>
          <w:tcPr>
            <w:tcW w:w="1450"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sz w:val="18"/>
                <w:szCs w:val="1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220" w:lineRule="exact"/>
              <w:jc w:val="center"/>
              <w:textAlignment w:val="bottom"/>
              <w:rPr>
                <w:rFonts w:cs="仿宋_GB2312" w:asciiTheme="minorEastAsia" w:hAnsiTheme="minorEastAsia" w:eastAsiaTheme="minorEastAsia"/>
                <w:sz w:val="18"/>
                <w:szCs w:val="18"/>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群众满意度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≥90%</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98%</w:t>
            </w:r>
          </w:p>
        </w:tc>
      </w:tr>
    </w:tbl>
    <w:p>
      <w:pPr>
        <w:pStyle w:val="2"/>
        <w:spacing w:before="93"/>
        <w:sectPr>
          <w:pgSz w:w="16838" w:h="11906" w:orient="landscape"/>
          <w:pgMar w:top="1800" w:right="1440" w:bottom="1800" w:left="1440" w:header="851" w:footer="992" w:gutter="0"/>
          <w:cols w:space="425" w:num="1"/>
          <w:titlePg/>
          <w:docGrid w:type="lines" w:linePitch="312" w:charSpace="0"/>
        </w:sect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5"/>
    </w:p>
    <w:p>
      <w:pPr>
        <w:pStyle w:val="4"/>
        <w:rPr>
          <w:rStyle w:val="26"/>
          <w:rFonts w:ascii="仿宋" w:hAnsi="仿宋" w:eastAsia="仿宋"/>
          <w:b w:val="0"/>
          <w:bCs w:val="0"/>
        </w:rPr>
      </w:pPr>
      <w:bookmarkStart w:id="66"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6"/>
    </w:p>
    <w:p>
      <w:pPr>
        <w:rPr>
          <w:rFonts w:eastAsia="仿宋"/>
        </w:rPr>
      </w:pPr>
      <w:r>
        <w:rPr>
          <w:rStyle w:val="26"/>
          <w:rFonts w:hint="eastAsia" w:ascii="仿宋" w:hAnsi="仿宋" w:eastAsia="仿宋"/>
          <w:b w:val="0"/>
          <w:bCs w:val="0"/>
        </w:rPr>
        <w:t>十四、国有资本经营预算财政拨款支出决算表</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450015"/>
    </w:sdtPr>
    <w:sdtContent>
      <w:p>
        <w:pPr>
          <w:pStyle w:val="9"/>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450016"/>
      <w:docPartObj>
        <w:docPartGallery w:val="AutoText"/>
      </w:docPartObj>
    </w:sdtPr>
    <w:sdtEndPr>
      <w:rPr>
        <w:b/>
        <w:sz w:val="28"/>
        <w:szCs w:val="28"/>
      </w:rPr>
    </w:sdtEndPr>
    <w:sdtContent>
      <w:p>
        <w:pPr>
          <w:pStyle w:val="9"/>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wYTI3MGM2YzZhNjE4ZDU0OTY5ZTc1ZTczY2FlMmMifQ=="/>
  </w:docVars>
  <w:rsids>
    <w:rsidRoot w:val="00F1361C"/>
    <w:rsid w:val="0000073F"/>
    <w:rsid w:val="0000614A"/>
    <w:rsid w:val="00006706"/>
    <w:rsid w:val="00012BDC"/>
    <w:rsid w:val="00014093"/>
    <w:rsid w:val="00016928"/>
    <w:rsid w:val="000178B1"/>
    <w:rsid w:val="000222C6"/>
    <w:rsid w:val="0002510B"/>
    <w:rsid w:val="0002549F"/>
    <w:rsid w:val="00026179"/>
    <w:rsid w:val="00037603"/>
    <w:rsid w:val="00046494"/>
    <w:rsid w:val="000468DB"/>
    <w:rsid w:val="00047ADE"/>
    <w:rsid w:val="00055B33"/>
    <w:rsid w:val="0006487A"/>
    <w:rsid w:val="00065609"/>
    <w:rsid w:val="00065F8F"/>
    <w:rsid w:val="0006629A"/>
    <w:rsid w:val="00070A43"/>
    <w:rsid w:val="00071914"/>
    <w:rsid w:val="000768F2"/>
    <w:rsid w:val="00087275"/>
    <w:rsid w:val="0009184B"/>
    <w:rsid w:val="00094236"/>
    <w:rsid w:val="0009593C"/>
    <w:rsid w:val="00097322"/>
    <w:rsid w:val="000A2ABB"/>
    <w:rsid w:val="000A2C61"/>
    <w:rsid w:val="000A6A92"/>
    <w:rsid w:val="000A7116"/>
    <w:rsid w:val="000B047F"/>
    <w:rsid w:val="000B0523"/>
    <w:rsid w:val="000B07DE"/>
    <w:rsid w:val="000B5923"/>
    <w:rsid w:val="000B5A48"/>
    <w:rsid w:val="000B6FF3"/>
    <w:rsid w:val="000C3467"/>
    <w:rsid w:val="000C3CA6"/>
    <w:rsid w:val="000C75E6"/>
    <w:rsid w:val="000D1267"/>
    <w:rsid w:val="000D1CA0"/>
    <w:rsid w:val="000D1D50"/>
    <w:rsid w:val="000D5782"/>
    <w:rsid w:val="000E4786"/>
    <w:rsid w:val="000E61EC"/>
    <w:rsid w:val="000E6613"/>
    <w:rsid w:val="000E7119"/>
    <w:rsid w:val="001010AB"/>
    <w:rsid w:val="001118BA"/>
    <w:rsid w:val="001132C0"/>
    <w:rsid w:val="00114E9B"/>
    <w:rsid w:val="00116F09"/>
    <w:rsid w:val="00127121"/>
    <w:rsid w:val="00137D31"/>
    <w:rsid w:val="00142216"/>
    <w:rsid w:val="00144D6A"/>
    <w:rsid w:val="001466D9"/>
    <w:rsid w:val="0014729F"/>
    <w:rsid w:val="00147864"/>
    <w:rsid w:val="00154D15"/>
    <w:rsid w:val="0015602A"/>
    <w:rsid w:val="00157BAB"/>
    <w:rsid w:val="001654D1"/>
    <w:rsid w:val="001744F6"/>
    <w:rsid w:val="00174518"/>
    <w:rsid w:val="00175466"/>
    <w:rsid w:val="0017575C"/>
    <w:rsid w:val="0018106D"/>
    <w:rsid w:val="0018600D"/>
    <w:rsid w:val="001869A7"/>
    <w:rsid w:val="001877A7"/>
    <w:rsid w:val="00191536"/>
    <w:rsid w:val="001915BE"/>
    <w:rsid w:val="00191E20"/>
    <w:rsid w:val="00196687"/>
    <w:rsid w:val="00196B63"/>
    <w:rsid w:val="001A19D1"/>
    <w:rsid w:val="001A7421"/>
    <w:rsid w:val="001A75A4"/>
    <w:rsid w:val="001B19DB"/>
    <w:rsid w:val="001C0962"/>
    <w:rsid w:val="001C0E3B"/>
    <w:rsid w:val="001C5913"/>
    <w:rsid w:val="001C649C"/>
    <w:rsid w:val="001D0A22"/>
    <w:rsid w:val="001D7531"/>
    <w:rsid w:val="001E737D"/>
    <w:rsid w:val="001F0592"/>
    <w:rsid w:val="001F23AE"/>
    <w:rsid w:val="001F3ED1"/>
    <w:rsid w:val="001F5A81"/>
    <w:rsid w:val="001F6B6B"/>
    <w:rsid w:val="001F7506"/>
    <w:rsid w:val="002006CD"/>
    <w:rsid w:val="0020234C"/>
    <w:rsid w:val="002028B3"/>
    <w:rsid w:val="00202B36"/>
    <w:rsid w:val="00204B7A"/>
    <w:rsid w:val="00204CDE"/>
    <w:rsid w:val="00205E1C"/>
    <w:rsid w:val="00206740"/>
    <w:rsid w:val="0021101A"/>
    <w:rsid w:val="00220536"/>
    <w:rsid w:val="00220A19"/>
    <w:rsid w:val="00235629"/>
    <w:rsid w:val="00235C89"/>
    <w:rsid w:val="00244233"/>
    <w:rsid w:val="002548FB"/>
    <w:rsid w:val="0025499E"/>
    <w:rsid w:val="00260C38"/>
    <w:rsid w:val="002616C0"/>
    <w:rsid w:val="00262084"/>
    <w:rsid w:val="00263372"/>
    <w:rsid w:val="00265372"/>
    <w:rsid w:val="002662AA"/>
    <w:rsid w:val="00272835"/>
    <w:rsid w:val="0027649D"/>
    <w:rsid w:val="00280496"/>
    <w:rsid w:val="002834BC"/>
    <w:rsid w:val="00294DC9"/>
    <w:rsid w:val="00295495"/>
    <w:rsid w:val="00295562"/>
    <w:rsid w:val="002A1616"/>
    <w:rsid w:val="002A31DE"/>
    <w:rsid w:val="002A6AF4"/>
    <w:rsid w:val="002B2613"/>
    <w:rsid w:val="002C1943"/>
    <w:rsid w:val="002C2F19"/>
    <w:rsid w:val="002C664E"/>
    <w:rsid w:val="002D12A1"/>
    <w:rsid w:val="002D13D2"/>
    <w:rsid w:val="002D412D"/>
    <w:rsid w:val="002D6D05"/>
    <w:rsid w:val="002D758D"/>
    <w:rsid w:val="002E71D0"/>
    <w:rsid w:val="002F1818"/>
    <w:rsid w:val="002F567B"/>
    <w:rsid w:val="0030419A"/>
    <w:rsid w:val="00316C1D"/>
    <w:rsid w:val="003216A9"/>
    <w:rsid w:val="0032692B"/>
    <w:rsid w:val="00330482"/>
    <w:rsid w:val="003346F1"/>
    <w:rsid w:val="00335A74"/>
    <w:rsid w:val="003372AC"/>
    <w:rsid w:val="003437F8"/>
    <w:rsid w:val="00347396"/>
    <w:rsid w:val="0034743F"/>
    <w:rsid w:val="0036561B"/>
    <w:rsid w:val="0037013F"/>
    <w:rsid w:val="00374B44"/>
    <w:rsid w:val="00380C92"/>
    <w:rsid w:val="00381B33"/>
    <w:rsid w:val="00381DF8"/>
    <w:rsid w:val="00382919"/>
    <w:rsid w:val="00383CB1"/>
    <w:rsid w:val="00387828"/>
    <w:rsid w:val="00387857"/>
    <w:rsid w:val="003910B4"/>
    <w:rsid w:val="003975E1"/>
    <w:rsid w:val="003A484F"/>
    <w:rsid w:val="003A4883"/>
    <w:rsid w:val="003B0BE0"/>
    <w:rsid w:val="003B0C1B"/>
    <w:rsid w:val="003B2276"/>
    <w:rsid w:val="003B62FB"/>
    <w:rsid w:val="003B688C"/>
    <w:rsid w:val="003C0291"/>
    <w:rsid w:val="003C0ACE"/>
    <w:rsid w:val="003C39AE"/>
    <w:rsid w:val="003C45E0"/>
    <w:rsid w:val="003C7B60"/>
    <w:rsid w:val="003D0C0F"/>
    <w:rsid w:val="003D1FB2"/>
    <w:rsid w:val="003D4492"/>
    <w:rsid w:val="003D66DA"/>
    <w:rsid w:val="003E0A8F"/>
    <w:rsid w:val="003E1310"/>
    <w:rsid w:val="003E16D6"/>
    <w:rsid w:val="003E2CE4"/>
    <w:rsid w:val="003E6120"/>
    <w:rsid w:val="003E6F55"/>
    <w:rsid w:val="003F5196"/>
    <w:rsid w:val="003F6B96"/>
    <w:rsid w:val="003F6E61"/>
    <w:rsid w:val="004035E1"/>
    <w:rsid w:val="00406254"/>
    <w:rsid w:val="004069BE"/>
    <w:rsid w:val="004200E7"/>
    <w:rsid w:val="004206EE"/>
    <w:rsid w:val="004223DE"/>
    <w:rsid w:val="00425172"/>
    <w:rsid w:val="00427E31"/>
    <w:rsid w:val="00432706"/>
    <w:rsid w:val="00434451"/>
    <w:rsid w:val="00434489"/>
    <w:rsid w:val="00437085"/>
    <w:rsid w:val="00443880"/>
    <w:rsid w:val="00445427"/>
    <w:rsid w:val="004464F4"/>
    <w:rsid w:val="00454B30"/>
    <w:rsid w:val="00465948"/>
    <w:rsid w:val="00471401"/>
    <w:rsid w:val="00473215"/>
    <w:rsid w:val="004733B5"/>
    <w:rsid w:val="00473F31"/>
    <w:rsid w:val="004743BD"/>
    <w:rsid w:val="004761B4"/>
    <w:rsid w:val="00476280"/>
    <w:rsid w:val="0048263A"/>
    <w:rsid w:val="0048422C"/>
    <w:rsid w:val="00487E5D"/>
    <w:rsid w:val="00490FE7"/>
    <w:rsid w:val="004A56F5"/>
    <w:rsid w:val="004A5DD1"/>
    <w:rsid w:val="004A711F"/>
    <w:rsid w:val="004A7EF3"/>
    <w:rsid w:val="004B00E1"/>
    <w:rsid w:val="004B199D"/>
    <w:rsid w:val="004B2239"/>
    <w:rsid w:val="004B3957"/>
    <w:rsid w:val="004B4690"/>
    <w:rsid w:val="004C00BA"/>
    <w:rsid w:val="004C0C2A"/>
    <w:rsid w:val="004E0A2D"/>
    <w:rsid w:val="004E206B"/>
    <w:rsid w:val="004E6DF7"/>
    <w:rsid w:val="004E7B13"/>
    <w:rsid w:val="004F0FBD"/>
    <w:rsid w:val="004F234E"/>
    <w:rsid w:val="004F7A84"/>
    <w:rsid w:val="005007F0"/>
    <w:rsid w:val="00501FBC"/>
    <w:rsid w:val="0050263C"/>
    <w:rsid w:val="00502A2A"/>
    <w:rsid w:val="00505A47"/>
    <w:rsid w:val="00512997"/>
    <w:rsid w:val="00512FDA"/>
    <w:rsid w:val="00520DA0"/>
    <w:rsid w:val="00526797"/>
    <w:rsid w:val="00535FAE"/>
    <w:rsid w:val="00536FB0"/>
    <w:rsid w:val="00546486"/>
    <w:rsid w:val="005514DF"/>
    <w:rsid w:val="00554D70"/>
    <w:rsid w:val="00556D8C"/>
    <w:rsid w:val="005636CD"/>
    <w:rsid w:val="005637F9"/>
    <w:rsid w:val="005641AD"/>
    <w:rsid w:val="005664BB"/>
    <w:rsid w:val="00566FFA"/>
    <w:rsid w:val="00571252"/>
    <w:rsid w:val="00571F09"/>
    <w:rsid w:val="00571F0C"/>
    <w:rsid w:val="0057481D"/>
    <w:rsid w:val="005808A4"/>
    <w:rsid w:val="00583C81"/>
    <w:rsid w:val="0058486E"/>
    <w:rsid w:val="00585B33"/>
    <w:rsid w:val="0059014D"/>
    <w:rsid w:val="005964FC"/>
    <w:rsid w:val="005A2630"/>
    <w:rsid w:val="005A4502"/>
    <w:rsid w:val="005B5451"/>
    <w:rsid w:val="005B5C64"/>
    <w:rsid w:val="005C20FF"/>
    <w:rsid w:val="005C4BF4"/>
    <w:rsid w:val="005C5337"/>
    <w:rsid w:val="005C6BD0"/>
    <w:rsid w:val="005D0324"/>
    <w:rsid w:val="005D0B40"/>
    <w:rsid w:val="005D1C8B"/>
    <w:rsid w:val="005D468D"/>
    <w:rsid w:val="005D5CED"/>
    <w:rsid w:val="005E3A01"/>
    <w:rsid w:val="005E45C1"/>
    <w:rsid w:val="005F1A4C"/>
    <w:rsid w:val="005F467C"/>
    <w:rsid w:val="00602286"/>
    <w:rsid w:val="00605688"/>
    <w:rsid w:val="006070AF"/>
    <w:rsid w:val="00607E6C"/>
    <w:rsid w:val="006101B1"/>
    <w:rsid w:val="006117BB"/>
    <w:rsid w:val="00614E44"/>
    <w:rsid w:val="0062173B"/>
    <w:rsid w:val="006221C3"/>
    <w:rsid w:val="0062270A"/>
    <w:rsid w:val="00622830"/>
    <w:rsid w:val="00623DA0"/>
    <w:rsid w:val="00630AEF"/>
    <w:rsid w:val="006325F8"/>
    <w:rsid w:val="00633463"/>
    <w:rsid w:val="00634C9A"/>
    <w:rsid w:val="00636959"/>
    <w:rsid w:val="006440E4"/>
    <w:rsid w:val="006445CC"/>
    <w:rsid w:val="00652B42"/>
    <w:rsid w:val="00656348"/>
    <w:rsid w:val="0066343B"/>
    <w:rsid w:val="00663C53"/>
    <w:rsid w:val="00664777"/>
    <w:rsid w:val="006668E4"/>
    <w:rsid w:val="006713AF"/>
    <w:rsid w:val="00671E94"/>
    <w:rsid w:val="006731A0"/>
    <w:rsid w:val="006748A4"/>
    <w:rsid w:val="00675449"/>
    <w:rsid w:val="00675740"/>
    <w:rsid w:val="00676414"/>
    <w:rsid w:val="0067693B"/>
    <w:rsid w:val="00681A31"/>
    <w:rsid w:val="00683E73"/>
    <w:rsid w:val="00685145"/>
    <w:rsid w:val="0068763B"/>
    <w:rsid w:val="00690DE0"/>
    <w:rsid w:val="00694465"/>
    <w:rsid w:val="00695517"/>
    <w:rsid w:val="006A3141"/>
    <w:rsid w:val="006A4A3F"/>
    <w:rsid w:val="006A5E34"/>
    <w:rsid w:val="006A72A4"/>
    <w:rsid w:val="006B05E8"/>
    <w:rsid w:val="006B2422"/>
    <w:rsid w:val="006B2B9A"/>
    <w:rsid w:val="006B3523"/>
    <w:rsid w:val="006B4BDB"/>
    <w:rsid w:val="006C00F6"/>
    <w:rsid w:val="006C1937"/>
    <w:rsid w:val="006C3CFC"/>
    <w:rsid w:val="006C57DF"/>
    <w:rsid w:val="006C5E77"/>
    <w:rsid w:val="006C6640"/>
    <w:rsid w:val="006D17F5"/>
    <w:rsid w:val="006E32CF"/>
    <w:rsid w:val="006E3C91"/>
    <w:rsid w:val="006E3E2C"/>
    <w:rsid w:val="006F020C"/>
    <w:rsid w:val="006F2674"/>
    <w:rsid w:val="00711FD0"/>
    <w:rsid w:val="007127B7"/>
    <w:rsid w:val="0071798E"/>
    <w:rsid w:val="00727ED9"/>
    <w:rsid w:val="00737FB6"/>
    <w:rsid w:val="007416B6"/>
    <w:rsid w:val="0074539D"/>
    <w:rsid w:val="00746F48"/>
    <w:rsid w:val="007514A4"/>
    <w:rsid w:val="00752B38"/>
    <w:rsid w:val="0075404D"/>
    <w:rsid w:val="00760651"/>
    <w:rsid w:val="0076182A"/>
    <w:rsid w:val="0076313F"/>
    <w:rsid w:val="00765897"/>
    <w:rsid w:val="00766BA8"/>
    <w:rsid w:val="00767B7E"/>
    <w:rsid w:val="007770C3"/>
    <w:rsid w:val="0077777C"/>
    <w:rsid w:val="00784D24"/>
    <w:rsid w:val="00785FBA"/>
    <w:rsid w:val="00786E4A"/>
    <w:rsid w:val="007875EB"/>
    <w:rsid w:val="007910C2"/>
    <w:rsid w:val="0079426B"/>
    <w:rsid w:val="00797346"/>
    <w:rsid w:val="007A191D"/>
    <w:rsid w:val="007A3F60"/>
    <w:rsid w:val="007A43C0"/>
    <w:rsid w:val="007C3C04"/>
    <w:rsid w:val="007D00C5"/>
    <w:rsid w:val="007D0A0D"/>
    <w:rsid w:val="007D1682"/>
    <w:rsid w:val="007D312A"/>
    <w:rsid w:val="007D3F19"/>
    <w:rsid w:val="007D53EE"/>
    <w:rsid w:val="007E23B0"/>
    <w:rsid w:val="007E23E5"/>
    <w:rsid w:val="007E5787"/>
    <w:rsid w:val="007F1991"/>
    <w:rsid w:val="007F2C2F"/>
    <w:rsid w:val="007F3D13"/>
    <w:rsid w:val="007F4DD6"/>
    <w:rsid w:val="007F55FC"/>
    <w:rsid w:val="007F5665"/>
    <w:rsid w:val="007F61C8"/>
    <w:rsid w:val="00800112"/>
    <w:rsid w:val="00803DF6"/>
    <w:rsid w:val="008069A1"/>
    <w:rsid w:val="00813348"/>
    <w:rsid w:val="00813BFC"/>
    <w:rsid w:val="0081406F"/>
    <w:rsid w:val="00814134"/>
    <w:rsid w:val="00820DF4"/>
    <w:rsid w:val="00821D8C"/>
    <w:rsid w:val="008253BB"/>
    <w:rsid w:val="00827721"/>
    <w:rsid w:val="0083058A"/>
    <w:rsid w:val="00830DBF"/>
    <w:rsid w:val="00832E5F"/>
    <w:rsid w:val="00834B67"/>
    <w:rsid w:val="008363FD"/>
    <w:rsid w:val="0083706E"/>
    <w:rsid w:val="008408F6"/>
    <w:rsid w:val="008423A5"/>
    <w:rsid w:val="0084506B"/>
    <w:rsid w:val="0084653B"/>
    <w:rsid w:val="00850625"/>
    <w:rsid w:val="00853718"/>
    <w:rsid w:val="00854E63"/>
    <w:rsid w:val="00855221"/>
    <w:rsid w:val="00857396"/>
    <w:rsid w:val="00860645"/>
    <w:rsid w:val="008637CF"/>
    <w:rsid w:val="00871F71"/>
    <w:rsid w:val="00872FD8"/>
    <w:rsid w:val="00885AF4"/>
    <w:rsid w:val="00887623"/>
    <w:rsid w:val="008939CD"/>
    <w:rsid w:val="00894BE8"/>
    <w:rsid w:val="00895832"/>
    <w:rsid w:val="008A7DE4"/>
    <w:rsid w:val="008B0EFD"/>
    <w:rsid w:val="008B3A6A"/>
    <w:rsid w:val="008B768C"/>
    <w:rsid w:val="008B7F32"/>
    <w:rsid w:val="008C10E1"/>
    <w:rsid w:val="008C437D"/>
    <w:rsid w:val="008C4DB1"/>
    <w:rsid w:val="008C4EAF"/>
    <w:rsid w:val="008C5176"/>
    <w:rsid w:val="008C607F"/>
    <w:rsid w:val="008C7FD0"/>
    <w:rsid w:val="008D26C9"/>
    <w:rsid w:val="008D3D04"/>
    <w:rsid w:val="008D4587"/>
    <w:rsid w:val="008D6998"/>
    <w:rsid w:val="008D6FF4"/>
    <w:rsid w:val="008E1031"/>
    <w:rsid w:val="008E1DE7"/>
    <w:rsid w:val="008E59A5"/>
    <w:rsid w:val="008E707C"/>
    <w:rsid w:val="008F11DE"/>
    <w:rsid w:val="008F7F84"/>
    <w:rsid w:val="009001DB"/>
    <w:rsid w:val="00900B08"/>
    <w:rsid w:val="009014DC"/>
    <w:rsid w:val="00902155"/>
    <w:rsid w:val="00902FA3"/>
    <w:rsid w:val="009052C5"/>
    <w:rsid w:val="00911924"/>
    <w:rsid w:val="00912CC9"/>
    <w:rsid w:val="00913F98"/>
    <w:rsid w:val="00917239"/>
    <w:rsid w:val="0092088F"/>
    <w:rsid w:val="00922C3A"/>
    <w:rsid w:val="00923564"/>
    <w:rsid w:val="0092392E"/>
    <w:rsid w:val="009243C4"/>
    <w:rsid w:val="00930BD9"/>
    <w:rsid w:val="009315F9"/>
    <w:rsid w:val="00933499"/>
    <w:rsid w:val="009341A9"/>
    <w:rsid w:val="00935C98"/>
    <w:rsid w:val="00940A52"/>
    <w:rsid w:val="00943BFB"/>
    <w:rsid w:val="00945BF5"/>
    <w:rsid w:val="00946945"/>
    <w:rsid w:val="00951151"/>
    <w:rsid w:val="00951248"/>
    <w:rsid w:val="0095152F"/>
    <w:rsid w:val="00954C49"/>
    <w:rsid w:val="00955E37"/>
    <w:rsid w:val="009660A3"/>
    <w:rsid w:val="00967A17"/>
    <w:rsid w:val="0097099F"/>
    <w:rsid w:val="00971997"/>
    <w:rsid w:val="00971FFC"/>
    <w:rsid w:val="009761A4"/>
    <w:rsid w:val="0098660A"/>
    <w:rsid w:val="009877AD"/>
    <w:rsid w:val="009931C3"/>
    <w:rsid w:val="00993A5E"/>
    <w:rsid w:val="009975A0"/>
    <w:rsid w:val="009A7CFF"/>
    <w:rsid w:val="009B2C43"/>
    <w:rsid w:val="009B4157"/>
    <w:rsid w:val="009B47F6"/>
    <w:rsid w:val="009B4EAE"/>
    <w:rsid w:val="009B685E"/>
    <w:rsid w:val="009B74AB"/>
    <w:rsid w:val="009B7573"/>
    <w:rsid w:val="009B7DD0"/>
    <w:rsid w:val="009C22F4"/>
    <w:rsid w:val="009C2A4B"/>
    <w:rsid w:val="009C2E98"/>
    <w:rsid w:val="009C78E9"/>
    <w:rsid w:val="009D2E1A"/>
    <w:rsid w:val="009D3447"/>
    <w:rsid w:val="009D4711"/>
    <w:rsid w:val="009E2DDC"/>
    <w:rsid w:val="009E4A6D"/>
    <w:rsid w:val="009F1185"/>
    <w:rsid w:val="009F18CD"/>
    <w:rsid w:val="009F2A13"/>
    <w:rsid w:val="009F2D52"/>
    <w:rsid w:val="009F348D"/>
    <w:rsid w:val="009F470B"/>
    <w:rsid w:val="009F7527"/>
    <w:rsid w:val="00A04EB0"/>
    <w:rsid w:val="00A13CC1"/>
    <w:rsid w:val="00A16847"/>
    <w:rsid w:val="00A237D8"/>
    <w:rsid w:val="00A268C4"/>
    <w:rsid w:val="00A27CAB"/>
    <w:rsid w:val="00A307CD"/>
    <w:rsid w:val="00A331C8"/>
    <w:rsid w:val="00A33914"/>
    <w:rsid w:val="00A340E5"/>
    <w:rsid w:val="00A40A00"/>
    <w:rsid w:val="00A4142F"/>
    <w:rsid w:val="00A422EB"/>
    <w:rsid w:val="00A45BB7"/>
    <w:rsid w:val="00A45C92"/>
    <w:rsid w:val="00A54A53"/>
    <w:rsid w:val="00A54FE0"/>
    <w:rsid w:val="00A56DF2"/>
    <w:rsid w:val="00A56E6E"/>
    <w:rsid w:val="00A63555"/>
    <w:rsid w:val="00A6593D"/>
    <w:rsid w:val="00A66FEF"/>
    <w:rsid w:val="00A67AB5"/>
    <w:rsid w:val="00A733B2"/>
    <w:rsid w:val="00A741C2"/>
    <w:rsid w:val="00A74A93"/>
    <w:rsid w:val="00A76A68"/>
    <w:rsid w:val="00A83D5A"/>
    <w:rsid w:val="00A84741"/>
    <w:rsid w:val="00A84894"/>
    <w:rsid w:val="00A90FD0"/>
    <w:rsid w:val="00A915FC"/>
    <w:rsid w:val="00A91760"/>
    <w:rsid w:val="00A93B00"/>
    <w:rsid w:val="00A93C21"/>
    <w:rsid w:val="00A9711B"/>
    <w:rsid w:val="00A979BA"/>
    <w:rsid w:val="00AA0EF4"/>
    <w:rsid w:val="00AA2F5B"/>
    <w:rsid w:val="00AA315C"/>
    <w:rsid w:val="00AB035F"/>
    <w:rsid w:val="00AB40E5"/>
    <w:rsid w:val="00AB64C9"/>
    <w:rsid w:val="00AC0449"/>
    <w:rsid w:val="00AC3C52"/>
    <w:rsid w:val="00AC3C6A"/>
    <w:rsid w:val="00AC431F"/>
    <w:rsid w:val="00AD5620"/>
    <w:rsid w:val="00AD656B"/>
    <w:rsid w:val="00AD7C1B"/>
    <w:rsid w:val="00AE16BA"/>
    <w:rsid w:val="00AE1EBE"/>
    <w:rsid w:val="00AE3948"/>
    <w:rsid w:val="00AE4747"/>
    <w:rsid w:val="00AE7237"/>
    <w:rsid w:val="00AF109C"/>
    <w:rsid w:val="00AF7DB0"/>
    <w:rsid w:val="00B03C9D"/>
    <w:rsid w:val="00B05BC8"/>
    <w:rsid w:val="00B060AE"/>
    <w:rsid w:val="00B06754"/>
    <w:rsid w:val="00B074ED"/>
    <w:rsid w:val="00B10517"/>
    <w:rsid w:val="00B1363B"/>
    <w:rsid w:val="00B14E76"/>
    <w:rsid w:val="00B151A1"/>
    <w:rsid w:val="00B15320"/>
    <w:rsid w:val="00B161B8"/>
    <w:rsid w:val="00B2048C"/>
    <w:rsid w:val="00B206C7"/>
    <w:rsid w:val="00B310B9"/>
    <w:rsid w:val="00B32EB0"/>
    <w:rsid w:val="00B34E43"/>
    <w:rsid w:val="00B35F3F"/>
    <w:rsid w:val="00B36CBB"/>
    <w:rsid w:val="00B425E0"/>
    <w:rsid w:val="00B440AA"/>
    <w:rsid w:val="00B44B70"/>
    <w:rsid w:val="00B45ED9"/>
    <w:rsid w:val="00B5235C"/>
    <w:rsid w:val="00B53C56"/>
    <w:rsid w:val="00B564F6"/>
    <w:rsid w:val="00B566E2"/>
    <w:rsid w:val="00B57DAF"/>
    <w:rsid w:val="00B6265D"/>
    <w:rsid w:val="00B66E81"/>
    <w:rsid w:val="00B77EA6"/>
    <w:rsid w:val="00B813E3"/>
    <w:rsid w:val="00B81598"/>
    <w:rsid w:val="00B841F1"/>
    <w:rsid w:val="00B87BDA"/>
    <w:rsid w:val="00B944D6"/>
    <w:rsid w:val="00BA2E8D"/>
    <w:rsid w:val="00BB21F2"/>
    <w:rsid w:val="00BB2AE5"/>
    <w:rsid w:val="00BB4DF0"/>
    <w:rsid w:val="00BB5060"/>
    <w:rsid w:val="00BC289F"/>
    <w:rsid w:val="00BC2D50"/>
    <w:rsid w:val="00BC5361"/>
    <w:rsid w:val="00BC5460"/>
    <w:rsid w:val="00BC6B50"/>
    <w:rsid w:val="00BD08A9"/>
    <w:rsid w:val="00BD0E25"/>
    <w:rsid w:val="00BD2C07"/>
    <w:rsid w:val="00BD3D54"/>
    <w:rsid w:val="00BD5CF2"/>
    <w:rsid w:val="00BD6162"/>
    <w:rsid w:val="00BD65CE"/>
    <w:rsid w:val="00BE2D7C"/>
    <w:rsid w:val="00BF5BD6"/>
    <w:rsid w:val="00C00541"/>
    <w:rsid w:val="00C02802"/>
    <w:rsid w:val="00C02B17"/>
    <w:rsid w:val="00C03E31"/>
    <w:rsid w:val="00C14BD8"/>
    <w:rsid w:val="00C1703E"/>
    <w:rsid w:val="00C31EBB"/>
    <w:rsid w:val="00C32290"/>
    <w:rsid w:val="00C33E72"/>
    <w:rsid w:val="00C34B38"/>
    <w:rsid w:val="00C354B2"/>
    <w:rsid w:val="00C35554"/>
    <w:rsid w:val="00C408DC"/>
    <w:rsid w:val="00C42709"/>
    <w:rsid w:val="00C508A7"/>
    <w:rsid w:val="00C517F3"/>
    <w:rsid w:val="00C533CC"/>
    <w:rsid w:val="00C566B6"/>
    <w:rsid w:val="00C5721A"/>
    <w:rsid w:val="00C5751C"/>
    <w:rsid w:val="00C61BFC"/>
    <w:rsid w:val="00C62B85"/>
    <w:rsid w:val="00C64FFF"/>
    <w:rsid w:val="00C65438"/>
    <w:rsid w:val="00C70E43"/>
    <w:rsid w:val="00C74691"/>
    <w:rsid w:val="00C870D7"/>
    <w:rsid w:val="00C87FD8"/>
    <w:rsid w:val="00C91381"/>
    <w:rsid w:val="00C91CBB"/>
    <w:rsid w:val="00C96903"/>
    <w:rsid w:val="00C97902"/>
    <w:rsid w:val="00CA186A"/>
    <w:rsid w:val="00CA77F5"/>
    <w:rsid w:val="00CB4E70"/>
    <w:rsid w:val="00CB7A58"/>
    <w:rsid w:val="00CB7F4A"/>
    <w:rsid w:val="00CC09B6"/>
    <w:rsid w:val="00CC4284"/>
    <w:rsid w:val="00CC4BB3"/>
    <w:rsid w:val="00CC666F"/>
    <w:rsid w:val="00CD1E3F"/>
    <w:rsid w:val="00CD2D46"/>
    <w:rsid w:val="00CD3E5C"/>
    <w:rsid w:val="00CE402B"/>
    <w:rsid w:val="00CE44F6"/>
    <w:rsid w:val="00CE49DA"/>
    <w:rsid w:val="00CE7B61"/>
    <w:rsid w:val="00D00095"/>
    <w:rsid w:val="00D10371"/>
    <w:rsid w:val="00D114F0"/>
    <w:rsid w:val="00D11713"/>
    <w:rsid w:val="00D20620"/>
    <w:rsid w:val="00D22C5B"/>
    <w:rsid w:val="00D254F7"/>
    <w:rsid w:val="00D26091"/>
    <w:rsid w:val="00D2685C"/>
    <w:rsid w:val="00D30A90"/>
    <w:rsid w:val="00D30E1E"/>
    <w:rsid w:val="00D333B3"/>
    <w:rsid w:val="00D34E7C"/>
    <w:rsid w:val="00D35489"/>
    <w:rsid w:val="00D36AFE"/>
    <w:rsid w:val="00D40805"/>
    <w:rsid w:val="00D41EB8"/>
    <w:rsid w:val="00D4296C"/>
    <w:rsid w:val="00D46D01"/>
    <w:rsid w:val="00D4743C"/>
    <w:rsid w:val="00D50A72"/>
    <w:rsid w:val="00D51276"/>
    <w:rsid w:val="00D539FA"/>
    <w:rsid w:val="00D66B97"/>
    <w:rsid w:val="00D7035F"/>
    <w:rsid w:val="00D73596"/>
    <w:rsid w:val="00D73EE5"/>
    <w:rsid w:val="00D73FEF"/>
    <w:rsid w:val="00D76259"/>
    <w:rsid w:val="00D92707"/>
    <w:rsid w:val="00DA42DF"/>
    <w:rsid w:val="00DA634F"/>
    <w:rsid w:val="00DA65AC"/>
    <w:rsid w:val="00DB1913"/>
    <w:rsid w:val="00DB63ED"/>
    <w:rsid w:val="00DB64E5"/>
    <w:rsid w:val="00DB6CEB"/>
    <w:rsid w:val="00DC06F9"/>
    <w:rsid w:val="00DC1D9B"/>
    <w:rsid w:val="00DC410D"/>
    <w:rsid w:val="00DC5A81"/>
    <w:rsid w:val="00DC68CA"/>
    <w:rsid w:val="00DC7CBA"/>
    <w:rsid w:val="00DD2210"/>
    <w:rsid w:val="00DD73B7"/>
    <w:rsid w:val="00DE0DEB"/>
    <w:rsid w:val="00DE7BF1"/>
    <w:rsid w:val="00DF28BC"/>
    <w:rsid w:val="00DF34B9"/>
    <w:rsid w:val="00DF4C41"/>
    <w:rsid w:val="00E01053"/>
    <w:rsid w:val="00E019DA"/>
    <w:rsid w:val="00E03F74"/>
    <w:rsid w:val="00E07ACF"/>
    <w:rsid w:val="00E205AD"/>
    <w:rsid w:val="00E27E89"/>
    <w:rsid w:val="00E318D0"/>
    <w:rsid w:val="00E331A1"/>
    <w:rsid w:val="00E33202"/>
    <w:rsid w:val="00E336A9"/>
    <w:rsid w:val="00E3586F"/>
    <w:rsid w:val="00E41BEA"/>
    <w:rsid w:val="00E448DC"/>
    <w:rsid w:val="00E472B1"/>
    <w:rsid w:val="00E50624"/>
    <w:rsid w:val="00E568DF"/>
    <w:rsid w:val="00E61FC2"/>
    <w:rsid w:val="00E64269"/>
    <w:rsid w:val="00E82267"/>
    <w:rsid w:val="00E853CE"/>
    <w:rsid w:val="00E867B6"/>
    <w:rsid w:val="00E938BA"/>
    <w:rsid w:val="00E9677A"/>
    <w:rsid w:val="00EA010F"/>
    <w:rsid w:val="00EB50C7"/>
    <w:rsid w:val="00ED02B9"/>
    <w:rsid w:val="00ED050B"/>
    <w:rsid w:val="00ED1B63"/>
    <w:rsid w:val="00ED1D75"/>
    <w:rsid w:val="00ED3C1F"/>
    <w:rsid w:val="00ED4085"/>
    <w:rsid w:val="00ED420E"/>
    <w:rsid w:val="00ED6FBE"/>
    <w:rsid w:val="00EE2F57"/>
    <w:rsid w:val="00EE54FA"/>
    <w:rsid w:val="00EF0712"/>
    <w:rsid w:val="00EF0D44"/>
    <w:rsid w:val="00EF4C34"/>
    <w:rsid w:val="00EF77C6"/>
    <w:rsid w:val="00F05438"/>
    <w:rsid w:val="00F067F8"/>
    <w:rsid w:val="00F10565"/>
    <w:rsid w:val="00F124F7"/>
    <w:rsid w:val="00F1361C"/>
    <w:rsid w:val="00F1516E"/>
    <w:rsid w:val="00F156F0"/>
    <w:rsid w:val="00F160C7"/>
    <w:rsid w:val="00F22862"/>
    <w:rsid w:val="00F2408F"/>
    <w:rsid w:val="00F240E9"/>
    <w:rsid w:val="00F2426F"/>
    <w:rsid w:val="00F26D47"/>
    <w:rsid w:val="00F30D0A"/>
    <w:rsid w:val="00F36D8F"/>
    <w:rsid w:val="00F417B1"/>
    <w:rsid w:val="00F45853"/>
    <w:rsid w:val="00F47120"/>
    <w:rsid w:val="00F5021D"/>
    <w:rsid w:val="00F51C33"/>
    <w:rsid w:val="00F52248"/>
    <w:rsid w:val="00F54FE1"/>
    <w:rsid w:val="00F577A1"/>
    <w:rsid w:val="00F602DF"/>
    <w:rsid w:val="00F67A22"/>
    <w:rsid w:val="00F7300A"/>
    <w:rsid w:val="00F754A1"/>
    <w:rsid w:val="00F76261"/>
    <w:rsid w:val="00F76C6B"/>
    <w:rsid w:val="00F772CC"/>
    <w:rsid w:val="00F81C04"/>
    <w:rsid w:val="00F81FD9"/>
    <w:rsid w:val="00F83D6D"/>
    <w:rsid w:val="00F841AA"/>
    <w:rsid w:val="00F84A94"/>
    <w:rsid w:val="00F87E96"/>
    <w:rsid w:val="00FA23E8"/>
    <w:rsid w:val="00FB09DA"/>
    <w:rsid w:val="00FC191D"/>
    <w:rsid w:val="00FC31C9"/>
    <w:rsid w:val="00FC3DE7"/>
    <w:rsid w:val="00FC5C3B"/>
    <w:rsid w:val="00FD0E4B"/>
    <w:rsid w:val="00FD3CC1"/>
    <w:rsid w:val="00FE3C58"/>
    <w:rsid w:val="00FF1E02"/>
    <w:rsid w:val="00FF1E27"/>
    <w:rsid w:val="00FF30B4"/>
    <w:rsid w:val="00FF3782"/>
    <w:rsid w:val="00FF53D8"/>
    <w:rsid w:val="0A2032A3"/>
    <w:rsid w:val="0B8A37D8"/>
    <w:rsid w:val="10C055FF"/>
    <w:rsid w:val="118107EC"/>
    <w:rsid w:val="11DD6519"/>
    <w:rsid w:val="14724C03"/>
    <w:rsid w:val="16BB723D"/>
    <w:rsid w:val="18015F3F"/>
    <w:rsid w:val="1BE8440E"/>
    <w:rsid w:val="1D155CEE"/>
    <w:rsid w:val="20F57F95"/>
    <w:rsid w:val="240371BF"/>
    <w:rsid w:val="25C741E6"/>
    <w:rsid w:val="27842671"/>
    <w:rsid w:val="29FD04D3"/>
    <w:rsid w:val="2ABE7A3E"/>
    <w:rsid w:val="2EFA178C"/>
    <w:rsid w:val="30B46D73"/>
    <w:rsid w:val="319F7F4E"/>
    <w:rsid w:val="38FA165F"/>
    <w:rsid w:val="39AE70AB"/>
    <w:rsid w:val="3C0C0783"/>
    <w:rsid w:val="3F9F3A96"/>
    <w:rsid w:val="44EF4D15"/>
    <w:rsid w:val="493C27E9"/>
    <w:rsid w:val="496F39ED"/>
    <w:rsid w:val="49FF41D3"/>
    <w:rsid w:val="4BE068DB"/>
    <w:rsid w:val="4BF6002B"/>
    <w:rsid w:val="4C7C7F92"/>
    <w:rsid w:val="4ECE2238"/>
    <w:rsid w:val="51DB4B86"/>
    <w:rsid w:val="55333C3E"/>
    <w:rsid w:val="64CA39A1"/>
    <w:rsid w:val="6C4A05C8"/>
    <w:rsid w:val="72734D90"/>
    <w:rsid w:val="72CE68F5"/>
    <w:rsid w:val="79E7B28D"/>
    <w:rsid w:val="7B84282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10"/>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p0"/>
    <w:basedOn w:val="1"/>
    <w:qFormat/>
    <w:uiPriority w:val="0"/>
    <w:pPr>
      <w:widowControl/>
      <w:spacing w:line="357" w:lineRule="atLeast"/>
    </w:pPr>
    <w:rPr>
      <w:color w:val="000000"/>
      <w:kern w:val="0"/>
      <w:szCs w:val="21"/>
    </w:rPr>
  </w:style>
  <w:style w:type="character" w:customStyle="1" w:styleId="3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收支决算总计变动情况</a:t>
            </a:r>
            <a:endParaRPr lang="zh-CN"/>
          </a:p>
        </c:rich>
      </c:tx>
      <c:layout/>
      <c:overlay val="0"/>
    </c:title>
    <c:autoTitleDeleted val="0"/>
    <c:plotArea>
      <c:layout>
        <c:manualLayout>
          <c:layoutTarget val="inner"/>
          <c:xMode val="edge"/>
          <c:yMode val="edge"/>
          <c:x val="0.0854918765928836"/>
          <c:y val="0.179802669497607"/>
          <c:w val="0.784449572654441"/>
          <c:h val="0.703328947415527"/>
        </c:manualLayout>
      </c:layout>
      <c:barChart>
        <c:barDir val="col"/>
        <c:grouping val="clustered"/>
        <c:varyColors val="0"/>
        <c:ser>
          <c:idx val="1"/>
          <c:order val="0"/>
          <c:tx>
            <c:strRef>
              <c:f>Sheet1!$B$1</c:f>
              <c:strCache>
                <c:ptCount val="1"/>
                <c:pt idx="0">
                  <c:v>收入</c:v>
                </c:pt>
              </c:strCache>
            </c:strRef>
          </c:tx>
          <c:spPr>
            <a:solidFill>
              <a:srgbClr val="4F81BD"/>
            </a:solidFill>
          </c:spPr>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703.449999999998</c:v>
                </c:pt>
                <c:pt idx="1">
                  <c:v>695.6</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Sheet1!$C$2:$C$3</c:f>
              <c:numCache>
                <c:formatCode>General</c:formatCode>
                <c:ptCount val="2"/>
                <c:pt idx="0">
                  <c:v>703.449999999998</c:v>
                </c:pt>
                <c:pt idx="1">
                  <c:v>695.6</c:v>
                </c:pt>
              </c:numCache>
            </c:numRef>
          </c:val>
        </c:ser>
        <c:dLbls>
          <c:showLegendKey val="0"/>
          <c:showVal val="1"/>
          <c:showCatName val="0"/>
          <c:showSerName val="0"/>
          <c:showPercent val="0"/>
          <c:showBubbleSize val="0"/>
        </c:dLbls>
        <c:gapWidth val="150"/>
        <c:axId val="220920448"/>
        <c:axId val="221487488"/>
      </c:barChart>
      <c:catAx>
        <c:axId val="22092044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1487488"/>
        <c:crosses val="autoZero"/>
        <c:auto val="1"/>
        <c:lblAlgn val="ctr"/>
        <c:lblOffset val="100"/>
        <c:noMultiLvlLbl val="0"/>
      </c:catAx>
      <c:valAx>
        <c:axId val="2214874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9204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a:t>
            </a:r>
            <a:endParaRPr lang="zh-CN" altLang="en-US"/>
          </a:p>
        </c:rich>
      </c:tx>
      <c:layout/>
      <c:overlay val="0"/>
    </c:title>
    <c:autoTitleDeleted val="0"/>
    <c:plotArea>
      <c:layout/>
      <c:pieChart>
        <c:varyColors val="1"/>
        <c:ser>
          <c:idx val="0"/>
          <c:order val="0"/>
          <c:tx>
            <c:strRef>
              <c:f>Sheet1!$B$1</c:f>
              <c:strCache>
                <c:ptCount val="1"/>
                <c:pt idx="0">
                  <c:v>收入决算结构图</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695.6</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59767186507978"/>
          <c:y val="0.283868195681823"/>
          <c:w val="0.399925596862163"/>
          <c:h val="0.5496378733972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a:t>
            </a:r>
            <a:endParaRPr lang="zh-CN" altLang="en-US"/>
          </a:p>
        </c:rich>
      </c:tx>
      <c:layout/>
      <c:overlay val="0"/>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578.549999999998</c:v>
                </c:pt>
                <c:pt idx="1">
                  <c:v>117.05</c:v>
                </c:pt>
                <c:pt idx="2">
                  <c:v>0</c:v>
                </c:pt>
                <c:pt idx="3">
                  <c:v>0</c:v>
                </c:pt>
                <c:pt idx="4">
                  <c:v>0</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55524097054063"/>
          <c:y val="0.279713074406884"/>
          <c:w val="0.330020800550891"/>
          <c:h val="0.47529203020262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财政拨款收支决算总计变动情况</a:t>
            </a:r>
            <a:endParaRPr lang="zh-CN"/>
          </a:p>
        </c:rich>
      </c:tx>
      <c:layout/>
      <c:overlay val="0"/>
    </c:title>
    <c:autoTitleDeleted val="0"/>
    <c:plotArea>
      <c:layout>
        <c:manualLayout>
          <c:layoutTarget val="inner"/>
          <c:xMode val="edge"/>
          <c:yMode val="edge"/>
          <c:x val="0.0854918765928836"/>
          <c:y val="0.179802669497607"/>
          <c:w val="0.784449572654441"/>
          <c:h val="0.703328947415527"/>
        </c:manualLayout>
      </c:layout>
      <c:barChart>
        <c:barDir val="col"/>
        <c:grouping val="clustered"/>
        <c:varyColors val="0"/>
        <c:ser>
          <c:idx val="1"/>
          <c:order val="0"/>
          <c:tx>
            <c:strRef>
              <c:f>Sheet1!$B$1</c:f>
              <c:strCache>
                <c:ptCount val="1"/>
                <c:pt idx="0">
                  <c:v>收入</c:v>
                </c:pt>
              </c:strCache>
            </c:strRef>
          </c:tx>
          <c:spPr>
            <a:solidFill>
              <a:srgbClr val="4F81BD"/>
            </a:solidFill>
          </c:spPr>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703.449999999998</c:v>
                </c:pt>
                <c:pt idx="1">
                  <c:v>695.6</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Sheet1!$C$2:$C$3</c:f>
              <c:numCache>
                <c:formatCode>General</c:formatCode>
                <c:ptCount val="2"/>
                <c:pt idx="0">
                  <c:v>703.449999999998</c:v>
                </c:pt>
                <c:pt idx="1">
                  <c:v>695.6</c:v>
                </c:pt>
              </c:numCache>
            </c:numRef>
          </c:val>
        </c:ser>
        <c:dLbls>
          <c:showLegendKey val="0"/>
          <c:showVal val="1"/>
          <c:showCatName val="0"/>
          <c:showSerName val="0"/>
          <c:showPercent val="0"/>
          <c:showBubbleSize val="0"/>
        </c:dLbls>
        <c:gapWidth val="150"/>
        <c:axId val="321128704"/>
        <c:axId val="321134592"/>
      </c:barChart>
      <c:catAx>
        <c:axId val="3211287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1134592"/>
        <c:crosses val="autoZero"/>
        <c:auto val="1"/>
        <c:lblAlgn val="ctr"/>
        <c:lblOffset val="100"/>
        <c:noMultiLvlLbl val="0"/>
      </c:catAx>
      <c:valAx>
        <c:axId val="321134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11287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spc="-100" baseline="0">
                <a:solidFill>
                  <a:schemeClr val="tx1"/>
                </a:solidFill>
                <a:uFillTx/>
              </a:rPr>
              <a:t>一般公共预算财政拨款支出决算变动情况</a:t>
            </a:r>
            <a:endParaRPr lang="zh-CN" altLang="en-US" sz="1800" b="1" i="0" spc="-100" baseline="0">
              <a:solidFill>
                <a:schemeClr val="tx1"/>
              </a:solidFill>
              <a:uFillTx/>
            </a:endParaRPr>
          </a:p>
        </c:rich>
      </c:tx>
      <c:layout>
        <c:manualLayout>
          <c:xMode val="edge"/>
          <c:yMode val="edge"/>
          <c:x val="0.118869743342571"/>
          <c:y val="0.0310045473336089"/>
        </c:manualLayout>
      </c:layout>
      <c:overlay val="0"/>
    </c:title>
    <c:autoTitleDeleted val="0"/>
    <c:plotArea>
      <c:layout/>
      <c:barChart>
        <c:barDir val="col"/>
        <c:grouping val="stacked"/>
        <c:varyColors val="0"/>
        <c:ser>
          <c:idx val="0"/>
          <c:order val="0"/>
          <c:tx>
            <c:strRef>
              <c:f>Sheet1!$B$1</c:f>
              <c:strCache>
                <c:ptCount val="1"/>
                <c:pt idx="0">
                  <c:v>支出</c:v>
                </c:pt>
              </c:strCache>
            </c:strRef>
          </c:tx>
          <c:spPr>
            <a:solidFill>
              <a:schemeClr val="accent3"/>
            </a:solidFill>
          </c:spPr>
          <c:invertIfNegative val="0"/>
          <c:dLbls>
            <c:delete val="1"/>
          </c:dLbls>
          <c:cat>
            <c:strRef>
              <c:f>Sheet1!$A$2:$A$3</c:f>
              <c:strCache>
                <c:ptCount val="2"/>
                <c:pt idx="0">
                  <c:v>2020年</c:v>
                </c:pt>
                <c:pt idx="1">
                  <c:v>2021年</c:v>
                </c:pt>
              </c:strCache>
            </c:strRef>
          </c:cat>
          <c:val>
            <c:numRef>
              <c:f>Sheet1!$B$2:$B$3</c:f>
              <c:numCache>
                <c:formatCode>General</c:formatCode>
                <c:ptCount val="2"/>
                <c:pt idx="0">
                  <c:v>703.449999999999</c:v>
                </c:pt>
                <c:pt idx="1">
                  <c:v>695.6</c:v>
                </c:pt>
              </c:numCache>
            </c:numRef>
          </c:val>
        </c:ser>
        <c:dLbls>
          <c:showLegendKey val="0"/>
          <c:showVal val="0"/>
          <c:showCatName val="0"/>
          <c:showSerName val="0"/>
          <c:showPercent val="0"/>
          <c:showBubbleSize val="0"/>
        </c:dLbls>
        <c:gapWidth val="150"/>
        <c:overlap val="100"/>
        <c:axId val="321142144"/>
        <c:axId val="321148032"/>
      </c:barChart>
      <c:catAx>
        <c:axId val="3211421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1148032"/>
        <c:crosses val="autoZero"/>
        <c:auto val="1"/>
        <c:lblAlgn val="ctr"/>
        <c:lblOffset val="100"/>
        <c:noMultiLvlLbl val="0"/>
      </c:catAx>
      <c:valAx>
        <c:axId val="3211480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11421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a:t>
            </a:r>
            <a:endParaRPr lang="zh-CN" altLang="en-US"/>
          </a:p>
        </c:rich>
      </c:tx>
      <c:layout>
        <c:manualLayout>
          <c:xMode val="edge"/>
          <c:yMode val="edge"/>
          <c:x val="0.180724682470314"/>
          <c:y val="0"/>
        </c:manualLayout>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General</c:formatCode>
                <c:ptCount val="5"/>
                <c:pt idx="0">
                  <c:v>584.359999999997</c:v>
                </c:pt>
                <c:pt idx="1">
                  <c:v>47.03</c:v>
                </c:pt>
                <c:pt idx="2">
                  <c:v>29.19</c:v>
                </c:pt>
                <c:pt idx="3">
                  <c:v>3.6</c:v>
                </c:pt>
                <c:pt idx="4">
                  <c:v>31.42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公务接待费</c:v>
                </c:pt>
                <c:pt idx="1">
                  <c:v>因公出国（境）经费</c:v>
                </c:pt>
                <c:pt idx="2">
                  <c:v>公务用车购置及运行维护费</c:v>
                </c:pt>
              </c:strCache>
            </c:strRef>
          </c:cat>
          <c:val>
            <c:numRef>
              <c:f>Sheet1!$B$2:$B$4</c:f>
              <c:numCache>
                <c:formatCode>General</c:formatCode>
                <c:ptCount val="3"/>
                <c:pt idx="0">
                  <c:v>0.45</c:v>
                </c:pt>
                <c:pt idx="1">
                  <c:v>0</c:v>
                </c:pt>
                <c:pt idx="2">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46012-B9E8-4540-9C0F-85DE3EEF552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2232</Words>
  <Characters>12727</Characters>
  <Lines>106</Lines>
  <Paragraphs>29</Paragraphs>
  <TotalTime>783</TotalTime>
  <ScaleCrop>false</ScaleCrop>
  <LinksUpToDate>false</LinksUpToDate>
  <CharactersWithSpaces>14930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2024-12-27T07:38:18Z</dcterms:modified>
  <dc:title>四川省***</dc:title>
  <cp:revision>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8E74FAA303B3400BB9AE049A72B3EA24</vt:lpwstr>
  </property>
</Properties>
</file>