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方正小标宋简体" w:hAnsi="方正小标宋简体" w:eastAsia="方正小标宋简体" w:cs="方正小标宋简体"/>
          <w:color w:val="000000"/>
          <w:sz w:val="72"/>
          <w:szCs w:val="72"/>
        </w:rPr>
      </w:pPr>
      <w:bookmarkStart w:id="1" w:name="_Toc15377193"/>
      <w:bookmarkStart w:id="2" w:name="_Toc15378441"/>
      <w:bookmarkStart w:id="3" w:name="_Toc15377425"/>
      <w:bookmarkStart w:id="4" w:name="_Toc15396597"/>
      <w:bookmarkStart w:id="5" w:name="_Toc15396475"/>
    </w:p>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ascii="方正小标宋简体" w:hAnsi="宋体" w:eastAsia="方正小标宋简体"/>
          <w:color w:val="000000"/>
          <w:sz w:val="96"/>
          <w:szCs w:val="96"/>
        </w:rPr>
      </w:pPr>
      <w:r>
        <w:rPr>
          <w:rFonts w:hint="eastAsia" w:ascii="方正小标宋简体" w:hAnsi="方正小标宋简体" w:eastAsia="方正小标宋简体" w:cs="方正小标宋简体"/>
          <w:color w:val="000000"/>
          <w:sz w:val="72"/>
          <w:szCs w:val="72"/>
        </w:rPr>
        <w:t>20</w:t>
      </w:r>
      <w:r>
        <w:rPr>
          <w:rFonts w:hint="eastAsia" w:ascii="方正小标宋简体" w:hAnsi="方正小标宋简体" w:eastAsia="方正小标宋简体" w:cs="方正小标宋简体"/>
          <w:color w:val="000000"/>
          <w:sz w:val="72"/>
          <w:szCs w:val="72"/>
          <w:lang w:val="en-US" w:eastAsia="zh-CN"/>
        </w:rPr>
        <w:t>22</w:t>
      </w:r>
      <w:r>
        <w:rPr>
          <w:rFonts w:hint="eastAsia" w:ascii="方正小标宋简体" w:hAnsi="方正小标宋简体" w:eastAsia="方正小标宋简体" w:cs="方正小标宋简体"/>
          <w:color w:val="000000"/>
          <w:sz w:val="72"/>
          <w:szCs w:val="72"/>
        </w:rPr>
        <w:t>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宋体" w:eastAsia="方正小标宋简体"/>
          <w:color w:val="000000"/>
          <w:spacing w:val="0"/>
          <w:sz w:val="72"/>
          <w:szCs w:val="72"/>
        </w:rPr>
      </w:pPr>
      <w:bookmarkStart w:id="6" w:name="_Toc15377194"/>
      <w:bookmarkStart w:id="7" w:name="_Toc15306268"/>
      <w:bookmarkStart w:id="8" w:name="_Toc15396476"/>
      <w:bookmarkStart w:id="9" w:name="_Toc15377426"/>
      <w:bookmarkStart w:id="10" w:name="_Toc15396598"/>
      <w:bookmarkStart w:id="11" w:name="_Toc15378442"/>
      <w:r>
        <w:rPr>
          <w:rFonts w:hint="eastAsia" w:ascii="方正小标宋简体" w:hAnsi="宋体" w:eastAsia="方正小标宋简体"/>
          <w:color w:val="000000"/>
          <w:spacing w:val="0"/>
          <w:sz w:val="72"/>
          <w:szCs w:val="72"/>
        </w:rPr>
        <w:t>通江县诺江镇人民政府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lang w:val="en-US" w:eastAsia="zh-CN"/>
        </w:rPr>
        <w:t>部门</w:t>
      </w:r>
      <w:r>
        <w:rPr>
          <w:rFonts w:hint="eastAsia" w:ascii="方正小标宋简体" w:hAnsi="方正小标宋简体" w:eastAsia="方正小标宋简体" w:cs="方正小标宋简体"/>
          <w:color w:val="000000"/>
          <w:sz w:val="72"/>
          <w:szCs w:val="72"/>
        </w:rPr>
        <w:t>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9"/>
        <w:rPr>
          <w:rFonts w:hint="eastAsia" w:ascii="方正小标宋简体" w:hAnsi="方正小标宋简体" w:eastAsia="方正小标宋简体" w:cs="方正小标宋简体"/>
          <w:color w:val="000000"/>
          <w:sz w:val="56"/>
          <w:szCs w:val="56"/>
        </w:rPr>
      </w:pPr>
    </w:p>
    <w:p>
      <w:pPr>
        <w:keepNext w:val="0"/>
        <w:keepLines w:val="0"/>
        <w:pageBreakBefore w:val="0"/>
        <w:widowControl w:val="0"/>
        <w:kinsoku/>
        <w:wordWrap/>
        <w:overflowPunct/>
        <w:topLinePunct w:val="0"/>
        <w:autoSpaceDE/>
        <w:autoSpaceDN/>
        <w:bidi w:val="0"/>
        <w:adjustRightInd w:val="0"/>
        <w:snapToGrid w:val="0"/>
        <w:spacing w:line="1440" w:lineRule="exact"/>
        <w:jc w:val="center"/>
        <w:textAlignment w:val="auto"/>
        <w:outlineLvl w:val="9"/>
        <w:rPr>
          <w:rFonts w:ascii="方正小标宋简体" w:hAnsi="宋体" w:eastAsia="方正小标宋简体"/>
          <w:color w:val="000000"/>
          <w:sz w:val="72"/>
          <w:szCs w:val="72"/>
        </w:rPr>
      </w:pPr>
      <w:r>
        <w:rPr>
          <w:rFonts w:ascii="方正小标宋简体" w:hAnsi="宋体" w:eastAsia="方正小标宋简体"/>
          <w:color w:val="000000"/>
          <w:sz w:val="36"/>
          <w:szCs w:val="36"/>
        </w:rPr>
        <w:br w:type="page"/>
      </w:r>
      <w:bookmarkStart w:id="12" w:name="_Toc15396599"/>
      <w:bookmarkStart w:id="13" w:name="_Toc15377196"/>
    </w:p>
    <w:bookmarkEnd w:id="12"/>
    <w:bookmarkEnd w:id="13"/>
    <w:sdt>
      <w:sdtPr>
        <w:rPr>
          <w:rFonts w:ascii="宋体" w:hAnsi="宋体" w:eastAsia="宋体" w:cs="Times New Roman"/>
          <w:kern w:val="2"/>
          <w:sz w:val="36"/>
          <w:szCs w:val="44"/>
          <w:lang w:val="en-US" w:eastAsia="zh-CN" w:bidi="ar-SA"/>
        </w:rPr>
        <w:id w:val="147456223"/>
        <w15:color w:val="DBDBDB"/>
        <w:docPartObj>
          <w:docPartGallery w:val="Table of Contents"/>
          <w:docPartUnique/>
        </w:docPartObj>
      </w:sdtPr>
      <w:sdtEndPr>
        <w:rPr>
          <w:rFonts w:ascii="仿宋" w:hAnsi="仿宋" w:eastAsia="仿宋" w:cs="Times New Roman"/>
          <w:b/>
          <w:color w:val="000000"/>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36"/>
              <w:szCs w:val="44"/>
            </w:rPr>
          </w:pPr>
          <w:bookmarkStart w:id="14" w:name="_Toc15377197"/>
          <w:bookmarkStart w:id="15" w:name="_Toc15396600"/>
          <w:r>
            <w:rPr>
              <w:rFonts w:ascii="宋体" w:hAnsi="宋体" w:eastAsia="宋体"/>
              <w:sz w:val="36"/>
              <w:szCs w:val="44"/>
            </w:rPr>
            <w:t>目录</w:t>
          </w:r>
        </w:p>
        <w:p>
          <w:pPr>
            <w:pStyle w:val="2"/>
            <w:jc w:val="center"/>
            <w:rPr>
              <w:rFonts w:hint="default" w:eastAsia="宋体"/>
              <w:lang w:val="en-US" w:eastAsia="zh-CN"/>
            </w:rPr>
          </w:pPr>
          <w:r>
            <w:rPr>
              <w:rFonts w:hint="eastAsia" w:ascii="宋体" w:hAnsi="宋体" w:eastAsia="宋体"/>
              <w:sz w:val="21"/>
              <w:lang w:val="en-US" w:eastAsia="zh-CN"/>
            </w:rPr>
            <w:t>公开时间：2023年8月28日</w:t>
          </w:r>
        </w:p>
        <w:p>
          <w:pPr>
            <w:pStyle w:val="10"/>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360" w:lineRule="exact"/>
            <w:ind w:left="0" w:leftChars="0"/>
            <w:textAlignment w:val="auto"/>
            <w:rPr>
              <w:rFonts w:hint="default" w:ascii="Times New Roman" w:hAnsi="Times New Roman" w:cs="Times New Roman"/>
              <w:sz w:val="21"/>
              <w:szCs w:val="21"/>
            </w:rPr>
          </w:pPr>
          <w:r>
            <w:rPr>
              <w:rFonts w:ascii="仿宋" w:hAnsi="仿宋" w:eastAsia="仿宋"/>
              <w:color w:val="000000"/>
            </w:rPr>
            <w:fldChar w:fldCharType="begin"/>
          </w:r>
          <w:r>
            <w:rPr>
              <w:rFonts w:ascii="仿宋" w:hAnsi="仿宋" w:eastAsia="仿宋"/>
              <w:color w:val="000000"/>
            </w:rPr>
            <w:instrText xml:space="preserve">TOC \o "1-2" \h \u </w:instrText>
          </w:r>
          <w:r>
            <w:rPr>
              <w:rFonts w:ascii="仿宋" w:hAnsi="仿宋" w:eastAsia="仿宋"/>
              <w:color w:val="000000"/>
            </w:rPr>
            <w:fldChar w:fldCharType="separate"/>
          </w: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_Toc7431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bCs w:val="0"/>
              <w:kern w:val="44"/>
              <w:sz w:val="21"/>
              <w:szCs w:val="21"/>
              <w:lang w:val="zh-CN"/>
            </w:rPr>
            <w:t xml:space="preserve">第一部分 </w:t>
          </w:r>
          <w:r>
            <w:rPr>
              <w:rFonts w:hint="default" w:ascii="Times New Roman" w:hAnsi="Times New Roman" w:eastAsia="黑体" w:cs="Times New Roman"/>
              <w:bCs w:val="0"/>
              <w:kern w:val="44"/>
              <w:sz w:val="21"/>
              <w:szCs w:val="21"/>
              <w:lang w:val="zh-CN" w:eastAsia="zh-CN"/>
            </w:rPr>
            <w:t>部门</w:t>
          </w:r>
          <w:r>
            <w:rPr>
              <w:rFonts w:hint="default" w:ascii="Times New Roman" w:hAnsi="Times New Roman" w:eastAsia="黑体" w:cs="Times New Roman"/>
              <w:bCs w:val="0"/>
              <w:kern w:val="44"/>
              <w:sz w:val="21"/>
              <w:szCs w:val="21"/>
              <w:lang w:val="zh-CN"/>
            </w:rPr>
            <w:t>概况</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_Toc7431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_Toc6679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一、</w:t>
          </w:r>
          <w:r>
            <w:rPr>
              <w:rFonts w:hint="default" w:ascii="Times New Roman" w:hAnsi="Times New Roman" w:eastAsia="黑体" w:cs="Times New Roman"/>
              <w:kern w:val="2"/>
              <w:sz w:val="21"/>
              <w:szCs w:val="21"/>
              <w:lang w:val="zh-CN"/>
            </w:rPr>
            <w:t>部门职责</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_Toc6679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_Toc17476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二</w:t>
          </w:r>
          <w:r>
            <w:rPr>
              <w:rFonts w:hint="default" w:ascii="Times New Roman" w:hAnsi="Times New Roman" w:eastAsia="黑体" w:cs="Times New Roman"/>
              <w:kern w:val="2"/>
              <w:sz w:val="21"/>
              <w:szCs w:val="21"/>
              <w:lang w:val="zh-CN" w:eastAsia="zh-CN"/>
            </w:rPr>
            <w:t>、机构设置</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_Toc17476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0"/>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360" w:lineRule="exact"/>
            <w:ind w:left="0" w:leftChars="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_Toc12243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bCs w:val="0"/>
              <w:kern w:val="44"/>
              <w:sz w:val="21"/>
              <w:szCs w:val="21"/>
              <w:lang w:val="zh-CN" w:eastAsia="zh-CN" w:bidi="ar-SA"/>
            </w:rPr>
            <w:t>第二部分 2022年度部门决算情况说明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_Toc12243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_Toc1105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zh-CN" w:eastAsia="zh-CN"/>
            </w:rPr>
            <w:t>一、收入支出决算总体情况说明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_Toc1105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_Toc260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二、</w:t>
          </w:r>
          <w:r>
            <w:rPr>
              <w:rFonts w:hint="default" w:ascii="Times New Roman" w:hAnsi="Times New Roman" w:eastAsia="黑体" w:cs="Times New Roman"/>
              <w:kern w:val="2"/>
              <w:sz w:val="21"/>
              <w:szCs w:val="21"/>
              <w:lang w:val="zh-CN" w:eastAsia="zh-CN"/>
            </w:rPr>
            <w:t>收入决算情况说明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_Toc260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_Toc7511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三、</w:t>
          </w:r>
          <w:r>
            <w:rPr>
              <w:rFonts w:hint="default" w:ascii="Times New Roman" w:hAnsi="Times New Roman" w:eastAsia="黑体" w:cs="Times New Roman"/>
              <w:kern w:val="2"/>
              <w:sz w:val="21"/>
              <w:szCs w:val="21"/>
              <w:lang w:val="zh-CN" w:eastAsia="zh-CN"/>
            </w:rPr>
            <w:t>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_Toc7511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_Toc20039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四、</w:t>
          </w:r>
          <w:r>
            <w:rPr>
              <w:rFonts w:hint="default" w:ascii="Times New Roman" w:hAnsi="Times New Roman" w:eastAsia="黑体" w:cs="Times New Roman"/>
              <w:kern w:val="2"/>
              <w:sz w:val="21"/>
              <w:szCs w:val="21"/>
              <w:lang w:val="zh-CN" w:eastAsia="zh-CN"/>
            </w:rPr>
            <w:t>财政拨款收入支出决算总体情况说明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_Toc20039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_Toc12847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五、</w:t>
          </w:r>
          <w:r>
            <w:rPr>
              <w:rFonts w:hint="default" w:ascii="Times New Roman" w:hAnsi="Times New Roman" w:eastAsia="黑体" w:cs="Times New Roman"/>
              <w:kern w:val="2"/>
              <w:sz w:val="21"/>
              <w:szCs w:val="21"/>
              <w:lang w:val="zh-CN" w:eastAsia="zh-CN"/>
            </w:rPr>
            <w:t>一般公共预算财政拨款支出决算情况说明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_Toc12847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_Toc18682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bCs w:val="0"/>
              <w:kern w:val="2"/>
              <w:sz w:val="21"/>
              <w:szCs w:val="21"/>
              <w:lang w:val="en-US" w:eastAsia="zh-CN"/>
            </w:rPr>
            <w:t>六、</w:t>
          </w:r>
          <w:r>
            <w:rPr>
              <w:rFonts w:hint="default" w:ascii="Times New Roman" w:hAnsi="Times New Roman" w:eastAsia="黑体" w:cs="Times New Roman"/>
              <w:bCs w:val="0"/>
              <w:kern w:val="2"/>
              <w:sz w:val="21"/>
              <w:szCs w:val="21"/>
              <w:lang w:val="zh-CN" w:eastAsia="zh-CN"/>
            </w:rPr>
            <w:t>一般公共预算财政拨款基本支出决算情况说明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_Toc18682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_Toc2307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bCs w:val="0"/>
              <w:kern w:val="2"/>
              <w:sz w:val="21"/>
              <w:szCs w:val="21"/>
              <w:lang w:val="en-US" w:eastAsia="zh-CN"/>
            </w:rPr>
            <w:t>七、</w:t>
          </w:r>
          <w:r>
            <w:rPr>
              <w:rFonts w:hint="default" w:ascii="Times New Roman" w:hAnsi="Times New Roman" w:eastAsia="黑体" w:cs="Times New Roman"/>
              <w:bCs w:val="0"/>
              <w:kern w:val="2"/>
              <w:sz w:val="21"/>
              <w:szCs w:val="21"/>
              <w:lang w:val="zh-CN" w:eastAsia="zh-CN"/>
            </w:rPr>
            <w:t>“三公”经费财政拨款支出决算情况说明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_Toc2307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_Toc6107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八</w:t>
          </w:r>
          <w:r>
            <w:rPr>
              <w:rFonts w:hint="default" w:ascii="Times New Roman" w:hAnsi="Times New Roman" w:eastAsia="黑体" w:cs="Times New Roman"/>
              <w:kern w:val="2"/>
              <w:sz w:val="21"/>
              <w:szCs w:val="21"/>
              <w:lang w:val="zh-CN"/>
            </w:rPr>
            <w:t>、政府性基金预算支出决算情况说明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_Toc6107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14</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_Toc10728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九</w:t>
          </w:r>
          <w:r>
            <w:rPr>
              <w:rFonts w:hint="default" w:ascii="Times New Roman" w:hAnsi="Times New Roman" w:eastAsia="黑体" w:cs="Times New Roman"/>
              <w:kern w:val="2"/>
              <w:sz w:val="21"/>
              <w:szCs w:val="21"/>
              <w:lang w:val="zh-CN"/>
            </w:rPr>
            <w:t>、国有资本经营预算支出决算情况说明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_Toc10728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14</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_Toc30132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kern w:val="2"/>
              <w:sz w:val="21"/>
              <w:szCs w:val="21"/>
              <w:lang w:val="en-US" w:eastAsia="zh-CN"/>
            </w:rPr>
            <w:t>十</w:t>
          </w:r>
          <w:r>
            <w:rPr>
              <w:rFonts w:hint="default" w:ascii="Times New Roman" w:hAnsi="Times New Roman" w:eastAsia="黑体" w:cs="Times New Roman"/>
              <w:kern w:val="2"/>
              <w:sz w:val="21"/>
              <w:szCs w:val="21"/>
              <w:lang w:val="zh-CN"/>
            </w:rPr>
            <w:t>、其他重要事项的情况说明</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_Toc30132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15</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0"/>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360" w:lineRule="exact"/>
            <w:ind w:left="0" w:leftChars="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_Toc4961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bCs w:val="0"/>
              <w:i w:val="0"/>
              <w:iCs w:val="0"/>
              <w:sz w:val="21"/>
              <w:szCs w:val="21"/>
            </w:rPr>
            <w:t>第三部分</w:t>
          </w:r>
          <w:r>
            <w:rPr>
              <w:rFonts w:hint="default" w:ascii="Times New Roman" w:hAnsi="Times New Roman" w:eastAsia="黑体" w:cs="Times New Roman"/>
              <w:bCs w:val="0"/>
              <w:i w:val="0"/>
              <w:iCs w:val="0"/>
              <w:sz w:val="21"/>
              <w:szCs w:val="21"/>
              <w:lang w:val="en-US" w:eastAsia="zh-CN"/>
            </w:rPr>
            <w:t xml:space="preserve"> </w:t>
          </w:r>
          <w:r>
            <w:rPr>
              <w:rFonts w:hint="default" w:ascii="Times New Roman" w:hAnsi="Times New Roman" w:eastAsia="黑体" w:cs="Times New Roman"/>
              <w:bCs w:val="0"/>
              <w:i w:val="0"/>
              <w:iCs w:val="0"/>
              <w:sz w:val="21"/>
              <w:szCs w:val="21"/>
            </w:rPr>
            <w:t>名词解释</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_Toc4961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16</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0"/>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360" w:lineRule="exact"/>
            <w:ind w:left="0" w:leftChars="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_Toc25176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sz w:val="21"/>
              <w:szCs w:val="21"/>
            </w:rPr>
            <w:t>第四部分 附件</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_Toc25176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20</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0"/>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360" w:lineRule="exact"/>
            <w:ind w:left="0" w:leftChars="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_Toc15341 </w:instrText>
          </w:r>
          <w:r>
            <w:rPr>
              <w:rFonts w:hint="default" w:ascii="Times New Roman" w:hAnsi="Times New Roman" w:eastAsia="仿宋" w:cs="Times New Roman"/>
              <w:sz w:val="21"/>
              <w:szCs w:val="21"/>
            </w:rPr>
            <w:fldChar w:fldCharType="separate"/>
          </w:r>
          <w:r>
            <w:rPr>
              <w:rFonts w:hint="default" w:ascii="Times New Roman" w:hAnsi="Times New Roman" w:eastAsia="黑体" w:cs="Times New Roman"/>
              <w:sz w:val="21"/>
              <w:szCs w:val="21"/>
            </w:rPr>
            <w:t xml:space="preserve">第五部分 </w:t>
          </w:r>
          <w:r>
            <w:rPr>
              <w:rFonts w:hint="default" w:ascii="Times New Roman" w:hAnsi="Times New Roman" w:eastAsia="黑体" w:cs="Times New Roman"/>
              <w:sz w:val="21"/>
              <w:szCs w:val="21"/>
              <w:highlight w:val="none"/>
            </w:rPr>
            <w:t>附表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_Toc15341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_Toc24688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一、收入支出决算总表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_Toc24688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_Toc4365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二、收入决算表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_Toc4365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_Toc20217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三、支出决算表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_Toc20217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_Toc26463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四、财政拨款收入支出决算总表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_Toc26463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_Toc9051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五、财政拨款支出决算明细表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_Toc9051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_Toc11468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六、一般公共预算财政拨款支出决算表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_Toc11468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_Toc12669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七、一般公共预算财政拨款支出决算明细表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_Toc12669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_Toc29905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八、一般公共预算财政拨款基本支出决算表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_Toc29905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_Toc22858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九、一般公共预算财政拨款项目支出决算表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_Toc22858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_Toc30833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十、政府性基金预算财政拨款收入支出决算表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_Toc30833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_Toc28027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十一、国有资本经营预算财政拨款收入支出决算表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_Toc28027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_Toc11855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十二、国有资本经营预算财政拨款支出决算表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_Toc11855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360" w:lineRule="exact"/>
            <w:ind w:left="0" w:leftChars="0" w:firstLine="420" w:firstLineChars="200"/>
            <w:textAlignment w:val="auto"/>
          </w:pPr>
          <w:r>
            <w:rPr>
              <w:rFonts w:hint="default" w:ascii="Times New Roman" w:hAnsi="Times New Roman" w:eastAsia="仿宋" w:cs="Times New Roman"/>
              <w:color w:val="000000"/>
              <w:sz w:val="21"/>
              <w:szCs w:val="21"/>
            </w:rPr>
            <w:fldChar w:fldCharType="begin"/>
          </w:r>
          <w:r>
            <w:rPr>
              <w:rFonts w:hint="default" w:ascii="Times New Roman" w:hAnsi="Times New Roman" w:eastAsia="仿宋" w:cs="Times New Roman"/>
              <w:sz w:val="21"/>
              <w:szCs w:val="21"/>
            </w:rPr>
            <w:instrText xml:space="preserve"> HYPERLINK \l _Toc1450 </w:instrText>
          </w:r>
          <w:r>
            <w:rPr>
              <w:rFonts w:hint="default" w:ascii="Times New Roman" w:hAnsi="Times New Roman" w:eastAsia="仿宋" w:cs="Times New Roman"/>
              <w:sz w:val="21"/>
              <w:szCs w:val="21"/>
            </w:rPr>
            <w:fldChar w:fldCharType="separate"/>
          </w:r>
          <w:r>
            <w:rPr>
              <w:rFonts w:hint="default" w:ascii="Times New Roman" w:hAnsi="Times New Roman" w:eastAsia="仿宋" w:cs="Times New Roman"/>
              <w:bCs w:val="0"/>
              <w:kern w:val="2"/>
              <w:sz w:val="21"/>
              <w:szCs w:val="21"/>
              <w:lang w:val="en-US"/>
            </w:rPr>
            <w:t>十三、财政拨款“三公”经费支出决算表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_Toc1450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eastAsia="仿宋" w:cs="Times New Roman"/>
              <w:color w:val="000000"/>
              <w:sz w:val="21"/>
              <w:szCs w:val="21"/>
            </w:rPr>
            <w:fldChar w:fldCharType="end"/>
          </w:r>
        </w:p>
        <w:p>
          <w:pPr>
            <w:pStyle w:val="10"/>
            <w:keepNext/>
            <w:keepLines/>
            <w:autoSpaceDE w:val="0"/>
            <w:autoSpaceDN w:val="0"/>
            <w:adjustRightInd w:val="0"/>
            <w:spacing w:before="340" w:after="330" w:line="576" w:lineRule="exact"/>
            <w:ind w:right="442"/>
            <w:jc w:val="both"/>
            <w:outlineLvl w:val="9"/>
            <w:rPr>
              <w:rFonts w:ascii="仿宋" w:hAnsi="仿宋" w:eastAsia="仿宋"/>
              <w:color w:val="000000"/>
            </w:rPr>
          </w:pPr>
          <w:r>
            <w:rPr>
              <w:rFonts w:ascii="仿宋" w:hAnsi="仿宋" w:eastAsia="仿宋"/>
              <w:color w:val="000000"/>
            </w:rPr>
            <w:fldChar w:fldCharType="end"/>
          </w:r>
        </w:p>
      </w:sdtContent>
    </w:sdt>
    <w:p>
      <w:pPr>
        <w:pStyle w:val="10"/>
        <w:keepNext/>
        <w:keepLines/>
        <w:autoSpaceDE w:val="0"/>
        <w:autoSpaceDN w:val="0"/>
        <w:adjustRightInd w:val="0"/>
        <w:spacing w:before="340" w:after="330" w:line="576" w:lineRule="exact"/>
        <w:ind w:right="442" w:firstLine="880"/>
        <w:jc w:val="center"/>
        <w:outlineLvl w:val="0"/>
        <w:rPr>
          <w:rFonts w:hint="eastAsia" w:ascii="黑体" w:hAnsi="黑体" w:eastAsia="黑体" w:cs="Times New Roman"/>
          <w:b w:val="0"/>
          <w:bCs w:val="0"/>
          <w:color w:val="000000"/>
          <w:kern w:val="44"/>
          <w:sz w:val="44"/>
          <w:szCs w:val="24"/>
          <w:lang w:val="zh-CN"/>
        </w:rPr>
      </w:pPr>
      <w:bookmarkStart w:id="16" w:name="_Toc7045"/>
      <w:bookmarkStart w:id="17" w:name="_Toc7431"/>
      <w:r>
        <w:rPr>
          <w:rFonts w:hint="eastAsia" w:ascii="黑体" w:hAnsi="黑体" w:eastAsia="黑体" w:cs="Times New Roman"/>
          <w:b w:val="0"/>
          <w:bCs w:val="0"/>
          <w:color w:val="000000"/>
          <w:kern w:val="44"/>
          <w:sz w:val="44"/>
          <w:szCs w:val="24"/>
          <w:lang w:val="zh-CN"/>
        </w:rPr>
        <w:t xml:space="preserve">第一部分 </w:t>
      </w:r>
      <w:r>
        <w:rPr>
          <w:rFonts w:hint="eastAsia" w:ascii="黑体" w:hAnsi="黑体" w:eastAsia="黑体" w:cs="Times New Roman"/>
          <w:b w:val="0"/>
          <w:bCs w:val="0"/>
          <w:color w:val="000000"/>
          <w:kern w:val="44"/>
          <w:sz w:val="44"/>
          <w:szCs w:val="24"/>
          <w:lang w:val="zh-CN" w:eastAsia="zh-CN"/>
        </w:rPr>
        <w:t>部门</w:t>
      </w:r>
      <w:r>
        <w:rPr>
          <w:rFonts w:hint="eastAsia" w:ascii="黑体" w:hAnsi="黑体" w:eastAsia="黑体" w:cs="Times New Roman"/>
          <w:b w:val="0"/>
          <w:bCs w:val="0"/>
          <w:color w:val="000000"/>
          <w:kern w:val="44"/>
          <w:sz w:val="44"/>
          <w:szCs w:val="24"/>
          <w:lang w:val="zh-CN"/>
        </w:rPr>
        <w:t>概况</w:t>
      </w:r>
      <w:bookmarkEnd w:id="16"/>
      <w:bookmarkEnd w:id="17"/>
    </w:p>
    <w:bookmarkEnd w:id="14"/>
    <w:bookmarkEnd w:id="15"/>
    <w:p>
      <w:pPr>
        <w:autoSpaceDE/>
        <w:autoSpaceDN/>
        <w:adjustRightInd w:val="0"/>
        <w:spacing w:line="576" w:lineRule="exact"/>
        <w:ind w:firstLine="640"/>
        <w:jc w:val="left"/>
        <w:outlineLvl w:val="1"/>
        <w:rPr>
          <w:rFonts w:hint="eastAsia" w:ascii="黑体" w:hAnsi="黑体" w:eastAsia="黑体" w:cs="Times New Roman"/>
          <w:color w:val="000000"/>
          <w:kern w:val="2"/>
          <w:sz w:val="32"/>
          <w:szCs w:val="24"/>
          <w:lang w:val="zh-CN"/>
        </w:rPr>
      </w:pPr>
      <w:bookmarkStart w:id="18" w:name="_Toc6679"/>
      <w:bookmarkStart w:id="19" w:name="_Toc12585"/>
      <w:bookmarkStart w:id="20" w:name="_Toc15378446"/>
      <w:bookmarkStart w:id="21" w:name="_Toc15377199"/>
      <w:r>
        <w:rPr>
          <w:rFonts w:hint="eastAsia" w:ascii="黑体" w:hAnsi="黑体" w:eastAsia="黑体" w:cs="Times New Roman"/>
          <w:color w:val="000000"/>
          <w:kern w:val="2"/>
          <w:sz w:val="32"/>
          <w:szCs w:val="24"/>
          <w:lang w:val="en-US" w:eastAsia="zh-CN"/>
        </w:rPr>
        <w:t>一、</w:t>
      </w:r>
      <w:r>
        <w:rPr>
          <w:rFonts w:hint="eastAsia" w:ascii="黑体" w:hAnsi="黑体" w:eastAsia="黑体" w:cs="Times New Roman"/>
          <w:color w:val="000000"/>
          <w:kern w:val="2"/>
          <w:sz w:val="32"/>
          <w:szCs w:val="24"/>
          <w:lang w:val="zh-CN"/>
        </w:rPr>
        <w:t>部门职责</w:t>
      </w:r>
      <w:bookmarkEnd w:id="18"/>
      <w:bookmarkEnd w:id="19"/>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执行上级国家行政机关的决定、命令和国家制定的法令、法规，接受同级党委的领导，执行本级人民代表大会的各项决议，并报告执行决议、决定和命令的情况。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制定并落实本行政区域的经济计划和措施，促进产业结构调整及其他经济保持平衡协调发展，抓好招商引资</w:t>
      </w:r>
      <w:r>
        <w:rPr>
          <w:rFonts w:hint="eastAsia" w:ascii="仿宋_GB2312" w:hAnsi="仿宋_GB2312" w:eastAsia="仿宋_GB2312" w:cs="仿宋_GB2312"/>
          <w:kern w:val="0"/>
          <w:sz w:val="32"/>
          <w:szCs w:val="32"/>
          <w:u w:val="none" w:color="FFFFFF"/>
          <w:shd w:val="clear" w:fill="FFFFFF"/>
        </w:rPr>
        <w:t>，</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"http://www.so.com/s?q=%E4%BA%BA%E6%89%8D&amp;ie=utf-8&amp;src=internal_wenda_recommend_textn"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人才</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u w:val="none" w:color="FFFFFF"/>
          <w:shd w:val="clear" w:fill="FFFFFF"/>
          <w:lang w:eastAsia="zh-CN"/>
        </w:rPr>
        <w:t>引进和</w:t>
      </w:r>
      <w:r>
        <w:rPr>
          <w:rFonts w:hint="eastAsia" w:ascii="仿宋_GB2312" w:hAnsi="仿宋_GB2312" w:eastAsia="仿宋_GB2312" w:cs="仿宋_GB2312"/>
          <w:kern w:val="0"/>
          <w:sz w:val="32"/>
          <w:szCs w:val="32"/>
        </w:rPr>
        <w:t>开发，不断培育</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"http://www.so.com/s?q=%E5%B8%82%E5%9C%BA%E4%BD%93%E7%B3%BB&amp;ie=utf-8&amp;src=internal_wenda_recommend_textn"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市场体系</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，组织经济运行，促进经济发展，全面提高人民群众的生活水平和生活质量。</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制定并组织实施村镇建设</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"http://www.so.com/s?q=%E8%A7%84%E5%88%92&amp;ie=utf-8&amp;src=internal_wenda_recommend_textn"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规划</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，部署重点工程建设，地方道路建设及</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"http://www.so.com/s?q=%E5%85%AC%E5%85%B1%E8%AE%BE%E6%96%BD&amp;ie=utf-8&amp;src=internal_wenda_recommend_textn"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公共设施</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"http://www.so.com/s?q=%E6%B0%B4%E5%88%A9%E8%AE%BE%E6%96%BD&amp;ie=utf-8&amp;src=internal_wenda_recommend_textn"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水利设施</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的管理，负责</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"http://www.so.com/s?q=%E5%9C%9F%E5%9C%B0&amp;ie=utf-8&amp;src=internal_wenda_recommend_textn"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土地</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、林木、水等自然资源和</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"http://www.so.com/s?q=%E7%94%9F%E6%80%81%E7%8E%AF%E5%A2%83&amp;ie=utf-8&amp;src=internal_wenda_recommend_textn" \t "https://wenda.so.com/q/_blank"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生态环境</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的保护，做好护林防火工作。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承担国有资产、集体资产管理、监督及增值保值责任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保护公民私人所有合法财产，保障集体经济组织应有的自主权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监督企业和各种经济联合体、个体户认真执行国家的法律、法令和政策，履行经济合同。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开展社会主义民主和</w:t>
      </w:r>
      <w:r>
        <w:rPr>
          <w:rFonts w:hint="eastAsia" w:ascii="仿宋_GB2312" w:hAnsi="仿宋_GB2312" w:eastAsia="仿宋_GB2312" w:cs="仿宋_GB2312"/>
          <w:kern w:val="0"/>
          <w:sz w:val="32"/>
          <w:szCs w:val="32"/>
          <w:u w:val="none" w:color="FFFFFF"/>
          <w:shd w:val="clear" w:fill="FFFFFF"/>
          <w:lang w:eastAsia="zh-CN"/>
        </w:rPr>
        <w:t>法治</w:t>
      </w:r>
      <w:r>
        <w:rPr>
          <w:rFonts w:hint="eastAsia" w:ascii="仿宋_GB2312" w:hAnsi="仿宋_GB2312" w:eastAsia="仿宋_GB2312" w:cs="仿宋_GB2312"/>
          <w:kern w:val="0"/>
          <w:sz w:val="32"/>
          <w:szCs w:val="32"/>
        </w:rPr>
        <w:t>的宣传教育，保障公民的权利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制定社会治安综合治理工作规划并组织实施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加强社区管理工作，依法管理外来流动人口，处理人民来信来访，调解民间纠纷，打击违法犯罪，维护社会稳定。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制定社会各项事业发展计划，发展教育、卫生、科技、民政、广播电视、文化、</w:t>
      </w:r>
      <w:r>
        <w:rPr>
          <w:rFonts w:hint="eastAsia" w:ascii="仿宋_GB2312" w:hAnsi="仿宋_GB2312" w:eastAsia="仿宋_GB2312" w:cs="仿宋_GB2312"/>
          <w:kern w:val="0"/>
          <w:sz w:val="32"/>
          <w:szCs w:val="32"/>
          <w:u w:val="none" w:color="FFFFFF"/>
          <w:shd w:val="clear" w:fill="FFFFFF"/>
          <w:lang w:eastAsia="zh-CN"/>
        </w:rPr>
        <w:t>体育等</w:t>
      </w:r>
      <w:r>
        <w:rPr>
          <w:rFonts w:hint="eastAsia" w:ascii="仿宋_GB2312" w:hAnsi="仿宋_GB2312" w:eastAsia="仿宋_GB2312" w:cs="仿宋_GB2312"/>
          <w:kern w:val="0"/>
          <w:sz w:val="32"/>
          <w:szCs w:val="32"/>
        </w:rPr>
        <w:t>事业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组织实施义务教育和其他各类教育</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加强计划生育工作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推进社会保障、社会福利事业和养老保险工作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做好劳动管理、科普、老龄及宗教、侨务等工作。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7</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加强镇级</w:t>
      </w:r>
      <w:r>
        <w:rPr>
          <w:rFonts w:hint="eastAsia" w:ascii="仿宋_GB2312" w:hAnsi="仿宋_GB2312" w:eastAsia="仿宋_GB2312" w:cs="仿宋_GB2312"/>
          <w:kern w:val="0"/>
          <w:sz w:val="32"/>
          <w:szCs w:val="32"/>
          <w:u w:val="none" w:color="FFFFFF"/>
          <w:shd w:val="clear" w:fill="FFFFFF"/>
          <w:lang w:eastAsia="zh-CN"/>
        </w:rPr>
        <w:t>财政收入</w:t>
      </w:r>
      <w:r>
        <w:rPr>
          <w:rFonts w:hint="eastAsia" w:ascii="仿宋_GB2312" w:hAnsi="仿宋_GB2312" w:eastAsia="仿宋_GB2312" w:cs="仿宋_GB2312"/>
          <w:kern w:val="0"/>
          <w:sz w:val="32"/>
          <w:szCs w:val="32"/>
        </w:rPr>
        <w:t>的监督和管理，按计划组织、管理</w:t>
      </w:r>
      <w:r>
        <w:rPr>
          <w:rFonts w:hint="eastAsia" w:ascii="仿宋_GB2312" w:hAnsi="仿宋_GB2312" w:eastAsia="仿宋_GB2312" w:cs="仿宋_GB2312"/>
          <w:kern w:val="0"/>
          <w:sz w:val="32"/>
          <w:szCs w:val="32"/>
          <w:u w:val="none" w:color="FFFFFF"/>
          <w:shd w:val="clear" w:fill="FFFFFF"/>
          <w:lang w:eastAsia="zh-CN"/>
        </w:rPr>
        <w:t>镇级</w:t>
      </w:r>
      <w:r>
        <w:rPr>
          <w:rFonts w:hint="eastAsia" w:ascii="仿宋_GB2312" w:hAnsi="仿宋_GB2312" w:eastAsia="仿宋_GB2312" w:cs="仿宋_GB2312"/>
          <w:kern w:val="0"/>
          <w:sz w:val="32"/>
          <w:szCs w:val="32"/>
        </w:rPr>
        <w:t>财政收入和支出，执行国家有关财经纪律和政策，保证国家财政收入的完成</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做好统计工作。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指导、支持、帮助村民委员会的组织制度建设和业务建设，促进村民委员会民主自治。 </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协助和支持设置在本行政区域内不隶属于镇的国家机关和企事业单位工作，监督其遵守和执行国家的法律、法规和政策。</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u w:val="none" w:color="FFFFFF"/>
          <w:shd w:val="clear" w:fill="FFFFFF"/>
          <w:lang w:eastAsia="zh-CN"/>
        </w:rPr>
        <w:t>.</w:t>
      </w:r>
      <w:r>
        <w:rPr>
          <w:rFonts w:hint="eastAsia" w:ascii="仿宋_GB2312" w:hAnsi="仿宋_GB2312" w:eastAsia="仿宋_GB2312" w:cs="仿宋_GB2312"/>
          <w:kern w:val="0"/>
          <w:sz w:val="32"/>
          <w:szCs w:val="32"/>
        </w:rPr>
        <w:t>完成县委、县政府交办的其他工作。</w:t>
      </w:r>
    </w:p>
    <w:bookmarkEnd w:id="20"/>
    <w:bookmarkEnd w:id="21"/>
    <w:p>
      <w:pPr>
        <w:autoSpaceDE/>
        <w:autoSpaceDN/>
        <w:adjustRightInd w:val="0"/>
        <w:spacing w:line="576" w:lineRule="exact"/>
        <w:ind w:firstLine="640"/>
        <w:jc w:val="left"/>
        <w:outlineLvl w:val="1"/>
        <w:rPr>
          <w:rFonts w:hint="eastAsia" w:ascii="黑体" w:hAnsi="黑体" w:eastAsia="黑体" w:cs="Times New Roman"/>
          <w:color w:val="000000"/>
          <w:kern w:val="2"/>
          <w:sz w:val="32"/>
          <w:szCs w:val="24"/>
          <w:lang w:val="zh-CN" w:eastAsia="zh-CN"/>
        </w:rPr>
      </w:pPr>
      <w:bookmarkStart w:id="22" w:name="_Toc11203"/>
      <w:bookmarkStart w:id="23" w:name="_Toc17476"/>
      <w:bookmarkStart w:id="24" w:name="_Toc15377200"/>
      <w:bookmarkStart w:id="25" w:name="_Toc15396601"/>
      <w:r>
        <w:rPr>
          <w:rFonts w:hint="eastAsia" w:ascii="黑体" w:hAnsi="黑体" w:eastAsia="黑体" w:cs="Times New Roman"/>
          <w:color w:val="000000"/>
          <w:kern w:val="2"/>
          <w:sz w:val="32"/>
          <w:szCs w:val="24"/>
          <w:lang w:val="en-US" w:eastAsia="zh-CN"/>
        </w:rPr>
        <w:t>二</w:t>
      </w:r>
      <w:r>
        <w:rPr>
          <w:rFonts w:hint="eastAsia" w:ascii="黑体" w:hAnsi="黑体" w:eastAsia="黑体" w:cs="Times New Roman"/>
          <w:color w:val="000000"/>
          <w:kern w:val="2"/>
          <w:sz w:val="32"/>
          <w:szCs w:val="24"/>
          <w:lang w:val="zh-CN" w:eastAsia="zh-CN"/>
        </w:rPr>
        <w:t>、机构设置</w:t>
      </w:r>
      <w:bookmarkEnd w:id="22"/>
      <w:bookmarkEnd w:id="23"/>
      <w:bookmarkEnd w:id="24"/>
      <w:bookmarkEnd w:id="25"/>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诺江镇地处通江县城郊，幅员91平方公里，辖10个行政村，农业人口2.2万余人。全镇所辖10个村民委员会。诺江镇人民政府属一级预算单位，包括诺江镇人民政府（本级）和片区纪工委；诺江镇</w:t>
      </w:r>
      <w:r>
        <w:rPr>
          <w:rFonts w:hint="eastAsia" w:ascii="仿宋_GB2312" w:hAnsi="仿宋_GB2312" w:eastAsia="仿宋_GB2312" w:cs="Times New Roman"/>
          <w:color w:val="auto"/>
          <w:kern w:val="2"/>
          <w:sz w:val="32"/>
          <w:szCs w:val="24"/>
          <w:u w:val="none" w:color="FFFFFF"/>
          <w:shd w:val="clear" w:fill="FFFFFF"/>
          <w:lang w:val="zh-CN" w:eastAsia="zh-CN"/>
        </w:rPr>
        <w:t>人民政府设党政综合</w:t>
      </w:r>
      <w:r>
        <w:rPr>
          <w:rFonts w:hint="eastAsia" w:ascii="仿宋_GB2312" w:hAnsi="仿宋_GB2312" w:eastAsia="仿宋_GB2312" w:cs="Times New Roman"/>
          <w:color w:val="auto"/>
          <w:kern w:val="2"/>
          <w:sz w:val="32"/>
          <w:szCs w:val="24"/>
          <w:lang w:val="zh-CN" w:eastAsia="zh-CN"/>
        </w:rPr>
        <w:t>办公室、社会</w:t>
      </w:r>
      <w:r>
        <w:rPr>
          <w:rFonts w:hint="eastAsia" w:ascii="仿宋_GB2312" w:hAnsi="仿宋_GB2312" w:eastAsia="仿宋_GB2312" w:cs="Times New Roman"/>
          <w:color w:val="auto"/>
          <w:kern w:val="2"/>
          <w:sz w:val="32"/>
          <w:szCs w:val="24"/>
          <w:u w:val="none" w:color="FFFFFF"/>
          <w:shd w:val="clear" w:fill="FFFFFF"/>
          <w:lang w:val="zh-CN" w:eastAsia="zh-CN"/>
        </w:rPr>
        <w:t>事务办公室</w:t>
      </w:r>
      <w:r>
        <w:rPr>
          <w:rFonts w:hint="eastAsia" w:ascii="仿宋_GB2312" w:hAnsi="仿宋_GB2312" w:eastAsia="仿宋_GB2312" w:cs="Times New Roman"/>
          <w:color w:val="auto"/>
          <w:kern w:val="2"/>
          <w:sz w:val="32"/>
          <w:szCs w:val="24"/>
          <w:lang w:val="zh-CN" w:eastAsia="zh-CN"/>
        </w:rPr>
        <w:t>、农业综合服务中心、社会事务服务中心等7个部门和服务岗位。独立核算单位2个，</w:t>
      </w:r>
      <w:r>
        <w:rPr>
          <w:rFonts w:hint="eastAsia" w:ascii="仿宋_GB2312" w:hAnsi="仿宋_GB2312" w:eastAsia="仿宋_GB2312" w:cs="Times New Roman"/>
          <w:color w:val="auto"/>
          <w:kern w:val="2"/>
          <w:sz w:val="32"/>
          <w:szCs w:val="24"/>
          <w:u w:val="none" w:color="FFFFFF"/>
          <w:shd w:val="clear" w:fill="FFFFFF"/>
          <w:lang w:val="zh-CN" w:eastAsia="zh-CN"/>
        </w:rPr>
        <w:t>行政事业单位</w:t>
      </w:r>
      <w:r>
        <w:rPr>
          <w:rFonts w:hint="eastAsia" w:ascii="仿宋_GB2312" w:hAnsi="仿宋_GB2312" w:eastAsia="仿宋_GB2312" w:cs="Times New Roman"/>
          <w:color w:val="auto"/>
          <w:kern w:val="2"/>
          <w:sz w:val="32"/>
          <w:szCs w:val="24"/>
          <w:lang w:val="zh-CN" w:eastAsia="zh-CN"/>
        </w:rPr>
        <w:t>编制111人；行政编制57人，事业编制54人；单位实有职工人数97人，其中：行政实有职工人数51人、事业实有职工人数46人，遗嘱</w:t>
      </w:r>
      <w:r>
        <w:rPr>
          <w:rFonts w:hint="eastAsia" w:ascii="仿宋_GB2312" w:hAnsi="仿宋_GB2312" w:eastAsia="仿宋_GB2312" w:cs="Times New Roman"/>
          <w:color w:val="auto"/>
          <w:kern w:val="2"/>
          <w:sz w:val="32"/>
          <w:szCs w:val="24"/>
          <w:u w:val="none" w:color="FFFFFF"/>
          <w:shd w:val="clear" w:fill="FFFFFF"/>
          <w:lang w:val="zh-CN" w:eastAsia="zh-CN"/>
        </w:rPr>
        <w:t>补助人数</w:t>
      </w:r>
      <w:r>
        <w:rPr>
          <w:rFonts w:hint="eastAsia" w:ascii="仿宋_GB2312" w:hAnsi="仿宋_GB2312" w:eastAsia="仿宋_GB2312" w:cs="Times New Roman"/>
          <w:color w:val="auto"/>
          <w:kern w:val="2"/>
          <w:sz w:val="32"/>
          <w:szCs w:val="24"/>
          <w:lang w:val="zh-CN" w:eastAsia="zh-CN"/>
        </w:rPr>
        <w:t>13人。</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楷体"/>
          <w:bCs/>
          <w:sz w:val="32"/>
          <w:szCs w:val="32"/>
          <w:lang w:val="en-US" w:eastAsia="zh-CN"/>
        </w:rPr>
      </w:pPr>
      <w:r>
        <w:rPr>
          <w:rFonts w:hint="eastAsia" w:ascii="仿宋" w:hAnsi="仿宋" w:eastAsia="仿宋" w:cs="楷体"/>
          <w:bCs/>
          <w:sz w:val="32"/>
          <w:szCs w:val="32"/>
          <w:lang w:val="en-US" w:eastAsia="zh-CN"/>
        </w:rPr>
        <w:t xml:space="preserve">     </w:t>
      </w:r>
      <w:bookmarkStart w:id="26" w:name="_Toc15377205"/>
      <w:bookmarkStart w:id="27" w:name="_Toc15396603"/>
    </w:p>
    <w:p>
      <w:pPr>
        <w:keepNext w:val="0"/>
        <w:keepLines w:val="0"/>
        <w:pageBreakBefore w:val="0"/>
        <w:kinsoku/>
        <w:wordWrap/>
        <w:overflowPunct/>
        <w:topLinePunct w:val="0"/>
        <w:autoSpaceDE/>
        <w:autoSpaceDN/>
        <w:bidi w:val="0"/>
        <w:spacing w:line="576" w:lineRule="exact"/>
        <w:ind w:firstLine="880" w:firstLineChars="200"/>
        <w:textAlignment w:val="auto"/>
        <w:outlineLvl w:val="0"/>
        <w:rPr>
          <w:rFonts w:hint="eastAsia" w:ascii="黑体" w:hAnsi="黑体" w:eastAsia="黑体" w:cs="Times New Roman"/>
          <w:b w:val="0"/>
          <w:bCs w:val="0"/>
          <w:color w:val="000000"/>
          <w:kern w:val="44"/>
          <w:sz w:val="44"/>
          <w:szCs w:val="24"/>
          <w:lang w:val="zh-CN" w:eastAsia="zh-CN" w:bidi="ar-SA"/>
        </w:rPr>
      </w:pPr>
      <w:bookmarkStart w:id="28" w:name="_Toc17935"/>
      <w:bookmarkStart w:id="29" w:name="_Toc12243"/>
      <w:r>
        <w:rPr>
          <w:rFonts w:hint="eastAsia" w:ascii="黑体" w:hAnsi="黑体" w:eastAsia="黑体" w:cs="Times New Roman"/>
          <w:b w:val="0"/>
          <w:bCs w:val="0"/>
          <w:color w:val="000000"/>
          <w:kern w:val="44"/>
          <w:sz w:val="44"/>
          <w:szCs w:val="24"/>
          <w:u w:val="none" w:color="FFFFFF"/>
          <w:shd w:val="clear" w:fill="FFFFFF"/>
          <w:lang w:val="zh-CN" w:eastAsia="zh-CN" w:bidi="ar-SA"/>
        </w:rPr>
        <w:t>第二部分 2022年度部门决算情况说明</w:t>
      </w:r>
      <w:bookmarkEnd w:id="28"/>
      <w:bookmarkEnd w:id="29"/>
    </w:p>
    <w:bookmarkEnd w:id="26"/>
    <w:bookmarkEnd w:id="27"/>
    <w:p>
      <w:pPr>
        <w:autoSpaceDE/>
        <w:autoSpaceDN/>
        <w:adjustRightInd w:val="0"/>
        <w:spacing w:line="576" w:lineRule="exact"/>
        <w:ind w:firstLine="640" w:firstLineChars="200"/>
        <w:jc w:val="left"/>
        <w:outlineLvl w:val="1"/>
        <w:rPr>
          <w:rFonts w:hint="eastAsia" w:ascii="黑体" w:hAnsi="黑体" w:eastAsia="黑体" w:cs="Times New Roman"/>
          <w:color w:val="000000"/>
          <w:kern w:val="2"/>
          <w:sz w:val="32"/>
          <w:szCs w:val="24"/>
          <w:lang w:val="zh-CN" w:eastAsia="zh-CN"/>
        </w:rPr>
      </w:pPr>
      <w:bookmarkStart w:id="30" w:name="_Toc1105"/>
      <w:bookmarkStart w:id="31" w:name="_Toc25294"/>
      <w:r>
        <w:rPr>
          <w:rFonts w:hint="eastAsia" w:ascii="黑体" w:hAnsi="黑体" w:eastAsia="黑体" w:cs="Times New Roman"/>
          <w:color w:val="000000"/>
          <w:kern w:val="2"/>
          <w:sz w:val="32"/>
          <w:szCs w:val="24"/>
          <w:lang w:val="zh-CN" w:eastAsia="zh-CN"/>
        </w:rPr>
        <w:t>一、收入支出决算总体情况说明</w:t>
      </w:r>
      <w:bookmarkEnd w:id="30"/>
      <w:bookmarkEnd w:id="31"/>
    </w:p>
    <w:p>
      <w:pPr>
        <w:keepNext w:val="0"/>
        <w:keepLines w:val="0"/>
        <w:pageBreakBefore w:val="0"/>
        <w:kinsoku/>
        <w:wordWrap/>
        <w:overflowPunct/>
        <w:topLinePunct w:val="0"/>
        <w:autoSpaceDE/>
        <w:autoSpaceDN/>
        <w:bidi w:val="0"/>
        <w:spacing w:line="576" w:lineRule="exact"/>
        <w:ind w:firstLine="560" w:firstLineChars="200"/>
        <w:textAlignment w:val="auto"/>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仿宋_GB2312"/>
          <w:sz w:val="28"/>
          <w:szCs w:val="28"/>
          <w:lang w:val="zh-CN" w:eastAsia="zh-CN"/>
        </w:rPr>
        <w:t xml:space="preserve"> </w:t>
      </w:r>
      <w:r>
        <w:rPr>
          <w:rFonts w:hint="eastAsia" w:ascii="仿宋_GB2312" w:hAnsi="仿宋_GB2312" w:eastAsia="仿宋_GB2312" w:cs="Times New Roman"/>
          <w:color w:val="auto"/>
          <w:kern w:val="2"/>
          <w:sz w:val="32"/>
          <w:szCs w:val="24"/>
          <w:lang w:val="en-US" w:eastAsia="zh-CN"/>
        </w:rPr>
        <w:t>2022年度收入决算总额为3,</w:t>
      </w:r>
      <w:r>
        <w:rPr>
          <w:rFonts w:hint="eastAsia" w:ascii="仿宋_GB2312" w:hAnsi="仿宋_GB2312" w:eastAsia="仿宋_GB2312" w:cs="Times New Roman"/>
          <w:color w:val="auto"/>
          <w:kern w:val="2"/>
          <w:sz w:val="32"/>
          <w:szCs w:val="24"/>
          <w:u w:val="none" w:color="FFFFFF"/>
          <w:shd w:val="clear" w:fill="FFFFFF"/>
          <w:lang w:val="en-US" w:eastAsia="zh-CN"/>
        </w:rPr>
        <w:t>783.40万元</w:t>
      </w:r>
      <w:r>
        <w:rPr>
          <w:rFonts w:hint="eastAsia" w:ascii="仿宋_GB2312" w:hAnsi="仿宋_GB2312" w:eastAsia="仿宋_GB2312" w:cs="Times New Roman"/>
          <w:color w:val="auto"/>
          <w:kern w:val="2"/>
          <w:sz w:val="32"/>
          <w:szCs w:val="24"/>
          <w:lang w:val="en-US" w:eastAsia="zh-CN"/>
        </w:rPr>
        <w:t>。其中：当年财政拨款收入3,</w:t>
      </w:r>
      <w:r>
        <w:rPr>
          <w:rFonts w:hint="eastAsia" w:ascii="仿宋_GB2312" w:hAnsi="仿宋_GB2312" w:eastAsia="仿宋_GB2312" w:cs="Times New Roman"/>
          <w:color w:val="auto"/>
          <w:kern w:val="2"/>
          <w:sz w:val="32"/>
          <w:szCs w:val="24"/>
          <w:u w:val="none" w:color="FFFFFF"/>
          <w:shd w:val="clear" w:fill="FFFFFF"/>
          <w:lang w:val="en-US" w:eastAsia="zh-CN"/>
        </w:rPr>
        <w:t>783.40万元</w:t>
      </w:r>
      <w:r>
        <w:rPr>
          <w:rFonts w:hint="eastAsia" w:ascii="仿宋_GB2312" w:hAnsi="仿宋_GB2312" w:eastAsia="仿宋_GB2312" w:cs="Times New Roman"/>
          <w:color w:val="auto"/>
          <w:kern w:val="2"/>
          <w:sz w:val="32"/>
          <w:szCs w:val="24"/>
          <w:lang w:val="en-US" w:eastAsia="zh-CN"/>
        </w:rPr>
        <w:t>（其中：一般公共预算收入3,773.40万元，政府性基金预算收入10万元）占收入</w:t>
      </w:r>
      <w:r>
        <w:rPr>
          <w:rFonts w:hint="eastAsia" w:ascii="仿宋_GB2312" w:hAnsi="仿宋_GB2312" w:eastAsia="仿宋_GB2312" w:cs="Times New Roman"/>
          <w:color w:val="auto"/>
          <w:kern w:val="2"/>
          <w:sz w:val="32"/>
          <w:szCs w:val="24"/>
          <w:u w:val="thick" w:color="98967F"/>
          <w:shd w:val="clear" w:fill="98967F"/>
          <w:lang w:val="en-US" w:eastAsia="zh-CN"/>
        </w:rPr>
        <w:t>总预算的</w:t>
      </w:r>
      <w:r>
        <w:rPr>
          <w:rFonts w:hint="eastAsia" w:ascii="仿宋_GB2312" w:hAnsi="仿宋_GB2312" w:eastAsia="仿宋_GB2312" w:cs="Times New Roman"/>
          <w:color w:val="auto"/>
          <w:kern w:val="2"/>
          <w:sz w:val="32"/>
          <w:szCs w:val="24"/>
          <w:lang w:val="en-US" w:eastAsia="zh-CN"/>
        </w:rPr>
        <w:t>100%，2022年决算收入完成率100%；2021年收入决算总额为4,869.90万元，比去年减少1086.50万元，减少率28.72%。因为项目预算经费减少。</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auto"/>
          <w:kern w:val="2"/>
          <w:sz w:val="32"/>
          <w:szCs w:val="24"/>
          <w:lang w:val="en-US" w:eastAsia="zh-CN"/>
        </w:rPr>
        <w:t>2022年度支出决算总额为3,</w:t>
      </w:r>
      <w:r>
        <w:rPr>
          <w:rFonts w:hint="eastAsia" w:ascii="仿宋_GB2312" w:hAnsi="仿宋_GB2312" w:eastAsia="仿宋_GB2312" w:cs="Times New Roman"/>
          <w:color w:val="auto"/>
          <w:kern w:val="2"/>
          <w:sz w:val="32"/>
          <w:szCs w:val="24"/>
          <w:u w:val="none" w:color="FFFFFF"/>
          <w:shd w:val="clear" w:fill="FFFFFF"/>
          <w:lang w:val="en-US" w:eastAsia="zh-CN"/>
        </w:rPr>
        <w:t>783.40万元</w:t>
      </w:r>
      <w:r>
        <w:rPr>
          <w:rFonts w:hint="eastAsia" w:ascii="仿宋_GB2312" w:hAnsi="仿宋_GB2312" w:eastAsia="仿宋_GB2312" w:cs="Times New Roman"/>
          <w:color w:val="auto"/>
          <w:kern w:val="2"/>
          <w:sz w:val="32"/>
          <w:szCs w:val="24"/>
          <w:lang w:val="en-US" w:eastAsia="zh-CN"/>
        </w:rPr>
        <w:t>。其中：当年财政拨款支出3,</w:t>
      </w:r>
      <w:r>
        <w:rPr>
          <w:rFonts w:hint="eastAsia" w:ascii="仿宋_GB2312" w:hAnsi="仿宋_GB2312" w:eastAsia="仿宋_GB2312" w:cs="Times New Roman"/>
          <w:color w:val="auto"/>
          <w:kern w:val="2"/>
          <w:sz w:val="32"/>
          <w:szCs w:val="24"/>
          <w:u w:val="none" w:color="FFFFFF"/>
          <w:shd w:val="clear" w:fill="FFFFFF"/>
          <w:lang w:val="en-US" w:eastAsia="zh-CN"/>
        </w:rPr>
        <w:t>783.40万元</w:t>
      </w:r>
      <w:r>
        <w:rPr>
          <w:rFonts w:hint="eastAsia" w:ascii="仿宋_GB2312" w:hAnsi="仿宋_GB2312" w:eastAsia="仿宋_GB2312" w:cs="Times New Roman"/>
          <w:color w:val="auto"/>
          <w:kern w:val="2"/>
          <w:sz w:val="32"/>
          <w:szCs w:val="24"/>
          <w:lang w:val="en-US" w:eastAsia="zh-CN"/>
        </w:rPr>
        <w:t>（其中：一般公共预算支出3,773.40万元，政府性基金预算支出10万元），占100%，2022年决算支出完成预算100%；2021年支出决算总额为4,869.90万元，比去年减少1086.5万元，减少率28.72%。因为项目预算经费减少。</w:t>
      </w:r>
    </w:p>
    <w:tbl>
      <w:tblPr>
        <w:tblStyle w:val="14"/>
        <w:tblW w:w="7480" w:type="dxa"/>
        <w:tblInd w:w="1156"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3290"/>
        <w:gridCol w:w="470"/>
        <w:gridCol w:w="1220"/>
        <w:gridCol w:w="1410"/>
        <w:gridCol w:w="109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504" w:hRule="atLeast"/>
        </w:trPr>
        <w:tc>
          <w:tcPr>
            <w:tcW w:w="7480" w:type="dxa"/>
            <w:gridSpan w:val="5"/>
            <w:tcBorders>
              <w:top w:val="single" w:color="CBCDD1" w:sz="6" w:space="0"/>
              <w:left w:val="single" w:color="CBCDD1" w:sz="6" w:space="0"/>
              <w:bottom w:val="single" w:color="CBCDD1" w:sz="6" w:space="0"/>
              <w:right w:val="single" w:color="CBCDD1" w:sz="6" w:space="0"/>
            </w:tcBorders>
            <w:shd w:val="clear" w:color="auto" w:fill="auto"/>
            <w:tcMar>
              <w:top w:w="15" w:type="dxa"/>
              <w:left w:w="15" w:type="dxa"/>
              <w:bottom w:w="0" w:type="dxa"/>
              <w:right w:w="15" w:type="dxa"/>
            </w:tcMar>
            <w:vAlign w:val="bottom"/>
          </w:tcPr>
          <w:p>
            <w:pPr>
              <w:snapToGrid/>
              <w:spacing w:before="0" w:after="0" w:line="240" w:lineRule="auto"/>
              <w:jc w:val="center"/>
            </w:pPr>
            <w:r>
              <w:rPr>
                <w:rFonts w:ascii="宋体" w:hAnsi="宋体" w:eastAsia="宋体" w:cs="宋体"/>
                <w:b/>
                <w:i w:val="0"/>
                <w:strike w:val="0"/>
                <w:color w:val="000000"/>
                <w:spacing w:val="0"/>
                <w:sz w:val="32"/>
                <w:u w:val="none"/>
              </w:rPr>
              <w:t>诺江镇2022年收入支出决算总表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27" w:hRule="atLeast"/>
        </w:trPr>
        <w:tc>
          <w:tcPr>
            <w:tcW w:w="3290" w:type="dxa"/>
            <w:tcBorders>
              <w:top w:val="single" w:color="CBCDD1" w:sz="6" w:space="0"/>
              <w:left w:val="single" w:color="CBCDD1" w:sz="6" w:space="0"/>
              <w:bottom w:val="single" w:color="auto" w:sz="4" w:space="0"/>
              <w:right w:val="single" w:color="CBCDD1" w:sz="6" w:space="0"/>
            </w:tcBorders>
            <w:shd w:val="clear" w:color="auto" w:fill="auto"/>
            <w:tcMar>
              <w:top w:w="15" w:type="dxa"/>
              <w:left w:w="15" w:type="dxa"/>
              <w:bottom w:w="0" w:type="dxa"/>
              <w:right w:w="15" w:type="dxa"/>
            </w:tcMar>
            <w:vAlign w:val="bottom"/>
          </w:tcPr>
          <w:p>
            <w:pPr>
              <w:snapToGrid/>
              <w:spacing w:before="0" w:after="0" w:line="240" w:lineRule="auto"/>
            </w:pPr>
          </w:p>
        </w:tc>
        <w:tc>
          <w:tcPr>
            <w:tcW w:w="470" w:type="dxa"/>
            <w:tcBorders>
              <w:top w:val="single" w:color="CBCDD1" w:sz="6" w:space="0"/>
              <w:left w:val="single" w:color="CBCDD1" w:sz="6" w:space="0"/>
              <w:bottom w:val="single" w:color="auto" w:sz="4" w:space="0"/>
              <w:right w:val="single" w:color="CBCDD1"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220" w:type="dxa"/>
            <w:tcBorders>
              <w:top w:val="single" w:color="CBCDD1" w:sz="6" w:space="0"/>
              <w:left w:val="single" w:color="CBCDD1" w:sz="6" w:space="0"/>
              <w:bottom w:val="single" w:color="auto" w:sz="4" w:space="0"/>
              <w:right w:val="single" w:color="CBCDD1" w:sz="6" w:space="0"/>
            </w:tcBorders>
            <w:shd w:val="clear" w:color="auto" w:fill="auto"/>
            <w:tcMar>
              <w:top w:w="15" w:type="dxa"/>
              <w:left w:w="15" w:type="dxa"/>
              <w:bottom w:w="0" w:type="dxa"/>
              <w:right w:w="15" w:type="dxa"/>
            </w:tcMar>
            <w:vAlign w:val="bottom"/>
          </w:tcPr>
          <w:p>
            <w:pPr>
              <w:snapToGrid/>
              <w:spacing w:before="0" w:after="0" w:line="240" w:lineRule="auto"/>
              <w:jc w:val="center"/>
            </w:pPr>
          </w:p>
        </w:tc>
        <w:tc>
          <w:tcPr>
            <w:tcW w:w="2500" w:type="dxa"/>
            <w:gridSpan w:val="2"/>
            <w:tcBorders>
              <w:top w:val="single" w:color="CBCDD1" w:sz="6" w:space="0"/>
              <w:left w:val="single" w:color="CBCDD1" w:sz="6" w:space="0"/>
              <w:bottom w:val="single" w:color="auto" w:sz="4" w:space="0"/>
              <w:right w:val="single" w:color="CBCDD1" w:sz="6" w:space="0"/>
            </w:tcBorders>
            <w:shd w:val="clear" w:color="auto" w:fill="auto"/>
            <w:tcMar>
              <w:top w:w="15" w:type="dxa"/>
              <w:left w:w="15" w:type="dxa"/>
              <w:bottom w:w="0" w:type="dxa"/>
              <w:right w:w="15" w:type="dxa"/>
            </w:tcMar>
            <w:vAlign w:val="bottom"/>
          </w:tcPr>
          <w:p>
            <w:pPr>
              <w:snapToGrid/>
              <w:spacing w:before="0" w:after="0" w:line="240" w:lineRule="auto"/>
              <w:jc w:val="center"/>
              <w:rPr>
                <w:rFonts w:ascii="宋体" w:hAnsi="宋体" w:eastAsia="宋体" w:cs="宋体"/>
                <w:b w:val="0"/>
                <w:i w:val="0"/>
                <w:strike w:val="0"/>
                <w:color w:val="000000"/>
                <w:spacing w:val="0"/>
                <w:sz w:val="20"/>
                <w:u w:val="none"/>
              </w:rPr>
            </w:pPr>
            <w:r>
              <w:rPr>
                <w:rFonts w:ascii="宋体" w:hAnsi="宋体" w:eastAsia="宋体" w:cs="宋体"/>
                <w:b w:val="0"/>
                <w:i w:val="0"/>
                <w:strike w:val="0"/>
                <w:color w:val="000000"/>
                <w:spacing w:val="0"/>
                <w:sz w:val="20"/>
                <w:u w:val="none"/>
              </w:rPr>
              <w:t>金额单位：万元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67" w:hRule="atLeast"/>
        </w:trPr>
        <w:tc>
          <w:tcPr>
            <w:tcW w:w="3290" w:type="dxa"/>
            <w:tcBorders>
              <w:top w:val="single" w:color="auto" w:sz="4" w:space="0"/>
              <w:left w:val="single" w:color="000000" w:sz="6" w:space="0"/>
              <w:bottom w:val="single" w:color="auto" w:sz="4"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rFonts w:hint="eastAsia" w:eastAsia="宋体"/>
                <w:u w:val="none" w:color="FFFFFF"/>
                <w:shd w:val="clear" w:fill="FFFFFF"/>
                <w:lang w:eastAsia="zh-CN"/>
              </w:rPr>
            </w:pPr>
            <w:r>
              <w:rPr>
                <w:rFonts w:ascii="宋体" w:hAnsi="宋体" w:eastAsia="宋体" w:cs="宋体"/>
                <w:b w:val="0"/>
                <w:i w:val="0"/>
                <w:strike w:val="0"/>
                <w:color w:val="000000"/>
                <w:spacing w:val="0"/>
                <w:sz w:val="22"/>
                <w:u w:val="none"/>
              </w:rPr>
              <w:t>项目(按</w:t>
            </w:r>
            <w:r>
              <w:rPr>
                <w:rFonts w:hint="eastAsia" w:ascii="宋体" w:hAnsi="宋体" w:cs="宋体"/>
                <w:b w:val="0"/>
                <w:i w:val="0"/>
                <w:strike w:val="0"/>
                <w:color w:val="000000"/>
                <w:spacing w:val="0"/>
                <w:sz w:val="22"/>
                <w:u w:val="none" w:color="FFFFFF"/>
                <w:shd w:val="clear" w:fill="FFFFFF"/>
                <w:lang w:eastAsia="zh-CN"/>
              </w:rPr>
              <w:t>（</w:t>
            </w:r>
            <w:r>
              <w:rPr>
                <w:rFonts w:ascii="宋体" w:hAnsi="宋体" w:eastAsia="宋体" w:cs="宋体"/>
                <w:b w:val="0"/>
                <w:i w:val="0"/>
                <w:strike w:val="0"/>
                <w:color w:val="000000"/>
                <w:spacing w:val="0"/>
                <w:sz w:val="22"/>
                <w:u w:val="none"/>
              </w:rPr>
              <w:t>能分类)</w:t>
            </w:r>
            <w:r>
              <w:rPr>
                <w:rFonts w:hint="eastAsia"/>
                <w:u w:val="none" w:color="FFFFFF"/>
                <w:shd w:val="clear" w:fill="FFFFFF"/>
                <w:lang w:eastAsia="zh-CN"/>
              </w:rPr>
              <w:t>）</w:t>
            </w:r>
          </w:p>
        </w:tc>
        <w:tc>
          <w:tcPr>
            <w:tcW w:w="470" w:type="dxa"/>
            <w:tcBorders>
              <w:top w:val="single" w:color="auto" w:sz="4" w:space="0"/>
              <w:left w:val="single" w:color="000000" w:sz="6" w:space="0"/>
              <w:bottom w:val="single" w:color="auto" w:sz="4"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u w:val="thick" w:color="FFFFFF"/>
                <w:shd w:val="clear" w:fill="FFFFFF"/>
              </w:rPr>
            </w:pPr>
            <w:r>
              <w:rPr>
                <w:rFonts w:ascii="宋体" w:hAnsi="宋体" w:eastAsia="宋体" w:cs="宋体"/>
                <w:b w:val="0"/>
                <w:i w:val="0"/>
                <w:strike w:val="0"/>
                <w:color w:val="000000"/>
                <w:spacing w:val="0"/>
                <w:sz w:val="22"/>
                <w:u w:val="thick" w:color="FFFFFF"/>
                <w:shd w:val="clear" w:fill="FFFFFF"/>
              </w:rPr>
              <w:t>行次</w:t>
            </w:r>
          </w:p>
        </w:tc>
        <w:tc>
          <w:tcPr>
            <w:tcW w:w="1220" w:type="dxa"/>
            <w:tcBorders>
              <w:top w:val="single" w:color="auto" w:sz="4" w:space="0"/>
              <w:left w:val="single" w:color="000000" w:sz="6" w:space="0"/>
              <w:bottom w:val="single" w:color="auto" w:sz="4"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thick" w:color="FFFFFF"/>
                <w:shd w:val="clear" w:fill="FFFFFF"/>
              </w:rPr>
              <w:t>年初预算数</w:t>
            </w:r>
          </w:p>
        </w:tc>
        <w:tc>
          <w:tcPr>
            <w:tcW w:w="1410" w:type="dxa"/>
            <w:tcBorders>
              <w:top w:val="single" w:color="auto" w:sz="4" w:space="0"/>
              <w:left w:val="single" w:color="000000" w:sz="6" w:space="0"/>
              <w:bottom w:val="single" w:color="auto" w:sz="4"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全年预算数</w:t>
            </w:r>
          </w:p>
        </w:tc>
        <w:tc>
          <w:tcPr>
            <w:tcW w:w="1090" w:type="dxa"/>
            <w:tcBorders>
              <w:top w:val="single" w:color="auto" w:sz="4" w:space="0"/>
              <w:left w:val="single" w:color="000000" w:sz="6" w:space="0"/>
              <w:bottom w:val="single" w:color="auto" w:sz="4"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决算数</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栏次</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6</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302"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一、一般公共服务支出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32</w:t>
            </w:r>
          </w:p>
        </w:tc>
        <w:tc>
          <w:tcPr>
            <w:tcW w:w="1220" w:type="dxa"/>
            <w:tcBorders>
              <w:top w:val="single" w:color="CBCDD1"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704.03 </w:t>
            </w:r>
          </w:p>
        </w:tc>
        <w:tc>
          <w:tcPr>
            <w:tcW w:w="1410" w:type="dxa"/>
            <w:tcBorders>
              <w:top w:val="single" w:color="CBCDD1"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1,123.60 </w:t>
            </w:r>
          </w:p>
        </w:tc>
        <w:tc>
          <w:tcPr>
            <w:tcW w:w="1090" w:type="dxa"/>
            <w:tcBorders>
              <w:top w:val="single" w:color="CBCDD1"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1,123.60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二、外交支出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33</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三、国防支出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34</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四、公共安全支出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35</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五、教育支出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36</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六、科学技术支出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37</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rPr>
                <w:u w:val="thick" w:color="FFFFFF"/>
                <w:shd w:val="clear" w:fill="FFFFFF"/>
              </w:rPr>
            </w:pPr>
            <w:r>
              <w:rPr>
                <w:rFonts w:ascii="宋体" w:hAnsi="宋体" w:eastAsia="宋体" w:cs="宋体"/>
                <w:b w:val="0"/>
                <w:i w:val="0"/>
                <w:strike w:val="0"/>
                <w:color w:val="000000"/>
                <w:spacing w:val="0"/>
                <w:sz w:val="22"/>
                <w:u w:val="none"/>
              </w:rPr>
              <w:t>七、文化旅</w:t>
            </w:r>
            <w:r>
              <w:rPr>
                <w:rFonts w:ascii="宋体" w:hAnsi="宋体" w:eastAsia="宋体" w:cs="宋体"/>
                <w:b w:val="0"/>
                <w:i w:val="0"/>
                <w:strike w:val="0"/>
                <w:color w:val="000000"/>
                <w:spacing w:val="0"/>
                <w:sz w:val="22"/>
                <w:u w:val="thick" w:color="FFFFFF"/>
                <w:shd w:val="clear" w:fill="FFFFFF"/>
              </w:rPr>
              <w:t>游体育与传媒支出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u w:val="thick" w:color="FFFFFF"/>
                <w:shd w:val="clear" w:fill="FFFFFF"/>
              </w:rPr>
            </w:pPr>
            <w:r>
              <w:rPr>
                <w:rFonts w:ascii="宋体" w:hAnsi="宋体" w:eastAsia="宋体" w:cs="宋体"/>
                <w:b w:val="0"/>
                <w:i w:val="0"/>
                <w:strike w:val="0"/>
                <w:color w:val="000000"/>
                <w:spacing w:val="0"/>
                <w:sz w:val="22"/>
                <w:u w:val="thick" w:color="FFFFFF"/>
                <w:shd w:val="clear" w:fill="FFFFFF"/>
              </w:rPr>
              <w:t>38</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rPr>
                <w:u w:val="thick" w:color="FFFFFF"/>
                <w:shd w:val="clear" w:fill="FFFFFF"/>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八、社会保障和就业支出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39</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258.93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273.89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273.89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九、卫生健康支出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40</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94.02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110.11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110.11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十、节能环保支出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41</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十一、城乡社区支出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42</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十二、农林水支出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43</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482.35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1,933.17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1,933.17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十三、交通运输支出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44</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十四、资源勘</w:t>
            </w:r>
            <w:r>
              <w:rPr>
                <w:rFonts w:ascii="宋体" w:hAnsi="宋体" w:eastAsia="宋体" w:cs="宋体"/>
                <w:b w:val="0"/>
                <w:i w:val="0"/>
                <w:strike w:val="0"/>
                <w:color w:val="000000"/>
                <w:spacing w:val="0"/>
                <w:sz w:val="22"/>
                <w:u w:val="none" w:color="FFFFFF"/>
                <w:shd w:val="clear" w:fill="FFFFFF"/>
              </w:rPr>
              <w:t>探工</w:t>
            </w:r>
            <w:r>
              <w:rPr>
                <w:rFonts w:ascii="宋体" w:hAnsi="宋体" w:eastAsia="宋体" w:cs="宋体"/>
                <w:b w:val="0"/>
                <w:i w:val="0"/>
                <w:strike w:val="0"/>
                <w:color w:val="000000"/>
                <w:spacing w:val="0"/>
                <w:sz w:val="22"/>
                <w:u w:val="none"/>
              </w:rPr>
              <w:t>业</w:t>
            </w:r>
            <w:r>
              <w:rPr>
                <w:rFonts w:hint="eastAsia" w:ascii="宋体" w:hAnsi="宋体" w:cs="宋体"/>
                <w:b w:val="0"/>
                <w:i w:val="0"/>
                <w:strike w:val="0"/>
                <w:color w:val="000000"/>
                <w:spacing w:val="0"/>
                <w:sz w:val="22"/>
                <w:u w:val="none" w:color="FFFFFF"/>
                <w:shd w:val="clear" w:fill="FFFFFF"/>
                <w:lang w:eastAsia="zh-CN"/>
              </w:rPr>
              <w:t>信息化</w:t>
            </w:r>
            <w:r>
              <w:rPr>
                <w:rFonts w:ascii="宋体" w:hAnsi="宋体" w:eastAsia="宋体" w:cs="宋体"/>
                <w:b w:val="0"/>
                <w:i w:val="0"/>
                <w:strike w:val="0"/>
                <w:color w:val="000000"/>
                <w:spacing w:val="0"/>
                <w:sz w:val="22"/>
                <w:u w:val="none"/>
              </w:rPr>
              <w:t>等支出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45</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rPr>
                <w:u w:val="thick" w:color="FFFFFF"/>
                <w:shd w:val="clear" w:fill="FFFFFF"/>
              </w:rPr>
            </w:pPr>
            <w:r>
              <w:rPr>
                <w:rFonts w:ascii="宋体" w:hAnsi="宋体" w:eastAsia="宋体" w:cs="宋体"/>
                <w:b w:val="0"/>
                <w:i w:val="0"/>
                <w:strike w:val="0"/>
                <w:color w:val="000000"/>
                <w:spacing w:val="0"/>
                <w:sz w:val="22"/>
                <w:u w:val="none"/>
              </w:rPr>
              <w:t>十五、商业</w:t>
            </w:r>
            <w:r>
              <w:rPr>
                <w:rFonts w:ascii="宋体" w:hAnsi="宋体" w:eastAsia="宋体" w:cs="宋体"/>
                <w:b w:val="0"/>
                <w:i w:val="0"/>
                <w:strike w:val="0"/>
                <w:color w:val="000000"/>
                <w:spacing w:val="0"/>
                <w:sz w:val="22"/>
                <w:u w:val="thick" w:color="FFFFFF"/>
                <w:shd w:val="clear" w:fill="FFFFFF"/>
              </w:rPr>
              <w:t>服务业等支出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u w:val="thick" w:color="FFFFFF"/>
                <w:shd w:val="clear" w:fill="FFFFFF"/>
              </w:rPr>
            </w:pPr>
            <w:r>
              <w:rPr>
                <w:rFonts w:ascii="宋体" w:hAnsi="宋体" w:eastAsia="宋体" w:cs="宋体"/>
                <w:b w:val="0"/>
                <w:i w:val="0"/>
                <w:strike w:val="0"/>
                <w:color w:val="000000"/>
                <w:spacing w:val="0"/>
                <w:sz w:val="22"/>
                <w:u w:val="thick" w:color="FFFFFF"/>
                <w:shd w:val="clear" w:fill="FFFFFF"/>
              </w:rPr>
              <w:t>46</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rPr>
                <w:u w:val="thick" w:color="FFFFFF"/>
                <w:shd w:val="clear" w:fill="FFFFFF"/>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十六、金融支出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47</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rPr>
                <w:u w:val="thick" w:color="FFFFFF"/>
                <w:shd w:val="clear" w:fill="FFFFFF"/>
              </w:rPr>
            </w:pPr>
            <w:r>
              <w:rPr>
                <w:rFonts w:ascii="宋体" w:hAnsi="宋体" w:eastAsia="宋体" w:cs="宋体"/>
                <w:b w:val="0"/>
                <w:i w:val="0"/>
                <w:strike w:val="0"/>
                <w:color w:val="000000"/>
                <w:spacing w:val="0"/>
                <w:sz w:val="22"/>
                <w:u w:val="none"/>
              </w:rPr>
              <w:t>十七、援助</w:t>
            </w:r>
            <w:r>
              <w:rPr>
                <w:rFonts w:ascii="宋体" w:hAnsi="宋体" w:eastAsia="宋体" w:cs="宋体"/>
                <w:b w:val="0"/>
                <w:i w:val="0"/>
                <w:strike w:val="0"/>
                <w:color w:val="000000"/>
                <w:spacing w:val="0"/>
                <w:sz w:val="22"/>
                <w:u w:val="thick" w:color="FFFFFF"/>
                <w:shd w:val="clear" w:fill="FFFFFF"/>
              </w:rPr>
              <w:t>其他地区支出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u w:val="thick" w:color="FFFFFF"/>
                <w:shd w:val="clear" w:fill="FFFFFF"/>
              </w:rPr>
            </w:pPr>
            <w:r>
              <w:rPr>
                <w:rFonts w:ascii="宋体" w:hAnsi="宋体" w:eastAsia="宋体" w:cs="宋体"/>
                <w:b w:val="0"/>
                <w:i w:val="0"/>
                <w:strike w:val="0"/>
                <w:color w:val="000000"/>
                <w:spacing w:val="0"/>
                <w:sz w:val="22"/>
                <w:u w:val="thick" w:color="FFFFFF"/>
                <w:shd w:val="clear" w:fill="FFFFFF"/>
              </w:rPr>
              <w:t>48</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rPr>
                <w:u w:val="thick" w:color="FFFFFF"/>
                <w:shd w:val="clear" w:fill="FFFFFF"/>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rPr>
                <w:u w:val="thick" w:color="FFFFFF"/>
                <w:shd w:val="clear" w:fill="FFFFFF"/>
              </w:rPr>
            </w:pPr>
            <w:r>
              <w:rPr>
                <w:rFonts w:ascii="宋体" w:hAnsi="宋体" w:eastAsia="宋体" w:cs="宋体"/>
                <w:b w:val="0"/>
                <w:i w:val="0"/>
                <w:strike w:val="0"/>
                <w:color w:val="000000"/>
                <w:spacing w:val="0"/>
                <w:sz w:val="22"/>
                <w:u w:val="none"/>
              </w:rPr>
              <w:t>十八、自然</w:t>
            </w:r>
            <w:r>
              <w:rPr>
                <w:rFonts w:ascii="宋体" w:hAnsi="宋体" w:eastAsia="宋体" w:cs="宋体"/>
                <w:b w:val="0"/>
                <w:i w:val="0"/>
                <w:strike w:val="0"/>
                <w:color w:val="000000"/>
                <w:spacing w:val="0"/>
                <w:sz w:val="22"/>
                <w:u w:val="thick" w:color="FFFFFF"/>
                <w:shd w:val="clear" w:fill="FFFFFF"/>
              </w:rPr>
              <w:t>资源海洋气象等支出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rPr>
                <w:u w:val="thick" w:color="FFFFFF"/>
                <w:shd w:val="clear" w:fill="FFFFFF"/>
              </w:rPr>
            </w:pPr>
            <w:r>
              <w:rPr>
                <w:rFonts w:ascii="宋体" w:hAnsi="宋体" w:eastAsia="宋体" w:cs="宋体"/>
                <w:b w:val="0"/>
                <w:i w:val="0"/>
                <w:strike w:val="0"/>
                <w:color w:val="000000"/>
                <w:spacing w:val="0"/>
                <w:sz w:val="22"/>
                <w:u w:val="thick" w:color="FFFFFF"/>
                <w:shd w:val="clear" w:fill="FFFFFF"/>
              </w:rPr>
              <w:t>49</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rPr>
                <w:u w:val="thick" w:color="FFFFFF"/>
                <w:shd w:val="clear" w:fill="FFFFFF"/>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十九、住房保障支出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50</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82.53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326.63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326.63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二十、粮油物资储备支出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51</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二十一、国有资本经营预算支出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52</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二十二、灾害防治及应急管理支出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53</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6.00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6.00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二十三、其他支出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54</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10.00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10.00 </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二十四、债务还本支出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55</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二十五、债务付息支出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56</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left"/>
            </w:pPr>
            <w:r>
              <w:rPr>
                <w:rFonts w:ascii="宋体" w:hAnsi="宋体" w:eastAsia="宋体" w:cs="宋体"/>
                <w:b w:val="0"/>
                <w:i w:val="0"/>
                <w:strike w:val="0"/>
                <w:color w:val="000000"/>
                <w:spacing w:val="0"/>
                <w:sz w:val="22"/>
                <w:u w:val="none"/>
              </w:rPr>
              <w:t>二十六、抗疫特别国债安排的支出</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57</w:t>
            </w: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i w:val="0"/>
                <w:strike w:val="0"/>
                <w:color w:val="000000"/>
                <w:spacing w:val="0"/>
                <w:sz w:val="22"/>
                <w:u w:val="none"/>
              </w:rPr>
              <w:t>本年支出合计</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 xml:space="preserve">    结余分配</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val="0"/>
                <w:i w:val="0"/>
                <w:strike w:val="0"/>
                <w:color w:val="000000"/>
                <w:spacing w:val="0"/>
                <w:sz w:val="22"/>
                <w:u w:val="none"/>
              </w:rPr>
              <w:t xml:space="preserve">   年末结转和结余</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Ex>
        <w:trPr>
          <w:trHeight w:val="285" w:hRule="atLeast"/>
        </w:trPr>
        <w:tc>
          <w:tcPr>
            <w:tcW w:w="32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jc w:val="center"/>
            </w:pPr>
            <w:r>
              <w:rPr>
                <w:rFonts w:ascii="宋体" w:hAnsi="宋体" w:eastAsia="宋体" w:cs="宋体"/>
                <w:b/>
                <w:i w:val="0"/>
                <w:strike w:val="0"/>
                <w:color w:val="000000"/>
                <w:spacing w:val="0"/>
                <w:sz w:val="22"/>
                <w:u w:val="none"/>
              </w:rPr>
              <w:t>总计</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snapToGrid/>
              <w:spacing w:before="0" w:after="0" w:line="240" w:lineRule="auto"/>
            </w:pPr>
          </w:p>
        </w:tc>
        <w:tc>
          <w:tcPr>
            <w:tcW w:w="122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1,621.86 </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3,783.40 </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bottom"/>
          </w:tcPr>
          <w:p>
            <w:pPr>
              <w:snapToGrid/>
              <w:spacing w:before="0" w:after="0" w:line="240" w:lineRule="auto"/>
              <w:jc w:val="right"/>
            </w:pPr>
            <w:r>
              <w:rPr>
                <w:rFonts w:ascii="Arial" w:hAnsi="Arial" w:eastAsia="Arial" w:cs="Arial"/>
                <w:b w:val="0"/>
                <w:i w:val="0"/>
                <w:strike w:val="0"/>
                <w:color w:val="000000"/>
                <w:spacing w:val="0"/>
                <w:sz w:val="20"/>
                <w:u w:val="none"/>
              </w:rPr>
              <w:t xml:space="preserve">3,783.40 </w:t>
            </w:r>
          </w:p>
        </w:tc>
      </w:tr>
    </w:tbl>
    <w:p>
      <w:pPr>
        <w:autoSpaceDE/>
        <w:autoSpaceDN/>
        <w:adjustRightInd w:val="0"/>
        <w:spacing w:line="576" w:lineRule="exact"/>
        <w:ind w:firstLine="640" w:firstLineChars="200"/>
        <w:jc w:val="left"/>
        <w:outlineLvl w:val="1"/>
        <w:rPr>
          <w:rFonts w:hint="eastAsia" w:ascii="黑体" w:hAnsi="黑体" w:eastAsia="黑体" w:cs="Times New Roman"/>
          <w:color w:val="000000"/>
          <w:kern w:val="2"/>
          <w:sz w:val="32"/>
          <w:szCs w:val="24"/>
          <w:lang w:val="zh-CN" w:eastAsia="zh-CN"/>
        </w:rPr>
      </w:pPr>
      <w:bookmarkStart w:id="32" w:name="_Toc27610"/>
      <w:bookmarkStart w:id="33" w:name="_Toc260"/>
      <w:r>
        <w:rPr>
          <w:rFonts w:hint="eastAsia" w:ascii="黑体" w:hAnsi="黑体" w:eastAsia="黑体" w:cs="Times New Roman"/>
          <w:color w:val="000000"/>
          <w:kern w:val="2"/>
          <w:sz w:val="32"/>
          <w:szCs w:val="24"/>
          <w:lang w:val="en-US" w:eastAsia="zh-CN"/>
        </w:rPr>
        <w:t>二、</w:t>
      </w:r>
      <w:r>
        <w:rPr>
          <w:rFonts w:hint="eastAsia" w:ascii="黑体" w:hAnsi="黑体" w:eastAsia="黑体" w:cs="Times New Roman"/>
          <w:color w:val="000000"/>
          <w:kern w:val="2"/>
          <w:sz w:val="32"/>
          <w:szCs w:val="24"/>
          <w:u w:val="none" w:color="FFFFFF"/>
          <w:shd w:val="clear" w:fill="FFFFFF"/>
          <w:lang w:val="zh-CN" w:eastAsia="zh-CN"/>
        </w:rPr>
        <w:t>收入</w:t>
      </w:r>
      <w:r>
        <w:rPr>
          <w:rFonts w:hint="eastAsia" w:ascii="黑体" w:hAnsi="黑体" w:eastAsia="黑体" w:cs="Times New Roman"/>
          <w:color w:val="000000"/>
          <w:kern w:val="2"/>
          <w:sz w:val="32"/>
          <w:szCs w:val="24"/>
          <w:lang w:val="zh-CN" w:eastAsia="zh-CN"/>
        </w:rPr>
        <w:t>决算情况说明</w:t>
      </w:r>
      <w:bookmarkEnd w:id="32"/>
      <w:bookmarkEnd w:id="33"/>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color w:val="auto"/>
          <w:kern w:val="2"/>
          <w:sz w:val="32"/>
          <w:szCs w:val="24"/>
          <w:lang w:val="zh-CN" w:eastAsia="zh-CN"/>
        </w:rPr>
        <w:t>2022年</w:t>
      </w:r>
      <w:r>
        <w:rPr>
          <w:rFonts w:hint="eastAsia" w:ascii="仿宋_GB2312" w:hAnsi="仿宋_GB2312" w:eastAsia="仿宋_GB2312" w:cs="Times New Roman"/>
          <w:color w:val="auto"/>
          <w:kern w:val="2"/>
          <w:sz w:val="32"/>
          <w:szCs w:val="24"/>
          <w:lang w:val="en-US" w:eastAsia="zh-CN"/>
        </w:rPr>
        <w:t>度</w:t>
      </w:r>
      <w:r>
        <w:rPr>
          <w:rFonts w:hint="eastAsia" w:ascii="仿宋_GB2312" w:hAnsi="仿宋_GB2312" w:eastAsia="仿宋_GB2312" w:cs="Times New Roman"/>
          <w:color w:val="auto"/>
          <w:kern w:val="2"/>
          <w:sz w:val="32"/>
          <w:szCs w:val="24"/>
          <w:lang w:val="zh-CN" w:eastAsia="zh-CN"/>
        </w:rPr>
        <w:t>收入</w:t>
      </w:r>
      <w:r>
        <w:rPr>
          <w:rFonts w:hint="eastAsia" w:ascii="仿宋_GB2312" w:hAnsi="仿宋_GB2312" w:eastAsia="仿宋_GB2312" w:cs="Times New Roman"/>
          <w:color w:val="auto"/>
          <w:kern w:val="2"/>
          <w:sz w:val="32"/>
          <w:szCs w:val="24"/>
          <w:lang w:val="en-US" w:eastAsia="zh-CN"/>
        </w:rPr>
        <w:t>决算总额</w:t>
      </w:r>
      <w:r>
        <w:rPr>
          <w:rFonts w:hint="eastAsia" w:ascii="仿宋_GB2312" w:hAnsi="仿宋_GB2312" w:eastAsia="仿宋_GB2312" w:cs="Times New Roman"/>
          <w:color w:val="auto"/>
          <w:kern w:val="2"/>
          <w:sz w:val="32"/>
          <w:szCs w:val="24"/>
          <w:lang w:val="zh-CN" w:eastAsia="zh-CN"/>
        </w:rPr>
        <w:t>3,783.4</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万元，其中：一般公共预算财政拨款收入3,773.4</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万元，占99.7</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%；政府性基金预算财政拨款收入10万元，占0.3</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w:t>
      </w:r>
    </w:p>
    <w:p>
      <w:pPr>
        <w:pStyle w:val="2"/>
        <w:rPr>
          <w:rFonts w:hint="eastAsia" w:ascii="黑体" w:hAnsi="黑体" w:eastAsia="黑体"/>
          <w:color w:val="000000"/>
          <w:kern w:val="2"/>
          <w:sz w:val="32"/>
          <w:szCs w:val="24"/>
          <w:lang w:val="en-US" w:eastAsia="zh-CN"/>
        </w:rPr>
      </w:pPr>
      <w:r>
        <w:rPr>
          <w:rFonts w:hint="eastAsia"/>
          <w:lang w:val="en-US" w:eastAsia="zh-CN"/>
        </w:rPr>
        <w:t xml:space="preserve">       </w:t>
      </w:r>
      <w:r>
        <w:drawing>
          <wp:inline distT="0" distB="0" distL="114300" distR="114300">
            <wp:extent cx="4544695" cy="2355215"/>
            <wp:effectExtent l="4445" t="4445" r="22860" b="215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autoSpaceDN/>
        <w:adjustRightInd w:val="0"/>
        <w:spacing w:line="576" w:lineRule="exact"/>
        <w:ind w:firstLine="640"/>
        <w:jc w:val="left"/>
        <w:outlineLvl w:val="1"/>
        <w:rPr>
          <w:rFonts w:hint="eastAsia" w:ascii="黑体" w:hAnsi="黑体" w:eastAsia="黑体" w:cs="Times New Roman"/>
          <w:color w:val="000000"/>
          <w:kern w:val="2"/>
          <w:sz w:val="32"/>
          <w:szCs w:val="24"/>
          <w:lang w:val="zh-CN" w:eastAsia="zh-CN"/>
        </w:rPr>
      </w:pPr>
      <w:bookmarkStart w:id="34" w:name="_Toc7511"/>
      <w:bookmarkStart w:id="35" w:name="_Toc3151"/>
      <w:r>
        <w:rPr>
          <w:rFonts w:hint="eastAsia" w:ascii="黑体" w:hAnsi="黑体" w:eastAsia="黑体" w:cs="Times New Roman"/>
          <w:color w:val="000000"/>
          <w:kern w:val="2"/>
          <w:sz w:val="32"/>
          <w:szCs w:val="24"/>
          <w:lang w:val="en-US" w:eastAsia="zh-CN"/>
        </w:rPr>
        <w:t>三、</w:t>
      </w:r>
      <w:r>
        <w:rPr>
          <w:rFonts w:hint="eastAsia" w:ascii="黑体" w:hAnsi="黑体" w:eastAsia="黑体" w:cs="Times New Roman"/>
          <w:color w:val="000000"/>
          <w:kern w:val="2"/>
          <w:sz w:val="32"/>
          <w:szCs w:val="24"/>
          <w:lang w:val="zh-CN" w:eastAsia="zh-CN"/>
        </w:rPr>
        <w:t>支出决算情况说明</w:t>
      </w:r>
      <w:bookmarkEnd w:id="34"/>
      <w:bookmarkEnd w:id="35"/>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2022年</w:t>
      </w:r>
      <w:r>
        <w:rPr>
          <w:rFonts w:hint="eastAsia" w:ascii="仿宋_GB2312" w:hAnsi="仿宋_GB2312" w:eastAsia="仿宋_GB2312" w:cs="Times New Roman"/>
          <w:color w:val="auto"/>
          <w:kern w:val="2"/>
          <w:sz w:val="32"/>
          <w:szCs w:val="24"/>
          <w:lang w:val="en-US" w:eastAsia="zh-CN"/>
        </w:rPr>
        <w:t>度</w:t>
      </w:r>
      <w:r>
        <w:rPr>
          <w:rFonts w:hint="eastAsia" w:ascii="仿宋_GB2312" w:hAnsi="仿宋_GB2312" w:eastAsia="仿宋_GB2312" w:cs="Times New Roman"/>
          <w:color w:val="auto"/>
          <w:kern w:val="2"/>
          <w:sz w:val="32"/>
          <w:szCs w:val="24"/>
          <w:lang w:val="zh-CN" w:eastAsia="zh-CN"/>
        </w:rPr>
        <w:t>支出</w:t>
      </w:r>
      <w:r>
        <w:rPr>
          <w:rFonts w:hint="eastAsia" w:ascii="仿宋_GB2312" w:hAnsi="仿宋_GB2312" w:eastAsia="仿宋_GB2312" w:cs="Times New Roman"/>
          <w:color w:val="auto"/>
          <w:kern w:val="2"/>
          <w:sz w:val="32"/>
          <w:szCs w:val="24"/>
          <w:lang w:val="en-US" w:eastAsia="zh-CN"/>
        </w:rPr>
        <w:t>决算总额</w:t>
      </w:r>
      <w:r>
        <w:rPr>
          <w:rFonts w:hint="eastAsia" w:ascii="仿宋_GB2312" w:hAnsi="仿宋_GB2312" w:eastAsia="仿宋_GB2312" w:cs="Times New Roman"/>
          <w:color w:val="auto"/>
          <w:kern w:val="2"/>
          <w:sz w:val="32"/>
          <w:szCs w:val="24"/>
          <w:lang w:val="zh-CN" w:eastAsia="zh-CN"/>
        </w:rPr>
        <w:t>3,783.4</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万元，其中：基本支出1,798.66万元，占47.5</w:t>
      </w:r>
      <w:r>
        <w:rPr>
          <w:rFonts w:hint="eastAsia" w:ascii="仿宋_GB2312" w:hAnsi="仿宋_GB2312" w:eastAsia="仿宋_GB2312" w:cs="Times New Roman"/>
          <w:color w:val="auto"/>
          <w:kern w:val="2"/>
          <w:sz w:val="32"/>
          <w:szCs w:val="24"/>
          <w:lang w:val="en-US" w:eastAsia="zh-CN"/>
        </w:rPr>
        <w:t>4</w:t>
      </w:r>
      <w:r>
        <w:rPr>
          <w:rFonts w:hint="eastAsia" w:ascii="仿宋_GB2312" w:hAnsi="仿宋_GB2312" w:eastAsia="仿宋_GB2312" w:cs="Times New Roman"/>
          <w:color w:val="auto"/>
          <w:kern w:val="2"/>
          <w:sz w:val="32"/>
          <w:szCs w:val="24"/>
          <w:lang w:val="zh-CN" w:eastAsia="zh-CN"/>
        </w:rPr>
        <w:t>%；项目支出1,984.74万元，占52.</w:t>
      </w:r>
      <w:r>
        <w:rPr>
          <w:rFonts w:hint="eastAsia" w:ascii="仿宋_GB2312" w:hAnsi="仿宋_GB2312" w:eastAsia="仿宋_GB2312" w:cs="Times New Roman"/>
          <w:color w:val="auto"/>
          <w:kern w:val="2"/>
          <w:sz w:val="32"/>
          <w:szCs w:val="24"/>
          <w:lang w:val="en-US" w:eastAsia="zh-CN"/>
        </w:rPr>
        <w:t>46</w:t>
      </w:r>
      <w:r>
        <w:rPr>
          <w:rFonts w:hint="eastAsia" w:ascii="仿宋_GB2312" w:hAnsi="仿宋_GB2312" w:eastAsia="仿宋_GB2312" w:cs="Times New Roman"/>
          <w:color w:val="auto"/>
          <w:kern w:val="2"/>
          <w:sz w:val="32"/>
          <w:szCs w:val="24"/>
          <w:lang w:val="zh-CN" w:eastAsia="zh-CN"/>
        </w:rPr>
        <w:t>%。</w:t>
      </w:r>
    </w:p>
    <w:p>
      <w:pPr>
        <w:pStyle w:val="2"/>
        <w:rPr>
          <w:rFonts w:hint="eastAsia"/>
          <w:lang w:val="zh-CN" w:eastAsia="zh-CN"/>
        </w:rPr>
      </w:pPr>
    </w:p>
    <w:p>
      <w:pPr>
        <w:jc w:val="left"/>
        <w:rPr>
          <w:rFonts w:hint="eastAsia" w:ascii="仿宋_GB2312" w:hAnsi="仿宋_GB2312" w:eastAsia="仿宋_GB2312" w:cs="仿宋_GB2312"/>
          <w:bCs/>
          <w:sz w:val="32"/>
          <w:szCs w:val="32"/>
        </w:rPr>
      </w:pPr>
      <w:r>
        <w:rPr>
          <w:rFonts w:hint="eastAsia"/>
          <w:sz w:val="24"/>
          <w:szCs w:val="24"/>
          <w:lang w:val="en-US" w:eastAsia="zh-CN"/>
        </w:rPr>
        <w:t xml:space="preserve">         </w:t>
      </w:r>
      <w:r>
        <w:drawing>
          <wp:inline distT="0" distB="0" distL="114300" distR="114300">
            <wp:extent cx="4652645" cy="2306955"/>
            <wp:effectExtent l="4445" t="4445" r="10160" b="12700"/>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utoSpaceDE/>
        <w:autoSpaceDN/>
        <w:adjustRightInd w:val="0"/>
        <w:spacing w:line="576" w:lineRule="exact"/>
        <w:ind w:firstLine="640"/>
        <w:jc w:val="left"/>
        <w:outlineLvl w:val="1"/>
        <w:rPr>
          <w:rFonts w:hint="eastAsia" w:ascii="黑体" w:hAnsi="黑体" w:eastAsia="黑体" w:cs="Times New Roman"/>
          <w:color w:val="000000"/>
          <w:kern w:val="2"/>
          <w:sz w:val="32"/>
          <w:szCs w:val="24"/>
          <w:lang w:val="zh-CN" w:eastAsia="zh-CN"/>
        </w:rPr>
      </w:pPr>
      <w:bookmarkStart w:id="36" w:name="_Toc20039"/>
      <w:bookmarkStart w:id="37" w:name="_Toc11219"/>
      <w:bookmarkStart w:id="38" w:name="_Toc15396608"/>
      <w:bookmarkStart w:id="39" w:name="_Toc15377214"/>
      <w:r>
        <w:rPr>
          <w:rFonts w:hint="eastAsia" w:ascii="黑体" w:hAnsi="黑体" w:eastAsia="黑体" w:cs="Times New Roman"/>
          <w:color w:val="000000"/>
          <w:kern w:val="2"/>
          <w:sz w:val="32"/>
          <w:szCs w:val="24"/>
          <w:lang w:val="en-US" w:eastAsia="zh-CN"/>
        </w:rPr>
        <w:t>四、</w:t>
      </w:r>
      <w:r>
        <w:rPr>
          <w:rFonts w:hint="eastAsia" w:ascii="黑体" w:hAnsi="黑体" w:eastAsia="黑体" w:cs="Times New Roman"/>
          <w:color w:val="000000"/>
          <w:kern w:val="2"/>
          <w:sz w:val="32"/>
          <w:szCs w:val="24"/>
          <w:lang w:val="zh-CN" w:eastAsia="zh-CN"/>
        </w:rPr>
        <w:t>财政拨款收入支出决算总体情况说明</w:t>
      </w:r>
      <w:bookmarkEnd w:id="36"/>
      <w:bookmarkEnd w:id="37"/>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 xml:space="preserve"> </w:t>
      </w:r>
      <w:r>
        <w:rPr>
          <w:rFonts w:hint="eastAsia" w:ascii="仿宋_GB2312" w:hAnsi="仿宋_GB2312" w:eastAsia="仿宋_GB2312" w:cs="Times New Roman"/>
          <w:color w:val="auto"/>
          <w:kern w:val="2"/>
          <w:sz w:val="32"/>
          <w:szCs w:val="24"/>
          <w:lang w:val="en-US" w:eastAsia="zh-CN"/>
        </w:rPr>
        <w:t>2022年度财政拨款收支决算总额3,783.40万元，占本年决算收支的99.70%。与2021年相比，一般公共预算财政拨款减少1,086.50万元，减少28.72%，节约开支及项目减少等。</w:t>
      </w:r>
    </w:p>
    <w:p>
      <w:pPr>
        <w:pStyle w:val="2"/>
        <w:rPr>
          <w:rFonts w:hint="default"/>
          <w:lang w:val="en-US"/>
        </w:rPr>
      </w:pPr>
      <w:r>
        <w:rPr>
          <w:rFonts w:hint="eastAsia"/>
          <w:sz w:val="24"/>
          <w:szCs w:val="24"/>
          <w:lang w:val="en-US" w:eastAsia="zh-CN"/>
        </w:rPr>
        <w:t xml:space="preserve">         </w:t>
      </w:r>
      <w:r>
        <w:drawing>
          <wp:inline distT="0" distB="0" distL="114300" distR="114300">
            <wp:extent cx="4492625" cy="2276475"/>
            <wp:effectExtent l="4445" t="4445" r="17780" b="508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utoSpaceDE/>
        <w:autoSpaceDN/>
        <w:adjustRightInd w:val="0"/>
        <w:spacing w:line="576" w:lineRule="exact"/>
        <w:ind w:firstLine="640"/>
        <w:jc w:val="left"/>
        <w:outlineLvl w:val="1"/>
        <w:rPr>
          <w:rFonts w:hint="eastAsia" w:ascii="黑体" w:hAnsi="黑体" w:eastAsia="黑体" w:cs="Times New Roman"/>
          <w:color w:val="000000"/>
          <w:kern w:val="2"/>
          <w:sz w:val="32"/>
          <w:szCs w:val="24"/>
          <w:lang w:val="zh-CN" w:eastAsia="zh-CN"/>
        </w:rPr>
      </w:pPr>
      <w:bookmarkStart w:id="40" w:name="_Toc28554"/>
      <w:bookmarkStart w:id="41" w:name="_Toc12847"/>
      <w:r>
        <w:rPr>
          <w:rFonts w:hint="eastAsia" w:ascii="黑体" w:hAnsi="黑体" w:eastAsia="黑体" w:cs="Times New Roman"/>
          <w:color w:val="000000"/>
          <w:kern w:val="2"/>
          <w:sz w:val="32"/>
          <w:szCs w:val="24"/>
          <w:lang w:val="en-US" w:eastAsia="zh-CN"/>
        </w:rPr>
        <w:t>五、</w:t>
      </w:r>
      <w:r>
        <w:rPr>
          <w:rFonts w:hint="eastAsia" w:ascii="黑体" w:hAnsi="黑体" w:eastAsia="黑体" w:cs="Times New Roman"/>
          <w:color w:val="000000"/>
          <w:kern w:val="2"/>
          <w:sz w:val="32"/>
          <w:szCs w:val="24"/>
          <w:lang w:val="zh-CN" w:eastAsia="zh-CN"/>
        </w:rPr>
        <w:t>一般公共预算财政拨款支出决算情况说明</w:t>
      </w:r>
      <w:bookmarkEnd w:id="40"/>
      <w:bookmarkEnd w:id="41"/>
    </w:p>
    <w:p>
      <w:pPr>
        <w:autoSpaceDE/>
        <w:autoSpaceDN/>
        <w:adjustRightInd w:val="0"/>
        <w:spacing w:line="576" w:lineRule="exact"/>
        <w:ind w:firstLine="640"/>
        <w:jc w:val="left"/>
        <w:rPr>
          <w:rFonts w:hint="eastAsia" w:ascii="黑体" w:hAnsi="黑体" w:eastAsia="黑体" w:cs="Times New Roman"/>
          <w:color w:val="000000"/>
          <w:kern w:val="2"/>
          <w:sz w:val="32"/>
          <w:szCs w:val="24"/>
          <w:lang w:val="zh-CN" w:eastAsia="zh-CN"/>
        </w:rPr>
      </w:pPr>
      <w:r>
        <w:rPr>
          <w:rFonts w:hint="eastAsia" w:ascii="黑体" w:hAnsi="黑体" w:eastAsia="黑体" w:cs="Times New Roman"/>
          <w:color w:val="000000"/>
          <w:kern w:val="2"/>
          <w:sz w:val="32"/>
          <w:szCs w:val="24"/>
          <w:lang w:val="zh-CN" w:eastAsia="zh-CN"/>
        </w:rPr>
        <w:t>（</w:t>
      </w:r>
      <w:r>
        <w:rPr>
          <w:rFonts w:hint="eastAsia" w:ascii="黑体" w:hAnsi="黑体" w:eastAsia="黑体" w:cs="Times New Roman"/>
          <w:color w:val="000000"/>
          <w:kern w:val="2"/>
          <w:sz w:val="32"/>
          <w:szCs w:val="24"/>
          <w:lang w:val="en-US" w:eastAsia="zh-CN"/>
        </w:rPr>
        <w:t>一</w:t>
      </w:r>
      <w:r>
        <w:rPr>
          <w:rFonts w:hint="eastAsia" w:ascii="黑体" w:hAnsi="黑体" w:eastAsia="黑体" w:cs="Times New Roman"/>
          <w:color w:val="000000"/>
          <w:kern w:val="2"/>
          <w:sz w:val="32"/>
          <w:szCs w:val="24"/>
          <w:lang w:val="zh-CN" w:eastAsia="zh-CN"/>
        </w:rPr>
        <w:t>）一般公共预算财政拨款支出决算总体情况</w:t>
      </w: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color w:val="auto"/>
          <w:kern w:val="2"/>
          <w:sz w:val="32"/>
          <w:szCs w:val="24"/>
          <w:lang w:val="zh-CN" w:eastAsia="zh-CN"/>
        </w:rPr>
        <w:t>2022年一般公共预算财政拨款支出3,773.4</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万元，占本年支出合计的99.7</w:t>
      </w:r>
      <w:r>
        <w:rPr>
          <w:rFonts w:hint="eastAsia" w:ascii="仿宋_GB2312" w:hAnsi="仿宋_GB2312" w:eastAsia="仿宋_GB2312" w:cs="Times New Roman"/>
          <w:color w:val="auto"/>
          <w:kern w:val="2"/>
          <w:sz w:val="32"/>
          <w:szCs w:val="24"/>
          <w:lang w:val="en-US" w:eastAsia="zh-CN"/>
        </w:rPr>
        <w:t>4</w:t>
      </w:r>
      <w:r>
        <w:rPr>
          <w:rFonts w:hint="eastAsia" w:ascii="仿宋_GB2312" w:hAnsi="仿宋_GB2312" w:eastAsia="仿宋_GB2312" w:cs="Times New Roman"/>
          <w:color w:val="auto"/>
          <w:kern w:val="2"/>
          <w:sz w:val="32"/>
          <w:szCs w:val="24"/>
          <w:lang w:val="zh-CN" w:eastAsia="zh-CN"/>
        </w:rPr>
        <w:t>%。与2021年相比，一般公共预算财政拨款支出减少1,094.9</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万元，下降</w:t>
      </w:r>
      <w:r>
        <w:rPr>
          <w:rFonts w:hint="eastAsia" w:ascii="仿宋_GB2312" w:hAnsi="仿宋_GB2312" w:eastAsia="仿宋_GB2312" w:cs="Times New Roman"/>
          <w:color w:val="auto"/>
          <w:kern w:val="2"/>
          <w:sz w:val="32"/>
          <w:szCs w:val="24"/>
          <w:lang w:val="en-US" w:eastAsia="zh-CN"/>
        </w:rPr>
        <w:t>29.02</w:t>
      </w:r>
      <w:r>
        <w:rPr>
          <w:rFonts w:hint="eastAsia" w:ascii="仿宋_GB2312" w:hAnsi="仿宋_GB2312" w:eastAsia="仿宋_GB2312" w:cs="Times New Roman"/>
          <w:color w:val="auto"/>
          <w:kern w:val="2"/>
          <w:sz w:val="32"/>
          <w:szCs w:val="24"/>
          <w:lang w:val="zh-CN" w:eastAsia="zh-CN"/>
        </w:rPr>
        <w:t>%。主要变动原因是</w:t>
      </w:r>
      <w:r>
        <w:rPr>
          <w:rFonts w:hint="eastAsia" w:ascii="仿宋_GB2312" w:hAnsi="仿宋_GB2312" w:eastAsia="仿宋_GB2312" w:cs="Times New Roman"/>
          <w:color w:val="auto"/>
          <w:kern w:val="2"/>
          <w:sz w:val="32"/>
          <w:szCs w:val="24"/>
          <w:lang w:val="en-US" w:eastAsia="zh-CN"/>
        </w:rPr>
        <w:t>项目预算经费减少。</w:t>
      </w:r>
    </w:p>
    <w:p>
      <w:pPr>
        <w:pStyle w:val="2"/>
        <w:rPr>
          <w:rFonts w:hint="eastAsia"/>
          <w:lang w:val="en-US" w:eastAsia="zh-CN"/>
        </w:rPr>
      </w:pPr>
    </w:p>
    <w:p>
      <w:pPr>
        <w:pStyle w:val="2"/>
        <w:rPr>
          <w:rFonts w:hint="default"/>
          <w:lang w:val="en-US" w:eastAsia="zh-CN"/>
        </w:rPr>
      </w:pPr>
      <w:r>
        <w:rPr>
          <w:rFonts w:hint="eastAsia" w:hAnsi="仿宋_GB2312"/>
          <w:color w:val="000000"/>
          <w:kern w:val="2"/>
          <w:sz w:val="32"/>
          <w:szCs w:val="24"/>
          <w:lang w:val="en-US" w:eastAsia="zh-CN"/>
        </w:rPr>
        <w:t xml:space="preserve">       </w:t>
      </w:r>
      <w:r>
        <w:drawing>
          <wp:inline distT="0" distB="0" distL="114300" distR="114300">
            <wp:extent cx="4492625" cy="2600325"/>
            <wp:effectExtent l="4445" t="4445" r="17780" b="5080"/>
            <wp:docPr id="1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ind w:firstLine="640" w:firstLineChars="200"/>
        <w:rPr>
          <w:rFonts w:hint="eastAsia" w:ascii="黑体" w:hAnsi="黑体" w:eastAsia="黑体" w:cs="Times New Roman"/>
          <w:color w:val="000000"/>
          <w:kern w:val="2"/>
          <w:sz w:val="32"/>
          <w:szCs w:val="24"/>
          <w:lang w:val="zh-CN" w:eastAsia="zh-CN"/>
        </w:rPr>
      </w:pPr>
      <w:r>
        <w:rPr>
          <w:rFonts w:hint="eastAsia" w:ascii="黑体" w:hAnsi="黑体" w:eastAsia="黑体" w:cs="Times New Roman"/>
          <w:color w:val="000000"/>
          <w:kern w:val="2"/>
          <w:sz w:val="32"/>
          <w:szCs w:val="24"/>
          <w:lang w:val="zh-CN" w:eastAsia="zh-CN"/>
        </w:rPr>
        <w:t>（</w:t>
      </w:r>
      <w:r>
        <w:rPr>
          <w:rFonts w:hint="eastAsia" w:ascii="黑体" w:hAnsi="黑体" w:eastAsia="黑体" w:cs="Times New Roman"/>
          <w:color w:val="000000"/>
          <w:kern w:val="2"/>
          <w:sz w:val="32"/>
          <w:szCs w:val="24"/>
          <w:lang w:val="en-US" w:eastAsia="zh-CN"/>
        </w:rPr>
        <w:t>二）</w:t>
      </w:r>
      <w:r>
        <w:rPr>
          <w:rFonts w:hint="eastAsia" w:ascii="黑体" w:hAnsi="黑体" w:eastAsia="黑体" w:cs="Times New Roman"/>
          <w:color w:val="000000"/>
          <w:kern w:val="2"/>
          <w:sz w:val="32"/>
          <w:szCs w:val="24"/>
          <w:lang w:val="zh-CN" w:eastAsia="zh-CN"/>
        </w:rPr>
        <w:t>一般公共预算财政拨款支出决算结构情况</w:t>
      </w:r>
    </w:p>
    <w:p>
      <w:pPr>
        <w:numPr>
          <w:ilvl w:val="0"/>
          <w:numId w:val="0"/>
        </w:numPr>
        <w:autoSpaceDE/>
        <w:autoSpaceDN/>
        <w:adjustRightInd w:val="0"/>
        <w:spacing w:line="576" w:lineRule="exact"/>
        <w:ind w:firstLine="640" w:firstLineChars="200"/>
        <w:jc w:val="left"/>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color w:val="auto"/>
          <w:kern w:val="2"/>
          <w:sz w:val="32"/>
          <w:szCs w:val="24"/>
          <w:lang w:val="en-US" w:eastAsia="zh-CN"/>
        </w:rPr>
        <w:t>2022年一般公共预算财政拨款支出3,773.40万元，主要用于以下方面</w:t>
      </w:r>
      <w:r>
        <w:rPr>
          <w:rFonts w:hint="eastAsia" w:ascii="仿宋_GB2312" w:hAnsi="仿宋_GB2312" w:eastAsia="仿宋_GB2312" w:cs="Times New Roman"/>
          <w:color w:val="auto"/>
          <w:kern w:val="2"/>
          <w:sz w:val="32"/>
          <w:szCs w:val="24"/>
          <w:u w:val="none" w:color="FFFFFF"/>
          <w:shd w:val="clear" w:fill="FFFFFF"/>
          <w:lang w:val="en-US" w:eastAsia="zh-CN"/>
        </w:rPr>
        <w:t>：</w:t>
      </w:r>
      <w:r>
        <w:rPr>
          <w:rFonts w:hint="eastAsia" w:ascii="仿宋_GB2312" w:hAnsi="仿宋_GB2312" w:eastAsia="仿宋_GB2312" w:cs="Times New Roman"/>
          <w:color w:val="auto"/>
          <w:kern w:val="2"/>
          <w:sz w:val="32"/>
          <w:szCs w:val="24"/>
          <w:lang w:val="en-US" w:eastAsia="zh-CN"/>
        </w:rPr>
        <w:t>一般公共服务支出1,123.60万元，占29.78%；社会保障和就业支出273.89万元，占7.26%；卫生健康支出110.11万元，占2.92%；农林水支出1,933.17万元，占51.23%；住房保障支出326.63万元，占8.65%；灾害防治及应急管理支出6万元，占0.16%。</w:t>
      </w:r>
    </w:p>
    <w:p>
      <w:pPr>
        <w:pStyle w:val="2"/>
        <w:rPr>
          <w:rFonts w:hint="eastAsia"/>
          <w:lang w:val="en-US" w:eastAsia="zh-CN"/>
        </w:rPr>
      </w:pPr>
    </w:p>
    <w:p>
      <w:pPr>
        <w:pStyle w:val="2"/>
      </w:pPr>
      <w:r>
        <w:rPr>
          <w:rFonts w:hint="eastAsia"/>
          <w:lang w:val="en-US" w:eastAsia="zh-CN"/>
        </w:rPr>
        <w:t xml:space="preserve">       </w:t>
      </w:r>
      <w:r>
        <w:drawing>
          <wp:inline distT="0" distB="0" distL="114300" distR="114300">
            <wp:extent cx="4635500" cy="2696210"/>
            <wp:effectExtent l="4445" t="4445" r="8255" b="234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ind w:firstLine="600" w:firstLineChars="200"/>
        <w:rPr>
          <w:rFonts w:hint="eastAsia" w:ascii="黑体" w:hAnsi="黑体" w:eastAsia="黑体" w:cs="Times New Roman"/>
          <w:color w:val="000000"/>
          <w:kern w:val="2"/>
          <w:sz w:val="32"/>
          <w:szCs w:val="24"/>
          <w:lang w:val="zh-CN" w:eastAsia="zh-CN"/>
        </w:rPr>
      </w:pPr>
      <w:r>
        <w:fldChar w:fldCharType="begin"/>
      </w:r>
      <w:r>
        <w:instrText xml:space="preserve"> HYPERLINK "http://imgs.sc.gov.cn/10462/10778/10876/2018/9/3/20189385444_5461335.jpg" \t "_blank" </w:instrText>
      </w:r>
      <w:r>
        <w:fldChar w:fldCharType="separate"/>
      </w:r>
      <w:r>
        <w:rPr>
          <w:u w:val="none" w:color="FFFFFF"/>
          <w:shd w:val="clear" w:fill="FFFFFF"/>
        </w:rPr>
        <w:fldChar w:fldCharType="end"/>
      </w:r>
      <w:r>
        <w:rPr>
          <w:rFonts w:hint="eastAsia" w:ascii="黑体" w:hAnsi="黑体" w:eastAsia="黑体" w:cs="Times New Roman"/>
          <w:color w:val="000000"/>
          <w:kern w:val="2"/>
          <w:sz w:val="32"/>
          <w:szCs w:val="24"/>
          <w:u w:val="none" w:color="FFFFFF"/>
          <w:shd w:val="clear" w:fill="FFFFFF"/>
          <w:lang w:val="zh-CN" w:eastAsia="zh-CN"/>
        </w:rPr>
        <w:t>（</w:t>
      </w:r>
      <w:r>
        <w:rPr>
          <w:rFonts w:hint="eastAsia" w:ascii="黑体" w:hAnsi="黑体" w:eastAsia="黑体" w:cs="Times New Roman"/>
          <w:color w:val="000000"/>
          <w:kern w:val="2"/>
          <w:sz w:val="32"/>
          <w:szCs w:val="24"/>
          <w:lang w:val="zh-CN" w:eastAsia="zh-CN"/>
        </w:rPr>
        <w:t>(三）一般公共预算财政拨款支出决算具体情况</w:t>
      </w: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2022年一般公共预算支出决算数为3,773.4万元，完成预算100%。其中</w:t>
      </w:r>
      <w:r>
        <w:rPr>
          <w:rFonts w:hint="eastAsia" w:ascii="仿宋_GB2312" w:hAnsi="仿宋_GB2312" w:eastAsia="仿宋_GB2312" w:cs="Times New Roman"/>
          <w:color w:val="auto"/>
          <w:kern w:val="2"/>
          <w:sz w:val="32"/>
          <w:szCs w:val="24"/>
          <w:u w:val="none" w:color="FFFFFF"/>
          <w:shd w:val="clear" w:fill="FFFFFF"/>
          <w:lang w:val="zh-CN"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b/>
          <w:bCs/>
          <w:color w:val="auto"/>
          <w:kern w:val="2"/>
          <w:sz w:val="32"/>
          <w:szCs w:val="24"/>
          <w:lang w:val="zh-CN" w:eastAsia="zh-CN"/>
        </w:rPr>
      </w:pPr>
      <w:r>
        <w:rPr>
          <w:rFonts w:hint="eastAsia" w:ascii="仿宋_GB2312" w:hAnsi="仿宋_GB2312" w:eastAsia="仿宋_GB2312" w:cs="Times New Roman"/>
          <w:b/>
          <w:bCs/>
          <w:color w:val="auto"/>
          <w:kern w:val="2"/>
          <w:sz w:val="32"/>
          <w:szCs w:val="24"/>
          <w:u w:val="none" w:color="FFFFFF"/>
          <w:shd w:val="clear" w:fill="FFFFFF"/>
          <w:lang w:val="en-US" w:eastAsia="zh-CN"/>
        </w:rPr>
        <w:t>1.一般公共服务（类）</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人大事务（款）一般行政管理事务（项）</w:t>
      </w:r>
      <w:r>
        <w:rPr>
          <w:rFonts w:hint="eastAsia" w:ascii="仿宋_GB2312" w:hAnsi="仿宋_GB2312" w:eastAsia="仿宋_GB2312" w:cs="Times New Roman"/>
          <w:color w:val="auto"/>
          <w:kern w:val="2"/>
          <w:sz w:val="32"/>
          <w:szCs w:val="24"/>
          <w:lang w:val="en-US" w:eastAsia="zh-CN"/>
        </w:rPr>
        <w:t>决算数为0.48万元，完成预算100%；</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政府办公厅（室）及相关机构事务（款）:(1)行政运行（项）</w:t>
      </w:r>
      <w:r>
        <w:rPr>
          <w:rFonts w:hint="eastAsia" w:ascii="仿宋_GB2312" w:hAnsi="仿宋_GB2312" w:eastAsia="仿宋_GB2312" w:cs="Times New Roman"/>
          <w:color w:val="auto"/>
          <w:kern w:val="2"/>
          <w:sz w:val="32"/>
          <w:szCs w:val="24"/>
          <w:lang w:val="en-US" w:eastAsia="zh-CN"/>
        </w:rPr>
        <w:t>决算数为741.08</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b/>
          <w:bCs/>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lang w:val="en-US" w:eastAsia="zh-CN"/>
        </w:rPr>
        <w:t>2）一般行政管理事务（项）</w:t>
      </w:r>
      <w:r>
        <w:rPr>
          <w:rFonts w:hint="eastAsia" w:ascii="仿宋_GB2312" w:hAnsi="仿宋_GB2312" w:eastAsia="仿宋_GB2312" w:cs="Times New Roman"/>
          <w:color w:val="auto"/>
          <w:kern w:val="2"/>
          <w:sz w:val="32"/>
          <w:szCs w:val="24"/>
          <w:lang w:val="en-US" w:eastAsia="zh-CN"/>
        </w:rPr>
        <w:t>决算数</w:t>
      </w:r>
      <w:r>
        <w:rPr>
          <w:rFonts w:hint="eastAsia" w:ascii="仿宋_GB2312" w:hAnsi="仿宋_GB2312" w:eastAsia="仿宋_GB2312" w:cs="Times New Roman"/>
          <w:color w:val="auto"/>
          <w:kern w:val="2"/>
          <w:sz w:val="32"/>
          <w:szCs w:val="24"/>
          <w:u w:val="thick" w:color="98967F"/>
          <w:shd w:val="clear" w:fill="98967F"/>
          <w:lang w:val="en-US" w:eastAsia="zh-CN"/>
        </w:rPr>
        <w:t>4万元，完成预算100%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3）事业运行（</w:t>
      </w:r>
      <w:r>
        <w:rPr>
          <w:rFonts w:hint="eastAsia" w:ascii="仿宋_GB2312" w:hAnsi="仿宋_GB2312" w:eastAsia="仿宋_GB2312" w:cs="Times New Roman"/>
          <w:b/>
          <w:bCs/>
          <w:color w:val="auto"/>
          <w:kern w:val="2"/>
          <w:sz w:val="32"/>
          <w:szCs w:val="24"/>
          <w:u w:val="none" w:color="FFFFFF"/>
          <w:shd w:val="clear" w:fill="FFFFFF"/>
          <w:lang w:val="en-US" w:eastAsia="zh-CN"/>
        </w:rPr>
        <w:t>项</w:t>
      </w:r>
      <w:r>
        <w:rPr>
          <w:rFonts w:hint="eastAsia" w:ascii="仿宋_GB2312" w:hAnsi="仿宋_GB2312" w:eastAsia="仿宋_GB2312" w:cs="Times New Roman"/>
          <w:b/>
          <w:bCs/>
          <w:color w:val="auto"/>
          <w:kern w:val="2"/>
          <w:sz w:val="32"/>
          <w:szCs w:val="24"/>
          <w:lang w:val="en-US" w:eastAsia="zh-CN"/>
        </w:rPr>
        <w:t>）</w:t>
      </w:r>
      <w:r>
        <w:rPr>
          <w:rFonts w:hint="eastAsia" w:ascii="仿宋_GB2312" w:hAnsi="仿宋_GB2312" w:eastAsia="仿宋_GB2312" w:cs="Times New Roman"/>
          <w:color w:val="auto"/>
          <w:kern w:val="2"/>
          <w:sz w:val="32"/>
          <w:szCs w:val="24"/>
          <w:lang w:val="en-US" w:eastAsia="zh-CN"/>
        </w:rPr>
        <w:t>决算数为323.6</w:t>
      </w:r>
      <w:r>
        <w:rPr>
          <w:rFonts w:hint="eastAsia" w:ascii="仿宋_GB2312" w:hAnsi="仿宋_GB2312" w:eastAsia="仿宋_GB2312" w:cs="Times New Roman"/>
          <w:color w:val="auto"/>
          <w:kern w:val="2"/>
          <w:sz w:val="32"/>
          <w:szCs w:val="24"/>
          <w:u w:val="thick" w:color="98967F"/>
          <w:shd w:val="clear" w:fill="98967F"/>
          <w:lang w:val="en-US" w:eastAsia="zh-CN"/>
        </w:rPr>
        <w:t>4万元，完成预算100%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default"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纪检监察事务（款）：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1)一般行政管理事务（项）</w:t>
      </w:r>
      <w:r>
        <w:rPr>
          <w:rFonts w:hint="eastAsia" w:ascii="仿宋_GB2312" w:hAnsi="仿宋_GB2312" w:eastAsia="仿宋_GB2312" w:cs="Times New Roman"/>
          <w:color w:val="auto"/>
          <w:kern w:val="2"/>
          <w:sz w:val="32"/>
          <w:szCs w:val="24"/>
          <w:lang w:val="en-US" w:eastAsia="zh-CN"/>
        </w:rPr>
        <w:t>决算数0.3</w:t>
      </w:r>
      <w:r>
        <w:rPr>
          <w:rFonts w:hint="eastAsia" w:ascii="仿宋_GB2312" w:hAnsi="仿宋_GB2312" w:eastAsia="仿宋_GB2312" w:cs="Times New Roman"/>
          <w:color w:val="auto"/>
          <w:kern w:val="2"/>
          <w:sz w:val="32"/>
          <w:szCs w:val="24"/>
          <w:u w:val="thick" w:color="98967F"/>
          <w:shd w:val="clear" w:fill="98967F"/>
          <w:lang w:val="en-US" w:eastAsia="zh-CN"/>
        </w:rPr>
        <w:t>0万元，完成预算100%</w:t>
      </w:r>
      <w:r>
        <w:rPr>
          <w:rFonts w:hint="eastAsia" w:ascii="仿宋_GB2312" w:hAnsi="仿宋_GB2312" w:eastAsia="仿宋_GB2312" w:cs="Times New Roman"/>
          <w:color w:val="auto"/>
          <w:kern w:val="2"/>
          <w:sz w:val="32"/>
          <w:szCs w:val="24"/>
          <w:lang w:val="en-US" w:eastAsia="zh-CN"/>
        </w:rPr>
        <w:t xml:space="preserve">; </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2)派驻派出机构（项）</w:t>
      </w:r>
      <w:r>
        <w:rPr>
          <w:rFonts w:hint="eastAsia" w:ascii="仿宋_GB2312" w:hAnsi="仿宋_GB2312" w:eastAsia="仿宋_GB2312" w:cs="Times New Roman"/>
          <w:color w:val="auto"/>
          <w:kern w:val="2"/>
          <w:sz w:val="32"/>
          <w:szCs w:val="24"/>
          <w:lang w:val="en-US" w:eastAsia="zh-CN"/>
        </w:rPr>
        <w:t>决算数28.8</w:t>
      </w:r>
      <w:r>
        <w:rPr>
          <w:rFonts w:hint="eastAsia" w:ascii="仿宋_GB2312" w:hAnsi="仿宋_GB2312" w:eastAsia="仿宋_GB2312" w:cs="Times New Roman"/>
          <w:color w:val="auto"/>
          <w:kern w:val="2"/>
          <w:sz w:val="32"/>
          <w:szCs w:val="24"/>
          <w:u w:val="thick" w:color="98967F"/>
          <w:shd w:val="clear" w:fill="98967F"/>
          <w:lang w:val="en-US" w:eastAsia="zh-CN"/>
        </w:rPr>
        <w:t>0万元，完成预算100%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3)其他纪检监察事务支出（项）</w:t>
      </w:r>
      <w:r>
        <w:rPr>
          <w:rFonts w:hint="eastAsia" w:ascii="仿宋_GB2312" w:hAnsi="仿宋_GB2312" w:eastAsia="仿宋_GB2312" w:cs="Times New Roman"/>
          <w:color w:val="auto"/>
          <w:kern w:val="2"/>
          <w:sz w:val="32"/>
          <w:szCs w:val="24"/>
          <w:lang w:val="en-US" w:eastAsia="zh-CN"/>
        </w:rPr>
        <w:t>决算数7.63</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b/>
          <w:bCs/>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2.社会保障和就业支出（类）</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人力资源和社会保障管理事务（款）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1）社会保险经办机构（项）</w:t>
      </w:r>
      <w:r>
        <w:rPr>
          <w:rFonts w:hint="eastAsia" w:ascii="仿宋_GB2312" w:hAnsi="仿宋_GB2312" w:eastAsia="仿宋_GB2312" w:cs="Times New Roman"/>
          <w:color w:val="auto"/>
          <w:kern w:val="2"/>
          <w:sz w:val="32"/>
          <w:szCs w:val="24"/>
          <w:lang w:val="en-US" w:eastAsia="zh-CN"/>
        </w:rPr>
        <w:t>决算数为97.99</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lang w:val="en-US" w:eastAsia="zh-CN"/>
        </w:rPr>
        <w:t>(2）引进人才费用（项）</w:t>
      </w:r>
      <w:r>
        <w:rPr>
          <w:rFonts w:hint="eastAsia" w:ascii="仿宋_GB2312" w:hAnsi="仿宋_GB2312" w:eastAsia="仿宋_GB2312" w:cs="Times New Roman"/>
          <w:color w:val="auto"/>
          <w:kern w:val="2"/>
          <w:sz w:val="32"/>
          <w:szCs w:val="24"/>
          <w:lang w:val="en-US" w:eastAsia="zh-CN"/>
        </w:rPr>
        <w:t>决算数1.5</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3）事业运行（</w:t>
      </w:r>
      <w:r>
        <w:rPr>
          <w:rFonts w:hint="eastAsia" w:ascii="仿宋_GB2312" w:hAnsi="仿宋_GB2312" w:eastAsia="仿宋_GB2312" w:cs="Times New Roman"/>
          <w:b/>
          <w:bCs/>
          <w:color w:val="auto"/>
          <w:kern w:val="2"/>
          <w:sz w:val="32"/>
          <w:szCs w:val="24"/>
          <w:u w:val="none" w:color="FFFFFF"/>
          <w:shd w:val="clear" w:fill="FFFFFF"/>
          <w:lang w:val="en-US" w:eastAsia="zh-CN"/>
        </w:rPr>
        <w:t>项</w:t>
      </w:r>
      <w:r>
        <w:rPr>
          <w:rFonts w:hint="eastAsia" w:ascii="仿宋_GB2312" w:hAnsi="仿宋_GB2312" w:eastAsia="仿宋_GB2312" w:cs="Times New Roman"/>
          <w:b/>
          <w:bCs/>
          <w:color w:val="auto"/>
          <w:kern w:val="2"/>
          <w:sz w:val="32"/>
          <w:szCs w:val="24"/>
          <w:lang w:val="en-US" w:eastAsia="zh-CN"/>
        </w:rPr>
        <w:t>）</w:t>
      </w:r>
      <w:r>
        <w:rPr>
          <w:rFonts w:hint="eastAsia" w:ascii="仿宋_GB2312" w:hAnsi="仿宋_GB2312" w:eastAsia="仿宋_GB2312" w:cs="Times New Roman"/>
          <w:color w:val="auto"/>
          <w:kern w:val="2"/>
          <w:sz w:val="32"/>
          <w:szCs w:val="24"/>
          <w:lang w:val="en-US" w:eastAsia="zh-CN"/>
        </w:rPr>
        <w:t>决算数为23.94</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行政事业单位养老支出（款）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1）机关事业单位基本养老保险缴费支出（项）</w:t>
      </w:r>
      <w:r>
        <w:rPr>
          <w:rFonts w:hint="eastAsia" w:ascii="仿宋_GB2312" w:hAnsi="仿宋_GB2312" w:eastAsia="仿宋_GB2312" w:cs="Times New Roman"/>
          <w:color w:val="auto"/>
          <w:kern w:val="2"/>
          <w:sz w:val="32"/>
          <w:szCs w:val="24"/>
          <w:lang w:val="en-US" w:eastAsia="zh-CN"/>
        </w:rPr>
        <w:t>决算数为123.5</w:t>
      </w:r>
      <w:r>
        <w:rPr>
          <w:rFonts w:hint="eastAsia" w:ascii="仿宋_GB2312" w:hAnsi="仿宋_GB2312" w:eastAsia="仿宋_GB2312" w:cs="Times New Roman"/>
          <w:color w:val="auto"/>
          <w:kern w:val="2"/>
          <w:sz w:val="32"/>
          <w:szCs w:val="24"/>
          <w:u w:val="thick" w:color="98967F"/>
          <w:shd w:val="clear" w:fill="98967F"/>
          <w:lang w:val="en-US" w:eastAsia="zh-CN"/>
        </w:rPr>
        <w:t>0万元，完成预算100%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lang w:val="en-US" w:eastAsia="zh-CN"/>
        </w:rPr>
        <w:t>(2）机关事业单位职业年金缴费支出（项）</w:t>
      </w:r>
      <w:r>
        <w:rPr>
          <w:rFonts w:hint="eastAsia" w:ascii="仿宋_GB2312" w:hAnsi="仿宋_GB2312" w:eastAsia="仿宋_GB2312" w:cs="Times New Roman"/>
          <w:color w:val="auto"/>
          <w:kern w:val="2"/>
          <w:sz w:val="32"/>
          <w:szCs w:val="24"/>
          <w:lang w:val="en-US" w:eastAsia="zh-CN"/>
        </w:rPr>
        <w:t>决算数为24.86</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lang w:val="en-US" w:eastAsia="zh-CN"/>
        </w:rPr>
        <w:t>（3）其他行政事业单位养老支出（项）</w:t>
      </w:r>
      <w:r>
        <w:rPr>
          <w:rFonts w:hint="eastAsia" w:ascii="仿宋_GB2312" w:hAnsi="仿宋_GB2312" w:eastAsia="仿宋_GB2312" w:cs="Times New Roman"/>
          <w:color w:val="auto"/>
          <w:kern w:val="2"/>
          <w:sz w:val="32"/>
          <w:szCs w:val="24"/>
          <w:lang w:val="en-US" w:eastAsia="zh-CN"/>
        </w:rPr>
        <w:t>决算数2.1</w:t>
      </w:r>
      <w:r>
        <w:rPr>
          <w:rFonts w:hint="eastAsia" w:ascii="仿宋_GB2312" w:hAnsi="仿宋_GB2312" w:eastAsia="仿宋_GB2312" w:cs="Times New Roman"/>
          <w:color w:val="auto"/>
          <w:kern w:val="2"/>
          <w:sz w:val="32"/>
          <w:szCs w:val="24"/>
          <w:u w:val="thick" w:color="98967F"/>
          <w:shd w:val="clear" w:fill="98967F"/>
          <w:lang w:val="en-US" w:eastAsia="zh-CN"/>
        </w:rPr>
        <w:t>0万元，完成预算100%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default" w:ascii="仿宋_GB2312" w:hAnsi="仿宋_GB2312" w:eastAsia="仿宋_GB2312" w:cs="Times New Roman"/>
          <w:b/>
          <w:bCs/>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3.卫生健康支出（类）</w:t>
      </w:r>
    </w:p>
    <w:p>
      <w:pPr>
        <w:numPr>
          <w:ilvl w:val="0"/>
          <w:numId w:val="0"/>
        </w:numPr>
        <w:spacing w:beforeLines="0" w:afterLines="0" w:line="600" w:lineRule="exact"/>
        <w:ind w:firstLine="643" w:firstLineChars="200"/>
        <w:jc w:val="both"/>
        <w:rPr>
          <w:rFonts w:hint="default"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公共卫生（款）突发公共卫生事件应急处理（项）</w:t>
      </w:r>
      <w:r>
        <w:rPr>
          <w:rFonts w:hint="eastAsia" w:ascii="仿宋_GB2312" w:hAnsi="仿宋_GB2312" w:eastAsia="仿宋_GB2312" w:cs="Times New Roman"/>
          <w:color w:val="auto"/>
          <w:kern w:val="2"/>
          <w:sz w:val="32"/>
          <w:szCs w:val="24"/>
          <w:lang w:val="en-US" w:eastAsia="zh-CN"/>
        </w:rPr>
        <w:t>决算数9万元，完成预算100%。</w:t>
      </w:r>
    </w:p>
    <w:p>
      <w:pPr>
        <w:numPr>
          <w:ilvl w:val="0"/>
          <w:numId w:val="0"/>
        </w:numPr>
        <w:spacing w:beforeLines="0" w:afterLines="0" w:line="600" w:lineRule="exact"/>
        <w:ind w:firstLine="643" w:firstLineChars="200"/>
        <w:jc w:val="both"/>
        <w:rPr>
          <w:rFonts w:hint="default"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行政事业单位医疗（款）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1）行政单位医疗（项）</w:t>
      </w:r>
      <w:r>
        <w:rPr>
          <w:rFonts w:hint="eastAsia" w:ascii="仿宋_GB2312" w:hAnsi="仿宋_GB2312" w:eastAsia="仿宋_GB2312" w:cs="Times New Roman"/>
          <w:color w:val="auto"/>
          <w:kern w:val="2"/>
          <w:sz w:val="32"/>
          <w:szCs w:val="24"/>
          <w:lang w:val="en-US" w:eastAsia="zh-CN"/>
        </w:rPr>
        <w:t>决算数为38.3</w:t>
      </w:r>
      <w:r>
        <w:rPr>
          <w:rFonts w:hint="eastAsia" w:ascii="仿宋_GB2312" w:hAnsi="仿宋_GB2312" w:eastAsia="仿宋_GB2312" w:cs="Times New Roman"/>
          <w:color w:val="auto"/>
          <w:kern w:val="2"/>
          <w:sz w:val="32"/>
          <w:szCs w:val="24"/>
          <w:u w:val="thick" w:color="98967F"/>
          <w:shd w:val="clear" w:fill="98967F"/>
          <w:lang w:val="en-US" w:eastAsia="zh-CN"/>
        </w:rPr>
        <w:t>6万元，完成预算100%;</w:t>
      </w:r>
      <w:r>
        <w:rPr>
          <w:rFonts w:hint="eastAsia" w:ascii="仿宋_GB2312" w:hAnsi="仿宋_GB2312" w:eastAsia="仿宋_GB2312" w:cs="Times New Roman"/>
          <w:b/>
          <w:bCs/>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lang w:val="en-US" w:eastAsia="zh-CN"/>
        </w:rPr>
        <w:t>2）事业单位医疗（项）</w:t>
      </w:r>
      <w:r>
        <w:rPr>
          <w:rFonts w:hint="eastAsia" w:ascii="仿宋_GB2312" w:hAnsi="仿宋_GB2312" w:eastAsia="仿宋_GB2312" w:cs="Times New Roman"/>
          <w:color w:val="auto"/>
          <w:kern w:val="2"/>
          <w:sz w:val="32"/>
          <w:szCs w:val="24"/>
          <w:lang w:val="en-US" w:eastAsia="zh-CN"/>
        </w:rPr>
        <w:t>决算数为36</w:t>
      </w:r>
      <w:r>
        <w:rPr>
          <w:rFonts w:hint="eastAsia" w:ascii="仿宋_GB2312" w:hAnsi="仿宋_GB2312" w:eastAsia="仿宋_GB2312" w:cs="Times New Roman"/>
          <w:color w:val="auto"/>
          <w:kern w:val="2"/>
          <w:sz w:val="32"/>
          <w:szCs w:val="24"/>
          <w:u w:val="thick" w:color="98967F"/>
          <w:shd w:val="clear" w:fill="98967F"/>
          <w:lang w:val="en-US" w:eastAsia="zh-CN"/>
        </w:rPr>
        <w:t>.56万元，完成预算100%;</w:t>
      </w:r>
      <w:r>
        <w:rPr>
          <w:rFonts w:hint="eastAsia" w:ascii="仿宋_GB2312" w:hAnsi="仿宋_GB2312" w:eastAsia="仿宋_GB2312" w:cs="Times New Roman"/>
          <w:b/>
          <w:bCs/>
          <w:color w:val="auto"/>
          <w:kern w:val="2"/>
          <w:sz w:val="32"/>
          <w:szCs w:val="24"/>
          <w:lang w:val="en-US" w:eastAsia="zh-CN"/>
        </w:rPr>
        <w:t>(3）公务员医疗补助（项）</w:t>
      </w:r>
      <w:r>
        <w:rPr>
          <w:rFonts w:hint="eastAsia" w:ascii="仿宋_GB2312" w:hAnsi="仿宋_GB2312" w:eastAsia="仿宋_GB2312" w:cs="Times New Roman"/>
          <w:color w:val="auto"/>
          <w:kern w:val="2"/>
          <w:sz w:val="32"/>
          <w:szCs w:val="24"/>
          <w:lang w:val="en-US" w:eastAsia="zh-CN"/>
        </w:rPr>
        <w:t>决算数为14</w:t>
      </w:r>
      <w:r>
        <w:rPr>
          <w:rFonts w:hint="eastAsia" w:ascii="仿宋_GB2312" w:hAnsi="仿宋_GB2312" w:eastAsia="仿宋_GB2312" w:cs="Times New Roman"/>
          <w:color w:val="auto"/>
          <w:kern w:val="2"/>
          <w:sz w:val="32"/>
          <w:szCs w:val="24"/>
          <w:u w:val="thick" w:color="98967F"/>
          <w:shd w:val="clear" w:fill="98967F"/>
          <w:lang w:val="en-US" w:eastAsia="zh-CN"/>
        </w:rPr>
        <w:t>.56万元，完成预算100%;</w:t>
      </w:r>
      <w:r>
        <w:rPr>
          <w:rFonts w:hint="eastAsia" w:ascii="仿宋_GB2312" w:hAnsi="仿宋_GB2312" w:eastAsia="仿宋_GB2312" w:cs="Times New Roman"/>
          <w:b/>
          <w:bCs/>
          <w:color w:val="auto"/>
          <w:kern w:val="2"/>
          <w:sz w:val="32"/>
          <w:szCs w:val="24"/>
          <w:lang w:val="en-US" w:eastAsia="zh-CN"/>
        </w:rPr>
        <w:t>（4）其他行政</w:t>
      </w:r>
      <w:r>
        <w:rPr>
          <w:rFonts w:hint="eastAsia" w:ascii="仿宋_GB2312" w:hAnsi="仿宋_GB2312" w:eastAsia="仿宋_GB2312" w:cs="Times New Roman"/>
          <w:b/>
          <w:bCs/>
          <w:color w:val="auto"/>
          <w:kern w:val="2"/>
          <w:sz w:val="32"/>
          <w:szCs w:val="24"/>
          <w:u w:val="none" w:color="FFFFFF"/>
          <w:shd w:val="clear" w:fill="FFFFFF"/>
          <w:lang w:val="en-US" w:eastAsia="zh-CN"/>
        </w:rPr>
        <w:t>事业单位</w:t>
      </w:r>
      <w:r>
        <w:rPr>
          <w:rFonts w:hint="eastAsia" w:ascii="仿宋_GB2312" w:hAnsi="仿宋_GB2312" w:eastAsia="仿宋_GB2312" w:cs="Times New Roman"/>
          <w:b/>
          <w:bCs/>
          <w:color w:val="auto"/>
          <w:kern w:val="2"/>
          <w:sz w:val="32"/>
          <w:szCs w:val="24"/>
          <w:lang w:val="en-US" w:eastAsia="zh-CN"/>
        </w:rPr>
        <w:t>医疗支出（项）</w:t>
      </w:r>
      <w:r>
        <w:rPr>
          <w:rFonts w:hint="eastAsia" w:ascii="仿宋_GB2312" w:hAnsi="仿宋_GB2312" w:eastAsia="仿宋_GB2312" w:cs="Times New Roman"/>
          <w:color w:val="auto"/>
          <w:kern w:val="2"/>
          <w:sz w:val="32"/>
          <w:szCs w:val="24"/>
          <w:lang w:val="en-US" w:eastAsia="zh-CN"/>
        </w:rPr>
        <w:t>决算数11.62</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b/>
          <w:bCs/>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4.农林</w:t>
      </w:r>
      <w:r>
        <w:rPr>
          <w:rFonts w:hint="eastAsia" w:ascii="仿宋_GB2312" w:hAnsi="仿宋_GB2312" w:eastAsia="仿宋_GB2312" w:cs="Times New Roman"/>
          <w:b/>
          <w:bCs/>
          <w:color w:val="auto"/>
          <w:kern w:val="2"/>
          <w:sz w:val="32"/>
          <w:szCs w:val="24"/>
          <w:u w:val="none" w:color="FFFFFF"/>
          <w:shd w:val="clear" w:fill="FFFFFF"/>
          <w:lang w:val="en-US" w:eastAsia="zh-CN"/>
        </w:rPr>
        <w:t>水</w:t>
      </w:r>
      <w:r>
        <w:rPr>
          <w:rFonts w:hint="eastAsia" w:ascii="仿宋_GB2312" w:hAnsi="仿宋_GB2312" w:eastAsia="仿宋_GB2312" w:cs="Times New Roman"/>
          <w:b/>
          <w:bCs/>
          <w:color w:val="auto"/>
          <w:kern w:val="2"/>
          <w:sz w:val="32"/>
          <w:szCs w:val="24"/>
          <w:lang w:val="en-US" w:eastAsia="zh-CN"/>
        </w:rPr>
        <w:t>支出（类）</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农业农村（款）事业运行（项）</w:t>
      </w:r>
      <w:r>
        <w:rPr>
          <w:rFonts w:hint="eastAsia" w:ascii="仿宋_GB2312" w:hAnsi="仿宋_GB2312" w:eastAsia="仿宋_GB2312" w:cs="Times New Roman"/>
          <w:color w:val="auto"/>
          <w:kern w:val="2"/>
          <w:sz w:val="32"/>
          <w:szCs w:val="24"/>
          <w:lang w:val="en-US" w:eastAsia="zh-CN"/>
        </w:rPr>
        <w:t>决算数为239.03万元，完成预算100%。</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巩固脱贫衔接乡村振兴（款）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1）农村基础设施建设（项）</w:t>
      </w:r>
      <w:r>
        <w:rPr>
          <w:rFonts w:hint="eastAsia" w:ascii="仿宋_GB2312" w:hAnsi="仿宋_GB2312" w:eastAsia="仿宋_GB2312" w:cs="Times New Roman"/>
          <w:color w:val="auto"/>
          <w:kern w:val="2"/>
          <w:sz w:val="32"/>
          <w:szCs w:val="24"/>
          <w:lang w:val="en-US" w:eastAsia="zh-CN"/>
        </w:rPr>
        <w:t>决算数为1,218</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b/>
          <w:bCs/>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lang w:val="en-US" w:eastAsia="zh-CN"/>
        </w:rPr>
        <w:t>2）生产发展（</w:t>
      </w:r>
      <w:r>
        <w:rPr>
          <w:rFonts w:hint="eastAsia" w:ascii="仿宋_GB2312" w:hAnsi="仿宋_GB2312" w:eastAsia="仿宋_GB2312" w:cs="Times New Roman"/>
          <w:b/>
          <w:bCs/>
          <w:color w:val="auto"/>
          <w:kern w:val="2"/>
          <w:sz w:val="32"/>
          <w:szCs w:val="24"/>
          <w:u w:val="none" w:color="FFFFFF"/>
          <w:shd w:val="clear" w:fill="FFFFFF"/>
          <w:lang w:val="en-US" w:eastAsia="zh-CN"/>
        </w:rPr>
        <w:t>项</w:t>
      </w:r>
      <w:r>
        <w:rPr>
          <w:rFonts w:hint="eastAsia" w:ascii="仿宋_GB2312" w:hAnsi="仿宋_GB2312" w:eastAsia="仿宋_GB2312" w:cs="Times New Roman"/>
          <w:b/>
          <w:bCs/>
          <w:color w:val="auto"/>
          <w:kern w:val="2"/>
          <w:sz w:val="32"/>
          <w:szCs w:val="24"/>
          <w:lang w:val="en-US" w:eastAsia="zh-CN"/>
        </w:rPr>
        <w:t>）</w:t>
      </w:r>
      <w:r>
        <w:rPr>
          <w:rFonts w:hint="eastAsia" w:ascii="仿宋_GB2312" w:hAnsi="仿宋_GB2312" w:eastAsia="仿宋_GB2312" w:cs="Times New Roman"/>
          <w:color w:val="auto"/>
          <w:kern w:val="2"/>
          <w:sz w:val="32"/>
          <w:szCs w:val="24"/>
          <w:lang w:val="en-US" w:eastAsia="zh-CN"/>
        </w:rPr>
        <w:t>决算数为81.56</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b/>
          <w:bCs/>
          <w:color w:val="auto"/>
          <w:kern w:val="2"/>
          <w:sz w:val="32"/>
          <w:szCs w:val="24"/>
          <w:u w:val="thick" w:color="98967F"/>
          <w:shd w:val="clear" w:fill="98967F"/>
          <w:lang w:val="en-US" w:eastAsia="zh-CN"/>
        </w:rPr>
        <w:t>（</w:t>
      </w:r>
      <w:r>
        <w:rPr>
          <w:rFonts w:hint="eastAsia" w:ascii="仿宋_GB2312" w:hAnsi="仿宋_GB2312" w:eastAsia="仿宋_GB2312" w:cs="Times New Roman"/>
          <w:b/>
          <w:bCs/>
          <w:color w:val="auto"/>
          <w:kern w:val="2"/>
          <w:sz w:val="32"/>
          <w:szCs w:val="24"/>
          <w:lang w:val="en-US" w:eastAsia="zh-CN"/>
        </w:rPr>
        <w:t>3）其他巩固脱贫衔接乡村振兴支出（项）</w:t>
      </w:r>
      <w:r>
        <w:rPr>
          <w:rFonts w:hint="eastAsia" w:ascii="仿宋_GB2312" w:hAnsi="仿宋_GB2312" w:eastAsia="仿宋_GB2312" w:cs="Times New Roman"/>
          <w:color w:val="auto"/>
          <w:kern w:val="2"/>
          <w:sz w:val="32"/>
          <w:szCs w:val="24"/>
          <w:lang w:val="en-US" w:eastAsia="zh-CN"/>
        </w:rPr>
        <w:t>决算数为13</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农村综合改革（款）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1）对村民委员会和村党支部的补助（项）</w:t>
      </w:r>
      <w:r>
        <w:rPr>
          <w:rFonts w:hint="eastAsia" w:ascii="仿宋_GB2312" w:hAnsi="仿宋_GB2312" w:eastAsia="仿宋_GB2312" w:cs="Times New Roman"/>
          <w:color w:val="auto"/>
          <w:kern w:val="2"/>
          <w:sz w:val="32"/>
          <w:szCs w:val="24"/>
          <w:lang w:val="en-US" w:eastAsia="zh-CN"/>
        </w:rPr>
        <w:t>决算数为257.58</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2）对村集体经济组织的补助（项）</w:t>
      </w:r>
      <w:r>
        <w:rPr>
          <w:rFonts w:hint="eastAsia" w:ascii="仿宋_GB2312" w:hAnsi="仿宋_GB2312" w:eastAsia="仿宋_GB2312" w:cs="Times New Roman"/>
          <w:color w:val="auto"/>
          <w:kern w:val="2"/>
          <w:sz w:val="32"/>
          <w:szCs w:val="24"/>
          <w:lang w:val="en-US" w:eastAsia="zh-CN"/>
        </w:rPr>
        <w:t>决算数为124</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p>
    <w:p>
      <w:pPr>
        <w:numPr>
          <w:ilvl w:val="0"/>
          <w:numId w:val="0"/>
        </w:numPr>
        <w:spacing w:beforeLines="0" w:afterLines="0" w:line="600" w:lineRule="exact"/>
        <w:ind w:firstLine="643" w:firstLineChars="200"/>
        <w:jc w:val="both"/>
        <w:rPr>
          <w:rFonts w:hint="eastAsia" w:ascii="仿宋_GB2312" w:hAnsi="仿宋_GB2312" w:eastAsia="仿宋_GB2312" w:cs="Times New Roman"/>
          <w:b/>
          <w:bCs/>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5.住房保障支出（类）</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保障性安居工程支出（款）</w:t>
      </w:r>
      <w:r>
        <w:rPr>
          <w:rFonts w:hint="eastAsia" w:ascii="仿宋_GB2312" w:hAnsi="仿宋_GB2312" w:eastAsia="仿宋_GB2312" w:cs="Times New Roman"/>
          <w:b/>
          <w:bCs/>
          <w:color w:val="auto"/>
          <w:kern w:val="2"/>
          <w:sz w:val="32"/>
          <w:szCs w:val="24"/>
          <w:u w:val="none" w:color="FFFFFF"/>
          <w:shd w:val="clear" w:fill="FFFFFF"/>
          <w:lang w:val="en-US" w:eastAsia="zh-CN"/>
        </w:rPr>
        <w:t>（</w:t>
      </w:r>
      <w:r>
        <w:rPr>
          <w:rFonts w:hint="eastAsia" w:ascii="仿宋_GB2312" w:hAnsi="仿宋_GB2312" w:eastAsia="仿宋_GB2312" w:cs="Times New Roman"/>
          <w:b/>
          <w:bCs/>
          <w:color w:val="auto"/>
          <w:kern w:val="2"/>
          <w:sz w:val="32"/>
          <w:szCs w:val="24"/>
          <w:lang w:val="en-US" w:eastAsia="zh-CN"/>
        </w:rPr>
        <w:t>1）农村危房改造（项）</w:t>
      </w:r>
      <w:r>
        <w:rPr>
          <w:rFonts w:hint="eastAsia" w:ascii="仿宋_GB2312" w:hAnsi="仿宋_GB2312" w:eastAsia="仿宋_GB2312" w:cs="Times New Roman"/>
          <w:color w:val="auto"/>
          <w:kern w:val="2"/>
          <w:sz w:val="32"/>
          <w:szCs w:val="24"/>
          <w:lang w:val="en-US" w:eastAsia="zh-CN"/>
        </w:rPr>
        <w:t>决算数为234</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b/>
          <w:bCs/>
          <w:color w:val="auto"/>
          <w:kern w:val="2"/>
          <w:sz w:val="32"/>
          <w:szCs w:val="24"/>
          <w:lang w:val="en-US" w:eastAsia="zh-CN"/>
        </w:rPr>
        <w:t>(2）住房改革支出（款）住房公积金（项）</w:t>
      </w:r>
      <w:r>
        <w:rPr>
          <w:rFonts w:hint="eastAsia" w:ascii="仿宋_GB2312" w:hAnsi="仿宋_GB2312" w:eastAsia="仿宋_GB2312" w:cs="Times New Roman"/>
          <w:color w:val="auto"/>
          <w:kern w:val="2"/>
          <w:sz w:val="32"/>
          <w:szCs w:val="24"/>
          <w:lang w:val="en-US" w:eastAsia="zh-CN"/>
        </w:rPr>
        <w:t>决算数为92.63</w:t>
      </w:r>
      <w:r>
        <w:rPr>
          <w:rFonts w:hint="eastAsia" w:ascii="仿宋_GB2312" w:hAnsi="仿宋_GB2312" w:eastAsia="仿宋_GB2312" w:cs="Times New Roman"/>
          <w:color w:val="auto"/>
          <w:kern w:val="2"/>
          <w:sz w:val="32"/>
          <w:szCs w:val="24"/>
          <w:u w:val="thick" w:color="98967F"/>
          <w:shd w:val="clear" w:fill="98967F"/>
          <w:lang w:val="en-US" w:eastAsia="zh-CN"/>
        </w:rPr>
        <w:t>万元，完成预算100%</w:t>
      </w:r>
      <w:r>
        <w:rPr>
          <w:rFonts w:hint="eastAsia" w:ascii="仿宋_GB2312" w:hAnsi="仿宋_GB2312" w:eastAsia="仿宋_GB2312" w:cs="Times New Roman"/>
          <w:color w:val="auto"/>
          <w:kern w:val="2"/>
          <w:sz w:val="32"/>
          <w:szCs w:val="24"/>
          <w:lang w:val="en-US" w:eastAsia="zh-CN"/>
        </w:rPr>
        <w:t>。</w:t>
      </w:r>
    </w:p>
    <w:p>
      <w:pPr>
        <w:numPr>
          <w:ilvl w:val="0"/>
          <w:numId w:val="0"/>
        </w:numPr>
        <w:spacing w:beforeLines="0" w:afterLines="0" w:line="600" w:lineRule="exact"/>
        <w:ind w:firstLine="643" w:firstLineChars="200"/>
        <w:jc w:val="both"/>
        <w:rPr>
          <w:rFonts w:hint="eastAsia" w:ascii="仿宋_GB2312" w:hAnsi="仿宋_GB2312" w:eastAsia="仿宋_GB2312" w:cs="Times New Roman"/>
          <w:b/>
          <w:bCs/>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6.灾害防治及应急管理支出（类）</w:t>
      </w:r>
    </w:p>
    <w:p>
      <w:pPr>
        <w:numPr>
          <w:ilvl w:val="0"/>
          <w:numId w:val="0"/>
        </w:numPr>
        <w:spacing w:beforeLines="0" w:afterLines="0" w:line="600" w:lineRule="exact"/>
        <w:ind w:firstLine="643" w:firstLineChars="200"/>
        <w:jc w:val="both"/>
        <w:rPr>
          <w:rFonts w:hint="eastAsia" w:ascii="楷体" w:hAnsi="楷体" w:eastAsia="楷体" w:cs="楷体"/>
          <w:sz w:val="32"/>
          <w:szCs w:val="32"/>
          <w:lang w:val="en-US" w:eastAsia="zh-CN"/>
        </w:rPr>
      </w:pPr>
      <w:r>
        <w:rPr>
          <w:rFonts w:hint="eastAsia" w:ascii="仿宋_GB2312" w:hAnsi="仿宋_GB2312" w:eastAsia="仿宋_GB2312" w:cs="Times New Roman"/>
          <w:b/>
          <w:bCs/>
          <w:color w:val="auto"/>
          <w:kern w:val="2"/>
          <w:sz w:val="32"/>
          <w:szCs w:val="24"/>
          <w:lang w:val="en-US" w:eastAsia="zh-CN"/>
        </w:rPr>
        <w:t>自然灾害</w:t>
      </w:r>
      <w:r>
        <w:rPr>
          <w:rFonts w:hint="eastAsia" w:ascii="仿宋_GB2312" w:hAnsi="仿宋_GB2312" w:eastAsia="仿宋_GB2312" w:cs="Times New Roman"/>
          <w:b/>
          <w:bCs/>
          <w:color w:val="auto"/>
          <w:kern w:val="2"/>
          <w:sz w:val="32"/>
          <w:szCs w:val="24"/>
          <w:u w:val="none" w:color="FFFFFF"/>
          <w:shd w:val="clear" w:fill="FFFFFF"/>
          <w:lang w:val="en-US" w:eastAsia="zh-CN"/>
        </w:rPr>
        <w:t>救灾补助</w:t>
      </w:r>
      <w:r>
        <w:rPr>
          <w:rFonts w:hint="eastAsia" w:ascii="仿宋_GB2312" w:hAnsi="仿宋_GB2312" w:eastAsia="仿宋_GB2312" w:cs="Times New Roman"/>
          <w:b/>
          <w:bCs/>
          <w:color w:val="auto"/>
          <w:kern w:val="2"/>
          <w:sz w:val="32"/>
          <w:szCs w:val="24"/>
          <w:lang w:val="en-US" w:eastAsia="zh-CN"/>
        </w:rPr>
        <w:t>及恢复重建支出（款）自然灾害救灾补助（项）</w:t>
      </w:r>
      <w:r>
        <w:rPr>
          <w:rFonts w:hint="eastAsia" w:ascii="仿宋_GB2312" w:hAnsi="仿宋_GB2312" w:eastAsia="仿宋_GB2312" w:cs="Times New Roman"/>
          <w:color w:val="auto"/>
          <w:kern w:val="2"/>
          <w:sz w:val="32"/>
          <w:szCs w:val="24"/>
          <w:lang w:val="en-US" w:eastAsia="zh-CN"/>
        </w:rPr>
        <w:t>决算数为6万元，完成预算100%。</w:t>
      </w:r>
    </w:p>
    <w:p>
      <w:pPr>
        <w:keepNext/>
        <w:keepLines/>
        <w:tabs>
          <w:tab w:val="right" w:pos="8306"/>
        </w:tabs>
        <w:spacing w:beforeLines="0" w:afterLines="0" w:line="576" w:lineRule="exact"/>
        <w:ind w:firstLine="640" w:firstLineChars="200"/>
        <w:jc w:val="both"/>
        <w:outlineLvl w:val="1"/>
        <w:rPr>
          <w:rFonts w:hint="default" w:ascii="Cambria" w:hAnsi="Cambria" w:eastAsia="Cambria"/>
          <w:b/>
          <w:color w:val="auto"/>
          <w:kern w:val="2"/>
          <w:sz w:val="32"/>
          <w:szCs w:val="24"/>
          <w:lang w:val="zh-CN"/>
        </w:rPr>
      </w:pPr>
      <w:bookmarkStart w:id="42" w:name="_Toc18682"/>
      <w:bookmarkStart w:id="43" w:name="_Toc3789"/>
      <w:r>
        <w:rPr>
          <w:rFonts w:hint="eastAsia" w:ascii="黑体" w:hAnsi="黑体" w:eastAsia="黑体" w:cs="Times New Roman"/>
          <w:b w:val="0"/>
          <w:bCs w:val="0"/>
          <w:color w:val="000000"/>
          <w:kern w:val="2"/>
          <w:sz w:val="32"/>
          <w:szCs w:val="24"/>
          <w:lang w:val="en-US" w:eastAsia="zh-CN"/>
        </w:rPr>
        <w:t>六、</w:t>
      </w:r>
      <w:r>
        <w:rPr>
          <w:rFonts w:hint="eastAsia" w:ascii="黑体" w:hAnsi="黑体" w:eastAsia="黑体" w:cs="Times New Roman"/>
          <w:b w:val="0"/>
          <w:bCs w:val="0"/>
          <w:color w:val="000000"/>
          <w:kern w:val="2"/>
          <w:sz w:val="32"/>
          <w:szCs w:val="24"/>
          <w:lang w:val="zh-CN" w:eastAsia="zh-CN"/>
        </w:rPr>
        <w:t>一般公共预算财政拨</w:t>
      </w:r>
      <w:r>
        <w:rPr>
          <w:rFonts w:hint="eastAsia" w:ascii="黑体" w:hAnsi="黑体" w:eastAsia="黑体" w:cs="Times New Roman"/>
          <w:b w:val="0"/>
          <w:bCs w:val="0"/>
          <w:color w:val="000000"/>
          <w:kern w:val="2"/>
          <w:sz w:val="32"/>
          <w:szCs w:val="24"/>
          <w:u w:val="none" w:color="FFFFFF"/>
          <w:shd w:val="clear" w:fill="FFFFFF"/>
          <w:lang w:val="zh-CN" w:eastAsia="zh-CN"/>
        </w:rPr>
        <w:t>款</w:t>
      </w:r>
      <w:r>
        <w:rPr>
          <w:rFonts w:hint="eastAsia" w:ascii="黑体" w:hAnsi="黑体" w:eastAsia="黑体" w:cs="Times New Roman"/>
          <w:b w:val="0"/>
          <w:bCs w:val="0"/>
          <w:color w:val="000000"/>
          <w:kern w:val="2"/>
          <w:sz w:val="32"/>
          <w:szCs w:val="24"/>
          <w:lang w:val="zh-CN" w:eastAsia="zh-CN"/>
        </w:rPr>
        <w:t>基本支出决算情况说明</w:t>
      </w:r>
      <w:bookmarkEnd w:id="42"/>
      <w:bookmarkEnd w:id="43"/>
      <w:r>
        <w:rPr>
          <w:rFonts w:hint="eastAsia" w:ascii="黑体" w:hAnsi="黑体" w:eastAsia="黑体" w:cs="Times New Roman"/>
          <w:color w:val="000000"/>
          <w:kern w:val="2"/>
          <w:sz w:val="28"/>
          <w:szCs w:val="28"/>
          <w:lang w:val="zh-CN" w:eastAsia="zh-CN" w:bidi="ar-SA"/>
        </w:rPr>
        <w:tab/>
      </w: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color w:val="auto"/>
          <w:kern w:val="2"/>
          <w:sz w:val="32"/>
          <w:szCs w:val="24"/>
          <w:lang w:val="en-US" w:eastAsia="zh-CN"/>
        </w:rPr>
        <w:t>2022年度一般公共预算财政拨款基本支出1,798.66万元，其中：</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人员经费1,493.89万元，</w:t>
      </w:r>
      <w:r>
        <w:rPr>
          <w:rFonts w:hint="eastAsia" w:ascii="仿宋_GB2312" w:hAnsi="仿宋_GB2312" w:eastAsia="仿宋_GB2312" w:cs="Times New Roman"/>
          <w:color w:val="auto"/>
          <w:kern w:val="2"/>
          <w:sz w:val="32"/>
          <w:szCs w:val="24"/>
          <w:lang w:val="en-US" w:eastAsia="zh-CN"/>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lang w:val="en-US" w:eastAsia="zh-CN"/>
        </w:rPr>
        <w:t>公用经费292.93万元，</w:t>
      </w:r>
      <w:r>
        <w:rPr>
          <w:rFonts w:hint="eastAsia" w:ascii="仿宋_GB2312" w:hAnsi="仿宋_GB2312" w:eastAsia="仿宋_GB2312" w:cs="Times New Roman"/>
          <w:color w:val="auto"/>
          <w:kern w:val="2"/>
          <w:sz w:val="32"/>
          <w:szCs w:val="24"/>
          <w:lang w:val="en-US" w:eastAsia="zh-CN"/>
        </w:rPr>
        <w:t>主要包括：办公费、印刷费、咨询费、手续费、水费、电费、邮电费、取暖费、物业管理费、差旅费、因公出国（境）费用、</w:t>
      </w:r>
      <w:r>
        <w:rPr>
          <w:rFonts w:hint="eastAsia" w:ascii="仿宋_GB2312" w:hAnsi="仿宋_GB2312" w:eastAsia="仿宋_GB2312" w:cs="Times New Roman"/>
          <w:color w:val="auto"/>
          <w:kern w:val="2"/>
          <w:sz w:val="32"/>
          <w:szCs w:val="24"/>
          <w:u w:val="none" w:color="FFFFFF"/>
          <w:shd w:val="clear" w:fill="FFFFFF"/>
          <w:lang w:val="en-US" w:eastAsia="zh-CN"/>
        </w:rPr>
        <w:t>维修</w:t>
      </w:r>
      <w:r>
        <w:rPr>
          <w:rFonts w:hint="eastAsia" w:ascii="仿宋_GB2312" w:hAnsi="仿宋_GB2312" w:eastAsia="仿宋_GB2312" w:cs="Times New Roman"/>
          <w:color w:val="auto"/>
          <w:kern w:val="2"/>
          <w:sz w:val="32"/>
          <w:szCs w:val="24"/>
          <w:lang w:val="en-US" w:eastAsia="zh-CN"/>
        </w:rPr>
        <w:t>（护）费、租赁费、会议费、培训费、公务接待费、劳务费、委托业务费、工会经费、福利费、其他交通费、税金及附加费用、其他商品和服务支出等。</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en-US" w:eastAsia="zh-CN"/>
        </w:rPr>
      </w:pPr>
      <w:r>
        <w:rPr>
          <w:rFonts w:hint="eastAsia" w:ascii="仿宋_GB2312" w:hAnsi="仿宋_GB2312" w:eastAsia="仿宋_GB2312" w:cs="Times New Roman"/>
          <w:b/>
          <w:bCs/>
          <w:color w:val="auto"/>
          <w:kern w:val="2"/>
          <w:sz w:val="32"/>
          <w:szCs w:val="24"/>
          <w:u w:val="none" w:color="FFFFFF"/>
          <w:shd w:val="clear" w:fill="FFFFFF"/>
          <w:lang w:val="en-US" w:eastAsia="zh-CN"/>
        </w:rPr>
        <w:t>对个人和家庭的补助11.84万元，</w:t>
      </w:r>
      <w:r>
        <w:rPr>
          <w:rFonts w:hint="eastAsia" w:ascii="仿宋_GB2312" w:hAnsi="仿宋_GB2312" w:eastAsia="仿宋_GB2312" w:cs="Times New Roman"/>
          <w:color w:val="auto"/>
          <w:kern w:val="2"/>
          <w:sz w:val="32"/>
          <w:szCs w:val="24"/>
          <w:u w:val="none" w:color="FFFFFF"/>
          <w:shd w:val="clear" w:fill="FFFFFF"/>
          <w:lang w:val="en-US" w:eastAsia="zh-CN"/>
        </w:rPr>
        <w:t>主要包括：引进人员生活补助及引进人才补助支出等。</w:t>
      </w:r>
    </w:p>
    <w:p>
      <w:pPr>
        <w:keepNext/>
        <w:keepLines/>
        <w:tabs>
          <w:tab w:val="right" w:pos="8306"/>
        </w:tabs>
        <w:spacing w:beforeLines="0" w:afterLines="0" w:line="576" w:lineRule="exact"/>
        <w:ind w:firstLine="640" w:firstLineChars="200"/>
        <w:jc w:val="both"/>
        <w:outlineLvl w:val="1"/>
        <w:rPr>
          <w:rFonts w:hint="eastAsia" w:ascii="黑体" w:hAnsi="黑体" w:eastAsia="黑体" w:cs="Times New Roman"/>
          <w:b w:val="0"/>
          <w:bCs w:val="0"/>
          <w:color w:val="000000"/>
          <w:kern w:val="2"/>
          <w:sz w:val="32"/>
          <w:szCs w:val="24"/>
          <w:lang w:val="zh-CN" w:eastAsia="zh-CN"/>
        </w:rPr>
      </w:pPr>
      <w:bookmarkStart w:id="44" w:name="_Toc15933"/>
      <w:bookmarkStart w:id="45" w:name="_Toc2307"/>
      <w:r>
        <w:rPr>
          <w:rFonts w:hint="eastAsia" w:ascii="黑体" w:hAnsi="黑体" w:eastAsia="黑体" w:cs="Times New Roman"/>
          <w:b w:val="0"/>
          <w:bCs w:val="0"/>
          <w:color w:val="000000"/>
          <w:kern w:val="2"/>
          <w:sz w:val="32"/>
          <w:szCs w:val="24"/>
          <w:lang w:val="en-US" w:eastAsia="zh-CN"/>
        </w:rPr>
        <w:t>七、</w:t>
      </w:r>
      <w:r>
        <w:rPr>
          <w:rFonts w:hint="eastAsia" w:ascii="黑体" w:hAnsi="黑体" w:eastAsia="黑体" w:cs="Times New Roman"/>
          <w:b w:val="0"/>
          <w:bCs w:val="0"/>
          <w:color w:val="000000"/>
          <w:kern w:val="2"/>
          <w:sz w:val="32"/>
          <w:szCs w:val="24"/>
          <w:lang w:val="zh-CN" w:eastAsia="zh-CN"/>
        </w:rPr>
        <w:t>“三公”经费财政拨款支出决算情况说明</w:t>
      </w:r>
      <w:bookmarkEnd w:id="44"/>
      <w:bookmarkEnd w:id="45"/>
    </w:p>
    <w:p>
      <w:pPr>
        <w:numPr>
          <w:ilvl w:val="0"/>
          <w:numId w:val="0"/>
        </w:numPr>
        <w:spacing w:beforeLines="0" w:afterLines="0" w:line="576" w:lineRule="exact"/>
        <w:ind w:firstLine="643" w:firstLineChars="200"/>
        <w:jc w:val="both"/>
        <w:rPr>
          <w:rFonts w:hint="eastAsia" w:ascii="仿宋_GB2312" w:hAnsi="仿宋_GB2312" w:eastAsia="仿宋_GB2312" w:cs="Times New Roman"/>
          <w:b/>
          <w:bCs/>
          <w:color w:val="000000"/>
          <w:kern w:val="2"/>
          <w:sz w:val="32"/>
          <w:szCs w:val="24"/>
          <w:lang w:val="zh-CN" w:eastAsia="zh-CN"/>
        </w:rPr>
      </w:pPr>
      <w:r>
        <w:rPr>
          <w:rFonts w:hint="eastAsia" w:ascii="仿宋_GB2312" w:hAnsi="仿宋_GB2312" w:eastAsia="仿宋_GB2312" w:cs="Times New Roman"/>
          <w:b/>
          <w:bCs/>
          <w:color w:val="000000"/>
          <w:kern w:val="2"/>
          <w:sz w:val="32"/>
          <w:szCs w:val="24"/>
          <w:lang w:val="en-US" w:eastAsia="zh-CN"/>
        </w:rPr>
        <w:t>（一）</w:t>
      </w:r>
      <w:r>
        <w:rPr>
          <w:rFonts w:hint="eastAsia" w:ascii="仿宋_GB2312" w:hAnsi="仿宋_GB2312" w:eastAsia="仿宋_GB2312" w:cs="Times New Roman"/>
          <w:b/>
          <w:bCs/>
          <w:color w:val="000000"/>
          <w:kern w:val="2"/>
          <w:sz w:val="32"/>
          <w:szCs w:val="24"/>
          <w:lang w:val="zh-CN" w:eastAsia="zh-CN"/>
        </w:rPr>
        <w:t>“三公”经费财政拨款支出决算总体情况说明</w:t>
      </w:r>
    </w:p>
    <w:p>
      <w:pPr>
        <w:numPr>
          <w:ilvl w:val="0"/>
          <w:numId w:val="0"/>
        </w:numPr>
        <w:spacing w:beforeLines="0" w:afterLines="0" w:line="576"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2022年“三公”经费财政拨款支出决算中，因公出国（境）费支出决算0万元，占0%；公务用车购置及运行维护费支出决算8万元，占84.2</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%；公务接待费支出决算1.5</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万元，占15.8%。具体情况如下</w:t>
      </w:r>
      <w:r>
        <w:rPr>
          <w:rFonts w:hint="eastAsia" w:ascii="仿宋_GB2312" w:hAnsi="仿宋_GB2312" w:eastAsia="仿宋_GB2312" w:cs="Times New Roman"/>
          <w:color w:val="auto"/>
          <w:kern w:val="2"/>
          <w:sz w:val="32"/>
          <w:szCs w:val="24"/>
          <w:u w:val="none" w:color="FFFFFF"/>
          <w:shd w:val="clear" w:fill="FFFFFF"/>
          <w:lang w:val="zh-CN" w:eastAsia="zh-CN"/>
        </w:rPr>
        <w:t>：</w:t>
      </w:r>
    </w:p>
    <w:p>
      <w:pPr>
        <w:numPr>
          <w:ilvl w:val="0"/>
          <w:numId w:val="1"/>
        </w:numPr>
        <w:ind w:firstLine="643" w:firstLineChars="200"/>
        <w:jc w:val="left"/>
        <w:rPr>
          <w:rFonts w:hint="eastAsia" w:ascii="仿宋_GB2312" w:hAnsi="仿宋_GB2312" w:eastAsia="仿宋_GB2312"/>
          <w:b/>
          <w:bCs/>
          <w:color w:val="000000"/>
          <w:kern w:val="2"/>
          <w:sz w:val="32"/>
          <w:szCs w:val="24"/>
          <w:lang w:val="zh-CN" w:eastAsia="zh-CN"/>
        </w:rPr>
      </w:pPr>
      <w:r>
        <w:rPr>
          <w:rFonts w:hint="eastAsia" w:ascii="仿宋_GB2312" w:hAnsi="仿宋_GB2312" w:eastAsia="仿宋_GB2312"/>
          <w:b/>
          <w:bCs/>
          <w:color w:val="000000"/>
          <w:kern w:val="2"/>
          <w:sz w:val="32"/>
          <w:szCs w:val="24"/>
          <w:lang w:val="en-US" w:eastAsia="zh-CN"/>
        </w:rPr>
        <w:t>“</w:t>
      </w:r>
      <w:r>
        <w:rPr>
          <w:rFonts w:hint="eastAsia" w:ascii="仿宋_GB2312" w:hAnsi="仿宋_GB2312" w:eastAsia="仿宋_GB2312"/>
          <w:b/>
          <w:bCs/>
          <w:color w:val="000000"/>
          <w:kern w:val="2"/>
          <w:sz w:val="32"/>
          <w:szCs w:val="24"/>
          <w:lang w:val="zh-CN" w:eastAsia="zh-CN"/>
        </w:rPr>
        <w:t>三公”经费财政拨款支出决算具体情况说明</w:t>
      </w:r>
    </w:p>
    <w:p>
      <w:pPr>
        <w:numPr>
          <w:ilvl w:val="0"/>
          <w:numId w:val="0"/>
        </w:numPr>
        <w:spacing w:beforeLines="0" w:afterLines="0" w:line="576"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2022年“三公”经费财政拨款支出决算中，因公出国（境）费支出决算0万元，占0%；公务用车购置及运行维护费支出决算8万元，占84.2</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%；公务接待费支出决算1.5</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万元，占15.8</w:t>
      </w:r>
      <w:r>
        <w:rPr>
          <w:rFonts w:hint="eastAsia" w:ascii="仿宋_GB2312" w:hAnsi="仿宋_GB2312" w:eastAsia="仿宋_GB2312" w:cs="Times New Roman"/>
          <w:color w:val="auto"/>
          <w:kern w:val="2"/>
          <w:sz w:val="32"/>
          <w:szCs w:val="24"/>
          <w:lang w:val="en-US" w:eastAsia="zh-CN"/>
        </w:rPr>
        <w:t>0</w:t>
      </w:r>
      <w:r>
        <w:rPr>
          <w:rFonts w:hint="eastAsia" w:ascii="仿宋_GB2312" w:hAnsi="仿宋_GB2312" w:eastAsia="仿宋_GB2312" w:cs="Times New Roman"/>
          <w:color w:val="auto"/>
          <w:kern w:val="2"/>
          <w:sz w:val="32"/>
          <w:szCs w:val="24"/>
          <w:lang w:val="zh-CN" w:eastAsia="zh-CN"/>
        </w:rPr>
        <w:t>%。具体情况如下</w:t>
      </w:r>
      <w:r>
        <w:rPr>
          <w:rFonts w:hint="eastAsia" w:ascii="仿宋_GB2312" w:hAnsi="仿宋_GB2312" w:eastAsia="仿宋_GB2312" w:cs="Times New Roman"/>
          <w:color w:val="auto"/>
          <w:kern w:val="2"/>
          <w:sz w:val="32"/>
          <w:szCs w:val="24"/>
          <w:u w:val="none" w:color="FFFFFF"/>
          <w:shd w:val="clear" w:fill="FFFFFF"/>
          <w:lang w:val="zh-CN" w:eastAsia="zh-CN"/>
        </w:rPr>
        <w:t>：</w:t>
      </w:r>
    </w:p>
    <w:p>
      <w:pPr>
        <w:bidi w:val="0"/>
        <w:jc w:val="left"/>
      </w:pPr>
    </w:p>
    <w:p>
      <w:pPr>
        <w:pStyle w:val="2"/>
      </w:pPr>
      <w:r>
        <w:rPr>
          <w:rFonts w:hint="eastAsia"/>
          <w:lang w:val="en-US" w:eastAsia="zh-CN"/>
        </w:rPr>
        <w:t xml:space="preserve">        </w:t>
      </w:r>
      <w:r>
        <w:drawing>
          <wp:inline distT="0" distB="0" distL="114300" distR="114300">
            <wp:extent cx="4436110" cy="2371725"/>
            <wp:effectExtent l="4445" t="4445" r="17145" b="5080"/>
            <wp:docPr id="2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0"/>
          <w:szCs w:val="30"/>
          <w:lang w:val="zh-CN" w:eastAsia="zh-CN"/>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zh-CN"/>
        </w:rPr>
        <w:t>因公出国（境）经费</w:t>
      </w:r>
      <w:r>
        <w:rPr>
          <w:rFonts w:hint="eastAsia" w:ascii="仿宋_GB2312" w:hAnsi="仿宋_GB2312" w:eastAsia="仿宋_GB2312" w:cs="Times New Roman"/>
          <w:color w:val="auto"/>
          <w:kern w:val="2"/>
          <w:sz w:val="32"/>
          <w:szCs w:val="24"/>
          <w:lang w:val="zh-CN" w:eastAsia="zh-CN"/>
        </w:rPr>
        <w:t>支出0万元，完成预算0%。</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s="Times New Roman"/>
          <w:color w:val="auto"/>
          <w:kern w:val="2"/>
          <w:sz w:val="32"/>
          <w:szCs w:val="24"/>
          <w:lang w:val="zh-CN" w:eastAsia="zh-CN"/>
        </w:rPr>
        <w:t>支出8万元，完成预算100%。公务用车购置及运行维护费支出决算比2021年增加8万元，增长100%。主要原因是去年没有预算公务用车购置及运行维护费支出。</w:t>
      </w: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s="Times New Roman"/>
          <w:color w:val="auto"/>
          <w:kern w:val="2"/>
          <w:sz w:val="32"/>
          <w:szCs w:val="24"/>
          <w:lang w:val="zh-CN" w:eastAsia="zh-CN"/>
        </w:rPr>
        <w:t>支出0万元。全年按规定更新购置公务用车0辆。</w:t>
      </w:r>
    </w:p>
    <w:p>
      <w:pPr>
        <w:numPr>
          <w:ilvl w:val="0"/>
          <w:numId w:val="0"/>
        </w:numPr>
        <w:spacing w:beforeLines="0" w:afterLines="0" w:line="600" w:lineRule="exact"/>
        <w:ind w:firstLine="643"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s="Times New Roman"/>
          <w:color w:val="auto"/>
          <w:kern w:val="2"/>
          <w:sz w:val="32"/>
          <w:szCs w:val="24"/>
          <w:lang w:val="zh-CN" w:eastAsia="zh-CN"/>
        </w:rPr>
        <w:t>支出8万元。主要用于</w:t>
      </w:r>
      <w:r>
        <w:rPr>
          <w:rFonts w:hint="eastAsia" w:ascii="仿宋_GB2312" w:hAnsi="仿宋_GB2312" w:eastAsia="仿宋_GB2312" w:cs="Times New Roman"/>
          <w:color w:val="auto"/>
          <w:kern w:val="2"/>
          <w:sz w:val="32"/>
          <w:szCs w:val="24"/>
          <w:lang w:val="en-US" w:eastAsia="zh-CN"/>
        </w:rPr>
        <w:t>执行公务</w:t>
      </w:r>
      <w:r>
        <w:rPr>
          <w:rFonts w:hint="eastAsia" w:ascii="仿宋_GB2312" w:hAnsi="仿宋_GB2312" w:eastAsia="仿宋_GB2312" w:cs="Times New Roman"/>
          <w:color w:val="auto"/>
          <w:kern w:val="2"/>
          <w:sz w:val="32"/>
          <w:szCs w:val="24"/>
          <w:lang w:val="zh-CN" w:eastAsia="zh-CN"/>
        </w:rPr>
        <w:t>所需的公务用车燃料费、维修费、过路过桥费、保险费等支出。</w:t>
      </w: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kern w:val="2"/>
          <w:sz w:val="32"/>
          <w:szCs w:val="24"/>
          <w:lang w:val="zh-CN" w:eastAsia="zh-CN"/>
        </w:rPr>
      </w:pPr>
      <w:r>
        <w:rPr>
          <w:rFonts w:hint="eastAsia" w:ascii="仿宋_GB2312" w:hAnsi="仿宋_GB2312" w:eastAsia="仿宋_GB2312" w:cs="Times New Roman"/>
          <w:color w:val="auto"/>
          <w:kern w:val="2"/>
          <w:sz w:val="32"/>
          <w:szCs w:val="24"/>
          <w:lang w:val="zh-CN" w:eastAsia="zh-CN"/>
        </w:rPr>
        <w:t>截至2022年12月底，</w:t>
      </w:r>
      <w:r>
        <w:rPr>
          <w:rFonts w:hint="eastAsia" w:ascii="仿宋_GB2312" w:hAnsi="仿宋_GB2312" w:eastAsia="仿宋_GB2312" w:cs="Times New Roman"/>
          <w:color w:val="auto"/>
          <w:kern w:val="2"/>
          <w:sz w:val="32"/>
          <w:szCs w:val="24"/>
          <w:lang w:val="en-US" w:eastAsia="zh-CN"/>
        </w:rPr>
        <w:t>公务用车保有量为1辆</w:t>
      </w:r>
      <w:r>
        <w:rPr>
          <w:rFonts w:hint="eastAsia" w:ascii="仿宋_GB2312" w:hAnsi="仿宋_GB2312" w:eastAsia="仿宋_GB2312" w:cs="Times New Roman"/>
          <w:color w:val="auto"/>
          <w:kern w:val="2"/>
          <w:sz w:val="32"/>
          <w:szCs w:val="24"/>
          <w:lang w:val="zh-CN" w:eastAsia="zh-CN"/>
        </w:rPr>
        <w:t>，其中</w:t>
      </w:r>
      <w:r>
        <w:rPr>
          <w:rFonts w:hint="eastAsia" w:ascii="仿宋_GB2312" w:hAnsi="仿宋_GB2312" w:eastAsia="仿宋_GB2312" w:cs="Times New Roman"/>
          <w:color w:val="auto"/>
          <w:kern w:val="2"/>
          <w:sz w:val="32"/>
          <w:szCs w:val="24"/>
          <w:u w:val="none" w:color="FFFFFF"/>
          <w:shd w:val="clear" w:fill="FFFFFF"/>
          <w:lang w:val="zh-CN" w:eastAsia="zh-CN"/>
        </w:rPr>
        <w:t>：</w:t>
      </w:r>
      <w:r>
        <w:rPr>
          <w:rFonts w:hint="eastAsia" w:ascii="仿宋_GB2312" w:hAnsi="仿宋_GB2312" w:eastAsia="仿宋_GB2312" w:cs="Times New Roman"/>
          <w:color w:val="auto"/>
          <w:kern w:val="2"/>
          <w:sz w:val="32"/>
          <w:szCs w:val="24"/>
          <w:lang w:val="zh-CN" w:eastAsia="zh-CN"/>
        </w:rPr>
        <w:t>越野车</w:t>
      </w:r>
      <w:r>
        <w:rPr>
          <w:rFonts w:hint="eastAsia" w:ascii="仿宋_GB2312" w:hAnsi="仿宋_GB2312" w:eastAsia="仿宋_GB2312" w:cs="Times New Roman"/>
          <w:color w:val="auto"/>
          <w:kern w:val="2"/>
          <w:sz w:val="32"/>
          <w:szCs w:val="24"/>
          <w:lang w:val="en-US" w:eastAsia="zh-CN"/>
        </w:rPr>
        <w:t>1</w:t>
      </w:r>
      <w:r>
        <w:rPr>
          <w:rFonts w:hint="eastAsia" w:ascii="仿宋_GB2312" w:hAnsi="仿宋_GB2312" w:eastAsia="仿宋_GB2312" w:cs="Times New Roman"/>
          <w:color w:val="auto"/>
          <w:kern w:val="2"/>
          <w:sz w:val="32"/>
          <w:szCs w:val="24"/>
          <w:lang w:val="zh-CN" w:eastAsia="zh-CN"/>
        </w:rPr>
        <w:t>辆。</w:t>
      </w:r>
    </w:p>
    <w:p>
      <w:pPr>
        <w:numPr>
          <w:ilvl w:val="0"/>
          <w:numId w:val="0"/>
        </w:numPr>
        <w:spacing w:beforeLines="0" w:afterLines="0" w:line="600"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zh-CN"/>
        </w:rPr>
        <w:t>公务接待费</w:t>
      </w:r>
      <w:r>
        <w:rPr>
          <w:rFonts w:hint="eastAsia" w:ascii="仿宋_GB2312" w:hAnsi="仿宋_GB2312" w:eastAsia="仿宋_GB2312"/>
          <w:color w:val="000000"/>
          <w:kern w:val="2"/>
          <w:sz w:val="32"/>
          <w:szCs w:val="24"/>
          <w:lang w:val="zh-CN"/>
        </w:rPr>
        <w:t>支出1.5万元，完成预算100%。公务接待费支出决算比2021年减少1万元，主要原因是我镇落实厉行节约有关规定，进一步规范“三公”经费管理，从严控制“三公”经费开支。其中</w:t>
      </w:r>
      <w:r>
        <w:rPr>
          <w:rFonts w:hint="eastAsia" w:ascii="仿宋_GB2312" w:hAnsi="仿宋_GB2312" w:eastAsia="仿宋_GB2312"/>
          <w:color w:val="000000"/>
          <w:kern w:val="2"/>
          <w:sz w:val="32"/>
          <w:szCs w:val="24"/>
          <w:u w:val="none" w:color="FFFFFF"/>
          <w:shd w:val="clear" w:fill="FFFFFF"/>
          <w:lang w:val="zh-CN"/>
        </w:rPr>
        <w:t>：</w:t>
      </w:r>
    </w:p>
    <w:p>
      <w:pPr>
        <w:numPr>
          <w:ilvl w:val="0"/>
          <w:numId w:val="0"/>
        </w:numPr>
        <w:spacing w:beforeLines="0" w:afterLines="0" w:line="600" w:lineRule="exact"/>
        <w:ind w:firstLine="643" w:firstLineChars="200"/>
        <w:jc w:val="both"/>
        <w:rPr>
          <w:rFonts w:hint="eastAsia" w:ascii="仿宋_GB2312" w:hAnsi="仿宋_GB2312" w:eastAsia="仿宋_GB2312"/>
          <w:color w:val="auto"/>
          <w:kern w:val="2"/>
          <w:sz w:val="32"/>
          <w:szCs w:val="24"/>
          <w:lang w:val="zh-CN"/>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支出1.5万元，国内公务接待27批次，215人次，</w:t>
      </w:r>
      <w:r>
        <w:rPr>
          <w:rFonts w:hint="eastAsia" w:ascii="仿宋_GB2312" w:hAnsi="仿宋_GB2312" w:eastAsia="仿宋_GB2312"/>
          <w:color w:val="auto"/>
          <w:kern w:val="2"/>
          <w:sz w:val="32"/>
          <w:szCs w:val="24"/>
          <w:lang w:val="zh-CN"/>
        </w:rPr>
        <w:t>主要用于乡村振兴衔接工作指导、信访维稳等各项工作协调、执行任务等国内公务接待，公务接待费支出决算比2021年减少1万元，主要原因是我镇落实厉行节约有关规定，进一步规范“三公”经费管理，从严控制“三公”经费开支。</w:t>
      </w:r>
      <w:bookmarkEnd w:id="38"/>
      <w:bookmarkEnd w:id="39"/>
    </w:p>
    <w:p>
      <w:pPr>
        <w:keepNext/>
        <w:keepLines/>
        <w:spacing w:beforeLines="0" w:afterLines="0" w:line="576"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w:t>
      </w:r>
    </w:p>
    <w:p>
      <w:pPr>
        <w:keepNext/>
        <w:keepLines/>
        <w:spacing w:beforeLines="0" w:afterLines="0" w:line="576" w:lineRule="exact"/>
        <w:ind w:firstLine="640" w:firstLineChars="200"/>
        <w:jc w:val="both"/>
        <w:outlineLvl w:val="1"/>
        <w:rPr>
          <w:rFonts w:hint="eastAsia" w:ascii="黑体" w:hAnsi="黑体" w:eastAsia="黑体"/>
          <w:b/>
          <w:color w:val="auto"/>
          <w:kern w:val="2"/>
          <w:sz w:val="32"/>
          <w:szCs w:val="24"/>
          <w:lang w:val="zh-CN"/>
        </w:rPr>
      </w:pPr>
      <w:bookmarkStart w:id="46" w:name="_Toc6107"/>
      <w:bookmarkStart w:id="47" w:name="_Toc25335"/>
      <w:r>
        <w:rPr>
          <w:rFonts w:hint="eastAsia" w:ascii="黑体" w:hAnsi="黑体" w:eastAsia="黑体"/>
          <w:color w:val="000000"/>
          <w:kern w:val="2"/>
          <w:sz w:val="32"/>
          <w:szCs w:val="24"/>
          <w:lang w:val="en-US" w:eastAsia="zh-CN"/>
        </w:rPr>
        <w:t>八</w:t>
      </w:r>
      <w:r>
        <w:rPr>
          <w:rFonts w:hint="eastAsia" w:ascii="黑体" w:hAnsi="黑体" w:eastAsia="黑体"/>
          <w:color w:val="000000"/>
          <w:kern w:val="2"/>
          <w:sz w:val="32"/>
          <w:szCs w:val="24"/>
          <w:lang w:val="zh-CN"/>
        </w:rPr>
        <w:t>、</w:t>
      </w:r>
      <w:r>
        <w:rPr>
          <w:rFonts w:hint="eastAsia" w:ascii="黑体" w:hAnsi="黑体" w:eastAsia="黑体"/>
          <w:color w:val="auto"/>
          <w:kern w:val="2"/>
          <w:sz w:val="32"/>
          <w:szCs w:val="24"/>
          <w:lang w:val="zh-CN"/>
        </w:rPr>
        <w:t>政府性基金预算支出决算情况说明</w:t>
      </w:r>
      <w:bookmarkEnd w:id="46"/>
      <w:bookmarkEnd w:id="47"/>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2022年政府性基金预算拨款支出10万元，用于社会福利的彩票公益金支出。</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48" w:name="_Toc2968"/>
      <w:bookmarkStart w:id="49" w:name="_Toc10728"/>
      <w:r>
        <w:rPr>
          <w:rFonts w:hint="eastAsia" w:ascii="黑体" w:hAnsi="黑体" w:eastAsia="黑体"/>
          <w:color w:val="auto"/>
          <w:kern w:val="2"/>
          <w:sz w:val="32"/>
          <w:szCs w:val="24"/>
          <w:lang w:val="en-US" w:eastAsia="zh-CN"/>
        </w:rPr>
        <w:t>九</w:t>
      </w:r>
      <w:r>
        <w:rPr>
          <w:rFonts w:hint="eastAsia" w:ascii="黑体" w:hAnsi="黑体" w:eastAsia="黑体"/>
          <w:color w:val="auto"/>
          <w:kern w:val="2"/>
          <w:sz w:val="32"/>
          <w:szCs w:val="24"/>
          <w:lang w:val="zh-CN"/>
        </w:rPr>
        <w:t>、国有资本经营预算支出决算情况说明</w:t>
      </w:r>
      <w:bookmarkEnd w:id="48"/>
      <w:bookmarkEnd w:id="49"/>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beforeLines="0" w:afterLines="0" w:line="576" w:lineRule="exact"/>
        <w:ind w:firstLine="640"/>
        <w:jc w:val="both"/>
        <w:outlineLvl w:val="1"/>
        <w:rPr>
          <w:rFonts w:hint="eastAsia" w:ascii="黑体" w:hAnsi="黑体" w:eastAsia="黑体"/>
          <w:b/>
          <w:color w:val="auto"/>
          <w:kern w:val="2"/>
          <w:sz w:val="32"/>
          <w:szCs w:val="24"/>
          <w:lang w:val="zh-CN"/>
        </w:rPr>
      </w:pPr>
      <w:bookmarkStart w:id="50" w:name="_Toc30132"/>
      <w:bookmarkStart w:id="51" w:name="_Toc32123"/>
      <w:r>
        <w:rPr>
          <w:rFonts w:hint="eastAsia" w:ascii="黑体" w:hAnsi="黑体" w:eastAsia="黑体"/>
          <w:color w:val="000000"/>
          <w:kern w:val="2"/>
          <w:sz w:val="32"/>
          <w:szCs w:val="24"/>
          <w:lang w:val="en-US" w:eastAsia="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bookmarkEnd w:id="50"/>
      <w:bookmarkEnd w:id="51"/>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olor w:val="auto"/>
          <w:kern w:val="2"/>
          <w:sz w:val="32"/>
          <w:szCs w:val="24"/>
          <w:u w:val="none" w:color="FFFFFF"/>
          <w:shd w:val="clear" w:fill="FFFFFF"/>
          <w:lang w:val="zh-CN"/>
        </w:rPr>
        <w:t>2022年</w:t>
      </w:r>
      <w:r>
        <w:rPr>
          <w:rFonts w:hint="eastAsia" w:ascii="仿宋_GB2312" w:hAnsi="仿宋_GB2312" w:eastAsia="仿宋_GB2312"/>
          <w:color w:val="auto"/>
          <w:kern w:val="2"/>
          <w:sz w:val="32"/>
          <w:szCs w:val="24"/>
          <w:u w:val="none" w:color="FFFFFF"/>
          <w:shd w:val="clear" w:fill="FFFFFF"/>
          <w:lang w:val="en-US" w:eastAsia="zh-CN"/>
        </w:rPr>
        <w:t>机关运行经费支出292.93万元，</w:t>
      </w:r>
      <w:r>
        <w:rPr>
          <w:rFonts w:hint="eastAsia" w:ascii="仿宋_GB2312" w:hAnsi="仿宋_GB2312" w:eastAsia="仿宋_GB2312" w:cs="仿宋_GB2312"/>
          <w:bCs/>
          <w:sz w:val="32"/>
          <w:szCs w:val="32"/>
          <w:u w:val="none" w:color="FFFFFF"/>
          <w:shd w:val="clear" w:fill="FFFFFF"/>
        </w:rPr>
        <w:t>办公及印刷费、邮电费、差旅费、会议费、福利费、日常维修费、一般设备购置费、办公用房水电费、公务用车运行维护费以及其他费用。</w:t>
      </w:r>
    </w:p>
    <w:p>
      <w:pPr>
        <w:keepNext/>
        <w:keepLines/>
        <w:spacing w:beforeLines="0" w:afterLines="0" w:line="576" w:lineRule="exact"/>
        <w:ind w:firstLine="643" w:firstLineChars="2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szCs w:val="24"/>
          <w:highlight w:val="white"/>
          <w:lang w:val="zh-CN"/>
        </w:rPr>
      </w:pPr>
      <w:r>
        <w:rPr>
          <w:rFonts w:hint="eastAsia" w:ascii="仿宋_GB2312" w:hAnsi="仿宋_GB2312" w:eastAsia="仿宋_GB2312"/>
          <w:color w:val="000000"/>
          <w:kern w:val="2"/>
          <w:sz w:val="32"/>
          <w:szCs w:val="24"/>
          <w:u w:val="none" w:color="FFFFFF"/>
          <w:shd w:val="clear" w:fill="FFFFFF"/>
          <w:lang w:val="zh-CN"/>
        </w:rPr>
        <w:t>2022年，通江县诺江镇人民政府政府采购支出总额8.6万元，其中：政府采购货物支出5.6万元，主要用于</w:t>
      </w:r>
      <w:r>
        <w:rPr>
          <w:rFonts w:hint="eastAsia" w:ascii="仿宋_GB2312" w:hAnsi="仿宋_GB2312" w:eastAsia="仿宋_GB2312"/>
          <w:color w:val="000000"/>
          <w:kern w:val="2"/>
          <w:sz w:val="32"/>
          <w:szCs w:val="24"/>
          <w:highlight w:val="white"/>
          <w:u w:val="none" w:color="FFFFFF"/>
          <w:shd w:val="clear" w:fill="FFFFFF"/>
          <w:lang w:val="en-US" w:eastAsia="zh-CN"/>
        </w:rPr>
        <w:t>电脑、打印机、空调采购等办公设备购置；</w:t>
      </w:r>
      <w:r>
        <w:rPr>
          <w:rFonts w:hint="eastAsia" w:ascii="仿宋_GB2312" w:hAnsi="仿宋_GB2312" w:eastAsia="仿宋_GB2312"/>
          <w:color w:val="000000"/>
          <w:kern w:val="2"/>
          <w:sz w:val="32"/>
          <w:szCs w:val="24"/>
          <w:lang w:val="zh-CN"/>
        </w:rPr>
        <w:t>政府采购</w:t>
      </w:r>
      <w:r>
        <w:rPr>
          <w:rFonts w:hint="eastAsia" w:ascii="仿宋_GB2312" w:hAnsi="仿宋_GB2312" w:eastAsia="仿宋_GB2312"/>
          <w:color w:val="000000"/>
          <w:kern w:val="2"/>
          <w:sz w:val="32"/>
          <w:szCs w:val="24"/>
          <w:u w:val="none" w:color="FFFFFF"/>
          <w:shd w:val="clear" w:fill="FFFFFF"/>
          <w:lang w:val="zh-CN"/>
        </w:rPr>
        <w:t>服务费</w:t>
      </w:r>
      <w:r>
        <w:rPr>
          <w:rFonts w:hint="eastAsia" w:ascii="仿宋_GB2312" w:hAnsi="仿宋_GB2312" w:eastAsia="仿宋_GB2312"/>
          <w:color w:val="000000"/>
          <w:kern w:val="2"/>
          <w:sz w:val="32"/>
          <w:szCs w:val="24"/>
          <w:lang w:val="zh-CN"/>
        </w:rPr>
        <w:t>支出3万元，</w:t>
      </w:r>
      <w:r>
        <w:rPr>
          <w:rFonts w:hint="eastAsia" w:ascii="仿宋_GB2312" w:hAnsi="仿宋_GB2312" w:eastAsia="仿宋_GB2312"/>
          <w:color w:val="000000"/>
          <w:kern w:val="2"/>
          <w:sz w:val="32"/>
          <w:szCs w:val="24"/>
          <w:lang w:val="en-US" w:eastAsia="zh-CN"/>
        </w:rPr>
        <w:t>主要是法律服务费支出</w:t>
      </w:r>
      <w:r>
        <w:rPr>
          <w:rFonts w:hint="eastAsia" w:ascii="仿宋_GB2312" w:hAnsi="仿宋_GB2312" w:eastAsia="仿宋_GB2312"/>
          <w:color w:val="000000"/>
          <w:kern w:val="2"/>
          <w:sz w:val="32"/>
          <w:szCs w:val="24"/>
          <w:highlight w:val="white"/>
          <w:lang w:val="zh-CN"/>
        </w:rPr>
        <w:t>。</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en-US" w:eastAsia="zh-CN"/>
        </w:rPr>
        <w:t>三）</w:t>
      </w:r>
      <w:r>
        <w:rPr>
          <w:rFonts w:hint="eastAsia" w:ascii="仿宋_GB2312" w:hAnsi="仿宋_GB2312" w:eastAsia="仿宋_GB2312"/>
          <w:b/>
          <w:color w:val="000000"/>
          <w:kern w:val="2"/>
          <w:sz w:val="32"/>
          <w:szCs w:val="24"/>
          <w:lang w:val="zh-CN"/>
        </w:rPr>
        <w:t>国有资产占</w:t>
      </w:r>
      <w:r>
        <w:rPr>
          <w:rFonts w:hint="eastAsia" w:ascii="仿宋_GB2312" w:hAnsi="仿宋_GB2312" w:eastAsia="仿宋_GB2312"/>
          <w:b/>
          <w:color w:val="000000"/>
          <w:kern w:val="2"/>
          <w:sz w:val="32"/>
          <w:szCs w:val="24"/>
          <w:u w:val="none" w:color="FFFFFF"/>
          <w:shd w:val="clear" w:fill="FFFFFF"/>
          <w:lang w:val="zh-CN"/>
        </w:rPr>
        <w:t>有</w:t>
      </w:r>
      <w:r>
        <w:rPr>
          <w:rFonts w:hint="eastAsia" w:ascii="仿宋_GB2312" w:hAnsi="仿宋_GB2312" w:eastAsia="仿宋_GB2312"/>
          <w:b/>
          <w:color w:val="000000"/>
          <w:kern w:val="2"/>
          <w:sz w:val="32"/>
          <w:szCs w:val="24"/>
          <w:lang w:val="zh-CN"/>
        </w:rPr>
        <w:t>使用情况</w:t>
      </w:r>
    </w:p>
    <w:p>
      <w:pPr>
        <w:spacing w:beforeLines="0" w:afterLines="0" w:line="576" w:lineRule="exact"/>
        <w:ind w:firstLine="640"/>
        <w:jc w:val="both"/>
        <w:rPr>
          <w:rFonts w:hint="default"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截至2022年12月31日，我镇国有资产原值合计857.28万元，其中：1.固定资产837.78万元，固定资产累计折旧514.95万元，固定资产净值322.83万元，分别是办公房屋及构建物5,642.95万元、专用设备102万元、通用设备132.36万元、家具、用具、装具及动植物39.13万元；2.无形资产19.50万元，无形资产累计摊销19.50万元，无形资产净值为0万元。</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szCs w:val="24"/>
          <w:lang w:val="zh-CN" w:eastAsia="zh-CN"/>
        </w:rPr>
      </w:pPr>
      <w:r>
        <w:rPr>
          <w:rFonts w:hint="eastAsia" w:ascii="仿宋_GB2312" w:hAnsi="仿宋_GB2312" w:eastAsia="仿宋_GB2312"/>
          <w:b/>
          <w:color w:val="000000"/>
          <w:kern w:val="2"/>
          <w:sz w:val="32"/>
          <w:szCs w:val="24"/>
          <w:lang w:val="en-US" w:eastAsia="zh-CN"/>
        </w:rPr>
        <w:t>（四）</w:t>
      </w:r>
      <w:r>
        <w:rPr>
          <w:rFonts w:hint="eastAsia" w:ascii="仿宋_GB2312" w:hAnsi="仿宋_GB2312" w:eastAsia="仿宋_GB2312"/>
          <w:b/>
          <w:color w:val="000000"/>
          <w:kern w:val="2"/>
          <w:sz w:val="32"/>
          <w:szCs w:val="24"/>
          <w:lang w:val="zh-CN" w:eastAsia="zh-CN"/>
        </w:rPr>
        <w:t>预算绩效管理情况</w:t>
      </w:r>
    </w:p>
    <w:p>
      <w:pPr>
        <w:spacing w:beforeLines="0" w:afterLines="0" w:line="576" w:lineRule="exact"/>
        <w:ind w:firstLine="640"/>
        <w:jc w:val="both"/>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根据预算绩效管理要求，本部门在2022年度预算编制阶段，组织对2022年一般公共预算项目支出34个项目开展了预算事前绩效评估，对34个项目编制了绩效目标，预算执行过程中，选取34个项目开展绩效监控，涉及财政资金3,783.40万元，覆盖率达到100%。</w:t>
      </w:r>
    </w:p>
    <w:p>
      <w:pPr>
        <w:spacing w:beforeLines="0" w:afterLines="0" w:line="576" w:lineRule="exact"/>
        <w:ind w:firstLine="640"/>
        <w:jc w:val="both"/>
        <w:rPr>
          <w:rFonts w:hint="eastAsia" w:ascii="仿宋_GB2312" w:hAnsi="仿宋_GB2312" w:eastAsia="仿宋_GB2312" w:cs="Times New Roman"/>
          <w:color w:val="000000"/>
          <w:kern w:val="2"/>
          <w:sz w:val="32"/>
          <w:szCs w:val="24"/>
          <w:lang w:val="zh-CN" w:eastAsia="zh-CN"/>
        </w:rPr>
      </w:pPr>
      <w:r>
        <w:rPr>
          <w:rFonts w:hint="eastAsia" w:ascii="仿宋_GB2312" w:hAnsi="仿宋_GB2312" w:eastAsia="仿宋_GB2312" w:cs="Times New Roman"/>
          <w:color w:val="000000"/>
          <w:kern w:val="2"/>
          <w:sz w:val="32"/>
          <w:szCs w:val="24"/>
          <w:lang w:val="en-US" w:eastAsia="zh-CN"/>
        </w:rPr>
        <w:t>组织对2022年度一般公共预算、政府性基金预算等全面开展绩效自评，形成部门整体绩效自评报告、34个预算项目绩效自评报告，其中，部门整体绩效自评得分为90分，绩效自评综述：1.贯彻落实好党的各项方针政策。2.完成全镇财政收支目标任务，保工资、保政府运转、保民生工程。2.确保预算资金全方位、全过程、全覆盖绩效管理。3.为民服务，发展地方经济，确保</w:t>
      </w:r>
      <w:r>
        <w:rPr>
          <w:rFonts w:hint="eastAsia" w:ascii="仿宋_GB2312" w:hAnsi="仿宋_GB2312" w:eastAsia="仿宋_GB2312" w:cs="Times New Roman"/>
          <w:color w:val="000000"/>
          <w:kern w:val="2"/>
          <w:sz w:val="32"/>
          <w:szCs w:val="24"/>
          <w:u w:val="none" w:color="FFFFFF"/>
          <w:shd w:val="clear" w:fill="FFFFFF"/>
          <w:lang w:val="en-US" w:eastAsia="zh-CN"/>
        </w:rPr>
        <w:t>脱贫攻坚</w:t>
      </w:r>
      <w:r>
        <w:rPr>
          <w:rFonts w:hint="eastAsia" w:ascii="仿宋_GB2312" w:hAnsi="仿宋_GB2312" w:eastAsia="仿宋_GB2312" w:cs="Times New Roman"/>
          <w:color w:val="000000"/>
          <w:kern w:val="2"/>
          <w:sz w:val="32"/>
          <w:szCs w:val="24"/>
          <w:lang w:val="en-US" w:eastAsia="zh-CN"/>
        </w:rPr>
        <w:t>任务全面完成。4.</w:t>
      </w:r>
      <w:r>
        <w:rPr>
          <w:rFonts w:hint="eastAsia" w:ascii="仿宋_GB2312" w:hAnsi="仿宋_GB2312" w:eastAsia="仿宋_GB2312" w:cs="Times New Roman"/>
          <w:color w:val="000000"/>
          <w:kern w:val="2"/>
          <w:sz w:val="32"/>
          <w:szCs w:val="24"/>
          <w:u w:val="none" w:color="FFFFFF"/>
          <w:shd w:val="clear" w:fill="FFFFFF"/>
          <w:lang w:val="en-US" w:eastAsia="zh-CN"/>
        </w:rPr>
        <w:t>确保</w:t>
      </w:r>
      <w:r>
        <w:rPr>
          <w:rFonts w:hint="eastAsia" w:ascii="仿宋_GB2312" w:hAnsi="仿宋_GB2312" w:eastAsia="仿宋_GB2312" w:cs="Times New Roman"/>
          <w:color w:val="000000"/>
          <w:kern w:val="2"/>
          <w:sz w:val="32"/>
          <w:szCs w:val="24"/>
          <w:lang w:val="en-US" w:eastAsia="zh-CN"/>
        </w:rPr>
        <w:t>涉农资金全面兑现。4.</w:t>
      </w:r>
      <w:r>
        <w:rPr>
          <w:rFonts w:hint="eastAsia" w:ascii="仿宋_GB2312" w:hAnsi="仿宋_GB2312" w:eastAsia="仿宋_GB2312" w:cs="Times New Roman"/>
          <w:color w:val="000000"/>
          <w:kern w:val="2"/>
          <w:sz w:val="32"/>
          <w:szCs w:val="24"/>
          <w:u w:val="none" w:color="FFFFFF"/>
          <w:shd w:val="clear" w:fill="FFFFFF"/>
          <w:lang w:val="en-US" w:eastAsia="zh-CN"/>
        </w:rPr>
        <w:t>确保</w:t>
      </w:r>
      <w:r>
        <w:rPr>
          <w:rFonts w:hint="eastAsia" w:ascii="仿宋_GB2312" w:hAnsi="仿宋_GB2312" w:eastAsia="仿宋_GB2312" w:cs="Times New Roman"/>
          <w:color w:val="000000"/>
          <w:kern w:val="2"/>
          <w:sz w:val="32"/>
          <w:szCs w:val="24"/>
          <w:lang w:val="en-US" w:eastAsia="zh-CN"/>
        </w:rPr>
        <w:t xml:space="preserve">全镇重点工程项目的实施。绩效自评报告详见附件。     </w:t>
      </w:r>
    </w:p>
    <w:p>
      <w:pPr>
        <w:ind w:firstLine="600" w:firstLineChars="195"/>
        <w:jc w:val="left"/>
        <w:rPr>
          <w:rFonts w:hint="eastAsia" w:ascii="仿宋_GB2312" w:hAnsi="仿宋_GB2312" w:eastAsia="仿宋_GB2312" w:cs="仿宋_GB2312"/>
          <w:bCs/>
          <w:spacing w:val="-6"/>
          <w:sz w:val="32"/>
          <w:szCs w:val="32"/>
        </w:rPr>
      </w:pPr>
    </w:p>
    <w:p>
      <w:pPr>
        <w:spacing w:line="580" w:lineRule="exact"/>
        <w:ind w:firstLine="1767" w:firstLineChars="400"/>
        <w:jc w:val="both"/>
        <w:outlineLvl w:val="0"/>
        <w:rPr>
          <w:rFonts w:ascii="仿宋_GB2312" w:eastAsia="仿宋_GB2312"/>
          <w:b/>
          <w:bCs w:val="0"/>
          <w:i w:val="0"/>
          <w:iCs w:val="0"/>
          <w:color w:val="000000"/>
          <w:sz w:val="32"/>
          <w:szCs w:val="32"/>
        </w:rPr>
      </w:pPr>
      <w:bookmarkStart w:id="52" w:name="_Toc15396613"/>
      <w:bookmarkStart w:id="53" w:name="_Toc15377225"/>
      <w:bookmarkStart w:id="54" w:name="_Toc5106"/>
      <w:bookmarkStart w:id="55" w:name="_Toc4961"/>
      <w:r>
        <w:rPr>
          <w:rFonts w:hint="eastAsia" w:ascii="黑体" w:hAnsi="黑体" w:eastAsia="黑体"/>
          <w:b/>
          <w:bCs w:val="0"/>
          <w:i w:val="0"/>
          <w:iCs w:val="0"/>
          <w:color w:val="000000"/>
          <w:sz w:val="44"/>
          <w:szCs w:val="44"/>
        </w:rPr>
        <w:t>第三部</w:t>
      </w:r>
      <w:r>
        <w:rPr>
          <w:rFonts w:hint="eastAsia" w:ascii="黑体" w:hAnsi="黑体" w:eastAsia="黑体"/>
          <w:b/>
          <w:bCs w:val="0"/>
          <w:i w:val="0"/>
          <w:iCs w:val="0"/>
          <w:color w:val="000000"/>
          <w:sz w:val="44"/>
          <w:szCs w:val="44"/>
          <w:u w:val="none" w:color="FFFFFF"/>
          <w:shd w:val="clear" w:fill="FFFFFF"/>
        </w:rPr>
        <w:t>分</w:t>
      </w:r>
      <w:r>
        <w:rPr>
          <w:rFonts w:hint="eastAsia" w:ascii="黑体" w:hAnsi="黑体" w:eastAsia="黑体"/>
          <w:b/>
          <w:bCs w:val="0"/>
          <w:i w:val="0"/>
          <w:iCs w:val="0"/>
          <w:color w:val="000000"/>
          <w:sz w:val="44"/>
          <w:szCs w:val="44"/>
          <w:u w:val="none" w:color="FFFFFF"/>
          <w:shd w:val="clear" w:fill="FFFFFF"/>
          <w:lang w:val="en-US" w:eastAsia="zh-CN"/>
        </w:rPr>
        <w:t xml:space="preserve"> </w:t>
      </w:r>
      <w:r>
        <w:rPr>
          <w:rFonts w:hint="eastAsia" w:ascii="黑体" w:hAnsi="黑体" w:eastAsia="黑体"/>
          <w:b/>
          <w:bCs w:val="0"/>
          <w:i w:val="0"/>
          <w:iCs w:val="0"/>
          <w:color w:val="000000"/>
          <w:sz w:val="44"/>
          <w:szCs w:val="44"/>
        </w:rPr>
        <w:t>名</w:t>
      </w:r>
      <w:r>
        <w:rPr>
          <w:rStyle w:val="26"/>
          <w:rFonts w:hint="eastAsia" w:ascii="黑体" w:hAnsi="黑体" w:eastAsia="黑体"/>
          <w:b/>
          <w:bCs w:val="0"/>
          <w:i w:val="0"/>
          <w:iCs w:val="0"/>
        </w:rPr>
        <w:t>词解释</w:t>
      </w:r>
      <w:bookmarkEnd w:id="52"/>
      <w:bookmarkEnd w:id="53"/>
      <w:bookmarkEnd w:id="54"/>
      <w:bookmarkEnd w:id="55"/>
    </w:p>
    <w:p>
      <w:pPr>
        <w:ind w:firstLine="624" w:firstLineChars="195"/>
        <w:jc w:val="left"/>
        <w:outlineLvl w:val="9"/>
        <w:rPr>
          <w:rFonts w:hint="eastAsia" w:ascii="仿宋_GB2312" w:hAnsi="仿宋_GB2312" w:eastAsia="仿宋_GB2312" w:cs="仿宋_GB2312"/>
          <w:bCs/>
          <w:sz w:val="32"/>
          <w:szCs w:val="32"/>
        </w:rPr>
      </w:pPr>
      <w:bookmarkStart w:id="56" w:name="_Toc15396614"/>
      <w:bookmarkStart w:id="57" w:name="_Toc15377226"/>
      <w:r>
        <w:rPr>
          <w:rFonts w:hint="eastAsia" w:ascii="仿宋_GB2312" w:hAnsi="仿宋_GB2312" w:eastAsia="仿宋_GB2312" w:cs="仿宋_GB2312"/>
          <w:bCs/>
          <w:sz w:val="32"/>
          <w:szCs w:val="32"/>
        </w:rPr>
        <w:t>1．财政拨款收入：指省级财政当年拨付的资金。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4．其他收入：指除上述“财政拨款收入”“事业收入”“经营收入”等以外的收入。主要是银行存款利息收入等。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5．年初结转和结余：指以前年度尚未完成</w:t>
      </w:r>
      <w:r>
        <w:rPr>
          <w:rFonts w:hint="eastAsia" w:ascii="仿宋_GB2312" w:hAnsi="仿宋_GB2312" w:eastAsia="仿宋_GB2312" w:cs="仿宋_GB2312"/>
          <w:bCs/>
          <w:sz w:val="32"/>
          <w:szCs w:val="32"/>
          <w:u w:val="none" w:color="FFFFFF"/>
          <w:shd w:val="clear" w:fill="FFFFFF"/>
        </w:rPr>
        <w:t>、</w:t>
      </w:r>
      <w:r>
        <w:rPr>
          <w:rFonts w:hint="eastAsia" w:ascii="仿宋_GB2312" w:hAnsi="仿宋_GB2312" w:eastAsia="仿宋_GB2312" w:cs="仿宋_GB2312"/>
          <w:bCs/>
          <w:sz w:val="32"/>
          <w:szCs w:val="32"/>
        </w:rPr>
        <w:t>结转到</w:t>
      </w:r>
      <w:r>
        <w:rPr>
          <w:rFonts w:hint="eastAsia" w:ascii="仿宋_GB2312" w:hAnsi="仿宋_GB2312" w:eastAsia="仿宋_GB2312" w:cs="仿宋_GB2312"/>
          <w:bCs/>
          <w:sz w:val="32"/>
          <w:szCs w:val="32"/>
          <w:u w:val="none" w:color="FFFFFF"/>
          <w:shd w:val="clear" w:fill="FFFFFF"/>
        </w:rPr>
        <w:t>本年按</w:t>
      </w:r>
      <w:r>
        <w:rPr>
          <w:rFonts w:hint="eastAsia" w:ascii="仿宋_GB2312" w:hAnsi="仿宋_GB2312" w:eastAsia="仿宋_GB2312" w:cs="仿宋_GB2312"/>
          <w:bCs/>
          <w:sz w:val="32"/>
          <w:szCs w:val="32"/>
        </w:rPr>
        <w:t>有关规定继续使用的资金。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6．一般公共服务（类）政府办公厅〔室〕及相关机构事务（款）行政运行（项）：指用于保障省政府办公厅机关、厅属各行政单位正常运转，用于行政运行方面的经费支出。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7．一般公共服务（类）政府办公厅〔室〕及相关机构事务（款）一般行政管理事务（项）：指用于保障省政府办公厅机关、厅属各行政事业单位正常运转，为完成特定的工作任务，用于一般行政管理事务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8．一般公共服务（类）政府办公厅〔室〕及相关机构事务（款）机关服务（项）：指用于保障省政府办公厅正常运转，用于机关服务方面的经费支出。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9．一般公共服务（类）政府办公厅〔室〕及相关机构事务（款）政务公开审批（项）：指用于为完成特定的工作任务，用于政务公开审批方面的经费支出。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10．一般公共服务（类）政府办公厅〔室〕及相关机构事务（款）参事事务（项）：指用于为完成特定的工作任务，用于参事事务方面的经费支出。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11．一般公共服务（类）政府办公厅〔室〕及相关机构事务（款）事业运行（项）：指用于保障事业单位正常运转，用于事业运行方面的经费支出。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12．一般公共服务（类）政府办公厅〔室〕及相关机构事务（款）</w:t>
      </w:r>
      <w:r>
        <w:rPr>
          <w:rFonts w:hint="eastAsia" w:ascii="仿宋_GB2312" w:hAnsi="仿宋_GB2312" w:eastAsia="仿宋_GB2312" w:cs="仿宋_GB2312"/>
          <w:bCs/>
          <w:sz w:val="32"/>
          <w:szCs w:val="32"/>
          <w:u w:val="none" w:color="FFFFFF"/>
          <w:shd w:val="clear" w:fill="FFFFFF"/>
          <w:lang w:eastAsia="zh-CN"/>
        </w:rPr>
        <w:t>其他类</w:t>
      </w:r>
      <w:r>
        <w:rPr>
          <w:rFonts w:hint="eastAsia" w:ascii="仿宋_GB2312" w:hAnsi="仿宋_GB2312" w:eastAsia="仿宋_GB2312" w:cs="仿宋_GB2312"/>
          <w:bCs/>
          <w:sz w:val="32"/>
          <w:szCs w:val="32"/>
        </w:rPr>
        <w:t>政府办公厅〔室〕及相关机构事务支出（项）：指用于保障省政府办公厅机关、厅属各行政事业单位正常运转，为完成特定的工作任务，用于其他方面的经费支出。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.社会保障和</w:t>
      </w:r>
      <w:r>
        <w:rPr>
          <w:rFonts w:hint="eastAsia" w:ascii="仿宋_GB2312" w:hAnsi="仿宋_GB2312" w:eastAsia="仿宋_GB2312" w:cs="仿宋_GB2312"/>
          <w:bCs/>
          <w:sz w:val="32"/>
          <w:szCs w:val="32"/>
          <w:lang w:eastAsia="zh-CN"/>
        </w:rPr>
        <w:t>就业</w:t>
      </w:r>
      <w:r>
        <w:rPr>
          <w:rFonts w:hint="eastAsia" w:ascii="仿宋_GB2312" w:hAnsi="仿宋_GB2312" w:eastAsia="仿宋_GB2312" w:cs="仿宋_GB2312"/>
          <w:bCs/>
          <w:sz w:val="32"/>
          <w:szCs w:val="32"/>
        </w:rPr>
        <w:t>支出（类）行政单位离退休（款）事业单位离退休（项）：指用于事业单位离退休</w:t>
      </w:r>
      <w:r>
        <w:rPr>
          <w:rFonts w:hint="eastAsia" w:ascii="仿宋_GB2312" w:hAnsi="仿宋_GB2312" w:eastAsia="仿宋_GB2312" w:cs="仿宋_GB2312"/>
          <w:bCs/>
          <w:sz w:val="32"/>
          <w:szCs w:val="32"/>
          <w:u w:val="none" w:color="FFFFFF"/>
          <w:shd w:val="clear" w:fill="FFFFFF"/>
          <w:lang w:eastAsia="zh-CN"/>
        </w:rPr>
        <w:t>人员的</w:t>
      </w:r>
      <w:r>
        <w:rPr>
          <w:rFonts w:hint="eastAsia" w:ascii="仿宋_GB2312" w:hAnsi="仿宋_GB2312" w:eastAsia="仿宋_GB2312" w:cs="仿宋_GB2312"/>
          <w:bCs/>
          <w:sz w:val="32"/>
          <w:szCs w:val="32"/>
        </w:rPr>
        <w:t>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．社会保障和</w:t>
      </w:r>
      <w:r>
        <w:rPr>
          <w:rFonts w:hint="eastAsia" w:ascii="仿宋_GB2312" w:hAnsi="仿宋_GB2312" w:eastAsia="仿宋_GB2312" w:cs="仿宋_GB2312"/>
          <w:bCs/>
          <w:sz w:val="32"/>
          <w:szCs w:val="32"/>
          <w:lang w:eastAsia="zh-CN"/>
        </w:rPr>
        <w:t>就业</w:t>
      </w:r>
      <w:r>
        <w:rPr>
          <w:rFonts w:hint="eastAsia" w:ascii="仿宋_GB2312" w:hAnsi="仿宋_GB2312" w:eastAsia="仿宋_GB2312" w:cs="仿宋_GB2312"/>
          <w:bCs/>
          <w:sz w:val="32"/>
          <w:szCs w:val="32"/>
        </w:rPr>
        <w:t>支出（类）行政单位离退休（款）未归口管理的行政事业单位离退休（项）：指用于行政单位离休人员支出。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．社会保障和</w:t>
      </w:r>
      <w:r>
        <w:rPr>
          <w:rFonts w:hint="eastAsia" w:ascii="仿宋_GB2312" w:hAnsi="仿宋_GB2312" w:eastAsia="仿宋_GB2312" w:cs="仿宋_GB2312"/>
          <w:bCs/>
          <w:sz w:val="32"/>
          <w:szCs w:val="32"/>
          <w:lang w:eastAsia="zh-CN"/>
        </w:rPr>
        <w:t>就业</w:t>
      </w:r>
      <w:r>
        <w:rPr>
          <w:rFonts w:hint="eastAsia" w:ascii="仿宋_GB2312" w:hAnsi="仿宋_GB2312" w:eastAsia="仿宋_GB2312" w:cs="仿宋_GB2312"/>
          <w:bCs/>
          <w:sz w:val="32"/>
          <w:szCs w:val="32"/>
        </w:rPr>
        <w:t>支出（类）行政单位离退休（款）机关事业单位基本养老保险缴费支出（项）：指用于机关事业单位基本养老保险缴费支出。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．社会保障和</w:t>
      </w:r>
      <w:r>
        <w:rPr>
          <w:rFonts w:hint="eastAsia" w:ascii="仿宋_GB2312" w:hAnsi="仿宋_GB2312" w:eastAsia="仿宋_GB2312" w:cs="仿宋_GB2312"/>
          <w:bCs/>
          <w:sz w:val="32"/>
          <w:szCs w:val="32"/>
          <w:lang w:eastAsia="zh-CN"/>
        </w:rPr>
        <w:t>就业</w:t>
      </w:r>
      <w:r>
        <w:rPr>
          <w:rFonts w:hint="eastAsia" w:ascii="仿宋_GB2312" w:hAnsi="仿宋_GB2312" w:eastAsia="仿宋_GB2312" w:cs="仿宋_GB2312"/>
          <w:bCs/>
          <w:sz w:val="32"/>
          <w:szCs w:val="32"/>
        </w:rPr>
        <w:t>支出（类）行政单位离退休（款）机关事业单位职业年金缴费支出（项）：指用于事业单位职业年金缴费支出。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．社会保障和就业（类）</w:t>
      </w:r>
      <w:r>
        <w:rPr>
          <w:rFonts w:hint="eastAsia" w:ascii="仿宋_GB2312" w:hAnsi="仿宋_GB2312" w:eastAsia="仿宋_GB2312" w:cs="仿宋_GB2312"/>
          <w:bCs/>
          <w:sz w:val="32"/>
          <w:szCs w:val="32"/>
          <w:u w:val="none" w:color="FFFFFF"/>
          <w:shd w:val="clear" w:fill="FFFFFF"/>
          <w:lang w:eastAsia="zh-CN"/>
        </w:rPr>
        <w:t>抚恤金</w:t>
      </w:r>
      <w:r>
        <w:rPr>
          <w:rFonts w:hint="eastAsia" w:ascii="仿宋_GB2312" w:hAnsi="仿宋_GB2312" w:eastAsia="仿宋_GB2312" w:cs="仿宋_GB2312"/>
          <w:bCs/>
          <w:sz w:val="32"/>
          <w:szCs w:val="32"/>
        </w:rPr>
        <w:t>（款）死亡</w:t>
      </w:r>
      <w:r>
        <w:rPr>
          <w:rFonts w:hint="eastAsia" w:ascii="仿宋_GB2312" w:hAnsi="仿宋_GB2312" w:eastAsia="仿宋_GB2312" w:cs="仿宋_GB2312"/>
          <w:bCs/>
          <w:sz w:val="32"/>
          <w:szCs w:val="32"/>
          <w:u w:val="none" w:color="FFFFFF"/>
          <w:shd w:val="clear" w:fill="FFFFFF"/>
          <w:lang w:eastAsia="zh-CN"/>
        </w:rPr>
        <w:t>抚恤金</w:t>
      </w:r>
      <w:r>
        <w:rPr>
          <w:rFonts w:hint="eastAsia" w:ascii="仿宋_GB2312" w:hAnsi="仿宋_GB2312" w:eastAsia="仿宋_GB2312" w:cs="仿宋_GB2312"/>
          <w:bCs/>
          <w:sz w:val="32"/>
          <w:szCs w:val="32"/>
        </w:rPr>
        <w:t>（项）：指用于病故人员家属的一次性抚恤金和丧葬费支出。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18</w:t>
      </w:r>
      <w:r>
        <w:rPr>
          <w:rFonts w:hint="eastAsia" w:ascii="仿宋_GB2312" w:hAnsi="仿宋_GB2312" w:eastAsia="仿宋_GB2312" w:cs="仿宋_GB2312"/>
          <w:bCs/>
          <w:sz w:val="32"/>
          <w:szCs w:val="32"/>
        </w:rPr>
        <w:t>．医疗卫生与计划生育支出（类）行政事业单位医疗（款）行政单位医疗（项）：指用于按政策规定为行政单位职工缴纳医疗保险金等支出。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．医疗卫生与计划生育支出（类）行政事业单位医疗（款）事业单位医疗（项）：指用于按政策规定为事业单位职工缴纳医疗保险金等支出。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．医疗卫生与计划生育支出（类）行政事业单位医疗（款）公务员医疗补助（项）：指用于按政策规定为职工缴纳公务员医疗补助等支出。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．住房保障支出（类）住房改革支出（款）住房公积金（项）：指用于按政策规定为职工缴纳的住房公积金支出。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．住房保障支出（类）住房改革支出（款）购房补贴（项）：指用于按政策规定发给无房职工的购房补贴支出。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．年末结转和结余：指本年度或以前年度预算安排</w:t>
      </w:r>
      <w:r>
        <w:rPr>
          <w:rFonts w:hint="eastAsia" w:ascii="仿宋_GB2312" w:hAnsi="仿宋_GB2312" w:eastAsia="仿宋_GB2312" w:cs="仿宋_GB2312"/>
          <w:bCs/>
          <w:sz w:val="32"/>
          <w:szCs w:val="32"/>
          <w:u w:val="none" w:color="FFFFFF"/>
          <w:shd w:val="clear" w:fill="FFFFFF"/>
        </w:rPr>
        <w:t>、</w:t>
      </w:r>
      <w:r>
        <w:rPr>
          <w:rFonts w:hint="eastAsia" w:ascii="仿宋_GB2312" w:hAnsi="仿宋_GB2312" w:eastAsia="仿宋_GB2312" w:cs="仿宋_GB2312"/>
          <w:bCs/>
          <w:sz w:val="32"/>
          <w:szCs w:val="32"/>
        </w:rPr>
        <w:t>因客观条件发生变化无法按原计划实施，需延迟到以后年度按有关规定继续使用的资金。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．项目支出：指在基本支出之</w:t>
      </w:r>
      <w:r>
        <w:rPr>
          <w:rFonts w:hint="eastAsia" w:ascii="仿宋_GB2312" w:hAnsi="仿宋_GB2312" w:eastAsia="仿宋_GB2312" w:cs="仿宋_GB2312"/>
          <w:bCs/>
          <w:sz w:val="32"/>
          <w:szCs w:val="32"/>
          <w:u w:val="none" w:color="FFFFFF"/>
          <w:shd w:val="clear" w:fill="FFFFFF"/>
        </w:rPr>
        <w:t>外</w:t>
      </w:r>
      <w:r>
        <w:rPr>
          <w:rFonts w:hint="eastAsia" w:ascii="仿宋_GB2312" w:hAnsi="仿宋_GB2312" w:eastAsia="仿宋_GB2312" w:cs="仿宋_GB2312"/>
          <w:bCs/>
          <w:sz w:val="32"/>
          <w:szCs w:val="32"/>
        </w:rPr>
        <w:t>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．“三公”经费：纳入省级财政预决算管理的“三公”经费，是指部门用财政拨款安排的因公出国（境）费、公务用车购置及运行费和公务接待费。</w:t>
      </w:r>
      <w:r>
        <w:rPr>
          <w:rFonts w:hint="eastAsia" w:ascii="仿宋_GB2312" w:hAnsi="仿宋_GB2312" w:eastAsia="仿宋_GB2312" w:cs="仿宋_GB2312"/>
          <w:bCs/>
          <w:sz w:val="32"/>
          <w:szCs w:val="32"/>
          <w:u w:val="none" w:color="FFFFFF"/>
          <w:shd w:val="clear" w:fill="FFFFFF"/>
        </w:rPr>
        <w:t>其中，因公出国（境）费反映单位公务出国（境）的国际旅费、国外城市间交通费、住宿费、伙食费、培训费、公杂费等支出；</w:t>
      </w:r>
      <w:r>
        <w:rPr>
          <w:rFonts w:hint="eastAsia" w:ascii="仿宋_GB2312" w:hAnsi="仿宋_GB2312" w:eastAsia="仿宋_GB2312" w:cs="仿宋_GB2312"/>
          <w:bCs/>
          <w:sz w:val="32"/>
          <w:szCs w:val="32"/>
        </w:rPr>
        <w:t>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．机关运行经费：为保障行政单位（含参照公务员法管理的事业单位）运行用于购买货物和服务的各项资金，包括办公及印刷费、邮电费、差旅费、会议费、福利费、日常维修费、专用</w:t>
      </w:r>
      <w:r>
        <w:rPr>
          <w:rFonts w:hint="eastAsia" w:ascii="仿宋_GB2312" w:hAnsi="仿宋_GB2312" w:eastAsia="仿宋_GB2312" w:cs="仿宋_GB2312"/>
          <w:bCs/>
          <w:sz w:val="32"/>
          <w:szCs w:val="32"/>
          <w:u w:val="none" w:color="FFFFFF"/>
          <w:shd w:val="clear" w:fill="FFFFFF"/>
        </w:rPr>
        <w:t>材料</w:t>
      </w:r>
      <w:r>
        <w:rPr>
          <w:rFonts w:hint="eastAsia" w:ascii="仿宋_GB2312" w:hAnsi="仿宋_GB2312" w:eastAsia="仿宋_GB2312" w:cs="仿宋_GB2312"/>
          <w:bCs/>
          <w:sz w:val="32"/>
          <w:szCs w:val="32"/>
        </w:rPr>
        <w:t>及一般设备购置费、办公用房水电费、办公用房取暖费、办公用房物业管理费、公务用车运行维护费以及其他费用。</w:t>
      </w:r>
    </w:p>
    <w:p>
      <w:pPr>
        <w:spacing w:line="600" w:lineRule="exact"/>
        <w:jc w:val="both"/>
        <w:outlineLvl w:val="9"/>
        <w:rPr>
          <w:rFonts w:hint="eastAsia" w:ascii="黑体" w:hAnsi="黑体" w:eastAsia="黑体"/>
          <w:color w:val="000000"/>
          <w:sz w:val="44"/>
          <w:szCs w:val="44"/>
        </w:rPr>
      </w:pPr>
    </w:p>
    <w:p>
      <w:pPr>
        <w:spacing w:line="600" w:lineRule="exact"/>
        <w:ind w:firstLine="2640" w:firstLineChars="600"/>
        <w:jc w:val="both"/>
        <w:outlineLvl w:val="9"/>
        <w:rPr>
          <w:rFonts w:hint="eastAsia" w:ascii="黑体" w:hAnsi="黑体" w:eastAsia="黑体"/>
          <w:color w:val="000000"/>
          <w:sz w:val="44"/>
          <w:szCs w:val="44"/>
        </w:rPr>
      </w:pPr>
    </w:p>
    <w:p>
      <w:pPr>
        <w:spacing w:line="600" w:lineRule="exact"/>
        <w:ind w:firstLine="2640" w:firstLineChars="600"/>
        <w:jc w:val="both"/>
        <w:outlineLvl w:val="9"/>
        <w:rPr>
          <w:rFonts w:hint="eastAsia" w:ascii="黑体" w:hAnsi="黑体" w:eastAsia="黑体"/>
          <w:color w:val="000000"/>
          <w:sz w:val="44"/>
          <w:szCs w:val="44"/>
        </w:rPr>
      </w:pPr>
    </w:p>
    <w:p>
      <w:pPr>
        <w:spacing w:line="600" w:lineRule="exact"/>
        <w:jc w:val="center"/>
        <w:outlineLvl w:val="0"/>
        <w:rPr>
          <w:rStyle w:val="26"/>
          <w:rFonts w:ascii="黑体" w:hAnsi="黑体" w:eastAsia="黑体"/>
          <w:b w:val="0"/>
        </w:rPr>
      </w:pPr>
      <w:bookmarkStart w:id="58" w:name="_Toc15836"/>
      <w:bookmarkStart w:id="59" w:name="_Toc25176"/>
      <w:r>
        <w:rPr>
          <w:rFonts w:hint="eastAsia" w:ascii="黑体" w:hAnsi="黑体" w:eastAsia="黑体"/>
          <w:color w:val="000000"/>
          <w:sz w:val="44"/>
          <w:szCs w:val="44"/>
        </w:rPr>
        <w:t>第</w:t>
      </w:r>
      <w:r>
        <w:rPr>
          <w:rStyle w:val="26"/>
          <w:rFonts w:hint="eastAsia" w:ascii="黑体" w:hAnsi="黑体" w:eastAsia="黑体"/>
          <w:b w:val="0"/>
        </w:rPr>
        <w:t>四</w:t>
      </w:r>
      <w:r>
        <w:rPr>
          <w:rStyle w:val="26"/>
          <w:rFonts w:hint="eastAsia" w:ascii="黑体" w:hAnsi="黑体" w:eastAsia="黑体"/>
          <w:b w:val="0"/>
          <w:u w:val="none" w:color="FFFFFF"/>
          <w:shd w:val="clear" w:fill="FFFFFF"/>
        </w:rPr>
        <w:t xml:space="preserve">部分 </w:t>
      </w:r>
      <w:r>
        <w:rPr>
          <w:rStyle w:val="26"/>
          <w:rFonts w:hint="eastAsia" w:ascii="黑体" w:hAnsi="黑体" w:eastAsia="黑体"/>
          <w:b w:val="0"/>
        </w:rPr>
        <w:t>附件</w:t>
      </w:r>
      <w:bookmarkEnd w:id="56"/>
      <w:bookmarkEnd w:id="58"/>
      <w:bookmarkEnd w:id="59"/>
    </w:p>
    <w:p>
      <w:pPr>
        <w:spacing w:line="580" w:lineRule="exact"/>
        <w:outlineLvl w:val="9"/>
        <w:rPr>
          <w:rFonts w:hint="eastAsia" w:ascii="黑体" w:hAnsi="黑体" w:eastAsia="黑体" w:cs="黑体"/>
          <w:sz w:val="32"/>
          <w:szCs w:val="32"/>
        </w:rPr>
      </w:pPr>
      <w:r>
        <w:rPr>
          <w:rFonts w:hint="eastAsia" w:ascii="黑体" w:hAnsi="黑体" w:eastAsia="黑体"/>
          <w:color w:val="auto"/>
          <w:kern w:val="2"/>
          <w:sz w:val="32"/>
          <w:szCs w:val="24"/>
          <w:u w:val="none" w:color="FFFFFF"/>
          <w:shd w:val="clear" w:fill="FFFFFF"/>
          <w:lang w:val="en-US"/>
        </w:rPr>
        <w:t>附件</w:t>
      </w:r>
    </w:p>
    <w:p>
      <w:pPr>
        <w:numPr>
          <w:ilvl w:val="0"/>
          <w:numId w:val="0"/>
        </w:numPr>
        <w:spacing w:beforeLines="0" w:afterLines="0" w:line="600" w:lineRule="exact"/>
        <w:jc w:val="center"/>
        <w:outlineLvl w:val="9"/>
        <w:rPr>
          <w:rFonts w:hint="default" w:ascii="宋体" w:hAnsi="宋体" w:eastAsia="宋体"/>
          <w:b/>
          <w:color w:val="auto"/>
          <w:kern w:val="2"/>
          <w:sz w:val="32"/>
          <w:szCs w:val="24"/>
          <w:lang w:val="en-US"/>
        </w:rPr>
      </w:pPr>
      <w:r>
        <w:rPr>
          <w:rFonts w:hint="default" w:ascii="宋体" w:hAnsi="宋体" w:eastAsia="宋体"/>
          <w:b/>
          <w:color w:val="auto"/>
          <w:kern w:val="2"/>
          <w:sz w:val="32"/>
          <w:szCs w:val="24"/>
          <w:u w:val="none" w:color="FFFFFF"/>
          <w:shd w:val="clear" w:fill="FFFFFF"/>
          <w:lang w:val="en-US"/>
        </w:rPr>
        <w:t>202</w:t>
      </w:r>
      <w:r>
        <w:rPr>
          <w:rFonts w:hint="default" w:ascii="宋体" w:hAnsi="宋体" w:eastAsia="宋体"/>
          <w:b/>
          <w:color w:val="auto"/>
          <w:kern w:val="2"/>
          <w:sz w:val="32"/>
          <w:szCs w:val="24"/>
          <w:u w:val="none" w:color="FFFFFF"/>
          <w:shd w:val="clear" w:fill="FFFFFF"/>
          <w:lang w:val="en-US" w:eastAsia="zh-CN"/>
        </w:rPr>
        <w:t>2</w:t>
      </w:r>
      <w:r>
        <w:rPr>
          <w:rFonts w:hint="default" w:ascii="宋体" w:hAnsi="宋体" w:eastAsia="宋体"/>
          <w:b/>
          <w:color w:val="auto"/>
          <w:kern w:val="2"/>
          <w:sz w:val="32"/>
          <w:szCs w:val="24"/>
          <w:u w:val="none" w:color="FFFFFF"/>
          <w:shd w:val="clear" w:fill="FFFFFF"/>
          <w:lang w:val="en-US"/>
        </w:rPr>
        <w:t>年</w:t>
      </w:r>
      <w:r>
        <w:rPr>
          <w:rFonts w:hint="default" w:ascii="宋体" w:hAnsi="宋体" w:eastAsia="宋体"/>
          <w:b/>
          <w:color w:val="auto"/>
          <w:kern w:val="2"/>
          <w:sz w:val="32"/>
          <w:szCs w:val="24"/>
          <w:u w:val="none" w:color="FFFFFF"/>
          <w:shd w:val="clear" w:fill="FFFFFF"/>
          <w:lang w:val="en-US" w:eastAsia="zh-CN"/>
        </w:rPr>
        <w:t>诺江镇</w:t>
      </w:r>
      <w:r>
        <w:rPr>
          <w:rFonts w:hint="default" w:ascii="宋体" w:hAnsi="宋体" w:eastAsia="宋体"/>
          <w:b/>
          <w:color w:val="auto"/>
          <w:kern w:val="2"/>
          <w:sz w:val="32"/>
          <w:szCs w:val="24"/>
          <w:u w:val="none" w:color="FFFFFF"/>
          <w:shd w:val="clear" w:fill="FFFFFF"/>
          <w:lang w:val="en-US"/>
        </w:rPr>
        <w:t>部门整体绩效评价报告</w:t>
      </w:r>
    </w:p>
    <w:p>
      <w:pPr>
        <w:numPr>
          <w:ilvl w:val="0"/>
          <w:numId w:val="0"/>
        </w:numPr>
        <w:spacing w:beforeLines="0" w:afterLines="0" w:line="600" w:lineRule="exact"/>
        <w:ind w:firstLine="640" w:firstLineChars="200"/>
        <w:jc w:val="both"/>
        <w:outlineLvl w:val="9"/>
        <w:rPr>
          <w:rFonts w:hint="eastAsia" w:ascii="黑体" w:hAnsi="黑体" w:eastAsia="黑体"/>
          <w:color w:val="auto"/>
          <w:sz w:val="32"/>
          <w:szCs w:val="24"/>
          <w:lang w:val="zh-CN"/>
        </w:rPr>
      </w:pPr>
      <w:r>
        <w:rPr>
          <w:rFonts w:hint="eastAsia" w:ascii="黑体" w:hAnsi="黑体" w:eastAsia="黑体"/>
          <w:color w:val="auto"/>
          <w:sz w:val="32"/>
          <w:szCs w:val="24"/>
          <w:lang w:val="en-US" w:eastAsia="zh-CN"/>
        </w:rPr>
        <w:t>一、</w:t>
      </w:r>
      <w:r>
        <w:rPr>
          <w:rFonts w:hint="eastAsia" w:ascii="黑体" w:hAnsi="黑体" w:eastAsia="黑体"/>
          <w:color w:val="auto"/>
          <w:sz w:val="32"/>
          <w:szCs w:val="24"/>
          <w:lang w:val="zh-CN"/>
        </w:rPr>
        <w:t>部门基本情况</w:t>
      </w:r>
    </w:p>
    <w:p>
      <w:pPr>
        <w:numPr>
          <w:ilvl w:val="0"/>
          <w:numId w:val="0"/>
        </w:numPr>
        <w:spacing w:beforeLines="0" w:afterLines="0" w:line="600" w:lineRule="exact"/>
        <w:ind w:firstLine="321" w:firstLineChars="100"/>
        <w:jc w:val="both"/>
        <w:outlineLvl w:val="9"/>
        <w:rPr>
          <w:rFonts w:hint="eastAsia" w:ascii="仿宋_GB2312" w:hAnsi="仿宋_GB2312" w:eastAsia="仿宋_GB2312" w:cs="Times New Roman"/>
          <w:color w:val="auto"/>
          <w:sz w:val="32"/>
          <w:szCs w:val="24"/>
          <w:lang w:val="en-US"/>
        </w:rPr>
      </w:pPr>
      <w:r>
        <w:rPr>
          <w:rFonts w:hint="eastAsia" w:ascii="楷体_GB2312" w:hAnsi="楷体_GB2312" w:eastAsia="楷体_GB2312"/>
          <w:b/>
          <w:color w:val="auto"/>
          <w:sz w:val="32"/>
          <w:szCs w:val="24"/>
          <w:lang w:val="zh-CN" w:eastAsia="zh-CN"/>
        </w:rPr>
        <w:t>（</w:t>
      </w:r>
      <w:r>
        <w:rPr>
          <w:rFonts w:hint="eastAsia" w:ascii="楷体_GB2312" w:hAnsi="楷体_GB2312" w:eastAsia="楷体_GB2312"/>
          <w:b/>
          <w:color w:val="auto"/>
          <w:sz w:val="32"/>
          <w:szCs w:val="24"/>
          <w:lang w:val="en-US" w:eastAsia="zh-CN"/>
        </w:rPr>
        <w:t>一）</w:t>
      </w:r>
      <w:r>
        <w:rPr>
          <w:rFonts w:hint="eastAsia" w:ascii="楷体_GB2312" w:hAnsi="楷体_GB2312" w:eastAsia="楷体_GB2312"/>
          <w:b/>
          <w:color w:val="auto"/>
          <w:sz w:val="32"/>
          <w:szCs w:val="24"/>
          <w:lang w:val="zh-CN" w:eastAsia="zh-CN"/>
        </w:rPr>
        <w:t>机构组成。</w:t>
      </w:r>
      <w:r>
        <w:rPr>
          <w:rFonts w:hint="eastAsia" w:ascii="仿宋_GB2312" w:hAnsi="仿宋_GB2312" w:eastAsia="仿宋_GB2312" w:cs="Times New Roman"/>
          <w:color w:val="auto"/>
          <w:sz w:val="32"/>
          <w:szCs w:val="24"/>
          <w:lang w:val="en-US" w:eastAsia="zh-CN"/>
        </w:rPr>
        <w:t>诺江镇地处通江县城城郊，幅员91平方公里，辖10个行政村，农业人口2.2万余人。</w:t>
      </w:r>
      <w:r>
        <w:rPr>
          <w:rFonts w:hint="eastAsia" w:ascii="仿宋_GB2312" w:hAnsi="仿宋_GB2312" w:eastAsia="仿宋_GB2312" w:cs="Times New Roman"/>
          <w:color w:val="auto"/>
          <w:sz w:val="32"/>
          <w:szCs w:val="24"/>
          <w:lang w:val="en-US"/>
        </w:rPr>
        <w:t>全镇所辖10个村民委员会。独立核算单位2个，诺江镇人民政府属一级预算单位，包括诺江镇人民政府（本级）和片区纪工委；诺江镇</w:t>
      </w:r>
      <w:r>
        <w:rPr>
          <w:rFonts w:hint="eastAsia" w:ascii="仿宋_GB2312" w:hAnsi="仿宋_GB2312" w:eastAsia="仿宋_GB2312" w:cs="Times New Roman"/>
          <w:color w:val="auto"/>
          <w:sz w:val="32"/>
          <w:szCs w:val="24"/>
          <w:u w:val="none" w:color="FFFFFF"/>
          <w:shd w:val="clear" w:fill="FFFFFF"/>
          <w:lang w:val="en-US" w:eastAsia="zh-CN"/>
        </w:rPr>
        <w:t>人民政府设党政综合</w:t>
      </w:r>
      <w:r>
        <w:rPr>
          <w:rFonts w:hint="eastAsia" w:ascii="仿宋_GB2312" w:hAnsi="仿宋_GB2312" w:eastAsia="仿宋_GB2312" w:cs="Times New Roman"/>
          <w:color w:val="auto"/>
          <w:sz w:val="32"/>
          <w:szCs w:val="24"/>
          <w:lang w:val="en-US"/>
        </w:rPr>
        <w:t>办公室、社会</w:t>
      </w:r>
      <w:r>
        <w:rPr>
          <w:rFonts w:hint="eastAsia" w:ascii="仿宋_GB2312" w:hAnsi="仿宋_GB2312" w:eastAsia="仿宋_GB2312" w:cs="Times New Roman"/>
          <w:color w:val="auto"/>
          <w:sz w:val="32"/>
          <w:szCs w:val="24"/>
          <w:u w:val="none" w:color="FFFFFF"/>
          <w:shd w:val="clear" w:fill="FFFFFF"/>
          <w:lang w:val="en-US" w:eastAsia="zh-CN"/>
        </w:rPr>
        <w:t>事务办公室</w:t>
      </w:r>
      <w:r>
        <w:rPr>
          <w:rFonts w:hint="eastAsia" w:ascii="仿宋_GB2312" w:hAnsi="仿宋_GB2312" w:eastAsia="仿宋_GB2312" w:cs="Times New Roman"/>
          <w:color w:val="auto"/>
          <w:sz w:val="32"/>
          <w:szCs w:val="24"/>
          <w:lang w:val="en-US"/>
        </w:rPr>
        <w:t>、农业综合服务中心、社会事务服务中心等7个部门和服务岗位。</w:t>
      </w:r>
    </w:p>
    <w:p>
      <w:pPr>
        <w:numPr>
          <w:ilvl w:val="0"/>
          <w:numId w:val="0"/>
        </w:numPr>
        <w:spacing w:beforeLines="0" w:afterLines="0" w:line="600" w:lineRule="exact"/>
        <w:ind w:firstLine="643" w:firstLineChars="200"/>
        <w:jc w:val="both"/>
        <w:outlineLvl w:val="9"/>
        <w:rPr>
          <w:rFonts w:hint="eastAsia" w:ascii="楷体_GB2312" w:hAnsi="楷体_GB2312" w:eastAsia="楷体_GB2312"/>
          <w:b/>
          <w:color w:val="auto"/>
          <w:sz w:val="32"/>
          <w:szCs w:val="24"/>
          <w:lang w:val="zh-CN" w:eastAsia="zh-CN"/>
        </w:rPr>
      </w:pPr>
      <w:r>
        <w:rPr>
          <w:rFonts w:hint="eastAsia" w:ascii="楷体_GB2312" w:hAnsi="楷体_GB2312" w:eastAsia="楷体_GB2312"/>
          <w:b/>
          <w:color w:val="auto"/>
          <w:sz w:val="32"/>
          <w:szCs w:val="24"/>
          <w:lang w:val="zh-CN" w:eastAsia="zh-CN"/>
        </w:rPr>
        <w:t>（</w:t>
      </w:r>
      <w:r>
        <w:rPr>
          <w:rFonts w:hint="eastAsia" w:ascii="楷体_GB2312" w:hAnsi="楷体_GB2312" w:eastAsia="楷体_GB2312"/>
          <w:b/>
          <w:color w:val="auto"/>
          <w:sz w:val="32"/>
          <w:szCs w:val="24"/>
          <w:lang w:val="en-US" w:eastAsia="zh-CN"/>
        </w:rPr>
        <w:t>二）</w:t>
      </w:r>
      <w:r>
        <w:rPr>
          <w:rFonts w:hint="eastAsia" w:ascii="楷体_GB2312" w:hAnsi="楷体_GB2312" w:eastAsia="楷体_GB2312"/>
          <w:b/>
          <w:color w:val="auto"/>
          <w:sz w:val="32"/>
          <w:szCs w:val="24"/>
          <w:lang w:val="zh-CN" w:eastAsia="zh-CN"/>
        </w:rPr>
        <w:t>机构职能和人员概况</w:t>
      </w:r>
    </w:p>
    <w:p>
      <w:pPr>
        <w:numPr>
          <w:ilvl w:val="0"/>
          <w:numId w:val="0"/>
        </w:numPr>
        <w:spacing w:beforeLines="0" w:afterLines="0" w:line="600" w:lineRule="exact"/>
        <w:ind w:firstLine="642"/>
        <w:jc w:val="both"/>
        <w:outlineLvl w:val="9"/>
        <w:rPr>
          <w:rFonts w:hint="eastAsia" w:ascii="仿宋_GB2312" w:hAnsi="仿宋_GB2312" w:eastAsia="仿宋_GB2312" w:cs="Times New Roman"/>
          <w:color w:val="auto"/>
          <w:sz w:val="32"/>
          <w:szCs w:val="24"/>
          <w:lang w:val="zh-CN"/>
        </w:rPr>
      </w:pPr>
      <w:r>
        <w:rPr>
          <w:rFonts w:hint="eastAsia" w:ascii="仿宋_GB2312" w:hAnsi="仿宋_GB2312" w:eastAsia="仿宋_GB2312" w:cs="Times New Roman"/>
          <w:b/>
          <w:color w:val="auto"/>
          <w:sz w:val="32"/>
          <w:szCs w:val="24"/>
          <w:lang w:val="en-US" w:eastAsia="zh-CN"/>
        </w:rPr>
        <w:t>1.机构职能。</w:t>
      </w:r>
      <w:r>
        <w:rPr>
          <w:rFonts w:hint="eastAsia" w:ascii="仿宋_GB2312" w:hAnsi="仿宋_GB2312" w:eastAsia="仿宋_GB2312" w:cs="Times New Roman"/>
          <w:color w:val="auto"/>
          <w:sz w:val="32"/>
          <w:szCs w:val="24"/>
          <w:lang w:val="zh-CN"/>
        </w:rPr>
        <w:t>职能</w:t>
      </w:r>
      <w:r>
        <w:rPr>
          <w:rFonts w:hint="eastAsia" w:ascii="仿宋_GB2312" w:hAnsi="仿宋_GB2312" w:eastAsia="仿宋_GB2312" w:cs="Times New Roman"/>
          <w:color w:val="auto"/>
          <w:sz w:val="32"/>
          <w:szCs w:val="24"/>
          <w:u w:val="none" w:color="FFFFFF"/>
          <w:shd w:val="clear" w:fill="FFFFFF"/>
          <w:lang w:val="zh-CN"/>
        </w:rPr>
        <w:t>：</w:t>
      </w:r>
      <w:r>
        <w:rPr>
          <w:rFonts w:hint="eastAsia" w:ascii="仿宋_GB2312" w:hAnsi="仿宋_GB2312" w:eastAsia="仿宋_GB2312" w:cs="Times New Roman"/>
          <w:color w:val="auto"/>
          <w:sz w:val="32"/>
          <w:szCs w:val="24"/>
          <w:lang w:val="zh-CN"/>
        </w:rPr>
        <w:t>管理职能、教育职能、服务职能、分配职能、专政职能。一是引导发展农村经济职能；二是市场培育职能；三是</w:t>
      </w:r>
      <w:r>
        <w:rPr>
          <w:rFonts w:hint="eastAsia" w:ascii="仿宋_GB2312" w:hAnsi="仿宋_GB2312" w:eastAsia="仿宋_GB2312" w:cs="Times New Roman"/>
          <w:color w:val="auto"/>
          <w:sz w:val="32"/>
          <w:szCs w:val="24"/>
          <w:u w:val="none" w:color="FFFFFF"/>
          <w:shd w:val="clear" w:fill="FFFFFF"/>
          <w:lang w:val="zh-CN"/>
        </w:rPr>
        <w:t>基础设施</w:t>
      </w:r>
      <w:r>
        <w:rPr>
          <w:rFonts w:hint="eastAsia" w:ascii="仿宋_GB2312" w:hAnsi="仿宋_GB2312" w:eastAsia="仿宋_GB2312" w:cs="Times New Roman"/>
          <w:color w:val="auto"/>
          <w:sz w:val="32"/>
          <w:szCs w:val="24"/>
          <w:lang w:val="zh-CN"/>
        </w:rPr>
        <w:t>建设职能；四是科技服务职能；五是引导发展生产职能；六</w:t>
      </w:r>
      <w:r>
        <w:rPr>
          <w:rFonts w:hint="eastAsia" w:ascii="仿宋_GB2312" w:hAnsi="仿宋_GB2312" w:eastAsia="仿宋_GB2312" w:cs="Times New Roman"/>
          <w:color w:val="auto"/>
          <w:sz w:val="32"/>
          <w:szCs w:val="24"/>
          <w:u w:val="none" w:color="FFFFFF"/>
          <w:shd w:val="clear" w:fill="FFFFFF"/>
          <w:lang w:val="zh-CN"/>
        </w:rPr>
        <w:t>是履行</w:t>
      </w:r>
      <w:r>
        <w:rPr>
          <w:rFonts w:hint="eastAsia" w:ascii="仿宋_GB2312" w:hAnsi="仿宋_GB2312" w:eastAsia="仿宋_GB2312" w:cs="Times New Roman"/>
          <w:color w:val="auto"/>
          <w:sz w:val="32"/>
          <w:szCs w:val="24"/>
          <w:lang w:val="zh-CN"/>
        </w:rPr>
        <w:t>公共事业管理职能。</w:t>
      </w:r>
    </w:p>
    <w:p>
      <w:pPr>
        <w:numPr>
          <w:ilvl w:val="0"/>
          <w:numId w:val="0"/>
        </w:numPr>
        <w:spacing w:beforeLines="0" w:afterLines="0" w:line="600" w:lineRule="exact"/>
        <w:ind w:firstLine="642"/>
        <w:jc w:val="both"/>
        <w:outlineLvl w:val="9"/>
        <w:rPr>
          <w:rFonts w:hint="eastAsia" w:ascii="仿宋_GB2312" w:hAnsi="仿宋_GB2312" w:eastAsia="仿宋_GB2312" w:cs="Times New Roman"/>
          <w:color w:val="auto"/>
          <w:sz w:val="32"/>
          <w:szCs w:val="24"/>
          <w:lang w:val="en-US" w:eastAsia="zh-CN"/>
        </w:rPr>
      </w:pPr>
      <w:r>
        <w:rPr>
          <w:rFonts w:hint="eastAsia" w:ascii="仿宋_GB2312" w:hAnsi="仿宋_GB2312" w:eastAsia="仿宋_GB2312" w:cs="Times New Roman"/>
          <w:b/>
          <w:color w:val="auto"/>
          <w:sz w:val="32"/>
          <w:szCs w:val="24"/>
          <w:lang w:val="en-US" w:eastAsia="zh-CN"/>
        </w:rPr>
        <w:t>2.人员概括。</w:t>
      </w:r>
      <w:r>
        <w:rPr>
          <w:rFonts w:hint="eastAsia" w:ascii="仿宋_GB2312" w:hAnsi="仿宋_GB2312" w:eastAsia="仿宋_GB2312" w:cs="Times New Roman"/>
          <w:color w:val="auto"/>
          <w:sz w:val="32"/>
          <w:szCs w:val="24"/>
          <w:lang w:val="en-US"/>
        </w:rPr>
        <w:t>单位行政事业编制111人；行政编制57人，事业编制54人；单位实有职工人数97人，其中：行政实有职工人数51人、事业实有职工人数46人，遗嘱</w:t>
      </w:r>
      <w:r>
        <w:rPr>
          <w:rFonts w:hint="eastAsia" w:ascii="仿宋_GB2312" w:hAnsi="仿宋_GB2312" w:eastAsia="仿宋_GB2312" w:cs="Times New Roman"/>
          <w:color w:val="auto"/>
          <w:sz w:val="32"/>
          <w:szCs w:val="24"/>
          <w:u w:val="none" w:color="FFFFFF"/>
          <w:shd w:val="clear" w:fill="FFFFFF"/>
          <w:lang w:val="en-US" w:eastAsia="zh-CN"/>
        </w:rPr>
        <w:t>补助人数</w:t>
      </w:r>
      <w:r>
        <w:rPr>
          <w:rFonts w:hint="eastAsia" w:ascii="仿宋_GB2312" w:hAnsi="仿宋_GB2312" w:eastAsia="仿宋_GB2312" w:cs="Times New Roman"/>
          <w:color w:val="auto"/>
          <w:sz w:val="32"/>
          <w:szCs w:val="24"/>
          <w:lang w:val="en-US"/>
        </w:rPr>
        <w:t>13人。</w:t>
      </w:r>
      <w:r>
        <w:rPr>
          <w:rFonts w:hint="eastAsia" w:ascii="仿宋_GB2312" w:hAnsi="仿宋_GB2312" w:eastAsia="仿宋_GB2312" w:cs="Times New Roman"/>
          <w:color w:val="auto"/>
          <w:sz w:val="32"/>
          <w:szCs w:val="24"/>
          <w:lang w:val="en-US" w:eastAsia="zh-CN"/>
        </w:rPr>
        <w:t xml:space="preserve"> </w:t>
      </w:r>
    </w:p>
    <w:p>
      <w:pPr>
        <w:keepNext/>
        <w:keepLines/>
        <w:spacing w:beforeLines="0" w:afterLines="0" w:line="560" w:lineRule="exact"/>
        <w:ind w:firstLine="321" w:firstLineChars="100"/>
        <w:outlineLvl w:val="9"/>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en-US" w:eastAsia="zh-CN"/>
        </w:rPr>
        <w:t>（</w:t>
      </w:r>
      <w:r>
        <w:rPr>
          <w:rFonts w:hint="eastAsia" w:ascii="楷体_GB2312" w:hAnsi="楷体_GB2312" w:eastAsia="楷体_GB2312"/>
          <w:b/>
          <w:color w:val="auto"/>
          <w:sz w:val="32"/>
          <w:szCs w:val="24"/>
          <w:lang w:val="zh-CN"/>
        </w:rPr>
        <w:t>三）年度主要工作任务</w:t>
      </w:r>
    </w:p>
    <w:p>
      <w:pPr>
        <w:numPr>
          <w:ilvl w:val="0"/>
          <w:numId w:val="0"/>
        </w:numPr>
        <w:spacing w:beforeLines="0" w:afterLines="0" w:line="600" w:lineRule="exact"/>
        <w:ind w:firstLine="642"/>
        <w:jc w:val="both"/>
        <w:outlineLvl w:val="9"/>
        <w:rPr>
          <w:rFonts w:hint="eastAsia" w:ascii="仿宋_GB2312" w:hAnsi="仿宋_GB2312" w:eastAsia="仿宋_GB2312" w:cs="Times New Roman"/>
          <w:color w:val="auto"/>
          <w:sz w:val="32"/>
          <w:szCs w:val="24"/>
          <w:lang w:val="zh-CN"/>
        </w:rPr>
      </w:pPr>
      <w:r>
        <w:rPr>
          <w:rFonts w:hint="eastAsia" w:ascii="仿宋_GB2312" w:hAnsi="仿宋_GB2312" w:eastAsia="仿宋_GB2312" w:cs="Times New Roman"/>
          <w:b/>
          <w:bCs/>
          <w:color w:val="auto"/>
          <w:sz w:val="32"/>
          <w:szCs w:val="24"/>
          <w:lang w:val="zh-CN"/>
        </w:rPr>
        <w:t>1</w:t>
      </w:r>
      <w:r>
        <w:rPr>
          <w:rFonts w:hint="eastAsia" w:ascii="仿宋_GB2312" w:hAnsi="仿宋_GB2312" w:eastAsia="仿宋_GB2312" w:cs="Times New Roman"/>
          <w:b/>
          <w:bCs/>
          <w:color w:val="auto"/>
          <w:sz w:val="32"/>
          <w:szCs w:val="24"/>
          <w:lang w:val="en-US" w:eastAsia="zh-CN"/>
        </w:rPr>
        <w:t>.</w:t>
      </w:r>
      <w:r>
        <w:rPr>
          <w:rFonts w:hint="eastAsia" w:ascii="仿宋_GB2312" w:hAnsi="仿宋_GB2312" w:eastAsia="仿宋_GB2312" w:cs="Times New Roman"/>
          <w:b/>
          <w:bCs/>
          <w:color w:val="auto"/>
          <w:sz w:val="32"/>
          <w:szCs w:val="24"/>
          <w:lang w:val="zh-CN"/>
        </w:rPr>
        <w:t>全力以赴抓好项目建设。</w:t>
      </w:r>
      <w:r>
        <w:rPr>
          <w:rFonts w:hint="eastAsia" w:ascii="仿宋_GB2312" w:hAnsi="仿宋_GB2312" w:eastAsia="仿宋_GB2312" w:cs="Times New Roman"/>
          <w:color w:val="auto"/>
          <w:sz w:val="32"/>
          <w:szCs w:val="24"/>
          <w:lang w:val="zh-CN"/>
        </w:rPr>
        <w:t>推进镇广高速、诺水大道诺江段建设任务；推进青峪口水库征地拆迁、移民安置工作，争取完成</w:t>
      </w:r>
      <w:r>
        <w:rPr>
          <w:rFonts w:hint="eastAsia" w:ascii="仿宋_GB2312" w:hAnsi="仿宋_GB2312" w:eastAsia="仿宋_GB2312" w:cs="Times New Roman"/>
          <w:color w:val="auto"/>
          <w:sz w:val="32"/>
          <w:szCs w:val="24"/>
          <w:u w:val="none" w:color="FFFFFF"/>
          <w:shd w:val="clear" w:fill="FFFFFF"/>
          <w:lang w:val="zh-CN"/>
        </w:rPr>
        <w:t>进度的</w:t>
      </w:r>
      <w:r>
        <w:rPr>
          <w:rFonts w:hint="eastAsia" w:ascii="仿宋_GB2312" w:hAnsi="仿宋_GB2312" w:eastAsia="仿宋_GB2312" w:cs="Times New Roman"/>
          <w:color w:val="auto"/>
          <w:sz w:val="32"/>
          <w:szCs w:val="24"/>
          <w:lang w:val="zh-CN"/>
        </w:rPr>
        <w:t>25%；持续推进赤江盐菜产业建设，加紧盐菜生产，拓展销售渠道；加快推进颐椿医养康复中心建设，确保在202</w:t>
      </w:r>
      <w:r>
        <w:rPr>
          <w:rFonts w:hint="eastAsia" w:ascii="仿宋_GB2312" w:hAnsi="仿宋_GB2312" w:eastAsia="仿宋_GB2312" w:cs="Times New Roman"/>
          <w:color w:val="auto"/>
          <w:sz w:val="32"/>
          <w:szCs w:val="24"/>
          <w:lang w:val="en-US" w:eastAsia="zh-CN"/>
        </w:rPr>
        <w:t>2</w:t>
      </w:r>
      <w:r>
        <w:rPr>
          <w:rFonts w:hint="eastAsia" w:ascii="仿宋_GB2312" w:hAnsi="仿宋_GB2312" w:eastAsia="仿宋_GB2312" w:cs="Times New Roman"/>
          <w:color w:val="auto"/>
          <w:sz w:val="32"/>
          <w:szCs w:val="24"/>
          <w:lang w:val="zh-CN"/>
        </w:rPr>
        <w:t>年能够全面投入运营。</w:t>
      </w:r>
      <w:r>
        <w:rPr>
          <w:rFonts w:hint="eastAsia" w:ascii="仿宋_GB2312" w:hAnsi="仿宋_GB2312" w:eastAsia="仿宋_GB2312" w:cs="Times New Roman"/>
          <w:b/>
          <w:bCs/>
          <w:color w:val="auto"/>
          <w:sz w:val="32"/>
          <w:szCs w:val="24"/>
          <w:lang w:val="zh-CN"/>
        </w:rPr>
        <w:t>2</w:t>
      </w:r>
      <w:r>
        <w:rPr>
          <w:rFonts w:hint="eastAsia" w:ascii="仿宋_GB2312" w:hAnsi="仿宋_GB2312" w:eastAsia="仿宋_GB2312" w:cs="Times New Roman"/>
          <w:b/>
          <w:bCs/>
          <w:color w:val="auto"/>
          <w:sz w:val="32"/>
          <w:szCs w:val="24"/>
          <w:lang w:val="en-US" w:eastAsia="zh-CN"/>
        </w:rPr>
        <w:t>.</w:t>
      </w:r>
      <w:r>
        <w:rPr>
          <w:rFonts w:hint="eastAsia" w:ascii="仿宋_GB2312" w:hAnsi="仿宋_GB2312" w:eastAsia="仿宋_GB2312" w:cs="Times New Roman"/>
          <w:b/>
          <w:bCs/>
          <w:color w:val="auto"/>
          <w:sz w:val="32"/>
          <w:szCs w:val="24"/>
          <w:lang w:val="zh-CN"/>
        </w:rPr>
        <w:t>统筹谋划</w:t>
      </w:r>
      <w:r>
        <w:rPr>
          <w:rFonts w:hint="eastAsia" w:ascii="仿宋_GB2312" w:hAnsi="仿宋_GB2312" w:eastAsia="仿宋_GB2312" w:cs="Times New Roman"/>
          <w:b/>
          <w:bCs/>
          <w:color w:val="auto"/>
          <w:sz w:val="32"/>
          <w:szCs w:val="24"/>
          <w:u w:val="none" w:color="FFFFFF"/>
          <w:shd w:val="clear" w:fill="FFFFFF"/>
          <w:lang w:val="zh-CN"/>
        </w:rPr>
        <w:t>提高</w:t>
      </w:r>
      <w:r>
        <w:rPr>
          <w:rFonts w:hint="eastAsia" w:ascii="仿宋_GB2312" w:hAnsi="仿宋_GB2312" w:eastAsia="仿宋_GB2312" w:cs="Times New Roman"/>
          <w:b/>
          <w:bCs/>
          <w:color w:val="auto"/>
          <w:sz w:val="32"/>
          <w:szCs w:val="24"/>
          <w:lang w:val="zh-CN"/>
        </w:rPr>
        <w:t>发展质量。</w:t>
      </w:r>
      <w:r>
        <w:rPr>
          <w:rFonts w:hint="eastAsia" w:ascii="仿宋_GB2312" w:hAnsi="仿宋_GB2312" w:eastAsia="仿宋_GB2312" w:cs="Times New Roman"/>
          <w:color w:val="auto"/>
          <w:sz w:val="32"/>
          <w:szCs w:val="24"/>
          <w:lang w:val="zh-CN"/>
        </w:rPr>
        <w:t>大力发展田园经济、乡村旅游经济，整合元顶花海、新华田园、秋锦山蓝莓产业示范园等农旅资源，形成田园旅游综合体系；以发展集体经济</w:t>
      </w:r>
      <w:r>
        <w:rPr>
          <w:rFonts w:hint="eastAsia" w:ascii="仿宋_GB2312" w:hAnsi="仿宋_GB2312" w:eastAsia="仿宋_GB2312" w:cs="Times New Roman"/>
          <w:color w:val="auto"/>
          <w:sz w:val="32"/>
          <w:szCs w:val="24"/>
          <w:u w:val="none" w:color="FFFFFF"/>
          <w:shd w:val="clear" w:fill="FFFFFF"/>
          <w:lang w:val="zh-CN"/>
        </w:rPr>
        <w:t>为重点</w:t>
      </w:r>
      <w:r>
        <w:rPr>
          <w:rFonts w:hint="eastAsia" w:ascii="仿宋_GB2312" w:hAnsi="仿宋_GB2312" w:eastAsia="仿宋_GB2312" w:cs="Times New Roman"/>
          <w:color w:val="auto"/>
          <w:sz w:val="32"/>
          <w:szCs w:val="24"/>
          <w:lang w:val="zh-CN"/>
        </w:rPr>
        <w:t>，加快推进三社融合、银政合作。</w:t>
      </w:r>
      <w:r>
        <w:rPr>
          <w:rFonts w:hint="eastAsia" w:ascii="仿宋_GB2312" w:hAnsi="仿宋_GB2312" w:eastAsia="仿宋_GB2312" w:cs="Times New Roman"/>
          <w:b/>
          <w:bCs/>
          <w:color w:val="auto"/>
          <w:sz w:val="32"/>
          <w:szCs w:val="24"/>
          <w:lang w:val="zh-CN"/>
        </w:rPr>
        <w:t>3</w:t>
      </w:r>
      <w:r>
        <w:rPr>
          <w:rFonts w:hint="eastAsia" w:ascii="仿宋_GB2312" w:hAnsi="仿宋_GB2312" w:eastAsia="仿宋_GB2312" w:cs="Times New Roman"/>
          <w:b/>
          <w:bCs/>
          <w:color w:val="auto"/>
          <w:sz w:val="32"/>
          <w:szCs w:val="24"/>
          <w:lang w:val="en-US" w:eastAsia="zh-CN"/>
        </w:rPr>
        <w:t>.</w:t>
      </w:r>
      <w:r>
        <w:rPr>
          <w:rFonts w:hint="eastAsia" w:ascii="仿宋_GB2312" w:hAnsi="仿宋_GB2312" w:eastAsia="仿宋_GB2312" w:cs="Times New Roman"/>
          <w:b/>
          <w:bCs/>
          <w:color w:val="auto"/>
          <w:sz w:val="32"/>
          <w:szCs w:val="24"/>
          <w:lang w:val="zh-CN"/>
        </w:rPr>
        <w:t>集中精力补齐民生短板。</w:t>
      </w:r>
      <w:r>
        <w:rPr>
          <w:rFonts w:hint="eastAsia" w:ascii="仿宋_GB2312" w:hAnsi="仿宋_GB2312" w:eastAsia="仿宋_GB2312" w:cs="Times New Roman"/>
          <w:color w:val="auto"/>
          <w:sz w:val="32"/>
          <w:szCs w:val="24"/>
          <w:lang w:val="zh-CN"/>
        </w:rPr>
        <w:t>提升公共服务水平；宣传创业</w:t>
      </w:r>
      <w:r>
        <w:rPr>
          <w:rFonts w:hint="eastAsia" w:ascii="仿宋_GB2312" w:hAnsi="仿宋_GB2312" w:eastAsia="仿宋_GB2312" w:cs="Times New Roman"/>
          <w:color w:val="auto"/>
          <w:sz w:val="32"/>
          <w:szCs w:val="24"/>
          <w:u w:val="none" w:color="FFFFFF"/>
          <w:shd w:val="clear" w:fill="FFFFFF"/>
          <w:lang w:val="zh-CN"/>
        </w:rPr>
        <w:t>就业等</w:t>
      </w:r>
      <w:r>
        <w:rPr>
          <w:rFonts w:hint="eastAsia" w:ascii="仿宋_GB2312" w:hAnsi="仿宋_GB2312" w:eastAsia="仿宋_GB2312" w:cs="Times New Roman"/>
          <w:color w:val="auto"/>
          <w:sz w:val="32"/>
          <w:szCs w:val="24"/>
          <w:lang w:val="zh-CN"/>
        </w:rPr>
        <w:t>惠企惠民政策；开展“三下乡”活动，实施文化惠民工程。</w:t>
      </w:r>
      <w:r>
        <w:rPr>
          <w:rFonts w:hint="eastAsia" w:ascii="仿宋_GB2312" w:hAnsi="仿宋_GB2312" w:eastAsia="仿宋_GB2312" w:cs="Times New Roman"/>
          <w:b/>
          <w:bCs/>
          <w:color w:val="auto"/>
          <w:sz w:val="32"/>
          <w:szCs w:val="24"/>
          <w:lang w:val="en-US" w:eastAsia="zh-CN"/>
        </w:rPr>
        <w:t>4.</w:t>
      </w:r>
      <w:r>
        <w:rPr>
          <w:rFonts w:hint="eastAsia" w:ascii="仿宋_GB2312" w:hAnsi="仿宋_GB2312" w:eastAsia="仿宋_GB2312" w:cs="Times New Roman"/>
          <w:b/>
          <w:bCs/>
          <w:color w:val="auto"/>
          <w:sz w:val="32"/>
          <w:szCs w:val="24"/>
          <w:u w:val="none" w:color="FFFFFF"/>
          <w:shd w:val="clear" w:fill="FFFFFF"/>
          <w:lang w:val="zh-CN"/>
        </w:rPr>
        <w:t>多措并举</w:t>
      </w:r>
      <w:r>
        <w:rPr>
          <w:rFonts w:hint="eastAsia" w:ascii="仿宋_GB2312" w:hAnsi="仿宋_GB2312" w:eastAsia="仿宋_GB2312" w:cs="Times New Roman"/>
          <w:b/>
          <w:bCs/>
          <w:color w:val="auto"/>
          <w:sz w:val="32"/>
          <w:szCs w:val="24"/>
          <w:lang w:val="zh-CN"/>
        </w:rPr>
        <w:t>提高治理效能。</w:t>
      </w:r>
      <w:r>
        <w:rPr>
          <w:rFonts w:hint="eastAsia" w:ascii="仿宋_GB2312" w:hAnsi="仿宋_GB2312" w:eastAsia="仿宋_GB2312" w:cs="Times New Roman"/>
          <w:color w:val="auto"/>
          <w:sz w:val="32"/>
          <w:szCs w:val="24"/>
          <w:lang w:val="zh-CN"/>
        </w:rPr>
        <w:t>充分运用“枫桥经验”，加大矛盾纠纷</w:t>
      </w:r>
      <w:r>
        <w:rPr>
          <w:rFonts w:hint="eastAsia" w:ascii="仿宋_GB2312" w:hAnsi="仿宋_GB2312" w:eastAsia="仿宋_GB2312" w:cs="Times New Roman"/>
          <w:color w:val="auto"/>
          <w:sz w:val="32"/>
          <w:szCs w:val="24"/>
          <w:u w:val="none" w:color="FFFFFF"/>
          <w:shd w:val="clear" w:fill="FFFFFF"/>
          <w:lang w:val="zh-CN"/>
        </w:rPr>
        <w:t>多元</w:t>
      </w:r>
      <w:r>
        <w:rPr>
          <w:rFonts w:hint="eastAsia" w:ascii="仿宋_GB2312" w:hAnsi="仿宋_GB2312" w:eastAsia="仿宋_GB2312" w:cs="Times New Roman"/>
          <w:color w:val="auto"/>
          <w:sz w:val="32"/>
          <w:szCs w:val="24"/>
          <w:lang w:val="zh-CN"/>
        </w:rPr>
        <w:t>排查和化解力度；严格建房程序，扎实开展农村建房管理；进一步推进村务公开；加大群众性精神文化产品供给力度。</w:t>
      </w:r>
    </w:p>
    <w:p>
      <w:pPr>
        <w:keepNext/>
        <w:keepLines/>
        <w:spacing w:beforeLines="0" w:afterLines="0" w:line="560" w:lineRule="exact"/>
        <w:ind w:firstLine="321" w:firstLineChars="100"/>
        <w:outlineLvl w:val="9"/>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w:t>
      </w:r>
      <w:r>
        <w:rPr>
          <w:rFonts w:hint="eastAsia" w:ascii="楷体_GB2312" w:hAnsi="楷体_GB2312" w:eastAsia="楷体_GB2312"/>
          <w:b/>
          <w:color w:val="auto"/>
          <w:sz w:val="32"/>
          <w:szCs w:val="24"/>
          <w:lang w:val="en-US" w:eastAsia="zh-CN"/>
        </w:rPr>
        <w:t>四）</w:t>
      </w:r>
      <w:r>
        <w:rPr>
          <w:rFonts w:hint="eastAsia" w:ascii="楷体_GB2312" w:hAnsi="楷体_GB2312" w:eastAsia="楷体_GB2312"/>
          <w:b/>
          <w:color w:val="auto"/>
          <w:sz w:val="32"/>
          <w:szCs w:val="24"/>
          <w:lang w:val="zh-CN"/>
        </w:rPr>
        <w:t>部门整体支出绩效目标</w:t>
      </w:r>
    </w:p>
    <w:p>
      <w:pPr>
        <w:spacing w:beforeLines="0" w:afterLines="0" w:line="576" w:lineRule="exact"/>
        <w:ind w:firstLine="640"/>
        <w:jc w:val="both"/>
        <w:outlineLvl w:val="9"/>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en-US" w:eastAsia="zh-CN"/>
        </w:rPr>
        <w:t>根据预算绩效管理要求，本部门在2022年度预算编制阶段，</w:t>
      </w:r>
    </w:p>
    <w:p>
      <w:pPr>
        <w:pStyle w:val="2"/>
        <w:outlineLvl w:val="9"/>
        <w:rPr>
          <w:rFonts w:hint="eastAsia"/>
          <w:lang w:val="zh-CN"/>
        </w:rPr>
      </w:pPr>
      <w:r>
        <w:rPr>
          <w:rFonts w:hint="eastAsia" w:ascii="仿宋_GB2312" w:hAnsi="仿宋_GB2312" w:eastAsia="仿宋_GB2312" w:cs="Times New Roman"/>
          <w:color w:val="000000"/>
          <w:kern w:val="2"/>
          <w:sz w:val="32"/>
          <w:szCs w:val="24"/>
          <w:lang w:val="en-US" w:eastAsia="zh-CN"/>
        </w:rPr>
        <w:t>组织对2022年度一般公共预算、政府性基金预算等全面开展绩效自评，形成</w:t>
      </w:r>
      <w:r>
        <w:rPr>
          <w:rFonts w:hint="eastAsia" w:hAnsi="仿宋_GB2312" w:cs="Times New Roman"/>
          <w:color w:val="000000"/>
          <w:kern w:val="2"/>
          <w:sz w:val="32"/>
          <w:szCs w:val="24"/>
          <w:lang w:val="en-US" w:eastAsia="zh-CN"/>
        </w:rPr>
        <w:t>1个</w:t>
      </w:r>
      <w:r>
        <w:rPr>
          <w:rFonts w:hint="eastAsia" w:ascii="仿宋_GB2312" w:hAnsi="仿宋_GB2312" w:eastAsia="仿宋_GB2312" w:cs="Times New Roman"/>
          <w:color w:val="000000"/>
          <w:kern w:val="2"/>
          <w:sz w:val="32"/>
          <w:szCs w:val="24"/>
          <w:lang w:val="en-US" w:eastAsia="zh-CN"/>
        </w:rPr>
        <w:t>部门整体绩效自评报告</w:t>
      </w:r>
      <w:r>
        <w:rPr>
          <w:rFonts w:hint="eastAsia" w:hAnsi="仿宋_GB2312" w:cs="Times New Roman"/>
          <w:color w:val="000000"/>
          <w:kern w:val="2"/>
          <w:sz w:val="32"/>
          <w:szCs w:val="24"/>
          <w:lang w:val="en-US" w:eastAsia="zh-CN"/>
        </w:rPr>
        <w:t>，</w:t>
      </w:r>
      <w:r>
        <w:rPr>
          <w:rFonts w:hint="eastAsia" w:ascii="仿宋_GB2312" w:hAnsi="仿宋_GB2312" w:eastAsia="仿宋_GB2312" w:cs="Times New Roman"/>
          <w:color w:val="000000"/>
          <w:kern w:val="2"/>
          <w:sz w:val="32"/>
          <w:szCs w:val="24"/>
          <w:lang w:val="en-US" w:eastAsia="zh-CN"/>
        </w:rPr>
        <w:t>34个预算项目绩效自评报告，部门整体绩效自评得分为90分</w:t>
      </w:r>
      <w:r>
        <w:rPr>
          <w:rFonts w:hint="eastAsia" w:hAnsi="仿宋_GB2312" w:cs="Times New Roman"/>
          <w:color w:val="000000"/>
          <w:kern w:val="2"/>
          <w:sz w:val="32"/>
          <w:szCs w:val="24"/>
          <w:lang w:val="en-US" w:eastAsia="zh-CN"/>
        </w:rPr>
        <w:t>。</w:t>
      </w:r>
      <w:r>
        <w:rPr>
          <w:rFonts w:hint="eastAsia" w:ascii="仿宋_GB2312" w:hAnsi="仿宋_GB2312" w:eastAsia="仿宋_GB2312" w:cs="Times New Roman"/>
          <w:color w:val="auto"/>
          <w:sz w:val="32"/>
          <w:szCs w:val="24"/>
          <w:lang w:val="zh-CN"/>
        </w:rPr>
        <w:t>完成全镇财政收支目标任务</w:t>
      </w:r>
      <w:r>
        <w:rPr>
          <w:rFonts w:hint="eastAsia" w:hAnsi="仿宋_GB2312" w:cs="Times New Roman"/>
          <w:color w:val="auto"/>
          <w:sz w:val="32"/>
          <w:szCs w:val="24"/>
          <w:lang w:val="zh-CN"/>
        </w:rPr>
        <w:t>。</w:t>
      </w:r>
    </w:p>
    <w:p>
      <w:pPr>
        <w:numPr>
          <w:ilvl w:val="0"/>
          <w:numId w:val="2"/>
        </w:numPr>
        <w:spacing w:beforeLines="0" w:afterLines="0" w:line="600" w:lineRule="exact"/>
        <w:ind w:firstLine="642"/>
        <w:jc w:val="both"/>
        <w:outlineLvl w:val="9"/>
        <w:rPr>
          <w:rFonts w:hint="eastAsia" w:ascii="黑体" w:hAnsi="黑体" w:eastAsia="黑体"/>
          <w:color w:val="auto"/>
          <w:sz w:val="32"/>
          <w:szCs w:val="24"/>
          <w:lang w:val="en-US"/>
        </w:rPr>
      </w:pPr>
      <w:r>
        <w:rPr>
          <w:rFonts w:hint="eastAsia" w:ascii="黑体" w:hAnsi="黑体" w:eastAsia="黑体"/>
          <w:color w:val="auto"/>
          <w:sz w:val="32"/>
          <w:szCs w:val="24"/>
          <w:lang w:val="en-US"/>
        </w:rPr>
        <w:t>部门资金收支情况</w:t>
      </w:r>
    </w:p>
    <w:p>
      <w:pPr>
        <w:keepNext/>
        <w:keepLines/>
        <w:spacing w:beforeLines="0" w:afterLines="0" w:line="560" w:lineRule="exact"/>
        <w:ind w:firstLine="321" w:firstLineChars="100"/>
        <w:outlineLvl w:val="9"/>
        <w:rPr>
          <w:rFonts w:hint="eastAsia" w:ascii="楷体_GB2312" w:hAnsi="楷体_GB2312" w:eastAsia="楷体_GB2312"/>
          <w:b/>
          <w:color w:val="FF0000"/>
          <w:sz w:val="32"/>
          <w:szCs w:val="24"/>
          <w:lang w:val="zh-CN"/>
        </w:rPr>
      </w:pPr>
      <w:r>
        <w:rPr>
          <w:rFonts w:hint="eastAsia" w:ascii="楷体_GB2312" w:hAnsi="楷体_GB2312" w:eastAsia="楷体_GB2312"/>
          <w:b/>
          <w:color w:val="auto"/>
          <w:sz w:val="32"/>
          <w:szCs w:val="24"/>
          <w:lang w:val="zh-CN"/>
        </w:rPr>
        <w:t>（</w:t>
      </w:r>
      <w:r>
        <w:rPr>
          <w:rFonts w:hint="eastAsia" w:ascii="楷体_GB2312" w:hAnsi="楷体_GB2312" w:eastAsia="楷体_GB2312"/>
          <w:b/>
          <w:color w:val="auto"/>
          <w:sz w:val="32"/>
          <w:szCs w:val="24"/>
          <w:lang w:val="en-US" w:eastAsia="zh-CN"/>
        </w:rPr>
        <w:t>一）</w:t>
      </w:r>
      <w:r>
        <w:rPr>
          <w:rFonts w:hint="eastAsia" w:ascii="楷体_GB2312" w:hAnsi="楷体_GB2312" w:eastAsia="楷体_GB2312"/>
          <w:b/>
          <w:color w:val="auto"/>
          <w:sz w:val="32"/>
          <w:szCs w:val="24"/>
          <w:lang w:val="zh-CN"/>
        </w:rPr>
        <w:t>部门总体收支情况</w:t>
      </w:r>
    </w:p>
    <w:p>
      <w:pPr>
        <w:numPr>
          <w:ilvl w:val="0"/>
          <w:numId w:val="0"/>
        </w:numPr>
        <w:spacing w:beforeLines="0" w:afterLines="0" w:line="600" w:lineRule="exact"/>
        <w:ind w:firstLine="643" w:firstLineChars="200"/>
        <w:jc w:val="both"/>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b/>
          <w:color w:val="auto"/>
          <w:sz w:val="32"/>
          <w:szCs w:val="24"/>
          <w:lang w:val="en-US" w:eastAsia="zh-CN"/>
        </w:rPr>
        <w:t>1.</w:t>
      </w:r>
      <w:r>
        <w:rPr>
          <w:rFonts w:hint="eastAsia" w:ascii="仿宋_GB2312" w:hAnsi="仿宋_GB2312" w:eastAsia="仿宋_GB2312"/>
          <w:b/>
          <w:color w:val="auto"/>
          <w:sz w:val="32"/>
          <w:szCs w:val="24"/>
          <w:lang w:val="en-US"/>
        </w:rPr>
        <w:t>部门总体收入情况</w:t>
      </w:r>
      <w:r>
        <w:rPr>
          <w:rFonts w:hint="eastAsia" w:ascii="仿宋_GB2312" w:hAnsi="仿宋_GB2312" w:eastAsia="仿宋_GB2312"/>
          <w:b/>
          <w:color w:val="auto"/>
          <w:sz w:val="32"/>
          <w:szCs w:val="24"/>
          <w:lang w:val="en-US" w:eastAsia="zh-CN"/>
        </w:rPr>
        <w:t>。</w:t>
      </w:r>
      <w:r>
        <w:rPr>
          <w:rFonts w:hint="eastAsia" w:ascii="仿宋_GB2312" w:hAnsi="仿宋_GB2312" w:eastAsia="仿宋_GB2312"/>
          <w:color w:val="auto"/>
          <w:sz w:val="32"/>
          <w:szCs w:val="24"/>
          <w:lang w:val="en-US" w:eastAsia="zh-CN"/>
        </w:rPr>
        <w:t>2022年政府整体财政收入3,783.40万元，其中：2022年一般公共预算财政拨款收入3,773.40万元，政府性基金预算财政拨款收入10万元。</w:t>
      </w:r>
    </w:p>
    <w:p>
      <w:pPr>
        <w:numPr>
          <w:ilvl w:val="0"/>
          <w:numId w:val="0"/>
        </w:numPr>
        <w:spacing w:beforeLines="0" w:afterLines="0" w:line="600" w:lineRule="exact"/>
        <w:ind w:firstLine="643" w:firstLineChars="200"/>
        <w:jc w:val="both"/>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b/>
          <w:color w:val="auto"/>
          <w:sz w:val="32"/>
          <w:szCs w:val="24"/>
          <w:lang w:val="en-US" w:eastAsia="zh-CN"/>
        </w:rPr>
        <w:t>2.</w:t>
      </w:r>
      <w:r>
        <w:rPr>
          <w:rFonts w:hint="eastAsia" w:ascii="仿宋_GB2312" w:hAnsi="仿宋_GB2312" w:eastAsia="仿宋_GB2312"/>
          <w:b/>
          <w:color w:val="auto"/>
          <w:sz w:val="32"/>
          <w:szCs w:val="24"/>
          <w:lang w:val="en-US"/>
        </w:rPr>
        <w:t>部门总体支出情况</w:t>
      </w:r>
      <w:r>
        <w:rPr>
          <w:rFonts w:hint="eastAsia" w:ascii="仿宋_GB2312" w:hAnsi="仿宋_GB2312" w:eastAsia="仿宋_GB2312"/>
          <w:b/>
          <w:color w:val="auto"/>
          <w:sz w:val="32"/>
          <w:szCs w:val="24"/>
          <w:lang w:val="en-US" w:eastAsia="zh-CN"/>
        </w:rPr>
        <w:t>。</w:t>
      </w:r>
      <w:r>
        <w:rPr>
          <w:rFonts w:hint="eastAsia" w:ascii="仿宋_GB2312" w:hAnsi="仿宋_GB2312" w:eastAsia="仿宋_GB2312"/>
          <w:color w:val="auto"/>
          <w:sz w:val="32"/>
          <w:szCs w:val="24"/>
          <w:lang w:val="en-US" w:eastAsia="zh-CN"/>
        </w:rPr>
        <w:t>2022年政府整体财政支出3,783.40万元，其中：政府职工工资</w:t>
      </w:r>
      <w:r>
        <w:rPr>
          <w:rFonts w:hint="eastAsia" w:ascii="仿宋_GB2312" w:hAnsi="仿宋_GB2312" w:eastAsia="仿宋_GB2312"/>
          <w:color w:val="auto"/>
          <w:sz w:val="32"/>
          <w:szCs w:val="24"/>
          <w:u w:val="none" w:color="FFFFFF"/>
          <w:shd w:val="clear" w:fill="FFFFFF"/>
          <w:lang w:val="en-US" w:eastAsia="zh-CN"/>
        </w:rPr>
        <w:t>福利经费</w:t>
      </w:r>
      <w:r>
        <w:rPr>
          <w:rFonts w:hint="eastAsia" w:ascii="仿宋_GB2312" w:hAnsi="仿宋_GB2312" w:eastAsia="仿宋_GB2312"/>
          <w:color w:val="auto"/>
          <w:sz w:val="32"/>
          <w:szCs w:val="24"/>
          <w:lang w:val="en-US" w:eastAsia="zh-CN"/>
        </w:rPr>
        <w:t>及政府机关运转经费1,798.66万元；一般公共服务项目支出30.10万元；文化旅游体育与传媒支出1.5万元；卫生健康支出9万元；农林水支出1,694.14万元；住房保障支出234万元；灾害防治及应急管理支出6万元；政府性基金支出（彩票公益金安排的支出）10万元。</w:t>
      </w:r>
    </w:p>
    <w:p>
      <w:pPr>
        <w:numPr>
          <w:ilvl w:val="0"/>
          <w:numId w:val="0"/>
        </w:numPr>
        <w:spacing w:beforeLines="0" w:afterLines="0" w:line="600" w:lineRule="exact"/>
        <w:ind w:firstLine="643" w:firstLineChars="200"/>
        <w:jc w:val="both"/>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b/>
          <w:bCs/>
          <w:color w:val="auto"/>
          <w:sz w:val="32"/>
          <w:szCs w:val="24"/>
          <w:lang w:val="en-US"/>
        </w:rPr>
        <w:t>3.部门总体结转结余情况</w:t>
      </w:r>
      <w:r>
        <w:rPr>
          <w:rFonts w:hint="eastAsia" w:ascii="仿宋_GB2312" w:hAnsi="仿宋_GB2312" w:eastAsia="仿宋_GB2312"/>
          <w:b/>
          <w:bCs/>
          <w:color w:val="auto"/>
          <w:sz w:val="32"/>
          <w:szCs w:val="24"/>
          <w:lang w:val="en-US" w:eastAsia="zh-CN"/>
        </w:rPr>
        <w:t>。</w:t>
      </w:r>
      <w:r>
        <w:rPr>
          <w:rFonts w:hint="eastAsia" w:ascii="仿宋_GB2312" w:hAnsi="仿宋_GB2312" w:eastAsia="仿宋_GB2312"/>
          <w:color w:val="auto"/>
          <w:sz w:val="32"/>
          <w:szCs w:val="24"/>
          <w:u w:val="none" w:color="FFFFFF"/>
          <w:shd w:val="clear" w:fill="FFFFFF"/>
          <w:lang w:val="en-US" w:eastAsia="zh-CN"/>
        </w:rPr>
        <w:t>全年项目</w:t>
      </w:r>
      <w:r>
        <w:rPr>
          <w:rFonts w:hint="eastAsia" w:ascii="仿宋_GB2312" w:hAnsi="仿宋_GB2312" w:eastAsia="仿宋_GB2312"/>
          <w:color w:val="auto"/>
          <w:sz w:val="32"/>
          <w:szCs w:val="24"/>
          <w:lang w:val="en-US" w:eastAsia="zh-CN"/>
        </w:rPr>
        <w:t>决算数为3,783.40万元，完成预算的100%。</w:t>
      </w:r>
      <w:r>
        <w:rPr>
          <w:rFonts w:hint="eastAsia" w:ascii="仿宋_GB2312" w:hAnsi="仿宋_GB2312" w:eastAsia="仿宋_GB2312"/>
          <w:color w:val="auto"/>
          <w:sz w:val="32"/>
          <w:szCs w:val="24"/>
          <w:u w:val="none" w:color="FFFFFF"/>
          <w:shd w:val="clear" w:fill="FFFFFF"/>
          <w:lang w:val="en-US" w:eastAsia="zh-CN"/>
        </w:rPr>
        <w:t>2022年政府整体财政支出3,783.40万元当年预算收支持平没有结余。</w:t>
      </w:r>
    </w:p>
    <w:p>
      <w:pPr>
        <w:numPr>
          <w:ilvl w:val="0"/>
          <w:numId w:val="0"/>
        </w:numPr>
        <w:spacing w:beforeLines="0" w:afterLines="0" w:line="600" w:lineRule="exact"/>
        <w:ind w:firstLine="321" w:firstLineChars="100"/>
        <w:jc w:val="both"/>
        <w:outlineLvl w:val="9"/>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（二）部门财政拨款收支情况</w:t>
      </w:r>
    </w:p>
    <w:p>
      <w:pPr>
        <w:numPr>
          <w:ilvl w:val="0"/>
          <w:numId w:val="0"/>
        </w:numPr>
        <w:spacing w:beforeLines="0" w:afterLines="0" w:line="600" w:lineRule="exact"/>
        <w:ind w:firstLine="643" w:firstLineChars="200"/>
        <w:jc w:val="both"/>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b/>
          <w:color w:val="auto"/>
          <w:sz w:val="32"/>
          <w:szCs w:val="24"/>
          <w:lang w:val="en-US"/>
        </w:rPr>
        <w:t>1.部门财政拨款收入情况</w:t>
      </w:r>
      <w:r>
        <w:rPr>
          <w:rFonts w:hint="eastAsia" w:ascii="仿宋_GB2312" w:hAnsi="仿宋_GB2312" w:eastAsia="仿宋_GB2312"/>
          <w:b/>
          <w:color w:val="auto"/>
          <w:sz w:val="32"/>
          <w:szCs w:val="24"/>
          <w:lang w:val="en-US" w:eastAsia="zh-CN"/>
        </w:rPr>
        <w:t>。</w:t>
      </w:r>
      <w:r>
        <w:rPr>
          <w:rFonts w:hint="eastAsia" w:ascii="仿宋_GB2312" w:hAnsi="仿宋_GB2312" w:eastAsia="仿宋_GB2312"/>
          <w:color w:val="auto"/>
          <w:sz w:val="32"/>
          <w:szCs w:val="24"/>
          <w:lang w:val="en-US" w:eastAsia="zh-CN"/>
        </w:rPr>
        <w:t>2022年一般公共预算财政拨款收入3,773.40万元，政府性基金预算财政拨款收入10万元。</w:t>
      </w:r>
    </w:p>
    <w:p>
      <w:pPr>
        <w:numPr>
          <w:ilvl w:val="0"/>
          <w:numId w:val="0"/>
        </w:numPr>
        <w:spacing w:beforeLines="0" w:afterLines="0" w:line="600" w:lineRule="exact"/>
        <w:ind w:firstLine="643" w:firstLineChars="200"/>
        <w:jc w:val="both"/>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b/>
          <w:color w:val="auto"/>
          <w:sz w:val="32"/>
          <w:szCs w:val="24"/>
          <w:lang w:val="en-US"/>
        </w:rPr>
        <w:t>2.部门财政拨款支出情况</w:t>
      </w:r>
      <w:r>
        <w:rPr>
          <w:rFonts w:hint="eastAsia" w:ascii="仿宋_GB2312" w:hAnsi="仿宋_GB2312" w:eastAsia="仿宋_GB2312"/>
          <w:b/>
          <w:color w:val="auto"/>
          <w:sz w:val="32"/>
          <w:szCs w:val="24"/>
          <w:lang w:val="en-US" w:eastAsia="zh-CN"/>
        </w:rPr>
        <w:t>。</w:t>
      </w:r>
      <w:r>
        <w:rPr>
          <w:rFonts w:hint="eastAsia" w:ascii="仿宋_GB2312" w:hAnsi="仿宋_GB2312" w:eastAsia="仿宋_GB2312"/>
          <w:color w:val="auto"/>
          <w:sz w:val="32"/>
          <w:szCs w:val="24"/>
          <w:lang w:val="en-US" w:eastAsia="zh-CN"/>
        </w:rPr>
        <w:t>2022年政府整体</w:t>
      </w:r>
      <w:r>
        <w:rPr>
          <w:rFonts w:hint="eastAsia" w:ascii="仿宋_GB2312" w:hAnsi="仿宋_GB2312" w:eastAsia="仿宋_GB2312"/>
          <w:color w:val="auto"/>
          <w:sz w:val="32"/>
          <w:szCs w:val="24"/>
          <w:u w:val="none" w:color="FFFFFF"/>
          <w:shd w:val="clear" w:fill="FFFFFF"/>
          <w:lang w:val="en-US" w:eastAsia="zh-CN"/>
        </w:rPr>
        <w:t>财政支出</w:t>
      </w:r>
      <w:r>
        <w:rPr>
          <w:rFonts w:hint="eastAsia" w:ascii="仿宋_GB2312" w:hAnsi="仿宋_GB2312" w:eastAsia="仿宋_GB2312"/>
          <w:color w:val="auto"/>
          <w:sz w:val="32"/>
          <w:szCs w:val="24"/>
          <w:lang w:val="en-US" w:eastAsia="zh-CN"/>
        </w:rPr>
        <w:t>3,783.40万元，其中：政府职工工资</w:t>
      </w:r>
      <w:r>
        <w:rPr>
          <w:rFonts w:hint="eastAsia" w:ascii="仿宋_GB2312" w:hAnsi="仿宋_GB2312" w:eastAsia="仿宋_GB2312"/>
          <w:color w:val="auto"/>
          <w:sz w:val="32"/>
          <w:szCs w:val="24"/>
          <w:u w:val="none" w:color="FFFFFF"/>
          <w:shd w:val="clear" w:fill="FFFFFF"/>
          <w:lang w:val="en-US" w:eastAsia="zh-CN"/>
        </w:rPr>
        <w:t>福利经费</w:t>
      </w:r>
      <w:r>
        <w:rPr>
          <w:rFonts w:hint="eastAsia" w:ascii="仿宋_GB2312" w:hAnsi="仿宋_GB2312" w:eastAsia="仿宋_GB2312"/>
          <w:color w:val="auto"/>
          <w:sz w:val="32"/>
          <w:szCs w:val="24"/>
          <w:lang w:val="en-US" w:eastAsia="zh-CN"/>
        </w:rPr>
        <w:t>及政府机关运转经费1,798.66万元；一般公共服务项目支出30.10万元；文化旅游体育与传媒支出1.5万元；卫生健康支出9万元；农林水支出1,694.14万元；住房保障支出234万元；灾害防治及应急管理支出6万元；政府性基金支出（彩票公益金安排的支出）10万元。</w:t>
      </w:r>
    </w:p>
    <w:p>
      <w:pPr>
        <w:keepNext/>
        <w:keepLines/>
        <w:spacing w:line="560" w:lineRule="exact"/>
        <w:ind w:firstLine="643" w:firstLineChars="200"/>
        <w:jc w:val="both"/>
        <w:outlineLvl w:val="9"/>
        <w:rPr>
          <w:rFonts w:hint="default" w:ascii="仿宋_GB2312" w:hAnsi="仿宋_GB2312" w:eastAsia="仿宋_GB2312"/>
          <w:color w:val="auto"/>
          <w:sz w:val="32"/>
          <w:szCs w:val="24"/>
          <w:lang w:val="en-US" w:eastAsia="zh-CN"/>
        </w:rPr>
      </w:pPr>
      <w:r>
        <w:rPr>
          <w:rFonts w:hint="eastAsia" w:ascii="仿宋_GB2312" w:hAnsi="仿宋_GB2312" w:eastAsia="仿宋_GB2312"/>
          <w:b/>
          <w:color w:val="auto"/>
          <w:sz w:val="32"/>
          <w:szCs w:val="24"/>
          <w:lang w:val="en-US"/>
        </w:rPr>
        <w:t>3.部门财政拨款结转结余情况</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u w:val="none" w:color="FFFFFF"/>
          <w:shd w:val="clear" w:fill="FFFFFF"/>
          <w:lang w:val="en-US" w:eastAsia="zh-CN"/>
        </w:rPr>
        <w:t>全年项目</w:t>
      </w:r>
      <w:r>
        <w:rPr>
          <w:rFonts w:hint="eastAsia" w:ascii="仿宋_GB2312" w:hAnsi="仿宋_GB2312" w:eastAsia="仿宋_GB2312"/>
          <w:color w:val="auto"/>
          <w:sz w:val="32"/>
          <w:szCs w:val="24"/>
          <w:lang w:val="en-US" w:eastAsia="zh-CN"/>
        </w:rPr>
        <w:t>决算数为</w:t>
      </w:r>
      <w:r>
        <w:rPr>
          <w:rFonts w:hint="eastAsia" w:ascii="仿宋_GB2312" w:hAnsi="仿宋_GB2312" w:eastAsia="仿宋_GB2312"/>
          <w:color w:val="auto"/>
          <w:sz w:val="32"/>
          <w:szCs w:val="24"/>
          <w:u w:val="thick" w:color="98967F"/>
          <w:shd w:val="clear" w:fill="98967F"/>
          <w:lang w:val="en-US" w:eastAsia="zh-CN"/>
        </w:rPr>
        <w:t>3,783.40万元，</w:t>
      </w:r>
      <w:r>
        <w:rPr>
          <w:rFonts w:hint="eastAsia" w:ascii="仿宋_GB2312" w:hAnsi="仿宋_GB2312" w:eastAsia="仿宋_GB2312"/>
          <w:color w:val="auto"/>
          <w:sz w:val="32"/>
          <w:szCs w:val="24"/>
          <w:lang w:val="en-US" w:eastAsia="zh-CN"/>
        </w:rPr>
        <w:t>完成预算的100%。2022年政府整体财政支出</w:t>
      </w:r>
      <w:r>
        <w:rPr>
          <w:rFonts w:hint="eastAsia" w:ascii="仿宋_GB2312" w:hAnsi="仿宋_GB2312" w:eastAsia="仿宋_GB2312"/>
          <w:color w:val="auto"/>
          <w:sz w:val="32"/>
          <w:szCs w:val="24"/>
          <w:u w:val="thick" w:color="98967F"/>
          <w:shd w:val="clear" w:fill="98967F"/>
          <w:lang w:val="en-US" w:eastAsia="zh-CN"/>
        </w:rPr>
        <w:t>3,783.40万元，</w:t>
      </w:r>
      <w:r>
        <w:rPr>
          <w:rFonts w:hint="eastAsia" w:ascii="仿宋_GB2312" w:hAnsi="仿宋_GB2312" w:eastAsia="仿宋_GB2312"/>
          <w:color w:val="auto"/>
          <w:sz w:val="32"/>
          <w:szCs w:val="24"/>
          <w:lang w:val="en-US" w:eastAsia="zh-CN"/>
        </w:rPr>
        <w:t>当年财政预算拨款收支持</w:t>
      </w:r>
      <w:r>
        <w:rPr>
          <w:rFonts w:hint="eastAsia" w:ascii="仿宋_GB2312" w:hAnsi="仿宋_GB2312" w:eastAsia="仿宋_GB2312"/>
          <w:color w:val="auto"/>
          <w:sz w:val="32"/>
          <w:szCs w:val="24"/>
          <w:u w:val="none" w:color="FFFFFF"/>
          <w:shd w:val="clear" w:fill="FFFFFF"/>
          <w:lang w:val="en-US" w:eastAsia="zh-CN"/>
        </w:rPr>
        <w:t>平</w:t>
      </w:r>
      <w:r>
        <w:rPr>
          <w:rFonts w:hint="eastAsia" w:ascii="仿宋_GB2312" w:hAnsi="仿宋_GB2312" w:eastAsia="仿宋_GB2312"/>
          <w:color w:val="auto"/>
          <w:sz w:val="32"/>
          <w:szCs w:val="24"/>
          <w:lang w:val="en-US" w:eastAsia="zh-CN"/>
        </w:rPr>
        <w:t>没有结余。</w:t>
      </w:r>
    </w:p>
    <w:p>
      <w:pPr>
        <w:keepNext/>
        <w:keepLines/>
        <w:spacing w:beforeLines="0" w:afterLines="0" w:line="560" w:lineRule="exact"/>
        <w:ind w:firstLine="640" w:firstLineChars="200"/>
        <w:outlineLvl w:val="9"/>
        <w:rPr>
          <w:rFonts w:hint="eastAsia" w:ascii="黑体" w:hAnsi="黑体" w:eastAsia="黑体"/>
          <w:color w:val="auto"/>
          <w:sz w:val="32"/>
          <w:szCs w:val="24"/>
          <w:lang w:val="en-US"/>
        </w:rPr>
      </w:pPr>
      <w:r>
        <w:rPr>
          <w:rFonts w:hint="eastAsia" w:ascii="黑体" w:hAnsi="黑体" w:eastAsia="黑体"/>
          <w:color w:val="auto"/>
          <w:sz w:val="32"/>
          <w:szCs w:val="24"/>
          <w:u w:val="none" w:color="FFFFFF"/>
          <w:shd w:val="clear" w:fill="FFFFFF"/>
          <w:lang w:val="en-US"/>
        </w:rPr>
        <w:t>三、</w:t>
      </w:r>
      <w:r>
        <w:rPr>
          <w:rFonts w:hint="eastAsia" w:ascii="黑体" w:hAnsi="黑体" w:eastAsia="黑体"/>
          <w:color w:val="auto"/>
          <w:sz w:val="32"/>
          <w:szCs w:val="24"/>
          <w:lang w:val="en-US"/>
        </w:rPr>
        <w:t>部门整体绩效分析</w:t>
      </w:r>
    </w:p>
    <w:p>
      <w:pPr>
        <w:keepNext/>
        <w:keepLines/>
        <w:spacing w:beforeLines="0" w:afterLines="0" w:line="560" w:lineRule="exact"/>
        <w:ind w:firstLine="321" w:firstLineChars="100"/>
        <w:outlineLvl w:val="9"/>
        <w:rPr>
          <w:rFonts w:hint="eastAsia" w:ascii="仿宋_GB2312" w:hAnsi="仿宋_GB2312" w:eastAsia="仿宋_GB2312"/>
          <w:color w:val="auto"/>
          <w:sz w:val="32"/>
          <w:szCs w:val="24"/>
          <w:lang w:val="zh-CN"/>
        </w:rPr>
      </w:pPr>
      <w:r>
        <w:rPr>
          <w:rFonts w:hint="eastAsia" w:ascii="楷体_GB2312" w:hAnsi="楷体_GB2312" w:eastAsia="楷体_GB2312"/>
          <w:b/>
          <w:color w:val="auto"/>
          <w:sz w:val="32"/>
          <w:szCs w:val="24"/>
          <w:lang w:val="zh-CN"/>
        </w:rPr>
        <w:t>（一）部门预算项目绩效分析</w:t>
      </w:r>
    </w:p>
    <w:p>
      <w:pPr>
        <w:keepNext/>
        <w:keepLines/>
        <w:spacing w:beforeLines="0" w:afterLines="0" w:line="560" w:lineRule="exact"/>
        <w:ind w:firstLine="640"/>
        <w:outlineLvl w:val="9"/>
        <w:rPr>
          <w:rFonts w:hint="eastAsia" w:ascii="仿宋_GB2312" w:hAnsi="仿宋_GB2312" w:eastAsia="仿宋_GB2312"/>
          <w:b/>
          <w:bCs/>
          <w:color w:val="auto"/>
          <w:sz w:val="32"/>
          <w:szCs w:val="24"/>
          <w:lang w:val="en-US"/>
        </w:rPr>
      </w:pPr>
      <w:r>
        <w:rPr>
          <w:rFonts w:hint="eastAsia" w:ascii="仿宋_GB2312" w:hAnsi="仿宋_GB2312" w:eastAsia="仿宋_GB2312"/>
          <w:b/>
          <w:bCs/>
          <w:color w:val="auto"/>
          <w:sz w:val="32"/>
          <w:szCs w:val="24"/>
          <w:lang w:val="en-US"/>
        </w:rPr>
        <w:t>1.人员</w:t>
      </w:r>
      <w:r>
        <w:rPr>
          <w:rFonts w:hint="eastAsia" w:ascii="仿宋_GB2312" w:hAnsi="仿宋_GB2312" w:eastAsia="仿宋_GB2312"/>
          <w:b/>
          <w:bCs/>
          <w:color w:val="auto"/>
          <w:sz w:val="32"/>
          <w:szCs w:val="24"/>
          <w:lang w:val="en-US" w:eastAsia="zh-CN"/>
        </w:rPr>
        <w:t>类</w:t>
      </w:r>
      <w:r>
        <w:rPr>
          <w:rFonts w:hint="eastAsia" w:ascii="仿宋_GB2312" w:hAnsi="仿宋_GB2312" w:eastAsia="仿宋_GB2312"/>
          <w:b/>
          <w:bCs/>
          <w:color w:val="auto"/>
          <w:sz w:val="32"/>
          <w:szCs w:val="24"/>
          <w:lang w:val="en-US"/>
        </w:rPr>
        <w:t>项目绩效分析</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color w:val="auto"/>
          <w:sz w:val="32"/>
          <w:szCs w:val="24"/>
          <w:lang w:val="zh-CN" w:eastAsia="zh-CN"/>
        </w:rPr>
        <w:t>严格</w:t>
      </w:r>
      <w:r>
        <w:rPr>
          <w:rFonts w:hint="eastAsia" w:ascii="仿宋_GB2312" w:hAnsi="仿宋_GB2312" w:eastAsia="仿宋_GB2312"/>
          <w:color w:val="auto"/>
          <w:sz w:val="32"/>
          <w:szCs w:val="24"/>
          <w:lang w:val="en-US" w:eastAsia="zh-CN"/>
        </w:rPr>
        <w:t>按财政预算执行，支付依据是严格按照财政资金支付要求，严格执行财务管理制度，首先</w:t>
      </w:r>
      <w:r>
        <w:rPr>
          <w:rFonts w:hint="eastAsia" w:ascii="仿宋_GB2312" w:hAnsi="仿宋_GB2312" w:eastAsia="仿宋_GB2312" w:cs="Times New Roman"/>
          <w:color w:val="auto"/>
          <w:sz w:val="32"/>
          <w:szCs w:val="24"/>
          <w:lang w:val="zh-CN"/>
        </w:rPr>
        <w:t>保</w:t>
      </w:r>
      <w:r>
        <w:rPr>
          <w:rFonts w:hint="eastAsia" w:ascii="仿宋_GB2312" w:hAnsi="仿宋_GB2312" w:eastAsia="仿宋_GB2312" w:cs="Times New Roman"/>
          <w:color w:val="auto"/>
          <w:sz w:val="32"/>
          <w:szCs w:val="24"/>
          <w:lang w:val="en-US" w:eastAsia="zh-CN"/>
        </w:rPr>
        <w:t>工资、保</w:t>
      </w:r>
      <w:r>
        <w:rPr>
          <w:rFonts w:hint="eastAsia" w:ascii="仿宋_GB2312" w:hAnsi="仿宋_GB2312" w:eastAsia="仿宋_GB2312" w:cs="Times New Roman"/>
          <w:color w:val="auto"/>
          <w:sz w:val="32"/>
          <w:szCs w:val="24"/>
          <w:lang w:val="zh-CN"/>
        </w:rPr>
        <w:t>人员经费支出，</w:t>
      </w:r>
      <w:r>
        <w:rPr>
          <w:rFonts w:hint="eastAsia" w:ascii="仿宋_GB2312" w:hAnsi="仿宋_GB2312" w:eastAsia="仿宋_GB2312"/>
          <w:color w:val="auto"/>
          <w:sz w:val="32"/>
          <w:szCs w:val="24"/>
          <w:lang w:val="en-US" w:eastAsia="zh-CN"/>
        </w:rPr>
        <w:t>项目绩效目标完成情况如下：2022年政府人员经费财政资金1,764.11万元，专款专</w:t>
      </w:r>
      <w:r>
        <w:rPr>
          <w:rFonts w:hint="eastAsia" w:ascii="仿宋_GB2312" w:hAnsi="仿宋_GB2312" w:eastAsia="仿宋_GB2312"/>
          <w:color w:val="auto"/>
          <w:sz w:val="32"/>
          <w:szCs w:val="24"/>
          <w:u w:val="none" w:color="FFFFFF"/>
          <w:shd w:val="clear" w:fill="FFFFFF"/>
          <w:lang w:val="en-US" w:eastAsia="zh-CN"/>
        </w:rPr>
        <w:t>用</w:t>
      </w:r>
      <w:r>
        <w:rPr>
          <w:rFonts w:hint="eastAsia" w:ascii="仿宋_GB2312" w:hAnsi="仿宋_GB2312" w:eastAsia="仿宋_GB2312"/>
          <w:color w:val="auto"/>
          <w:sz w:val="32"/>
          <w:szCs w:val="24"/>
          <w:lang w:val="zh-CN" w:eastAsia="zh-CN"/>
        </w:rPr>
        <w:t>全额到位，</w:t>
      </w:r>
      <w:r>
        <w:rPr>
          <w:rFonts w:hint="eastAsia" w:ascii="仿宋_GB2312" w:hAnsi="仿宋_GB2312" w:eastAsia="仿宋_GB2312"/>
          <w:color w:val="auto"/>
          <w:sz w:val="32"/>
          <w:szCs w:val="24"/>
          <w:lang w:val="en-US" w:eastAsia="zh-CN"/>
        </w:rPr>
        <w:t>当年财政预算拨款收支持平，没有结</w:t>
      </w:r>
      <w:r>
        <w:rPr>
          <w:rFonts w:hint="eastAsia" w:ascii="仿宋_GB2312" w:hAnsi="仿宋_GB2312" w:eastAsia="仿宋_GB2312"/>
          <w:color w:val="auto"/>
          <w:sz w:val="32"/>
          <w:szCs w:val="24"/>
          <w:u w:val="none" w:color="FFFFFF"/>
          <w:shd w:val="clear" w:fill="FFFFFF"/>
          <w:lang w:val="en-US" w:eastAsia="zh-CN"/>
        </w:rPr>
        <w:t>余</w:t>
      </w:r>
      <w:r>
        <w:rPr>
          <w:rFonts w:hint="eastAsia" w:ascii="仿宋_GB2312" w:hAnsi="仿宋_GB2312" w:eastAsia="仿宋_GB2312"/>
          <w:color w:val="auto"/>
          <w:sz w:val="32"/>
          <w:szCs w:val="24"/>
          <w:lang w:val="en-US" w:eastAsia="zh-CN"/>
        </w:rPr>
        <w:t>不存在挪用截留。</w:t>
      </w:r>
    </w:p>
    <w:p>
      <w:pPr>
        <w:adjustRightInd w:val="0"/>
        <w:snapToGrid w:val="0"/>
        <w:spacing w:line="560" w:lineRule="exact"/>
        <w:ind w:firstLine="640" w:firstLineChars="200"/>
        <w:outlineLvl w:val="9"/>
        <w:rPr>
          <w:rFonts w:hint="eastAsia" w:ascii="楷体" w:hAnsi="楷体" w:eastAsia="楷体" w:cs="楷体"/>
          <w:b w:val="0"/>
          <w:bCs/>
          <w:sz w:val="36"/>
          <w:szCs w:val="36"/>
          <w:lang w:val="en-US" w:eastAsia="zh-CN"/>
        </w:rPr>
      </w:pPr>
      <w:r>
        <w:rPr>
          <w:rFonts w:hint="eastAsia" w:ascii="仿宋_GB2312" w:hAnsi="仿宋_GB2312" w:eastAsia="仿宋_GB2312"/>
          <w:color w:val="auto"/>
          <w:sz w:val="32"/>
          <w:szCs w:val="24"/>
          <w:lang w:val="en-US" w:eastAsia="zh-CN"/>
        </w:rPr>
        <w:t>按项目预算拨款支出执行的主要内容如下：</w:t>
      </w:r>
    </w:p>
    <w:tbl>
      <w:tblPr>
        <w:tblStyle w:val="13"/>
        <w:tblW w:w="9000" w:type="dxa"/>
        <w:tblInd w:w="276" w:type="dxa"/>
        <w:tblLayout w:type="fixed"/>
        <w:tblCellMar>
          <w:top w:w="0" w:type="dxa"/>
          <w:left w:w="0" w:type="dxa"/>
          <w:bottom w:w="0" w:type="dxa"/>
          <w:right w:w="0" w:type="dxa"/>
        </w:tblCellMar>
      </w:tblPr>
      <w:tblGrid>
        <w:gridCol w:w="420"/>
        <w:gridCol w:w="2400"/>
        <w:gridCol w:w="1760"/>
        <w:gridCol w:w="1460"/>
        <w:gridCol w:w="710"/>
        <w:gridCol w:w="630"/>
        <w:gridCol w:w="940"/>
        <w:gridCol w:w="680"/>
      </w:tblGrid>
      <w:tr>
        <w:tblPrEx>
          <w:tblLayout w:type="fixed"/>
          <w:tblCellMar>
            <w:top w:w="0" w:type="dxa"/>
            <w:left w:w="0" w:type="dxa"/>
            <w:bottom w:w="0" w:type="dxa"/>
            <w:right w:w="0" w:type="dxa"/>
          </w:tblCellMar>
        </w:tblPrEx>
        <w:trPr>
          <w:trHeight w:val="89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序号</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562" w:firstLineChars="2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任务名称</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281" w:firstLineChars="1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主要内容</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金额（万元）</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目标  完成</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u w:val="none" w:color="FFFFFF"/>
                <w:shd w:val="clear" w:fill="FFFFFF"/>
                <w:lang w:val="en-US" w:eastAsia="zh-CN"/>
              </w:rPr>
              <w:t>合格率</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满意度</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得分</w:t>
            </w:r>
          </w:p>
        </w:tc>
      </w:tr>
      <w:tr>
        <w:tblPrEx>
          <w:tblLayout w:type="fixed"/>
          <w:tblCellMar>
            <w:top w:w="0" w:type="dxa"/>
            <w:left w:w="0" w:type="dxa"/>
            <w:bottom w:w="0" w:type="dxa"/>
            <w:right w:w="0" w:type="dxa"/>
          </w:tblCellMar>
        </w:tblPrEx>
        <w:trPr>
          <w:trHeight w:val="479"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utlineLvl w:val="9"/>
              <w:rPr>
                <w:rFonts w:hint="eastAsia" w:ascii="楷体" w:hAnsi="楷体" w:eastAsia="楷体" w:cs="楷体"/>
                <w:b/>
                <w:bCs w:val="0"/>
                <w:kern w:val="2"/>
                <w:sz w:val="28"/>
                <w:szCs w:val="28"/>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482" w:firstLineChars="200"/>
              <w:jc w:val="both"/>
              <w:textAlignment w:val="center"/>
              <w:outlineLvl w:val="9"/>
              <w:rPr>
                <w:rFonts w:hint="eastAsia" w:ascii="楷体" w:hAnsi="楷体" w:eastAsia="楷体" w:cs="楷体"/>
                <w:b/>
                <w:bCs w:val="0"/>
                <w:kern w:val="2"/>
                <w:sz w:val="24"/>
                <w:szCs w:val="24"/>
                <w:lang w:val="en-US" w:eastAsia="zh-CN" w:bidi="ar-SA"/>
              </w:rPr>
            </w:pPr>
            <w:r>
              <w:rPr>
                <w:rFonts w:hint="eastAsia" w:ascii="楷体" w:hAnsi="楷体" w:eastAsia="楷体" w:cs="楷体"/>
                <w:b/>
                <w:bCs w:val="0"/>
                <w:kern w:val="2"/>
                <w:sz w:val="24"/>
                <w:szCs w:val="24"/>
                <w:lang w:val="en-US" w:eastAsia="zh-CN" w:bidi="ar-SA"/>
              </w:rPr>
              <w:t>合   计</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outlineLvl w:val="9"/>
              <w:rPr>
                <w:rFonts w:hint="eastAsia" w:ascii="楷体" w:hAnsi="楷体" w:eastAsia="楷体" w:cs="楷体"/>
                <w:b/>
                <w:bCs w:val="0"/>
                <w:kern w:val="2"/>
                <w:sz w:val="24"/>
                <w:szCs w:val="24"/>
                <w:lang w:val="en-US" w:eastAsia="zh-CN" w:bidi="ar-SA"/>
              </w:rPr>
            </w:pP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楷体" w:hAnsi="楷体" w:eastAsia="楷体" w:cs="楷体"/>
                <w:b/>
                <w:bCs/>
                <w:kern w:val="2"/>
                <w:sz w:val="24"/>
                <w:szCs w:val="24"/>
                <w:lang w:val="en-US" w:eastAsia="zh-CN" w:bidi="ar-SA"/>
              </w:rPr>
            </w:pPr>
            <w:r>
              <w:rPr>
                <w:rFonts w:hint="eastAsia" w:ascii="仿宋_GB2312" w:hAnsi="仿宋_GB2312" w:eastAsia="仿宋_GB2312"/>
                <w:b/>
                <w:bCs/>
                <w:color w:val="auto"/>
                <w:sz w:val="24"/>
                <w:szCs w:val="24"/>
                <w:lang w:val="en-US" w:eastAsia="zh-CN"/>
              </w:rPr>
              <w:t>1,764.11</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r>
      <w:tr>
        <w:tblPrEx>
          <w:tblLayout w:type="fixed"/>
          <w:tblCellMar>
            <w:top w:w="0" w:type="dxa"/>
            <w:left w:w="0" w:type="dxa"/>
            <w:bottom w:w="0" w:type="dxa"/>
            <w:right w:w="0" w:type="dxa"/>
          </w:tblCellMar>
        </w:tblPrEx>
        <w:trPr>
          <w:trHeight w:val="41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基本工资</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451.95</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Layout w:type="fixed"/>
          <w:tblCellMar>
            <w:top w:w="0" w:type="dxa"/>
            <w:left w:w="0" w:type="dxa"/>
            <w:bottom w:w="0" w:type="dxa"/>
            <w:right w:w="0" w:type="dxa"/>
          </w:tblCellMar>
        </w:tblPrEx>
        <w:trPr>
          <w:trHeight w:val="34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津补贴</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199.10</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Layout w:type="fixed"/>
          <w:tblCellMar>
            <w:top w:w="0" w:type="dxa"/>
            <w:left w:w="0" w:type="dxa"/>
            <w:bottom w:w="0" w:type="dxa"/>
            <w:right w:w="0" w:type="dxa"/>
          </w:tblCellMar>
        </w:tblPrEx>
        <w:trPr>
          <w:trHeight w:val="32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奖金</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225.18</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绩效工资</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271.37</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社保经费</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253.66</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公积金</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92.63</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bCs w:val="0"/>
                <w:kern w:val="2"/>
                <w:sz w:val="18"/>
                <w:szCs w:val="18"/>
                <w:lang w:val="en-US" w:eastAsia="zh-CN" w:bidi="ar-SA"/>
              </w:rPr>
            </w:pPr>
            <w:r>
              <w:rPr>
                <w:rFonts w:hint="eastAsia" w:ascii="楷体" w:hAnsi="楷体" w:eastAsia="楷体" w:cs="楷体"/>
                <w:b/>
                <w:bCs w:val="0"/>
                <w:kern w:val="2"/>
                <w:sz w:val="18"/>
                <w:szCs w:val="18"/>
                <w:lang w:val="en-US" w:eastAsia="zh-CN" w:bidi="ar-SA"/>
              </w:rPr>
              <w:t>生活补助</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212.36</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bCs w:val="0"/>
                <w:kern w:val="2"/>
                <w:sz w:val="18"/>
                <w:szCs w:val="18"/>
                <w:lang w:val="en-US" w:eastAsia="zh-CN" w:bidi="ar-SA"/>
              </w:rPr>
            </w:pPr>
            <w:r>
              <w:rPr>
                <w:rFonts w:hint="eastAsia" w:ascii="楷体" w:hAnsi="楷体" w:eastAsia="楷体" w:cs="楷体"/>
                <w:b/>
                <w:bCs w:val="0"/>
                <w:kern w:val="2"/>
                <w:sz w:val="18"/>
                <w:szCs w:val="18"/>
                <w:lang w:val="en-US" w:eastAsia="zh-CN" w:bidi="ar-SA"/>
              </w:rPr>
              <w:t>个人农业生产补贴</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51.56</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b/>
                <w:bCs w:val="0"/>
                <w:sz w:val="18"/>
                <w:szCs w:val="18"/>
                <w:lang w:val="en-US" w:eastAsia="zh-CN"/>
              </w:rPr>
            </w:pPr>
            <w:r>
              <w:rPr>
                <w:rFonts w:hint="eastAsia" w:ascii="楷体" w:hAnsi="楷体" w:eastAsia="楷体" w:cs="楷体"/>
                <w:b/>
                <w:bCs w:val="0"/>
                <w:kern w:val="2"/>
                <w:sz w:val="18"/>
                <w:szCs w:val="18"/>
                <w:lang w:val="en-US" w:eastAsia="zh-CN" w:bidi="ar-SA"/>
              </w:rPr>
              <w:t>引进人才补助资金等</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6.30</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r>
    </w:tbl>
    <w:p>
      <w:pPr>
        <w:keepNext/>
        <w:keepLines/>
        <w:spacing w:beforeLines="0" w:afterLines="0" w:line="560" w:lineRule="exact"/>
        <w:ind w:firstLine="640"/>
        <w:outlineLvl w:val="9"/>
        <w:rPr>
          <w:rFonts w:hint="eastAsia" w:ascii="仿宋_GB2312" w:hAnsi="仿宋_GB2312" w:eastAsia="仿宋_GB2312"/>
          <w:b/>
          <w:bCs/>
          <w:color w:val="auto"/>
          <w:sz w:val="32"/>
          <w:szCs w:val="24"/>
          <w:highlight w:val="none"/>
          <w:lang w:val="en-US"/>
        </w:rPr>
      </w:pPr>
      <w:r>
        <w:rPr>
          <w:rFonts w:hint="eastAsia" w:ascii="楷体_GB2312" w:hAnsi="楷体_GB2312" w:eastAsia="楷体_GB2312" w:cs="Times New Roman"/>
          <w:b/>
          <w:color w:val="FF0000"/>
          <w:kern w:val="2"/>
          <w:sz w:val="32"/>
          <w:szCs w:val="24"/>
          <w:highlight w:val="none"/>
          <w:lang w:val="en-US" w:eastAsia="zh-CN" w:bidi="ar-SA"/>
        </w:rPr>
        <w:t xml:space="preserve"> </w:t>
      </w:r>
      <w:r>
        <w:rPr>
          <w:rFonts w:hint="eastAsia" w:ascii="仿宋_GB2312" w:hAnsi="仿宋_GB2312" w:eastAsia="仿宋_GB2312"/>
          <w:b/>
          <w:bCs/>
          <w:color w:val="auto"/>
          <w:sz w:val="32"/>
          <w:szCs w:val="24"/>
          <w:highlight w:val="none"/>
          <w:lang w:val="en-US" w:eastAsia="zh-CN"/>
        </w:rPr>
        <w:t>2</w:t>
      </w:r>
      <w:r>
        <w:rPr>
          <w:rFonts w:hint="eastAsia" w:ascii="仿宋_GB2312" w:hAnsi="仿宋_GB2312" w:eastAsia="仿宋_GB2312"/>
          <w:b/>
          <w:bCs/>
          <w:color w:val="auto"/>
          <w:sz w:val="32"/>
          <w:szCs w:val="24"/>
          <w:highlight w:val="none"/>
          <w:lang w:val="en-US"/>
        </w:rPr>
        <w:t>.</w:t>
      </w:r>
      <w:r>
        <w:rPr>
          <w:rFonts w:hint="eastAsia" w:ascii="仿宋_GB2312" w:hAnsi="仿宋_GB2312" w:eastAsia="仿宋_GB2312"/>
          <w:b/>
          <w:bCs/>
          <w:color w:val="auto"/>
          <w:sz w:val="32"/>
          <w:szCs w:val="24"/>
          <w:highlight w:val="none"/>
          <w:lang w:val="en-US" w:eastAsia="zh-CN"/>
        </w:rPr>
        <w:t>运转类</w:t>
      </w:r>
      <w:r>
        <w:rPr>
          <w:rFonts w:hint="eastAsia" w:ascii="仿宋_GB2312" w:hAnsi="仿宋_GB2312" w:eastAsia="仿宋_GB2312"/>
          <w:b/>
          <w:bCs/>
          <w:color w:val="auto"/>
          <w:sz w:val="32"/>
          <w:szCs w:val="24"/>
          <w:highlight w:val="none"/>
          <w:lang w:val="en-US"/>
        </w:rPr>
        <w:t>项目绩效分析</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color w:val="auto"/>
          <w:sz w:val="32"/>
          <w:szCs w:val="24"/>
          <w:lang w:val="zh-CN" w:eastAsia="zh-CN"/>
        </w:rPr>
        <w:t>严格</w:t>
      </w:r>
      <w:r>
        <w:rPr>
          <w:rFonts w:hint="eastAsia" w:ascii="仿宋_GB2312" w:hAnsi="仿宋_GB2312" w:eastAsia="仿宋_GB2312"/>
          <w:color w:val="auto"/>
          <w:sz w:val="32"/>
          <w:szCs w:val="24"/>
          <w:lang w:val="en-US" w:eastAsia="zh-CN"/>
        </w:rPr>
        <w:t>按财政预算执行，支付依据是严格按照财政资金支付要求，严格执行财务管理制度，确</w:t>
      </w:r>
      <w:r>
        <w:rPr>
          <w:rFonts w:hint="eastAsia" w:ascii="仿宋_GB2312" w:hAnsi="仿宋_GB2312" w:eastAsia="仿宋_GB2312" w:cs="Times New Roman"/>
          <w:color w:val="auto"/>
          <w:sz w:val="32"/>
          <w:szCs w:val="24"/>
          <w:lang w:val="zh-CN"/>
        </w:rPr>
        <w:t>保</w:t>
      </w:r>
      <w:r>
        <w:rPr>
          <w:rFonts w:hint="eastAsia" w:ascii="仿宋_GB2312" w:hAnsi="仿宋_GB2312" w:eastAsia="仿宋_GB2312" w:cs="Times New Roman"/>
          <w:color w:val="auto"/>
          <w:sz w:val="32"/>
          <w:szCs w:val="24"/>
          <w:lang w:val="en-US" w:eastAsia="zh-CN"/>
        </w:rPr>
        <w:t>政府机关运转</w:t>
      </w:r>
      <w:r>
        <w:rPr>
          <w:rFonts w:hint="eastAsia" w:ascii="仿宋_GB2312" w:hAnsi="仿宋_GB2312" w:eastAsia="仿宋_GB2312" w:cs="Times New Roman"/>
          <w:color w:val="auto"/>
          <w:sz w:val="32"/>
          <w:szCs w:val="24"/>
          <w:lang w:val="zh-CN"/>
        </w:rPr>
        <w:t>经费支出，</w:t>
      </w:r>
      <w:r>
        <w:rPr>
          <w:rFonts w:hint="eastAsia" w:ascii="仿宋_GB2312" w:hAnsi="仿宋_GB2312" w:eastAsia="仿宋_GB2312" w:cs="Times New Roman"/>
          <w:color w:val="auto"/>
          <w:sz w:val="32"/>
          <w:szCs w:val="24"/>
          <w:lang w:val="en-US" w:eastAsia="zh-CN"/>
        </w:rPr>
        <w:t>日常工作正常开展</w:t>
      </w:r>
      <w:r>
        <w:rPr>
          <w:rFonts w:hint="eastAsia" w:ascii="仿宋_GB2312" w:hAnsi="仿宋_GB2312" w:eastAsia="仿宋_GB2312" w:cs="Times New Roman"/>
          <w:color w:val="auto"/>
          <w:sz w:val="32"/>
          <w:szCs w:val="24"/>
          <w:lang w:val="zh-CN"/>
        </w:rPr>
        <w:t>，</w:t>
      </w:r>
      <w:r>
        <w:rPr>
          <w:rFonts w:hint="eastAsia" w:ascii="仿宋_GB2312" w:hAnsi="仿宋_GB2312" w:eastAsia="仿宋_GB2312"/>
          <w:color w:val="auto"/>
          <w:sz w:val="32"/>
          <w:szCs w:val="24"/>
          <w:lang w:val="en-US" w:eastAsia="zh-CN"/>
        </w:rPr>
        <w:t>项目绩效目标完成情况如下：2022年政府机关运转经费财政资金381.39万元，专款专</w:t>
      </w:r>
      <w:r>
        <w:rPr>
          <w:rFonts w:hint="eastAsia" w:ascii="仿宋_GB2312" w:hAnsi="仿宋_GB2312" w:eastAsia="仿宋_GB2312"/>
          <w:color w:val="auto"/>
          <w:sz w:val="32"/>
          <w:szCs w:val="24"/>
          <w:u w:val="none" w:color="FFFFFF"/>
          <w:shd w:val="clear" w:fill="FFFFFF"/>
          <w:lang w:val="en-US" w:eastAsia="zh-CN"/>
        </w:rPr>
        <w:t>用</w:t>
      </w:r>
      <w:r>
        <w:rPr>
          <w:rFonts w:hint="eastAsia" w:ascii="仿宋_GB2312" w:hAnsi="仿宋_GB2312" w:eastAsia="仿宋_GB2312"/>
          <w:color w:val="auto"/>
          <w:sz w:val="32"/>
          <w:szCs w:val="24"/>
          <w:lang w:val="zh-CN" w:eastAsia="zh-CN"/>
        </w:rPr>
        <w:t>全额到位，</w:t>
      </w:r>
      <w:r>
        <w:rPr>
          <w:rFonts w:hint="eastAsia" w:ascii="仿宋_GB2312" w:hAnsi="仿宋_GB2312" w:eastAsia="仿宋_GB2312"/>
          <w:color w:val="auto"/>
          <w:sz w:val="32"/>
          <w:szCs w:val="24"/>
          <w:lang w:val="en-US" w:eastAsia="zh-CN"/>
        </w:rPr>
        <w:t>没有结余不存在挪用截留。</w:t>
      </w:r>
    </w:p>
    <w:p>
      <w:pPr>
        <w:adjustRightInd w:val="0"/>
        <w:snapToGrid w:val="0"/>
        <w:spacing w:line="560" w:lineRule="exact"/>
        <w:ind w:firstLine="640" w:firstLineChars="200"/>
        <w:outlineLvl w:val="9"/>
        <w:rPr>
          <w:rFonts w:hint="eastAsia" w:ascii="楷体" w:hAnsi="楷体" w:eastAsia="楷体" w:cs="楷体"/>
          <w:b w:val="0"/>
          <w:bCs/>
          <w:sz w:val="36"/>
          <w:szCs w:val="36"/>
          <w:lang w:val="en-US" w:eastAsia="zh-CN"/>
        </w:rPr>
      </w:pPr>
      <w:r>
        <w:rPr>
          <w:rFonts w:hint="eastAsia" w:ascii="仿宋_GB2312" w:hAnsi="仿宋_GB2312" w:eastAsia="仿宋_GB2312"/>
          <w:color w:val="auto"/>
          <w:sz w:val="32"/>
          <w:szCs w:val="24"/>
          <w:lang w:val="en-US" w:eastAsia="zh-CN"/>
        </w:rPr>
        <w:t>按项目预算拨款支出执行的主要内容如下：</w:t>
      </w:r>
    </w:p>
    <w:tbl>
      <w:tblPr>
        <w:tblStyle w:val="13"/>
        <w:tblW w:w="9000" w:type="dxa"/>
        <w:tblInd w:w="276" w:type="dxa"/>
        <w:tblLayout w:type="fixed"/>
        <w:tblCellMar>
          <w:top w:w="0" w:type="dxa"/>
          <w:left w:w="0" w:type="dxa"/>
          <w:bottom w:w="0" w:type="dxa"/>
          <w:right w:w="0" w:type="dxa"/>
        </w:tblCellMar>
      </w:tblPr>
      <w:tblGrid>
        <w:gridCol w:w="420"/>
        <w:gridCol w:w="2400"/>
        <w:gridCol w:w="1520"/>
        <w:gridCol w:w="1480"/>
        <w:gridCol w:w="630"/>
        <w:gridCol w:w="960"/>
        <w:gridCol w:w="910"/>
        <w:gridCol w:w="680"/>
      </w:tblGrid>
      <w:tr>
        <w:tblPrEx>
          <w:tblLayout w:type="fixed"/>
          <w:tblCellMar>
            <w:top w:w="0" w:type="dxa"/>
            <w:left w:w="0" w:type="dxa"/>
            <w:bottom w:w="0" w:type="dxa"/>
            <w:right w:w="0" w:type="dxa"/>
          </w:tblCellMar>
        </w:tblPrEx>
        <w:trPr>
          <w:trHeight w:val="85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序号</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562" w:firstLineChars="2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任务名称</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281" w:firstLineChars="1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主要内容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金额（万元）</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目标  完成</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u w:val="none" w:color="FFFFFF"/>
                <w:shd w:val="clear" w:fill="FFFFFF"/>
                <w:lang w:val="en-US" w:eastAsia="zh-CN"/>
              </w:rPr>
              <w:t>合格率</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满意度</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得分</w:t>
            </w:r>
          </w:p>
        </w:tc>
      </w:tr>
      <w:tr>
        <w:tblPrEx>
          <w:tblLayout w:type="fixed"/>
          <w:tblCellMar>
            <w:top w:w="0" w:type="dxa"/>
            <w:left w:w="0" w:type="dxa"/>
            <w:bottom w:w="0" w:type="dxa"/>
            <w:right w:w="0" w:type="dxa"/>
          </w:tblCellMar>
        </w:tblPrEx>
        <w:trPr>
          <w:trHeight w:val="499"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utlineLvl w:val="9"/>
              <w:rPr>
                <w:rFonts w:hint="eastAsia" w:ascii="楷体" w:hAnsi="楷体" w:eastAsia="楷体" w:cs="楷体"/>
                <w:b/>
                <w:bCs w:val="0"/>
                <w:kern w:val="2"/>
                <w:sz w:val="28"/>
                <w:szCs w:val="28"/>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562" w:firstLineChars="200"/>
              <w:jc w:val="both"/>
              <w:textAlignment w:val="center"/>
              <w:outlineLvl w:val="9"/>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合   计</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outlineLvl w:val="9"/>
              <w:rPr>
                <w:rFonts w:hint="eastAsia" w:ascii="楷体" w:hAnsi="楷体" w:eastAsia="楷体" w:cs="楷体"/>
                <w:b/>
                <w:bCs w:val="0"/>
                <w:kern w:val="2"/>
                <w:sz w:val="28"/>
                <w:szCs w:val="28"/>
                <w:lang w:val="en-US" w:eastAsia="zh-CN" w:bidi="ar-SA"/>
              </w:rPr>
            </w:pP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楷体" w:hAnsi="楷体" w:eastAsia="楷体" w:cs="楷体"/>
                <w:b/>
                <w:bCs/>
                <w:kern w:val="2"/>
                <w:sz w:val="24"/>
                <w:szCs w:val="24"/>
                <w:lang w:val="en-US" w:eastAsia="zh-CN" w:bidi="ar-SA"/>
              </w:rPr>
            </w:pPr>
            <w:r>
              <w:rPr>
                <w:rFonts w:hint="eastAsia" w:ascii="仿宋_GB2312" w:hAnsi="仿宋_GB2312" w:eastAsia="仿宋_GB2312"/>
                <w:b/>
                <w:bCs/>
                <w:color w:val="auto"/>
                <w:sz w:val="24"/>
                <w:szCs w:val="24"/>
                <w:lang w:val="en-US" w:eastAsia="zh-CN"/>
              </w:rPr>
              <w:t>381.39</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90</w:t>
            </w:r>
          </w:p>
        </w:tc>
      </w:tr>
      <w:tr>
        <w:tblPrEx>
          <w:tblLayout w:type="fixed"/>
          <w:tblCellMar>
            <w:top w:w="0" w:type="dxa"/>
            <w:left w:w="0" w:type="dxa"/>
            <w:bottom w:w="0" w:type="dxa"/>
            <w:right w:w="0" w:type="dxa"/>
          </w:tblCellMar>
        </w:tblPrEx>
        <w:trPr>
          <w:trHeight w:val="46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办公经费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155.25</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92%</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r>
        <w:tblPrEx>
          <w:tblLayout w:type="fixed"/>
          <w:tblCellMar>
            <w:top w:w="0" w:type="dxa"/>
            <w:left w:w="0" w:type="dxa"/>
            <w:bottom w:w="0" w:type="dxa"/>
            <w:right w:w="0" w:type="dxa"/>
          </w:tblCellMar>
        </w:tblPrEx>
        <w:trPr>
          <w:trHeight w:val="39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差旅费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143.77</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会议费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3</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92</w:t>
            </w:r>
          </w:p>
        </w:tc>
      </w:tr>
      <w:tr>
        <w:tblPrEx>
          <w:tblLayout w:type="fixed"/>
          <w:tblCellMar>
            <w:top w:w="0" w:type="dxa"/>
            <w:left w:w="0" w:type="dxa"/>
            <w:bottom w:w="0" w:type="dxa"/>
            <w:right w:w="0" w:type="dxa"/>
          </w:tblCellMar>
        </w:tblPrEx>
        <w:trPr>
          <w:trHeight w:val="35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培训费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6</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公务接待费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1.50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92</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工会经费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4.64</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96%</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福利费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11.72</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98%</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92</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18"/>
                <w:szCs w:val="18"/>
                <w:lang w:val="en-US" w:eastAsia="zh-CN" w:bidi="ar-SA"/>
              </w:rPr>
              <w:t>公务用车运行经费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8</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18"/>
                <w:szCs w:val="18"/>
                <w:lang w:val="en-US" w:eastAsia="zh-CN" w:bidi="ar-SA"/>
              </w:rPr>
            </w:pPr>
            <w:r>
              <w:rPr>
                <w:rFonts w:hint="eastAsia" w:ascii="楷体" w:hAnsi="楷体" w:eastAsia="楷体" w:cs="楷体"/>
                <w:b w:val="0"/>
                <w:bCs/>
                <w:kern w:val="2"/>
                <w:sz w:val="28"/>
                <w:szCs w:val="28"/>
                <w:lang w:val="en-US" w:eastAsia="zh-CN" w:bidi="ar-SA"/>
              </w:rPr>
              <w:t>其他交通费</w:t>
            </w:r>
          </w:p>
        </w:tc>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47.51</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lang w:val="en-US" w:eastAsia="zh-CN"/>
              </w:rPr>
              <w:t>90</w:t>
            </w:r>
          </w:p>
        </w:tc>
      </w:tr>
    </w:tbl>
    <w:p>
      <w:pPr>
        <w:pStyle w:val="2"/>
        <w:ind w:firstLine="643" w:firstLineChars="200"/>
        <w:outlineLvl w:val="9"/>
        <w:rPr>
          <w:rFonts w:hint="eastAsia" w:ascii="楷体_GB2312" w:hAnsi="楷体_GB2312" w:eastAsia="楷体_GB2312" w:cs="Times New Roman"/>
          <w:b/>
          <w:color w:val="auto"/>
          <w:kern w:val="2"/>
          <w:sz w:val="32"/>
          <w:szCs w:val="24"/>
          <w:lang w:val="en-US" w:eastAsia="zh-CN" w:bidi="ar-SA"/>
        </w:rPr>
      </w:pPr>
      <w:r>
        <w:rPr>
          <w:rFonts w:hint="eastAsia" w:ascii="楷体_GB2312" w:hAnsi="楷体_GB2312" w:eastAsia="楷体_GB2312" w:cs="Times New Roman"/>
          <w:b/>
          <w:color w:val="auto"/>
          <w:kern w:val="2"/>
          <w:sz w:val="32"/>
          <w:szCs w:val="24"/>
          <w:lang w:val="en-US" w:eastAsia="zh-CN" w:bidi="ar-SA"/>
        </w:rPr>
        <w:t>3.特定目标类项目绩效分析</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en-US" w:eastAsia="zh-CN"/>
        </w:rPr>
      </w:pPr>
      <w:r>
        <w:rPr>
          <w:rFonts w:hint="eastAsia" w:ascii="仿宋_GB2312" w:hAnsi="仿宋_GB2312" w:eastAsia="仿宋_GB2312"/>
          <w:color w:val="auto"/>
          <w:sz w:val="32"/>
          <w:szCs w:val="24"/>
          <w:lang w:val="en-US" w:eastAsia="zh-CN"/>
        </w:rPr>
        <w:t>2022年特定目标类经费17万元，其中：人大代表及政协委员联络费2万元、关心下一代工作经费2万元、纪委专项办案经费3万元，彩票公益金</w:t>
      </w:r>
      <w:r>
        <w:rPr>
          <w:rFonts w:hint="eastAsia" w:ascii="仿宋_GB2312" w:hAnsi="仿宋_GB2312" w:eastAsia="仿宋_GB2312"/>
          <w:color w:val="auto"/>
          <w:sz w:val="32"/>
          <w:szCs w:val="24"/>
          <w:u w:val="none" w:color="FFFFFF"/>
          <w:shd w:val="clear" w:fill="FFFFFF"/>
          <w:lang w:val="en-US" w:eastAsia="zh-CN"/>
        </w:rPr>
        <w:t>支出经费</w:t>
      </w:r>
      <w:r>
        <w:rPr>
          <w:rFonts w:hint="eastAsia" w:ascii="仿宋_GB2312" w:hAnsi="仿宋_GB2312" w:eastAsia="仿宋_GB2312"/>
          <w:color w:val="auto"/>
          <w:sz w:val="32"/>
          <w:szCs w:val="24"/>
          <w:lang w:val="en-US" w:eastAsia="zh-CN"/>
        </w:rPr>
        <w:t>10万元。</w:t>
      </w:r>
      <w:r>
        <w:rPr>
          <w:rFonts w:hint="eastAsia" w:ascii="仿宋_GB2312" w:hAnsi="仿宋_GB2312" w:eastAsia="仿宋_GB2312"/>
          <w:color w:val="auto"/>
          <w:sz w:val="32"/>
          <w:szCs w:val="24"/>
          <w:u w:val="none" w:color="FFFFFF"/>
          <w:shd w:val="clear" w:fill="FFFFFF"/>
          <w:lang w:val="en-US" w:eastAsia="zh-CN"/>
        </w:rPr>
        <w:t>截至</w:t>
      </w:r>
      <w:r>
        <w:rPr>
          <w:rFonts w:hint="eastAsia" w:ascii="仿宋_GB2312" w:hAnsi="仿宋_GB2312" w:eastAsia="仿宋_GB2312"/>
          <w:color w:val="auto"/>
          <w:sz w:val="32"/>
          <w:szCs w:val="24"/>
          <w:lang w:val="en-US" w:eastAsia="zh-CN"/>
        </w:rPr>
        <w:t>2022年12月</w:t>
      </w:r>
      <w:r>
        <w:rPr>
          <w:rFonts w:hint="eastAsia" w:ascii="仿宋_GB2312" w:hAnsi="仿宋_GB2312" w:eastAsia="仿宋_GB2312"/>
          <w:color w:val="auto"/>
          <w:sz w:val="32"/>
          <w:szCs w:val="24"/>
          <w:u w:val="none" w:color="FFFFFF"/>
          <w:shd w:val="clear" w:fill="FFFFFF"/>
          <w:lang w:val="en-US" w:eastAsia="zh-CN"/>
        </w:rPr>
        <w:t>底</w:t>
      </w:r>
      <w:r>
        <w:rPr>
          <w:rFonts w:hint="eastAsia" w:ascii="仿宋_GB2312" w:hAnsi="仿宋_GB2312" w:eastAsia="仿宋_GB2312"/>
          <w:color w:val="auto"/>
          <w:sz w:val="32"/>
          <w:szCs w:val="24"/>
          <w:lang w:val="en-US" w:eastAsia="zh-CN"/>
        </w:rPr>
        <w:t>资金已经全部兑现到位，圆满完成了预期目标任务，没有结</w:t>
      </w:r>
      <w:r>
        <w:rPr>
          <w:rFonts w:hint="eastAsia" w:ascii="仿宋_GB2312" w:hAnsi="仿宋_GB2312" w:eastAsia="仿宋_GB2312"/>
          <w:color w:val="auto"/>
          <w:sz w:val="32"/>
          <w:szCs w:val="24"/>
          <w:u w:val="none" w:color="FFFFFF"/>
          <w:shd w:val="clear" w:fill="FFFFFF"/>
          <w:lang w:val="en-US" w:eastAsia="zh-CN"/>
        </w:rPr>
        <w:t>余</w:t>
      </w:r>
      <w:r>
        <w:rPr>
          <w:rFonts w:hint="eastAsia" w:ascii="仿宋_GB2312" w:hAnsi="仿宋_GB2312" w:eastAsia="仿宋_GB2312"/>
          <w:color w:val="auto"/>
          <w:sz w:val="32"/>
          <w:szCs w:val="24"/>
          <w:lang w:val="en-US" w:eastAsia="zh-CN"/>
        </w:rPr>
        <w:t>不存在挪用截留。</w:t>
      </w:r>
    </w:p>
    <w:p>
      <w:pPr>
        <w:adjustRightInd w:val="0"/>
        <w:snapToGrid w:val="0"/>
        <w:spacing w:line="560" w:lineRule="exact"/>
        <w:outlineLvl w:val="9"/>
        <w:rPr>
          <w:rFonts w:hint="eastAsia" w:ascii="楷体" w:hAnsi="楷体" w:eastAsia="楷体" w:cs="楷体"/>
          <w:b w:val="0"/>
          <w:bCs/>
          <w:sz w:val="36"/>
          <w:szCs w:val="36"/>
          <w:lang w:val="en-US" w:eastAsia="zh-CN"/>
        </w:rPr>
      </w:pPr>
      <w:r>
        <w:rPr>
          <w:rFonts w:hint="eastAsia" w:ascii="楷体_GB2312" w:hAnsi="宋体" w:eastAsia="楷体_GB2312" w:cs="Times New Roman"/>
          <w:b w:val="0"/>
          <w:bCs w:val="0"/>
          <w:szCs w:val="32"/>
          <w:lang w:val="en-US" w:eastAsia="zh-CN"/>
        </w:rPr>
        <w:t xml:space="preserve">   </w:t>
      </w:r>
      <w:r>
        <w:rPr>
          <w:rFonts w:hint="eastAsia" w:ascii="仿宋_GB2312" w:hAnsi="仿宋_GB2312" w:eastAsia="仿宋_GB2312"/>
          <w:color w:val="auto"/>
          <w:sz w:val="32"/>
          <w:szCs w:val="24"/>
          <w:lang w:val="en-US" w:eastAsia="zh-CN"/>
        </w:rPr>
        <w:t>按项目预算拨款支出执行的主要内容如下：</w:t>
      </w:r>
    </w:p>
    <w:tbl>
      <w:tblPr>
        <w:tblStyle w:val="13"/>
        <w:tblW w:w="9000" w:type="dxa"/>
        <w:tblInd w:w="276" w:type="dxa"/>
        <w:tblLayout w:type="fixed"/>
        <w:tblCellMar>
          <w:top w:w="0" w:type="dxa"/>
          <w:left w:w="0" w:type="dxa"/>
          <w:bottom w:w="0" w:type="dxa"/>
          <w:right w:w="0" w:type="dxa"/>
        </w:tblCellMar>
      </w:tblPr>
      <w:tblGrid>
        <w:gridCol w:w="420"/>
        <w:gridCol w:w="2400"/>
        <w:gridCol w:w="1670"/>
        <w:gridCol w:w="1340"/>
        <w:gridCol w:w="620"/>
        <w:gridCol w:w="960"/>
        <w:gridCol w:w="910"/>
        <w:gridCol w:w="680"/>
      </w:tblGrid>
      <w:tr>
        <w:tblPrEx>
          <w:tblLayout w:type="fixed"/>
          <w:tblCellMar>
            <w:top w:w="0" w:type="dxa"/>
            <w:left w:w="0" w:type="dxa"/>
            <w:bottom w:w="0" w:type="dxa"/>
            <w:right w:w="0" w:type="dxa"/>
          </w:tblCellMar>
        </w:tblPrEx>
        <w:trPr>
          <w:trHeight w:val="85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序号</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562" w:firstLineChars="2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任务名称</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281" w:firstLineChars="1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主要内容</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金额（万元）</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目标  完成</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u w:val="none" w:color="FFFFFF"/>
                <w:shd w:val="clear" w:fill="FFFFFF"/>
                <w:lang w:val="en-US" w:eastAsia="zh-CN"/>
              </w:rPr>
              <w:t>合格率</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满意度</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得分</w:t>
            </w:r>
          </w:p>
        </w:tc>
      </w:tr>
      <w:tr>
        <w:tblPrEx>
          <w:tblLayout w:type="fixed"/>
          <w:tblCellMar>
            <w:top w:w="0" w:type="dxa"/>
            <w:left w:w="0" w:type="dxa"/>
            <w:bottom w:w="0" w:type="dxa"/>
            <w:right w:w="0" w:type="dxa"/>
          </w:tblCellMar>
        </w:tblPrEx>
        <w:trPr>
          <w:trHeight w:val="42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utlineLvl w:val="9"/>
              <w:rPr>
                <w:rFonts w:hint="eastAsia" w:ascii="楷体" w:hAnsi="楷体" w:eastAsia="楷体" w:cs="楷体"/>
                <w:b/>
                <w:bCs w:val="0"/>
                <w:kern w:val="2"/>
                <w:sz w:val="28"/>
                <w:szCs w:val="28"/>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562" w:firstLineChars="200"/>
              <w:jc w:val="both"/>
              <w:textAlignment w:val="center"/>
              <w:outlineLvl w:val="9"/>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合   计</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outlineLvl w:val="9"/>
              <w:rPr>
                <w:rFonts w:hint="eastAsia" w:ascii="楷体" w:hAnsi="楷体" w:eastAsia="楷体" w:cs="楷体"/>
                <w:b/>
                <w:bCs w:val="0"/>
                <w:kern w:val="2"/>
                <w:sz w:val="28"/>
                <w:szCs w:val="28"/>
                <w:lang w:val="en-US" w:eastAsia="zh-CN" w:bidi="ar-SA"/>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楷体" w:hAnsi="楷体" w:eastAsia="楷体" w:cs="楷体"/>
                <w:b/>
                <w:bCs/>
                <w:kern w:val="2"/>
                <w:sz w:val="24"/>
                <w:szCs w:val="24"/>
                <w:lang w:val="en-US" w:eastAsia="zh-CN" w:bidi="ar-SA"/>
              </w:rPr>
            </w:pPr>
            <w:r>
              <w:rPr>
                <w:rFonts w:hint="eastAsia" w:ascii="仿宋_GB2312" w:hAnsi="仿宋_GB2312" w:eastAsia="仿宋_GB2312"/>
                <w:b/>
                <w:bCs/>
                <w:color w:val="auto"/>
                <w:sz w:val="24"/>
                <w:szCs w:val="24"/>
                <w:lang w:val="en-US" w:eastAsia="zh-CN"/>
              </w:rPr>
              <w:t>17</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94%</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93</w:t>
            </w:r>
          </w:p>
        </w:tc>
      </w:tr>
      <w:tr>
        <w:tblPrEx>
          <w:tblLayout w:type="fixed"/>
          <w:tblCellMar>
            <w:top w:w="0" w:type="dxa"/>
            <w:left w:w="0" w:type="dxa"/>
            <w:bottom w:w="0" w:type="dxa"/>
            <w:right w:w="0" w:type="dxa"/>
          </w:tblCellMar>
        </w:tblPrEx>
        <w:trPr>
          <w:trHeight w:val="46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13"/>
                <w:szCs w:val="13"/>
                <w:lang w:val="en-US" w:eastAsia="zh-CN" w:bidi="ar-SA"/>
              </w:rPr>
              <w:t>人大代表、政协委员联络费</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center"/>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96%</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94</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18"/>
                <w:szCs w:val="18"/>
                <w:lang w:val="en-US" w:eastAsia="zh-CN" w:bidi="ar-SA"/>
              </w:rPr>
            </w:pPr>
            <w:r>
              <w:rPr>
                <w:rFonts w:hint="eastAsia" w:ascii="楷体" w:hAnsi="楷体" w:eastAsia="楷体" w:cs="楷体"/>
                <w:b w:val="0"/>
                <w:bCs/>
                <w:kern w:val="2"/>
                <w:sz w:val="18"/>
                <w:szCs w:val="18"/>
                <w:lang w:val="en-US" w:eastAsia="zh-CN" w:bidi="ar-SA"/>
              </w:rPr>
              <w:t>关心下一代工作经费</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center"/>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94%</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93</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18"/>
                <w:szCs w:val="18"/>
                <w:lang w:val="en-US" w:eastAsia="zh-CN" w:bidi="ar-SA"/>
              </w:rPr>
            </w:pPr>
            <w:r>
              <w:rPr>
                <w:rFonts w:hint="eastAsia" w:ascii="楷体" w:hAnsi="楷体" w:eastAsia="楷体" w:cs="楷体"/>
                <w:b w:val="0"/>
                <w:bCs/>
                <w:kern w:val="2"/>
                <w:sz w:val="18"/>
                <w:szCs w:val="18"/>
                <w:lang w:val="en-US" w:eastAsia="zh-CN" w:bidi="ar-SA"/>
              </w:rPr>
              <w:t>纪委专项办案经费</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center"/>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3</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94%</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93</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18"/>
                <w:szCs w:val="18"/>
                <w:lang w:val="en-US" w:eastAsia="zh-CN" w:bidi="ar-SA"/>
              </w:rPr>
            </w:pPr>
            <w:r>
              <w:rPr>
                <w:rFonts w:hint="eastAsia" w:ascii="楷体" w:hAnsi="楷体" w:eastAsia="楷体" w:cs="楷体"/>
                <w:b w:val="0"/>
                <w:bCs/>
                <w:kern w:val="2"/>
                <w:sz w:val="18"/>
                <w:szCs w:val="18"/>
                <w:lang w:val="en-US" w:eastAsia="zh-CN" w:bidi="ar-SA"/>
              </w:rPr>
              <w:t>彩票公益金支出</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center"/>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10</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93%</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92</w:t>
            </w:r>
          </w:p>
        </w:tc>
      </w:tr>
    </w:tbl>
    <w:p>
      <w:pPr>
        <w:keepNext/>
        <w:keepLines/>
        <w:spacing w:beforeLines="0" w:afterLines="0" w:line="560" w:lineRule="exact"/>
        <w:ind w:firstLine="640"/>
        <w:outlineLvl w:val="9"/>
        <w:rPr>
          <w:rFonts w:hint="eastAsia" w:ascii="仿宋_GB2312" w:hAnsi="仿宋_GB2312" w:eastAsia="仿宋_GB2312"/>
          <w:b/>
          <w:bCs/>
          <w:color w:val="auto"/>
          <w:sz w:val="32"/>
          <w:szCs w:val="24"/>
          <w:u w:val="none" w:color="FFFFFF"/>
          <w:shd w:val="clear" w:fill="FFFFFF"/>
          <w:lang w:val="en-US"/>
        </w:rPr>
      </w:pPr>
      <w:r>
        <w:rPr>
          <w:rFonts w:hint="eastAsia" w:ascii="仿宋_GB2312" w:hAnsi="仿宋_GB2312" w:eastAsia="仿宋_GB2312"/>
          <w:color w:val="auto"/>
          <w:sz w:val="32"/>
          <w:szCs w:val="24"/>
          <w:lang w:val="en-US" w:eastAsia="zh-CN"/>
        </w:rPr>
        <w:t xml:space="preserve">  </w:t>
      </w:r>
      <w:r>
        <w:rPr>
          <w:rFonts w:hint="eastAsia" w:ascii="仿宋_GB2312" w:hAnsi="仿宋_GB2312" w:eastAsia="仿宋_GB2312"/>
          <w:b/>
          <w:bCs/>
          <w:color w:val="auto"/>
          <w:sz w:val="32"/>
          <w:szCs w:val="24"/>
          <w:lang w:val="en-US" w:eastAsia="zh-CN"/>
        </w:rPr>
        <w:t>4</w:t>
      </w:r>
      <w:r>
        <w:rPr>
          <w:rFonts w:hint="eastAsia" w:ascii="仿宋_GB2312" w:hAnsi="仿宋_GB2312" w:eastAsia="仿宋_GB2312"/>
          <w:b/>
          <w:bCs/>
          <w:color w:val="auto"/>
          <w:sz w:val="32"/>
          <w:szCs w:val="24"/>
          <w:lang w:val="en-US"/>
        </w:rPr>
        <w:t>.</w:t>
      </w:r>
      <w:r>
        <w:rPr>
          <w:rFonts w:hint="eastAsia" w:ascii="仿宋_GB2312" w:hAnsi="仿宋_GB2312" w:eastAsia="仿宋_GB2312"/>
          <w:b/>
          <w:bCs/>
          <w:color w:val="auto"/>
          <w:sz w:val="32"/>
          <w:szCs w:val="24"/>
          <w:lang w:val="en-US" w:eastAsia="zh-CN"/>
        </w:rPr>
        <w:t>专</w:t>
      </w:r>
      <w:r>
        <w:rPr>
          <w:rFonts w:hint="eastAsia" w:ascii="仿宋_GB2312" w:hAnsi="仿宋_GB2312" w:eastAsia="仿宋_GB2312"/>
          <w:b/>
          <w:bCs/>
          <w:color w:val="auto"/>
          <w:sz w:val="32"/>
          <w:szCs w:val="24"/>
          <w:u w:val="none" w:color="FFFFFF"/>
          <w:shd w:val="clear" w:fill="FFFFFF"/>
          <w:lang w:val="en-US" w:eastAsia="zh-CN"/>
        </w:rPr>
        <w:t>项</w:t>
      </w:r>
      <w:r>
        <w:rPr>
          <w:rFonts w:hint="eastAsia" w:ascii="仿宋_GB2312" w:hAnsi="仿宋_GB2312" w:eastAsia="仿宋_GB2312"/>
          <w:b/>
          <w:bCs/>
          <w:color w:val="auto"/>
          <w:sz w:val="32"/>
          <w:szCs w:val="24"/>
          <w:u w:val="none" w:color="FFFFFF"/>
          <w:shd w:val="clear" w:fill="FFFFFF"/>
          <w:lang w:val="en-US"/>
        </w:rPr>
        <w:t>项目绩效分析</w:t>
      </w:r>
    </w:p>
    <w:p>
      <w:pPr>
        <w:adjustRightInd w:val="0"/>
        <w:snapToGrid w:val="0"/>
        <w:spacing w:line="560" w:lineRule="exact"/>
        <w:ind w:firstLine="640" w:firstLineChars="200"/>
        <w:outlineLvl w:val="9"/>
        <w:rPr>
          <w:rFonts w:hint="eastAsia" w:ascii="楷体" w:hAnsi="楷体" w:eastAsia="楷体" w:cs="楷体"/>
          <w:b w:val="0"/>
          <w:bCs/>
          <w:sz w:val="36"/>
          <w:szCs w:val="36"/>
          <w:lang w:val="en-US" w:eastAsia="zh-CN"/>
        </w:rPr>
      </w:pPr>
      <w:r>
        <w:rPr>
          <w:rFonts w:hint="eastAsia" w:ascii="仿宋_GB2312" w:hAnsi="仿宋_GB2312" w:eastAsia="仿宋_GB2312"/>
          <w:color w:val="auto"/>
          <w:sz w:val="32"/>
          <w:szCs w:val="24"/>
          <w:u w:val="none" w:color="FFFFFF"/>
          <w:shd w:val="clear" w:fill="FFFFFF"/>
          <w:lang w:val="en-US" w:eastAsia="zh-CN"/>
        </w:rPr>
        <w:t>20</w:t>
      </w:r>
      <w:r>
        <w:rPr>
          <w:rFonts w:hint="eastAsia" w:ascii="仿宋_GB2312" w:hAnsi="仿宋_GB2312" w:eastAsia="仿宋_GB2312"/>
          <w:color w:val="auto"/>
          <w:sz w:val="32"/>
          <w:szCs w:val="24"/>
          <w:lang w:val="en-US" w:eastAsia="zh-CN"/>
        </w:rPr>
        <w:t>22年政府专项财政支出1,620.90万元，按照年初计划和资金的拨付情况</w:t>
      </w:r>
      <w:r>
        <w:rPr>
          <w:rFonts w:hint="eastAsia" w:ascii="仿宋_GB2312" w:hAnsi="仿宋_GB2312" w:eastAsia="仿宋_GB2312"/>
          <w:color w:val="auto"/>
          <w:sz w:val="32"/>
          <w:szCs w:val="24"/>
          <w:lang w:val="zh-CN" w:eastAsia="zh-CN"/>
        </w:rPr>
        <w:t>，资金到位率</w:t>
      </w:r>
      <w:r>
        <w:rPr>
          <w:rFonts w:hint="eastAsia" w:ascii="仿宋_GB2312" w:hAnsi="仿宋_GB2312" w:eastAsia="仿宋_GB2312"/>
          <w:color w:val="auto"/>
          <w:sz w:val="32"/>
          <w:szCs w:val="24"/>
          <w:lang w:val="en-US" w:eastAsia="zh-CN"/>
        </w:rPr>
        <w:t>100%，专款专</w:t>
      </w:r>
      <w:r>
        <w:rPr>
          <w:rFonts w:hint="eastAsia" w:ascii="仿宋_GB2312" w:hAnsi="仿宋_GB2312" w:eastAsia="仿宋_GB2312"/>
          <w:color w:val="auto"/>
          <w:sz w:val="32"/>
          <w:szCs w:val="24"/>
          <w:u w:val="none" w:color="FFFFFF"/>
          <w:shd w:val="clear" w:fill="FFFFFF"/>
          <w:lang w:val="en-US" w:eastAsia="zh-CN"/>
        </w:rPr>
        <w:t>用</w:t>
      </w:r>
      <w:r>
        <w:rPr>
          <w:rFonts w:hint="eastAsia" w:ascii="仿宋_GB2312" w:hAnsi="仿宋_GB2312" w:eastAsia="仿宋_GB2312"/>
          <w:color w:val="auto"/>
          <w:sz w:val="32"/>
          <w:szCs w:val="24"/>
          <w:lang w:val="en-US" w:eastAsia="zh-CN"/>
        </w:rPr>
        <w:t>不存在挪用截留。</w:t>
      </w:r>
    </w:p>
    <w:p>
      <w:pPr>
        <w:adjustRightInd w:val="0"/>
        <w:snapToGrid w:val="0"/>
        <w:spacing w:line="560" w:lineRule="exact"/>
        <w:ind w:firstLine="640" w:firstLineChars="200"/>
        <w:outlineLvl w:val="9"/>
        <w:rPr>
          <w:rFonts w:hint="eastAsia" w:ascii="楷体" w:hAnsi="楷体" w:eastAsia="楷体" w:cs="楷体"/>
          <w:b w:val="0"/>
          <w:bCs/>
          <w:sz w:val="36"/>
          <w:szCs w:val="36"/>
          <w:lang w:val="en-US" w:eastAsia="zh-CN"/>
        </w:rPr>
      </w:pPr>
      <w:r>
        <w:rPr>
          <w:rFonts w:hint="eastAsia" w:ascii="仿宋_GB2312" w:hAnsi="仿宋_GB2312" w:eastAsia="仿宋_GB2312"/>
          <w:color w:val="auto"/>
          <w:sz w:val="32"/>
          <w:szCs w:val="24"/>
          <w:lang w:val="en-US" w:eastAsia="zh-CN"/>
        </w:rPr>
        <w:t>按项目预算拨款支出执行的主要内容如下：</w:t>
      </w:r>
    </w:p>
    <w:tbl>
      <w:tblPr>
        <w:tblStyle w:val="13"/>
        <w:tblW w:w="9000" w:type="dxa"/>
        <w:tblInd w:w="276" w:type="dxa"/>
        <w:tblLayout w:type="fixed"/>
        <w:tblCellMar>
          <w:top w:w="0" w:type="dxa"/>
          <w:left w:w="0" w:type="dxa"/>
          <w:bottom w:w="0" w:type="dxa"/>
          <w:right w:w="0" w:type="dxa"/>
        </w:tblCellMar>
      </w:tblPr>
      <w:tblGrid>
        <w:gridCol w:w="420"/>
        <w:gridCol w:w="2400"/>
        <w:gridCol w:w="1960"/>
        <w:gridCol w:w="1360"/>
        <w:gridCol w:w="630"/>
        <w:gridCol w:w="660"/>
        <w:gridCol w:w="890"/>
        <w:gridCol w:w="680"/>
      </w:tblGrid>
      <w:tr>
        <w:tblPrEx>
          <w:tblLayout w:type="fixed"/>
          <w:tblCellMar>
            <w:top w:w="0" w:type="dxa"/>
            <w:left w:w="0" w:type="dxa"/>
            <w:bottom w:w="0" w:type="dxa"/>
            <w:right w:w="0" w:type="dxa"/>
          </w:tblCellMar>
        </w:tblPrEx>
        <w:trPr>
          <w:trHeight w:val="855"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序号</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562" w:firstLineChars="2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任务名称</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ind w:firstLine="281" w:firstLineChars="100"/>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主要内容</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金额（万元）</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目标  完成</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u w:val="none" w:color="FFFFFF"/>
                <w:shd w:val="clear" w:fill="FFFFFF"/>
                <w:lang w:val="en-US" w:eastAsia="zh-CN"/>
              </w:rPr>
              <w:t>合格率</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满意度</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outlineLvl w:val="9"/>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得分</w:t>
            </w:r>
          </w:p>
        </w:tc>
      </w:tr>
      <w:tr>
        <w:tblPrEx>
          <w:tblLayout w:type="fixed"/>
          <w:tblCellMar>
            <w:top w:w="0" w:type="dxa"/>
            <w:left w:w="0" w:type="dxa"/>
            <w:bottom w:w="0" w:type="dxa"/>
            <w:right w:w="0" w:type="dxa"/>
          </w:tblCellMar>
        </w:tblPrEx>
        <w:trPr>
          <w:trHeight w:val="42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utlineLvl w:val="9"/>
              <w:rPr>
                <w:rFonts w:hint="eastAsia" w:ascii="楷体" w:hAnsi="楷体" w:eastAsia="楷体" w:cs="楷体"/>
                <w:b/>
                <w:bCs w:val="0"/>
                <w:kern w:val="2"/>
                <w:sz w:val="28"/>
                <w:szCs w:val="28"/>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562" w:firstLineChars="200"/>
              <w:jc w:val="both"/>
              <w:textAlignment w:val="center"/>
              <w:outlineLvl w:val="9"/>
              <w:rPr>
                <w:rFonts w:hint="eastAsia" w:ascii="楷体" w:hAnsi="楷体" w:eastAsia="楷体" w:cs="楷体"/>
                <w:b/>
                <w:bCs w:val="0"/>
                <w:kern w:val="2"/>
                <w:sz w:val="28"/>
                <w:szCs w:val="28"/>
                <w:lang w:val="en-US" w:eastAsia="zh-CN" w:bidi="ar-SA"/>
              </w:rPr>
            </w:pPr>
            <w:r>
              <w:rPr>
                <w:rFonts w:hint="eastAsia" w:ascii="楷体" w:hAnsi="楷体" w:eastAsia="楷体" w:cs="楷体"/>
                <w:b/>
                <w:bCs w:val="0"/>
                <w:kern w:val="2"/>
                <w:sz w:val="28"/>
                <w:szCs w:val="28"/>
                <w:lang w:val="en-US" w:eastAsia="zh-CN" w:bidi="ar-SA"/>
              </w:rPr>
              <w:t>合   计</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outlineLvl w:val="9"/>
              <w:rPr>
                <w:rFonts w:hint="eastAsia" w:ascii="楷体" w:hAnsi="楷体" w:eastAsia="楷体" w:cs="楷体"/>
                <w:b/>
                <w:bCs w:val="0"/>
                <w:kern w:val="2"/>
                <w:sz w:val="28"/>
                <w:szCs w:val="28"/>
                <w:lang w:val="en-US" w:eastAsia="zh-CN" w:bidi="ar-SA"/>
              </w:rPr>
            </w:pP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楷体" w:hAnsi="楷体" w:eastAsia="楷体" w:cs="楷体"/>
                <w:b/>
                <w:bCs/>
                <w:kern w:val="2"/>
                <w:sz w:val="24"/>
                <w:szCs w:val="24"/>
                <w:lang w:val="en-US" w:eastAsia="zh-CN" w:bidi="ar-SA"/>
              </w:rPr>
            </w:pPr>
            <w:r>
              <w:rPr>
                <w:rFonts w:hint="eastAsia" w:ascii="仿宋_GB2312" w:hAnsi="仿宋_GB2312" w:eastAsia="仿宋_GB2312"/>
                <w:b/>
                <w:bCs/>
                <w:color w:val="auto"/>
                <w:sz w:val="24"/>
                <w:szCs w:val="24"/>
                <w:lang w:val="en-US" w:eastAsia="zh-CN"/>
              </w:rPr>
              <w:t>1,620.90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92%</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b/>
                <w:bCs/>
                <w:color w:val="auto"/>
                <w:sz w:val="24"/>
                <w:szCs w:val="24"/>
                <w:lang w:val="en-US" w:eastAsia="zh-CN"/>
              </w:rPr>
            </w:pPr>
            <w:r>
              <w:rPr>
                <w:rFonts w:hint="eastAsia" w:ascii="仿宋_GB2312" w:hAnsi="仿宋_GB2312" w:eastAsia="仿宋_GB2312"/>
                <w:b/>
                <w:bCs/>
                <w:color w:val="auto"/>
                <w:sz w:val="24"/>
                <w:szCs w:val="24"/>
                <w:lang w:val="en-US" w:eastAsia="zh-CN"/>
              </w:rPr>
              <w:t>90</w:t>
            </w:r>
          </w:p>
        </w:tc>
      </w:tr>
      <w:tr>
        <w:tblPrEx>
          <w:tblLayout w:type="fixed"/>
          <w:tblCellMar>
            <w:top w:w="0" w:type="dxa"/>
            <w:left w:w="0" w:type="dxa"/>
            <w:bottom w:w="0" w:type="dxa"/>
            <w:right w:w="0" w:type="dxa"/>
          </w:tblCellMar>
        </w:tblPrEx>
        <w:trPr>
          <w:trHeight w:val="46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1</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信访事务支出</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15</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92%</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15"/>
                <w:szCs w:val="15"/>
                <w:lang w:val="en-US" w:eastAsia="zh-CN" w:bidi="ar-SA"/>
              </w:rPr>
              <w:t>其他纪检监察事务支出</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7.62</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3</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15"/>
                <w:szCs w:val="15"/>
                <w:lang w:val="en-US" w:eastAsia="zh-CN" w:bidi="ar-SA"/>
              </w:rPr>
              <w:t>突发公共卫生事件应急处理</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9</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91</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农村基础设施建设</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1218</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13"/>
                <w:szCs w:val="13"/>
                <w:lang w:val="en-US" w:eastAsia="zh-CN" w:bidi="ar-SA"/>
              </w:rPr>
              <w:t>其他巩固脱贫衔</w:t>
            </w:r>
            <w:r>
              <w:rPr>
                <w:rFonts w:hint="eastAsia" w:ascii="楷体" w:hAnsi="楷体" w:eastAsia="楷体" w:cs="楷体"/>
                <w:b w:val="0"/>
                <w:bCs/>
                <w:kern w:val="2"/>
                <w:sz w:val="13"/>
                <w:szCs w:val="13"/>
                <w:u w:val="none" w:color="FFFFFF"/>
                <w:shd w:val="clear" w:fill="FFFFFF"/>
                <w:lang w:val="en-US" w:eastAsia="zh-CN" w:bidi="ar-SA"/>
              </w:rPr>
              <w:t>接</w:t>
            </w:r>
            <w:r>
              <w:rPr>
                <w:rFonts w:hint="eastAsia" w:ascii="楷体" w:hAnsi="楷体" w:eastAsia="楷体" w:cs="楷体"/>
                <w:b w:val="0"/>
                <w:bCs/>
                <w:kern w:val="2"/>
                <w:sz w:val="13"/>
                <w:szCs w:val="13"/>
                <w:lang w:val="en-US" w:eastAsia="zh-CN" w:bidi="ar-SA"/>
              </w:rPr>
              <w:t>乡村振兴支出</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7.28</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92%</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91</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6</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15"/>
                <w:szCs w:val="15"/>
                <w:lang w:val="en-US" w:eastAsia="zh-CN" w:bidi="ar-SA"/>
              </w:rPr>
              <w:t>对村集体经济组织的补助</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124</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92%</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7</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bCs w:val="0"/>
                <w:kern w:val="2"/>
                <w:sz w:val="24"/>
                <w:szCs w:val="24"/>
                <w:lang w:val="en-US" w:eastAsia="zh-CN" w:bidi="ar-SA"/>
              </w:rPr>
            </w:pPr>
            <w:r>
              <w:rPr>
                <w:rFonts w:hint="eastAsia" w:ascii="楷体" w:hAnsi="楷体" w:eastAsia="楷体" w:cs="楷体"/>
                <w:b/>
                <w:bCs w:val="0"/>
                <w:kern w:val="2"/>
                <w:sz w:val="24"/>
                <w:szCs w:val="24"/>
                <w:lang w:val="en-US" w:eastAsia="zh-CN" w:bidi="ar-SA"/>
              </w:rPr>
              <w:t xml:space="preserve"> 农村危房改造</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234</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r>
        <w:tblPrEx>
          <w:tblLayout w:type="fixed"/>
          <w:tblCellMar>
            <w:top w:w="0" w:type="dxa"/>
            <w:left w:w="0" w:type="dxa"/>
            <w:bottom w:w="0" w:type="dxa"/>
            <w:right w:w="0" w:type="dxa"/>
          </w:tblCellMar>
        </w:tblPrEx>
        <w:trPr>
          <w:trHeight w:val="300" w:hRule="atLeast"/>
        </w:trPr>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8</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楷体" w:hAnsi="楷体" w:eastAsia="楷体" w:cs="楷体"/>
                <w:b w:val="0"/>
                <w:bCs/>
                <w:kern w:val="2"/>
                <w:sz w:val="28"/>
                <w:szCs w:val="28"/>
                <w:lang w:val="en-US" w:eastAsia="zh-CN" w:bidi="ar-SA"/>
              </w:rPr>
            </w:pPr>
            <w:r>
              <w:rPr>
                <w:rFonts w:hint="eastAsia" w:ascii="楷体" w:hAnsi="楷体" w:eastAsia="楷体" w:cs="楷体"/>
                <w:b w:val="0"/>
                <w:bCs/>
                <w:kern w:val="2"/>
                <w:sz w:val="28"/>
                <w:szCs w:val="28"/>
                <w:lang w:val="en-US" w:eastAsia="zh-CN" w:bidi="ar-SA"/>
              </w:rPr>
              <w:t>政府预算绩效管理</w:t>
            </w:r>
          </w:p>
        </w:tc>
        <w:tc>
          <w:tcPr>
            <w:tcW w:w="1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b/>
                <w:bCs w:val="0"/>
                <w:sz w:val="24"/>
                <w:szCs w:val="24"/>
                <w:lang w:val="en-US" w:eastAsia="zh-CN"/>
              </w:rPr>
            </w:pPr>
            <w:r>
              <w:rPr>
                <w:rFonts w:hint="eastAsia" w:ascii="楷体" w:hAnsi="楷体" w:eastAsia="楷体" w:cs="楷体"/>
                <w:b/>
                <w:bCs w:val="0"/>
                <w:kern w:val="2"/>
                <w:sz w:val="24"/>
                <w:szCs w:val="24"/>
                <w:lang w:val="en-US" w:eastAsia="zh-CN" w:bidi="ar-SA"/>
              </w:rPr>
              <w:t>自然灾害救灾补助</w:t>
            </w:r>
          </w:p>
        </w:tc>
        <w:tc>
          <w:tcPr>
            <w:tcW w:w="1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default"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6</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100</w:t>
            </w: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eastAsia"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95%</w:t>
            </w:r>
          </w:p>
        </w:tc>
        <w:tc>
          <w:tcPr>
            <w:tcW w:w="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仿宋_GB2312" w:hAnsi="仿宋_GB2312" w:eastAsia="仿宋_GB2312" w:cs="Times New Roman"/>
                <w:b/>
                <w:bCs/>
                <w:color w:val="auto"/>
                <w:kern w:val="2"/>
                <w:sz w:val="24"/>
                <w:szCs w:val="24"/>
                <w:lang w:val="en-US" w:eastAsia="zh-CN" w:bidi="ar-SA"/>
              </w:rPr>
            </w:pPr>
            <w:r>
              <w:rPr>
                <w:rFonts w:hint="eastAsia" w:ascii="仿宋_GB2312" w:hAnsi="仿宋_GB2312" w:eastAsia="仿宋_GB2312"/>
                <w:b/>
                <w:bCs/>
                <w:color w:val="auto"/>
                <w:sz w:val="24"/>
                <w:szCs w:val="24"/>
                <w:lang w:val="en-US" w:eastAsia="zh-CN"/>
              </w:rPr>
              <w:t>90</w:t>
            </w:r>
          </w:p>
        </w:tc>
      </w:tr>
    </w:tbl>
    <w:p>
      <w:pPr>
        <w:keepNext/>
        <w:keepLines/>
        <w:spacing w:line="560" w:lineRule="exact"/>
        <w:ind w:firstLine="643"/>
        <w:outlineLvl w:val="9"/>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（二）部门整体履职绩效分析</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u w:val="none" w:color="FFFFFF"/>
          <w:shd w:val="clear" w:fill="FFFFFF"/>
          <w:lang w:val="en-US" w:eastAsia="zh-CN"/>
        </w:rPr>
        <w:t>为了确保政府整体财政支出绩效目标效益最大化，制订了工作计划，编制了工作方案，不断完成了各项管理制度，确保管理工作科学化，高效化，我镇设置机关财务领导小组、专项资金审批领导小组、巩固脱贫衔接乡村振兴领导小组；</w:t>
      </w:r>
      <w:r>
        <w:rPr>
          <w:rFonts w:hint="eastAsia" w:ascii="仿宋_GB2312" w:hAnsi="仿宋_GB2312" w:eastAsia="仿宋_GB2312"/>
          <w:color w:val="auto"/>
          <w:sz w:val="32"/>
          <w:szCs w:val="24"/>
          <w:lang w:val="en-US" w:eastAsia="zh-CN"/>
        </w:rPr>
        <w:t>机关财务室、专项资金管理办公室、巩固脱贫衔接乡村振兴办公室；每项财政资金都要按财政预算执行，资金审批支付严格按财务制度审批，压缩“三公</w:t>
      </w:r>
      <w:bookmarkStart w:id="88" w:name="_GoBack"/>
      <w:r>
        <w:rPr>
          <w:rFonts w:hint="eastAsia" w:ascii="仿宋_GB2312" w:hAnsi="仿宋_GB2312" w:eastAsia="仿宋_GB2312"/>
          <w:color w:val="auto"/>
          <w:sz w:val="32"/>
          <w:szCs w:val="24"/>
          <w:lang w:val="en-US" w:eastAsia="zh-CN"/>
        </w:rPr>
        <w:t>”</w:t>
      </w:r>
      <w:bookmarkEnd w:id="88"/>
      <w:r>
        <w:rPr>
          <w:rFonts w:hint="eastAsia" w:ascii="仿宋_GB2312" w:hAnsi="仿宋_GB2312" w:eastAsia="仿宋_GB2312"/>
          <w:color w:val="auto"/>
          <w:sz w:val="32"/>
          <w:szCs w:val="24"/>
          <w:lang w:val="en-US" w:eastAsia="zh-CN"/>
        </w:rPr>
        <w:t>经费，节约开支，不打赤字预算，</w:t>
      </w:r>
      <w:r>
        <w:rPr>
          <w:rFonts w:hint="eastAsia" w:ascii="仿宋_GB2312" w:hAnsi="仿宋_GB2312" w:eastAsia="仿宋_GB2312"/>
          <w:color w:val="auto"/>
          <w:sz w:val="32"/>
          <w:szCs w:val="24"/>
          <w:lang w:val="zh-CN" w:eastAsia="zh-CN"/>
        </w:rPr>
        <w:t>保障政府、村民委员会和党支部的正常运转；</w:t>
      </w:r>
      <w:r>
        <w:rPr>
          <w:rFonts w:hint="eastAsia" w:ascii="仿宋_GB2312" w:hAnsi="仿宋_GB2312" w:eastAsia="仿宋_GB2312"/>
          <w:color w:val="auto"/>
          <w:sz w:val="32"/>
          <w:szCs w:val="24"/>
          <w:u w:val="none" w:color="FFFFFF"/>
          <w:shd w:val="clear" w:fill="FFFFFF"/>
          <w:lang w:val="zh-CN" w:eastAsia="zh-CN"/>
        </w:rPr>
        <w:t>保障涉农惠民资金全面兑现；</w:t>
      </w:r>
      <w:r>
        <w:rPr>
          <w:rFonts w:hint="eastAsia" w:ascii="仿宋_GB2312" w:hAnsi="仿宋_GB2312" w:eastAsia="仿宋_GB2312"/>
          <w:color w:val="auto"/>
          <w:sz w:val="32"/>
          <w:szCs w:val="24"/>
          <w:lang w:val="zh-CN" w:eastAsia="zh-CN"/>
        </w:rPr>
        <w:t>保全镇重点工程项目的实施；为民服务，发展地方经济，确保</w:t>
      </w:r>
      <w:r>
        <w:rPr>
          <w:rFonts w:hint="eastAsia" w:ascii="仿宋_GB2312" w:hAnsi="仿宋_GB2312" w:eastAsia="仿宋_GB2312"/>
          <w:color w:val="auto"/>
          <w:sz w:val="32"/>
          <w:szCs w:val="24"/>
          <w:lang w:val="en-US" w:eastAsia="zh-CN"/>
        </w:rPr>
        <w:t>巩固</w:t>
      </w:r>
      <w:r>
        <w:rPr>
          <w:rFonts w:hint="eastAsia" w:ascii="仿宋_GB2312" w:hAnsi="仿宋_GB2312" w:eastAsia="仿宋_GB2312"/>
          <w:color w:val="auto"/>
          <w:sz w:val="32"/>
          <w:szCs w:val="24"/>
          <w:u w:val="none" w:color="FFFFFF"/>
          <w:shd w:val="clear" w:fill="FFFFFF"/>
          <w:lang w:val="en-US" w:eastAsia="zh-CN"/>
        </w:rPr>
        <w:t>脱贫攻坚</w:t>
      </w:r>
      <w:r>
        <w:rPr>
          <w:rFonts w:hint="eastAsia" w:ascii="仿宋_GB2312" w:hAnsi="仿宋_GB2312" w:eastAsia="仿宋_GB2312"/>
          <w:color w:val="auto"/>
          <w:sz w:val="32"/>
          <w:szCs w:val="24"/>
          <w:lang w:val="en-US" w:eastAsia="zh-CN"/>
        </w:rPr>
        <w:t>衔接乡村振兴</w:t>
      </w:r>
      <w:r>
        <w:rPr>
          <w:rFonts w:hint="eastAsia" w:ascii="仿宋_GB2312" w:hAnsi="仿宋_GB2312" w:eastAsia="仿宋_GB2312"/>
          <w:color w:val="auto"/>
          <w:sz w:val="32"/>
          <w:szCs w:val="24"/>
          <w:lang w:val="zh-CN" w:eastAsia="zh-CN"/>
        </w:rPr>
        <w:t>任务全面完成。</w:t>
      </w:r>
    </w:p>
    <w:p>
      <w:pPr>
        <w:keepNext/>
        <w:keepLines/>
        <w:spacing w:line="560" w:lineRule="exact"/>
        <w:ind w:firstLine="643"/>
        <w:outlineLvl w:val="9"/>
        <w:rPr>
          <w:rFonts w:hint="eastAsia" w:ascii="楷体_GB2312" w:hAnsi="楷体_GB2312" w:eastAsia="楷体_GB2312"/>
          <w:b/>
          <w:color w:val="auto"/>
          <w:sz w:val="32"/>
          <w:szCs w:val="24"/>
          <w:lang w:val="zh-CN" w:eastAsia="zh-CN"/>
        </w:rPr>
      </w:pPr>
      <w:r>
        <w:rPr>
          <w:rFonts w:hint="eastAsia" w:ascii="楷体_GB2312" w:hAnsi="楷体_GB2312" w:eastAsia="楷体_GB2312"/>
          <w:b/>
          <w:color w:val="auto"/>
          <w:sz w:val="32"/>
          <w:szCs w:val="24"/>
          <w:lang w:val="zh-CN" w:eastAsia="zh-CN"/>
        </w:rPr>
        <w:t>（三）目标完成情况</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u w:val="none" w:color="FFFFFF"/>
          <w:shd w:val="clear" w:fill="FFFFFF"/>
          <w:lang w:val="en-US" w:eastAsia="zh-CN"/>
        </w:rPr>
        <w:t>一是财政供给人员基本工资、津贴的全额发放和社会保险费的足额缴付；</w:t>
      </w:r>
      <w:r>
        <w:rPr>
          <w:rFonts w:hint="eastAsia" w:ascii="仿宋_GB2312" w:hAnsi="仿宋_GB2312" w:eastAsia="仿宋_GB2312"/>
          <w:color w:val="auto"/>
          <w:sz w:val="32"/>
          <w:szCs w:val="24"/>
          <w:lang w:val="en-US" w:eastAsia="zh-CN"/>
        </w:rPr>
        <w:t>二是保障了单位的正常运转；三是严格执行中央八项规定，压缩“三公”经费支出；四是落实好惠民补贴政策的</w:t>
      </w:r>
      <w:r>
        <w:rPr>
          <w:rFonts w:hint="eastAsia" w:ascii="仿宋_GB2312" w:hAnsi="仿宋_GB2312" w:eastAsia="仿宋_GB2312"/>
          <w:color w:val="auto"/>
          <w:sz w:val="32"/>
          <w:szCs w:val="24"/>
          <w:u w:val="none" w:color="FFFFFF"/>
          <w:shd w:val="clear" w:fill="FFFFFF"/>
          <w:lang w:val="en-US" w:eastAsia="zh-CN"/>
        </w:rPr>
        <w:t>兑现措施</w:t>
      </w:r>
      <w:r>
        <w:rPr>
          <w:rFonts w:hint="eastAsia" w:ascii="仿宋_GB2312" w:hAnsi="仿宋_GB2312" w:eastAsia="仿宋_GB2312"/>
          <w:color w:val="auto"/>
          <w:sz w:val="32"/>
          <w:szCs w:val="24"/>
          <w:lang w:val="en-US" w:eastAsia="zh-CN"/>
        </w:rPr>
        <w:t>；五是加强乡村振兴衔接资金的拨付；六是加强就业创业项目的培训；七是</w:t>
      </w:r>
      <w:r>
        <w:rPr>
          <w:rFonts w:hint="eastAsia" w:ascii="仿宋_GB2312" w:hAnsi="仿宋_GB2312" w:eastAsia="仿宋_GB2312"/>
          <w:color w:val="auto"/>
          <w:sz w:val="32"/>
          <w:szCs w:val="24"/>
          <w:u w:val="none" w:color="FFFFFF"/>
          <w:shd w:val="clear" w:fill="FFFFFF"/>
          <w:lang w:val="en-US" w:eastAsia="zh-CN"/>
        </w:rPr>
        <w:t>发展文化</w:t>
      </w:r>
      <w:r>
        <w:rPr>
          <w:rFonts w:hint="eastAsia" w:ascii="仿宋_GB2312" w:hAnsi="仿宋_GB2312" w:eastAsia="仿宋_GB2312"/>
          <w:color w:val="auto"/>
          <w:sz w:val="32"/>
          <w:szCs w:val="24"/>
          <w:lang w:val="en-US" w:eastAsia="zh-CN"/>
        </w:rPr>
        <w:t>产业，</w:t>
      </w:r>
      <w:r>
        <w:rPr>
          <w:rFonts w:hint="eastAsia" w:ascii="仿宋_GB2312" w:hAnsi="仿宋_GB2312" w:eastAsia="仿宋_GB2312"/>
          <w:color w:val="auto"/>
          <w:sz w:val="32"/>
          <w:szCs w:val="24"/>
          <w:u w:val="none" w:color="FFFFFF"/>
          <w:shd w:val="clear" w:fill="FFFFFF"/>
          <w:lang w:val="en-US" w:eastAsia="zh-CN"/>
        </w:rPr>
        <w:t>将</w:t>
      </w:r>
      <w:r>
        <w:rPr>
          <w:rFonts w:hint="eastAsia" w:ascii="仿宋_GB2312" w:hAnsi="仿宋_GB2312" w:eastAsia="仿宋_GB2312"/>
          <w:color w:val="auto"/>
          <w:sz w:val="32"/>
          <w:szCs w:val="24"/>
          <w:lang w:val="en-US" w:eastAsia="zh-CN"/>
        </w:rPr>
        <w:t>康养与旅游相结合，</w:t>
      </w:r>
      <w:r>
        <w:rPr>
          <w:rFonts w:hint="eastAsia" w:ascii="仿宋_GB2312" w:hAnsi="仿宋_GB2312" w:eastAsia="仿宋_GB2312"/>
          <w:color w:val="auto"/>
          <w:sz w:val="32"/>
          <w:szCs w:val="24"/>
          <w:u w:val="none" w:color="FFFFFF"/>
          <w:shd w:val="clear" w:fill="FFFFFF"/>
          <w:lang w:val="en-US" w:eastAsia="zh-CN"/>
        </w:rPr>
        <w:t>加强</w:t>
      </w:r>
      <w:r>
        <w:rPr>
          <w:rFonts w:hint="eastAsia" w:ascii="仿宋_GB2312" w:hAnsi="仿宋_GB2312" w:eastAsia="仿宋_GB2312"/>
          <w:color w:val="auto"/>
          <w:sz w:val="32"/>
          <w:szCs w:val="24"/>
          <w:lang w:val="en-US" w:eastAsia="zh-CN"/>
        </w:rPr>
        <w:t>特色文化的建设；七是改善了乡村基础设施建设。</w:t>
      </w:r>
    </w:p>
    <w:p>
      <w:pPr>
        <w:keepNext/>
        <w:keepLines/>
        <w:spacing w:line="560" w:lineRule="exact"/>
        <w:ind w:firstLine="643"/>
        <w:outlineLvl w:val="9"/>
        <w:rPr>
          <w:rFonts w:hint="eastAsia" w:ascii="楷体_GB2312" w:hAnsi="楷体_GB2312" w:eastAsia="楷体_GB2312"/>
          <w:b/>
          <w:color w:val="auto"/>
          <w:sz w:val="32"/>
          <w:szCs w:val="24"/>
          <w:lang w:val="zh-CN" w:eastAsia="zh-CN"/>
        </w:rPr>
      </w:pPr>
      <w:r>
        <w:rPr>
          <w:rFonts w:hint="eastAsia" w:ascii="楷体_GB2312" w:hAnsi="楷体_GB2312" w:eastAsia="楷体_GB2312"/>
          <w:b/>
          <w:color w:val="auto"/>
          <w:sz w:val="32"/>
          <w:szCs w:val="24"/>
          <w:lang w:val="zh-CN" w:eastAsia="zh-CN"/>
        </w:rPr>
        <w:t>（</w:t>
      </w:r>
      <w:r>
        <w:rPr>
          <w:rFonts w:hint="eastAsia" w:ascii="楷体_GB2312" w:hAnsi="楷体_GB2312" w:eastAsia="楷体_GB2312"/>
          <w:b/>
          <w:color w:val="auto"/>
          <w:sz w:val="32"/>
          <w:szCs w:val="24"/>
          <w:lang w:val="en-US" w:eastAsia="zh-CN"/>
        </w:rPr>
        <w:t>四）</w:t>
      </w:r>
      <w:r>
        <w:rPr>
          <w:rFonts w:hint="eastAsia" w:ascii="楷体_GB2312" w:hAnsi="楷体_GB2312" w:eastAsia="楷体_GB2312"/>
          <w:b/>
          <w:color w:val="auto"/>
          <w:sz w:val="32"/>
          <w:szCs w:val="24"/>
          <w:lang w:val="zh-CN" w:eastAsia="zh-CN"/>
        </w:rPr>
        <w:t>项目效益情况</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lang w:val="zh-CN" w:eastAsia="zh-CN"/>
        </w:rPr>
        <w:t>政府各级</w:t>
      </w:r>
      <w:r>
        <w:rPr>
          <w:rFonts w:hint="eastAsia" w:ascii="仿宋_GB2312" w:hAnsi="仿宋_GB2312" w:eastAsia="仿宋_GB2312"/>
          <w:color w:val="auto"/>
          <w:sz w:val="32"/>
          <w:szCs w:val="24"/>
          <w:u w:val="none" w:color="FFFFFF"/>
          <w:shd w:val="clear" w:fill="FFFFFF"/>
          <w:lang w:val="zh-CN" w:eastAsia="zh-CN"/>
        </w:rPr>
        <w:t>各部门要</w:t>
      </w:r>
      <w:r>
        <w:rPr>
          <w:rFonts w:hint="eastAsia" w:ascii="仿宋_GB2312" w:hAnsi="仿宋_GB2312" w:eastAsia="仿宋_GB2312"/>
          <w:color w:val="auto"/>
          <w:sz w:val="32"/>
          <w:szCs w:val="24"/>
          <w:lang w:val="zh-CN" w:eastAsia="zh-CN"/>
        </w:rPr>
        <w:t>认真履职</w:t>
      </w:r>
      <w:r>
        <w:rPr>
          <w:rFonts w:hint="eastAsia" w:ascii="仿宋_GB2312" w:hAnsi="仿宋_GB2312" w:eastAsia="仿宋_GB2312"/>
          <w:color w:val="auto"/>
          <w:sz w:val="32"/>
          <w:szCs w:val="24"/>
          <w:u w:val="none" w:color="FFFFFF"/>
          <w:shd w:val="clear" w:fill="FFFFFF"/>
          <w:lang w:val="zh-CN" w:eastAsia="zh-CN"/>
        </w:rPr>
        <w:t>尽责</w:t>
      </w:r>
      <w:r>
        <w:rPr>
          <w:rFonts w:hint="eastAsia" w:ascii="仿宋_GB2312" w:hAnsi="仿宋_GB2312" w:eastAsia="仿宋_GB2312"/>
          <w:color w:val="auto"/>
          <w:sz w:val="32"/>
          <w:szCs w:val="24"/>
          <w:lang w:val="zh-CN" w:eastAsia="zh-CN"/>
        </w:rPr>
        <w:t>，为了完成各项工作任务，不断创新学习，加强为民服务意识，改进工作作风；全镇完成了财政收支目标任务，保工资、保政府运转、保民生工程；确保了预算资金全方位、全过程、全</w:t>
      </w:r>
      <w:r>
        <w:rPr>
          <w:rFonts w:hint="eastAsia" w:ascii="仿宋_GB2312" w:hAnsi="仿宋_GB2312" w:eastAsia="仿宋_GB2312"/>
          <w:color w:val="auto"/>
          <w:sz w:val="32"/>
          <w:szCs w:val="24"/>
          <w:u w:val="none" w:color="FFFFFF"/>
          <w:shd w:val="clear" w:fill="FFFFFF"/>
          <w:lang w:val="zh-CN" w:eastAsia="zh-CN"/>
        </w:rPr>
        <w:t>覆盖的</w:t>
      </w:r>
      <w:r>
        <w:rPr>
          <w:rFonts w:hint="eastAsia" w:ascii="仿宋_GB2312" w:hAnsi="仿宋_GB2312" w:eastAsia="仿宋_GB2312"/>
          <w:color w:val="auto"/>
          <w:sz w:val="32"/>
          <w:szCs w:val="24"/>
          <w:lang w:val="zh-CN" w:eastAsia="zh-CN"/>
        </w:rPr>
        <w:t>绩效管理；</w:t>
      </w:r>
      <w:r>
        <w:rPr>
          <w:rFonts w:hint="eastAsia" w:ascii="仿宋_GB2312" w:hAnsi="仿宋_GB2312" w:eastAsia="仿宋_GB2312"/>
          <w:color w:val="auto"/>
          <w:sz w:val="32"/>
          <w:szCs w:val="24"/>
          <w:lang w:val="en-US" w:eastAsia="zh-CN"/>
        </w:rPr>
        <w:t>巩固</w:t>
      </w:r>
      <w:r>
        <w:rPr>
          <w:rFonts w:hint="eastAsia" w:ascii="仿宋_GB2312" w:hAnsi="仿宋_GB2312" w:eastAsia="仿宋_GB2312"/>
          <w:color w:val="auto"/>
          <w:sz w:val="32"/>
          <w:szCs w:val="24"/>
          <w:u w:val="none" w:color="FFFFFF"/>
          <w:shd w:val="clear" w:fill="FFFFFF"/>
          <w:lang w:val="en-US" w:eastAsia="zh-CN"/>
        </w:rPr>
        <w:t>脱贫攻坚</w:t>
      </w:r>
      <w:r>
        <w:rPr>
          <w:rFonts w:hint="eastAsia" w:ascii="仿宋_GB2312" w:hAnsi="仿宋_GB2312" w:eastAsia="仿宋_GB2312"/>
          <w:color w:val="auto"/>
          <w:sz w:val="32"/>
          <w:szCs w:val="24"/>
          <w:lang w:val="en-US" w:eastAsia="zh-CN"/>
        </w:rPr>
        <w:t>衔接乡村振兴</w:t>
      </w:r>
      <w:r>
        <w:rPr>
          <w:rFonts w:hint="eastAsia" w:ascii="仿宋_GB2312" w:hAnsi="仿宋_GB2312" w:eastAsia="仿宋_GB2312"/>
          <w:color w:val="auto"/>
          <w:sz w:val="32"/>
          <w:szCs w:val="24"/>
          <w:lang w:val="zh-CN" w:eastAsia="zh-CN"/>
        </w:rPr>
        <w:t>，发展地方经济，搞好城市建设，争创文明城市，提高人民文化生活水平，造福一方百姓。总之</w:t>
      </w:r>
      <w:r>
        <w:rPr>
          <w:rFonts w:hint="eastAsia" w:ascii="仿宋_GB2312" w:hAnsi="仿宋_GB2312" w:eastAsia="仿宋_GB2312"/>
          <w:color w:val="auto"/>
          <w:sz w:val="32"/>
          <w:szCs w:val="24"/>
          <w:lang w:val="en-US" w:eastAsia="zh-CN"/>
        </w:rPr>
        <w:t>2022年政府整体财政支出绩效目标考核指标</w:t>
      </w:r>
      <w:r>
        <w:rPr>
          <w:rFonts w:hint="eastAsia" w:ascii="仿宋_GB2312" w:hAnsi="仿宋_GB2312" w:eastAsia="仿宋_GB2312"/>
          <w:color w:val="auto"/>
          <w:sz w:val="32"/>
          <w:szCs w:val="24"/>
          <w:lang w:val="zh-CN" w:eastAsia="zh-CN"/>
        </w:rPr>
        <w:t>不论是经济效益、社会效益、经济持续发展效益都持续稳步增长。</w:t>
      </w:r>
    </w:p>
    <w:p>
      <w:pPr>
        <w:keepNext/>
        <w:keepLines/>
        <w:spacing w:beforeLines="0" w:afterLines="0" w:line="560" w:lineRule="exact"/>
        <w:ind w:firstLine="640" w:firstLineChars="200"/>
        <w:outlineLvl w:val="9"/>
        <w:rPr>
          <w:rFonts w:hint="eastAsia" w:ascii="黑体" w:hAnsi="黑体" w:eastAsia="黑体"/>
          <w:color w:val="auto"/>
          <w:sz w:val="32"/>
          <w:szCs w:val="24"/>
          <w:lang w:val="zh-CN" w:eastAsia="zh-CN"/>
        </w:rPr>
      </w:pPr>
      <w:r>
        <w:rPr>
          <w:rFonts w:hint="eastAsia" w:ascii="黑体" w:hAnsi="黑体" w:eastAsia="黑体"/>
          <w:color w:val="auto"/>
          <w:sz w:val="32"/>
          <w:szCs w:val="24"/>
          <w:lang w:val="en-US" w:eastAsia="zh-CN"/>
        </w:rPr>
        <w:t>四</w:t>
      </w:r>
      <w:r>
        <w:rPr>
          <w:rFonts w:hint="eastAsia" w:ascii="黑体" w:hAnsi="黑体" w:eastAsia="黑体"/>
          <w:color w:val="auto"/>
          <w:sz w:val="32"/>
          <w:szCs w:val="24"/>
          <w:lang w:val="zh-CN" w:eastAsia="zh-CN"/>
        </w:rPr>
        <w:t>、问题及建议</w:t>
      </w:r>
    </w:p>
    <w:p>
      <w:pPr>
        <w:adjustRightInd w:val="0"/>
        <w:snapToGrid w:val="0"/>
        <w:spacing w:line="560" w:lineRule="exact"/>
        <w:ind w:firstLine="720"/>
        <w:outlineLvl w:val="9"/>
        <w:rPr>
          <w:rFonts w:hint="eastAsia" w:ascii="楷体" w:hAnsi="楷体" w:eastAsia="楷体" w:cs="楷体"/>
          <w:b/>
          <w:bCs w:val="0"/>
          <w:sz w:val="36"/>
          <w:szCs w:val="36"/>
          <w:lang w:val="zh-CN" w:eastAsia="zh-CN"/>
        </w:rPr>
      </w:pPr>
      <w:r>
        <w:rPr>
          <w:rFonts w:hint="eastAsia" w:ascii="楷体" w:hAnsi="楷体" w:eastAsia="楷体" w:cs="楷体"/>
          <w:b/>
          <w:bCs w:val="0"/>
          <w:sz w:val="36"/>
          <w:szCs w:val="36"/>
          <w:lang w:val="zh-CN" w:eastAsia="zh-CN"/>
        </w:rPr>
        <w:t>（一）存在的问题</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lang w:val="zh-CN" w:eastAsia="zh-CN"/>
        </w:rPr>
        <w:t>政府绩效制度不完善，绩效制度缺乏强有力的保障措施，政府整体财政资金涉及面大，绩效指标考核难度大，绩效目标考核指标缺乏标准，绩效目标考核政策学习少，认识不够深入，专业性强，</w:t>
      </w:r>
      <w:r>
        <w:rPr>
          <w:rFonts w:hint="eastAsia" w:ascii="仿宋_GB2312" w:hAnsi="仿宋_GB2312" w:eastAsia="仿宋_GB2312"/>
          <w:color w:val="auto"/>
          <w:sz w:val="32"/>
          <w:szCs w:val="24"/>
          <w:u w:val="none" w:color="FFFFFF"/>
          <w:shd w:val="clear" w:fill="FFFFFF"/>
          <w:lang w:val="zh-CN" w:eastAsia="zh-CN"/>
        </w:rPr>
        <w:t>难以</w:t>
      </w:r>
      <w:r>
        <w:rPr>
          <w:rFonts w:hint="eastAsia" w:ascii="仿宋_GB2312" w:hAnsi="仿宋_GB2312" w:eastAsia="仿宋_GB2312"/>
          <w:color w:val="auto"/>
          <w:sz w:val="32"/>
          <w:szCs w:val="24"/>
          <w:lang w:val="zh-CN" w:eastAsia="zh-CN"/>
        </w:rPr>
        <w:t>量化。</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lang w:val="zh-CN" w:eastAsia="zh-CN"/>
        </w:rPr>
        <w:t>财政收入匮乏，职工养老保险资金有差额，政府资金压力大。</w:t>
      </w:r>
      <w:r>
        <w:rPr>
          <w:rFonts w:hint="eastAsia" w:ascii="仿宋_GB2312" w:hAnsi="仿宋_GB2312" w:eastAsia="仿宋_GB2312"/>
          <w:color w:val="auto"/>
          <w:sz w:val="32"/>
          <w:szCs w:val="24"/>
          <w:lang w:val="en-US" w:eastAsia="zh-CN"/>
        </w:rPr>
        <w:t>巩固</w:t>
      </w:r>
      <w:r>
        <w:rPr>
          <w:rFonts w:hint="eastAsia" w:ascii="仿宋_GB2312" w:hAnsi="仿宋_GB2312" w:eastAsia="仿宋_GB2312"/>
          <w:color w:val="auto"/>
          <w:sz w:val="32"/>
          <w:szCs w:val="24"/>
          <w:u w:val="none" w:color="FFFFFF"/>
          <w:shd w:val="clear" w:fill="FFFFFF"/>
          <w:lang w:val="en-US" w:eastAsia="zh-CN"/>
        </w:rPr>
        <w:t>脱贫攻坚</w:t>
      </w:r>
      <w:r>
        <w:rPr>
          <w:rFonts w:hint="eastAsia" w:ascii="仿宋_GB2312" w:hAnsi="仿宋_GB2312" w:eastAsia="仿宋_GB2312"/>
          <w:color w:val="auto"/>
          <w:sz w:val="32"/>
          <w:szCs w:val="24"/>
          <w:lang w:val="en-US" w:eastAsia="zh-CN"/>
        </w:rPr>
        <w:t>衔接乡村振兴</w:t>
      </w:r>
      <w:r>
        <w:rPr>
          <w:rFonts w:hint="eastAsia" w:ascii="仿宋_GB2312" w:hAnsi="仿宋_GB2312" w:eastAsia="仿宋_GB2312"/>
          <w:color w:val="auto"/>
          <w:sz w:val="32"/>
          <w:szCs w:val="24"/>
          <w:lang w:val="zh-CN" w:eastAsia="zh-CN"/>
        </w:rPr>
        <w:t>任务重，办公经费不足。</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lang w:val="zh-CN" w:eastAsia="zh-CN"/>
        </w:rPr>
        <w:t>项目多资金少，项目后续投入少，管理难度大，加大</w:t>
      </w:r>
      <w:r>
        <w:rPr>
          <w:rFonts w:hint="eastAsia" w:ascii="仿宋_GB2312" w:hAnsi="仿宋_GB2312" w:eastAsia="仿宋_GB2312"/>
          <w:color w:val="auto"/>
          <w:sz w:val="32"/>
          <w:szCs w:val="24"/>
          <w:lang w:val="en-US" w:eastAsia="zh-CN"/>
        </w:rPr>
        <w:t>巩固脱贫衔接乡村振兴</w:t>
      </w:r>
      <w:r>
        <w:rPr>
          <w:rFonts w:hint="eastAsia" w:ascii="仿宋_GB2312" w:hAnsi="仿宋_GB2312" w:eastAsia="仿宋_GB2312"/>
          <w:color w:val="auto"/>
          <w:sz w:val="32"/>
          <w:szCs w:val="24"/>
          <w:lang w:val="zh-CN" w:eastAsia="zh-CN"/>
        </w:rPr>
        <w:t>配套设施建设。</w:t>
      </w:r>
    </w:p>
    <w:p>
      <w:pPr>
        <w:adjustRightInd w:val="0"/>
        <w:snapToGrid w:val="0"/>
        <w:spacing w:line="560" w:lineRule="exact"/>
        <w:ind w:firstLine="720"/>
        <w:outlineLvl w:val="9"/>
        <w:rPr>
          <w:rFonts w:hint="eastAsia" w:ascii="楷体" w:hAnsi="楷体" w:eastAsia="楷体" w:cs="楷体"/>
          <w:b w:val="0"/>
          <w:bCs/>
          <w:sz w:val="36"/>
          <w:szCs w:val="36"/>
          <w:lang w:val="zh-CN" w:eastAsia="zh-CN"/>
        </w:rPr>
      </w:pPr>
      <w:r>
        <w:rPr>
          <w:rFonts w:hint="eastAsia" w:ascii="楷体" w:hAnsi="楷体" w:eastAsia="楷体" w:cs="楷体"/>
          <w:b w:val="0"/>
          <w:bCs/>
          <w:sz w:val="36"/>
          <w:szCs w:val="36"/>
          <w:lang w:val="zh-CN" w:eastAsia="zh-CN"/>
        </w:rPr>
        <w:t>（</w:t>
      </w:r>
      <w:r>
        <w:rPr>
          <w:rFonts w:hint="eastAsia" w:ascii="楷体" w:hAnsi="楷体" w:eastAsia="楷体" w:cs="楷体"/>
          <w:b/>
          <w:bCs w:val="0"/>
          <w:sz w:val="36"/>
          <w:szCs w:val="36"/>
          <w:lang w:val="zh-CN" w:eastAsia="zh-CN"/>
        </w:rPr>
        <w:t>二）相关建议</w:t>
      </w:r>
    </w:p>
    <w:p>
      <w:pPr>
        <w:adjustRightInd w:val="0"/>
        <w:snapToGrid w:val="0"/>
        <w:spacing w:line="560" w:lineRule="exact"/>
        <w:ind w:firstLine="640" w:firstLineChars="200"/>
        <w:outlineLvl w:val="9"/>
        <w:rPr>
          <w:rFonts w:hint="eastAsia" w:ascii="仿宋_GB2312" w:hAnsi="仿宋_GB2312" w:eastAsia="仿宋_GB2312"/>
          <w:color w:val="auto"/>
          <w:sz w:val="32"/>
          <w:szCs w:val="24"/>
          <w:lang w:val="zh-CN" w:eastAsia="zh-CN"/>
        </w:rPr>
      </w:pPr>
      <w:r>
        <w:rPr>
          <w:rFonts w:hint="eastAsia" w:ascii="仿宋_GB2312" w:hAnsi="仿宋_GB2312" w:eastAsia="仿宋_GB2312"/>
          <w:color w:val="auto"/>
          <w:sz w:val="32"/>
          <w:szCs w:val="24"/>
          <w:lang w:val="zh-CN" w:eastAsia="zh-CN"/>
        </w:rPr>
        <w:t>政府绩效目标评价专业性强，应该有专门业务人员，上级部门应该重视此项工作，定时进行专门学习培训。</w:t>
      </w:r>
    </w:p>
    <w:p>
      <w:pPr>
        <w:adjustRightInd w:val="0"/>
        <w:snapToGrid w:val="0"/>
        <w:spacing w:line="560" w:lineRule="exact"/>
        <w:ind w:firstLine="640" w:firstLineChars="200"/>
        <w:outlineLvl w:val="9"/>
        <w:rPr>
          <w:rFonts w:hint="eastAsia" w:ascii="仿宋_GB2312" w:hAnsi="仿宋_GB2312" w:eastAsia="仿宋_GB2312"/>
          <w:color w:val="auto"/>
          <w:kern w:val="2"/>
          <w:sz w:val="32"/>
          <w:szCs w:val="24"/>
          <w:lang w:val="zh-CN"/>
        </w:rPr>
      </w:pPr>
      <w:r>
        <w:rPr>
          <w:rFonts w:hint="eastAsia" w:ascii="仿宋_GB2312" w:hAnsi="仿宋_GB2312" w:eastAsia="仿宋_GB2312"/>
          <w:color w:val="auto"/>
          <w:sz w:val="32"/>
          <w:szCs w:val="24"/>
          <w:lang w:val="en-US" w:eastAsia="zh-CN"/>
        </w:rPr>
        <w:t>巩固脱贫衔接乡村振兴，</w:t>
      </w:r>
      <w:r>
        <w:rPr>
          <w:rFonts w:hint="eastAsia" w:ascii="仿宋_GB2312" w:hAnsi="仿宋_GB2312" w:eastAsia="仿宋_GB2312"/>
          <w:color w:val="auto"/>
          <w:sz w:val="32"/>
          <w:szCs w:val="24"/>
          <w:lang w:val="zh-CN" w:eastAsia="zh-CN"/>
        </w:rPr>
        <w:t>改善</w:t>
      </w:r>
      <w:r>
        <w:rPr>
          <w:rFonts w:hint="eastAsia" w:ascii="仿宋_GB2312" w:hAnsi="仿宋_GB2312" w:eastAsia="仿宋_GB2312"/>
          <w:color w:val="auto"/>
          <w:sz w:val="32"/>
          <w:szCs w:val="24"/>
          <w:lang w:val="en-US" w:eastAsia="zh-CN"/>
        </w:rPr>
        <w:t>群众</w:t>
      </w:r>
      <w:r>
        <w:rPr>
          <w:rFonts w:hint="eastAsia" w:ascii="仿宋_GB2312" w:hAnsi="仿宋_GB2312" w:eastAsia="仿宋_GB2312"/>
          <w:color w:val="auto"/>
          <w:sz w:val="32"/>
          <w:szCs w:val="24"/>
          <w:lang w:val="zh-CN" w:eastAsia="zh-CN"/>
        </w:rPr>
        <w:t>的生产生活条件，促进了社会经济发展，让惠民政策落到了实处</w:t>
      </w:r>
      <w:r>
        <w:rPr>
          <w:rFonts w:hint="eastAsia" w:ascii="仿宋_GB2312" w:hAnsi="仿宋_GB2312" w:eastAsia="仿宋_GB2312"/>
          <w:color w:val="auto"/>
          <w:sz w:val="32"/>
          <w:szCs w:val="24"/>
          <w:u w:val="none" w:color="FFFFFF"/>
          <w:shd w:val="clear" w:fill="FFFFFF"/>
          <w:lang w:val="en-US" w:eastAsia="zh-CN"/>
        </w:rPr>
        <w:t>，</w:t>
      </w:r>
      <w:r>
        <w:rPr>
          <w:rFonts w:hint="eastAsia" w:ascii="仿宋_GB2312" w:hAnsi="仿宋_GB2312" w:eastAsia="仿宋_GB2312"/>
          <w:color w:val="auto"/>
          <w:sz w:val="32"/>
          <w:szCs w:val="24"/>
          <w:lang w:val="zh-CN" w:eastAsia="zh-CN"/>
        </w:rPr>
        <w:t>建立了农户持续发展产业园，</w:t>
      </w:r>
      <w:r>
        <w:rPr>
          <w:rFonts w:hint="eastAsia" w:ascii="仿宋_GB2312" w:hAnsi="仿宋_GB2312" w:eastAsia="仿宋_GB2312"/>
          <w:color w:val="auto"/>
          <w:sz w:val="32"/>
          <w:szCs w:val="24"/>
          <w:u w:val="none" w:color="FFFFFF"/>
          <w:shd w:val="clear" w:fill="FFFFFF"/>
          <w:lang w:val="zh-CN" w:eastAsia="zh-CN"/>
        </w:rPr>
        <w:t>办</w:t>
      </w:r>
      <w:r>
        <w:rPr>
          <w:rFonts w:hint="eastAsia" w:ascii="仿宋_GB2312" w:hAnsi="仿宋_GB2312" w:eastAsia="仿宋_GB2312"/>
          <w:color w:val="auto"/>
          <w:sz w:val="32"/>
          <w:szCs w:val="24"/>
          <w:lang w:val="zh-CN" w:eastAsia="zh-CN"/>
        </w:rPr>
        <w:t>一件实实在在的民生工程。</w:t>
      </w:r>
    </w:p>
    <w:p>
      <w:pPr>
        <w:keepNext/>
        <w:keepLines/>
        <w:spacing w:beforeLines="0" w:after="120" w:afterLines="0" w:line="560" w:lineRule="exact"/>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zh-CN"/>
        </w:rPr>
        <w:t>附表：</w:t>
      </w:r>
      <w:r>
        <w:rPr>
          <w:rFonts w:hint="eastAsia" w:ascii="仿宋_GB2312" w:hAnsi="仿宋_GB2312" w:eastAsia="仿宋_GB2312"/>
          <w:color w:val="auto"/>
          <w:kern w:val="2"/>
          <w:sz w:val="32"/>
          <w:szCs w:val="24"/>
          <w:lang w:val="en-US"/>
        </w:rPr>
        <w:t>部门预算项目支出绩效自评表（2022年度）</w:t>
      </w:r>
    </w:p>
    <w:tbl>
      <w:tblPr>
        <w:tblStyle w:val="13"/>
        <w:tblW w:w="8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7"/>
        <w:gridCol w:w="1295"/>
        <w:gridCol w:w="2283"/>
        <w:gridCol w:w="473"/>
        <w:gridCol w:w="1372"/>
        <w:gridCol w:w="610"/>
        <w:gridCol w:w="880"/>
        <w:gridCol w:w="1295"/>
        <w:gridCol w:w="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896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整体支出绩效目标自评表</w:t>
            </w:r>
            <w:r>
              <w:rPr>
                <w:rFonts w:hint="eastAsia" w:ascii="宋体" w:hAnsi="宋体" w:eastAsia="宋体" w:cs="宋体"/>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968" w:type="dxa"/>
            <w:gridSpan w:val="9"/>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部门名称</w:t>
            </w:r>
          </w:p>
        </w:tc>
        <w:tc>
          <w:tcPr>
            <w:tcW w:w="4630"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诺江镇人民政府</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任务名称</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主要内容</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预算金额（万元）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color="FFFFFF"/>
                <w:shd w:val="clear" w:fill="FFFFFF"/>
              </w:rPr>
            </w:pPr>
            <w:r>
              <w:rPr>
                <w:rFonts w:hint="eastAsia" w:ascii="宋体" w:hAnsi="宋体" w:eastAsia="宋体" w:cs="宋体"/>
                <w:i w:val="0"/>
                <w:iCs w:val="0"/>
                <w:color w:val="000000"/>
                <w:kern w:val="0"/>
                <w:sz w:val="16"/>
                <w:szCs w:val="16"/>
                <w:u w:val="none"/>
                <w:lang w:val="en-US" w:eastAsia="zh-CN" w:bidi="ar"/>
              </w:rPr>
              <w:t>实际</w:t>
            </w:r>
            <w:r>
              <w:rPr>
                <w:rFonts w:hint="eastAsia" w:ascii="宋体" w:hAnsi="宋体" w:eastAsia="宋体" w:cs="宋体"/>
                <w:i w:val="0"/>
                <w:iCs w:val="0"/>
                <w:color w:val="000000"/>
                <w:kern w:val="0"/>
                <w:sz w:val="16"/>
                <w:szCs w:val="16"/>
                <w:u w:val="none" w:color="FFFFFF"/>
                <w:shd w:val="clear" w:fill="FFFFFF"/>
                <w:lang w:val="en-US" w:eastAsia="zh-CN" w:bidi="ar"/>
              </w:rPr>
              <w:t>执行（万元）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color="FFFFFF"/>
                <w:shd w:val="clear" w:fill="FFFFFF"/>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年度主要任务</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政府预算绩效管理</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加强政府财政收支管理，保障人员经费及日常工作运转支出</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1,798.66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1,798.66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政府预算绩效管理</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乡镇人大代表、政协委员联络费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政府预算绩效管理</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专武干部制式服装经费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0.47</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政府预算绩效管理</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关心下一代工作经费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信访维稳工作经费</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信访维稳工作经费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纪检监察事务</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片区</w:t>
            </w:r>
            <w:r>
              <w:rPr>
                <w:rFonts w:hint="eastAsia" w:ascii="宋体" w:hAnsi="宋体" w:eastAsia="宋体" w:cs="宋体"/>
                <w:i w:val="0"/>
                <w:iCs w:val="0"/>
                <w:color w:val="000000"/>
                <w:kern w:val="0"/>
                <w:sz w:val="16"/>
                <w:szCs w:val="16"/>
                <w:u w:val="none" w:color="FFFFFF"/>
                <w:shd w:val="clear" w:fill="FFFFFF"/>
                <w:lang w:val="en-US" w:eastAsia="zh-CN" w:bidi="ar"/>
              </w:rPr>
              <w:t>纪工委</w:t>
            </w:r>
            <w:r>
              <w:rPr>
                <w:rFonts w:hint="eastAsia" w:ascii="宋体" w:hAnsi="宋体" w:eastAsia="宋体" w:cs="宋体"/>
                <w:i w:val="0"/>
                <w:iCs w:val="0"/>
                <w:color w:val="000000"/>
                <w:kern w:val="0"/>
                <w:sz w:val="16"/>
                <w:szCs w:val="16"/>
                <w:u w:val="none"/>
                <w:lang w:val="en-US" w:eastAsia="zh-CN" w:bidi="ar"/>
              </w:rPr>
              <w:t>专项办案经费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纪检监察事务</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2乡镇纪检监察系统谈话室建设</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7.63</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人力资源和社会保障管理事务</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人才引进补助资金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公共卫生</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w:t>
            </w:r>
            <w:r>
              <w:rPr>
                <w:rFonts w:hint="eastAsia" w:ascii="宋体" w:hAnsi="宋体" w:cs="宋体"/>
                <w:i w:val="0"/>
                <w:iCs w:val="0"/>
                <w:color w:val="000000"/>
                <w:kern w:val="0"/>
                <w:sz w:val="16"/>
                <w:szCs w:val="16"/>
                <w:u w:val="none" w:color="FFFFFF"/>
                <w:shd w:val="clear" w:fill="FFFFFF"/>
                <w:lang w:val="en-US" w:eastAsia="zh-CN" w:bidi="ar"/>
              </w:rPr>
              <w:t>抢险经费</w:t>
            </w:r>
            <w:r>
              <w:rPr>
                <w:rFonts w:hint="eastAsia" w:ascii="宋体" w:hAnsi="宋体" w:eastAsia="宋体" w:cs="宋体"/>
                <w:i w:val="0"/>
                <w:iCs w:val="0"/>
                <w:color w:val="000000"/>
                <w:kern w:val="0"/>
                <w:sz w:val="16"/>
                <w:szCs w:val="16"/>
                <w:u w:val="none"/>
                <w:lang w:val="en-US" w:eastAsia="zh-CN" w:bidi="ar"/>
              </w:rPr>
              <w:t>及疫情防控经费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2022年度农村环境整治补助资金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诺江镇新区建设资金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FFFFFF"/>
                <w:shd w:val="clear" w:fill="FFFFFF"/>
                <w:lang w:val="en-US" w:eastAsia="zh-CN" w:bidi="ar"/>
              </w:rPr>
              <w:t>新华村新村道路建设资金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thick" w:color="98967F"/>
                <w:shd w:val="clear" w:fill="98967F"/>
                <w:lang w:val="en-US" w:eastAsia="zh-CN" w:bidi="ar"/>
              </w:rPr>
              <w:t>87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产业发展基础设</w:t>
            </w:r>
            <w:r>
              <w:rPr>
                <w:rFonts w:hint="eastAsia" w:ascii="宋体" w:hAnsi="宋体" w:eastAsia="宋体" w:cs="宋体"/>
                <w:i w:val="0"/>
                <w:iCs w:val="0"/>
                <w:color w:val="000000"/>
                <w:kern w:val="0"/>
                <w:sz w:val="16"/>
                <w:szCs w:val="16"/>
                <w:u w:val="none"/>
                <w:lang w:val="en-US" w:eastAsia="zh-CN" w:bidi="ar"/>
              </w:rPr>
              <w:t>施配套补助资金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thick" w:color="98967F"/>
                <w:shd w:val="clear" w:fill="98967F"/>
                <w:lang w:val="en-US" w:eastAsia="zh-CN" w:bidi="ar"/>
              </w:rPr>
              <w:t>70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产业发展基础设</w:t>
            </w:r>
            <w:r>
              <w:rPr>
                <w:rFonts w:hint="eastAsia" w:ascii="宋体" w:hAnsi="宋体" w:eastAsia="宋体" w:cs="宋体"/>
                <w:i w:val="0"/>
                <w:iCs w:val="0"/>
                <w:color w:val="000000"/>
                <w:kern w:val="0"/>
                <w:sz w:val="16"/>
                <w:szCs w:val="16"/>
                <w:u w:val="none"/>
                <w:lang w:val="en-US" w:eastAsia="zh-CN" w:bidi="ar"/>
              </w:rPr>
              <w:t>施配套补助资金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thick" w:color="98967F"/>
                <w:shd w:val="clear" w:fill="98967F"/>
                <w:lang w:val="en-US" w:eastAsia="zh-CN" w:bidi="ar"/>
              </w:rPr>
              <w:t>80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产业发展基础设</w:t>
            </w:r>
            <w:r>
              <w:rPr>
                <w:rFonts w:hint="eastAsia" w:ascii="宋体" w:hAnsi="宋体" w:eastAsia="宋体" w:cs="宋体"/>
                <w:i w:val="0"/>
                <w:iCs w:val="0"/>
                <w:color w:val="000000"/>
                <w:kern w:val="0"/>
                <w:sz w:val="16"/>
                <w:szCs w:val="16"/>
                <w:u w:val="none"/>
                <w:lang w:val="en-US" w:eastAsia="zh-CN" w:bidi="ar"/>
              </w:rPr>
              <w:t>施配套补助资金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thick" w:color="98967F"/>
                <w:shd w:val="clear" w:fill="98967F"/>
                <w:lang w:val="en-US" w:eastAsia="zh-CN" w:bidi="ar"/>
              </w:rPr>
              <w:t>70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产业发</w:t>
            </w:r>
            <w:r>
              <w:rPr>
                <w:rFonts w:hint="eastAsia" w:ascii="宋体" w:hAnsi="宋体" w:eastAsia="宋体" w:cs="宋体"/>
                <w:i w:val="0"/>
                <w:iCs w:val="0"/>
                <w:color w:val="000000"/>
                <w:kern w:val="0"/>
                <w:sz w:val="16"/>
                <w:szCs w:val="16"/>
                <w:u w:val="none"/>
                <w:lang w:val="en-US" w:eastAsia="zh-CN" w:bidi="ar"/>
              </w:rPr>
              <w:t>展建设补助资金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2乡村振兴安全饮水建设补助资金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乡村振兴重点帮扶村建设补助资金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乡村振兴产业发展建设资金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none"/>
                <w:lang w:val="en-US" w:eastAsia="zh-CN" w:bidi="ar"/>
              </w:rPr>
              <w:t>29</w:t>
            </w:r>
            <w:r>
              <w:rPr>
                <w:rFonts w:hint="eastAsia" w:ascii="宋体" w:hAnsi="宋体" w:eastAsia="宋体" w:cs="宋体"/>
                <w:i w:val="0"/>
                <w:iCs w:val="0"/>
                <w:color w:val="000000"/>
                <w:kern w:val="0"/>
                <w:sz w:val="16"/>
                <w:szCs w:val="16"/>
                <w:u w:val="thick" w:color="98967F"/>
                <w:shd w:val="clear" w:fill="98967F"/>
                <w:lang w:val="en-US" w:eastAsia="zh-CN"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农村人居环</w:t>
            </w:r>
            <w:r>
              <w:rPr>
                <w:rFonts w:hint="eastAsia" w:ascii="宋体" w:hAnsi="宋体" w:eastAsia="宋体" w:cs="宋体"/>
                <w:i w:val="0"/>
                <w:iCs w:val="0"/>
                <w:color w:val="000000"/>
                <w:kern w:val="0"/>
                <w:sz w:val="16"/>
                <w:szCs w:val="16"/>
                <w:u w:val="none"/>
                <w:lang w:val="en-US" w:eastAsia="zh-CN" w:bidi="ar"/>
              </w:rPr>
              <w:t>境整治补助资金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监测户和以生产经营为主的脱贫户生产奖补资金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FFFFFF"/>
                <w:shd w:val="clear" w:fill="FFFFFF"/>
                <w:lang w:val="en-US" w:eastAsia="zh-CN" w:bidi="ar"/>
              </w:rPr>
              <w:t>2易迁后续扶持项目奖补资金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新增监测帮扶对象增收奖补资金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富硒肉兔养殖产业发展补助资金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巩固脱贫衔接</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2驻村工作队后勤保障经费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98967F"/>
                <w:shd w:val="clear" w:fill="98967F"/>
              </w:rPr>
            </w:pPr>
            <w:r>
              <w:rPr>
                <w:rFonts w:hint="eastAsia" w:ascii="宋体" w:hAnsi="宋体" w:eastAsia="宋体" w:cs="宋体"/>
                <w:i w:val="0"/>
                <w:iCs w:val="0"/>
                <w:color w:val="000000"/>
                <w:kern w:val="0"/>
                <w:sz w:val="16"/>
                <w:szCs w:val="16"/>
                <w:u w:val="thick" w:color="98967F"/>
                <w:shd w:val="clear" w:fill="98967F"/>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98967F"/>
                <w:shd w:val="clear" w:fill="98967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98967F"/>
                <w:shd w:val="clear" w:fill="98967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98967F"/>
                <w:shd w:val="clear" w:fill="98967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98967F"/>
                <w:shd w:val="clear" w:fill="98967F"/>
                <w:lang w:val="en-US" w:eastAsia="zh-CN" w:bidi="ar"/>
              </w:rPr>
              <w:t>巩固脱贫衔接</w:t>
            </w:r>
            <w:r>
              <w:rPr>
                <w:rFonts w:hint="eastAsia" w:ascii="宋体" w:hAnsi="宋体" w:cs="宋体"/>
                <w:i w:val="0"/>
                <w:iCs w:val="0"/>
                <w:color w:val="000000"/>
                <w:kern w:val="0"/>
                <w:sz w:val="16"/>
                <w:szCs w:val="16"/>
                <w:u w:val="thick" w:color="98967F"/>
                <w:shd w:val="clear" w:fill="98967F"/>
                <w:lang w:val="en-US" w:eastAsia="zh-CN" w:bidi="ar"/>
              </w:rPr>
              <w:t>脱贫攻坚</w:t>
            </w:r>
            <w:r>
              <w:rPr>
                <w:rFonts w:hint="eastAsia" w:ascii="宋体" w:hAnsi="宋体" w:eastAsia="宋体" w:cs="宋体"/>
                <w:i w:val="0"/>
                <w:iCs w:val="0"/>
                <w:color w:val="000000"/>
                <w:kern w:val="0"/>
                <w:sz w:val="16"/>
                <w:szCs w:val="16"/>
                <w:u w:val="thick" w:color="98967F"/>
                <w:shd w:val="clear" w:fill="98967F"/>
                <w:lang w:val="en-US" w:eastAsia="zh-CN" w:bidi="ar"/>
              </w:rPr>
              <w:t>振兴</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驻村工作经费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FFFFFF"/>
                <w:shd w:val="clear" w:fill="FFFFFF"/>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FFFFFF"/>
                <w:shd w:val="clear" w:fill="FFFFF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FFFFFF"/>
                <w:shd w:val="clear"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FFFFFF"/>
                <w:shd w:val="clear" w:fill="FFFFF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FFFFFF"/>
                <w:shd w:val="clear" w:fill="FFFFFF"/>
                <w:lang w:val="en-US" w:eastAsia="zh-CN" w:bidi="ar"/>
              </w:rPr>
              <w:t>农村综合改革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村社干部报酬</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199.32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199.32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农村综合改革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基层组织活动和公共服务运行补助资金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58.26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58.26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农村综合改革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w:t>
            </w:r>
            <w:r>
              <w:rPr>
                <w:rFonts w:hint="eastAsia" w:ascii="宋体" w:hAnsi="宋体" w:cs="宋体"/>
                <w:i w:val="0"/>
                <w:iCs w:val="0"/>
                <w:color w:val="000000"/>
                <w:kern w:val="0"/>
                <w:sz w:val="16"/>
                <w:szCs w:val="16"/>
                <w:u w:val="none" w:color="FFFFFF"/>
                <w:shd w:val="clear" w:fill="FFFFFF"/>
                <w:lang w:val="en-US" w:eastAsia="zh-CN" w:bidi="ar"/>
              </w:rPr>
              <w:t>（</w:t>
            </w:r>
            <w:r>
              <w:rPr>
                <w:rFonts w:hint="eastAsia" w:ascii="宋体" w:hAnsi="宋体" w:eastAsia="宋体" w:cs="宋体"/>
                <w:i w:val="0"/>
                <w:iCs w:val="0"/>
                <w:color w:val="000000"/>
                <w:kern w:val="0"/>
                <w:sz w:val="16"/>
                <w:szCs w:val="16"/>
                <w:u w:val="none"/>
                <w:lang w:val="en-US" w:eastAsia="zh-CN" w:bidi="ar"/>
              </w:rPr>
              <w:t>社区</w:t>
            </w:r>
            <w:r>
              <w:rPr>
                <w:rFonts w:hint="eastAsia" w:ascii="宋体" w:hAnsi="宋体" w:cs="宋体"/>
                <w:i w:val="0"/>
                <w:iCs w:val="0"/>
                <w:color w:val="000000"/>
                <w:kern w:val="0"/>
                <w:sz w:val="16"/>
                <w:szCs w:val="16"/>
                <w:u w:val="none" w:color="FFFFFF"/>
                <w:shd w:val="clear" w:fill="FFFFFF"/>
                <w:lang w:val="en-US" w:eastAsia="zh-CN" w:bidi="ar"/>
              </w:rPr>
              <w:t>）</w:t>
            </w:r>
            <w:r>
              <w:rPr>
                <w:rFonts w:hint="eastAsia" w:ascii="宋体" w:hAnsi="宋体" w:eastAsia="宋体" w:cs="宋体"/>
                <w:i w:val="0"/>
                <w:iCs w:val="0"/>
                <w:color w:val="000000"/>
                <w:kern w:val="0"/>
                <w:sz w:val="16"/>
                <w:szCs w:val="16"/>
                <w:u w:val="none"/>
                <w:lang w:val="en-US" w:eastAsia="zh-CN" w:bidi="ar"/>
              </w:rPr>
              <w:t>基层党组织活动和公共服务运行经费</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农村综合改革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村级集体经济发展补助资金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农村综合改革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扶持村级集体经济发展补助资金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中央农村危房改造资金补助</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中央农村危房改造资金补助</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自然灾害补助资金</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自然灾害补助资金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FFFFFF"/>
                <w:shd w:val="clear" w:fill="FFFFFF"/>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thick" w:color="FFFFFF"/>
                <w:shd w:val="clear" w:fill="FFFFF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thick" w:color="FFFFFF"/>
                <w:shd w:val="clear"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FFFFFF"/>
                <w:shd w:val="clear" w:fill="FFFFFF"/>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体彩公益事业</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FFFFFF"/>
                <w:shd w:val="clear" w:fill="FFFFFF"/>
                <w:lang w:val="en-US" w:eastAsia="zh-CN" w:bidi="ar"/>
              </w:rPr>
              <w:t>春长坪社区多功能</w:t>
            </w:r>
            <w:r>
              <w:rPr>
                <w:rFonts w:hint="eastAsia" w:ascii="宋体" w:hAnsi="宋体" w:eastAsia="宋体" w:cs="宋体"/>
                <w:i w:val="0"/>
                <w:iCs w:val="0"/>
                <w:color w:val="000000"/>
                <w:kern w:val="0"/>
                <w:sz w:val="16"/>
                <w:szCs w:val="16"/>
                <w:u w:val="none"/>
                <w:lang w:val="en-US" w:eastAsia="zh-CN" w:bidi="ar"/>
              </w:rPr>
              <w:t>运动场建设资金</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合   计</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3783.4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3783.4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60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255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1.贯</w:t>
            </w:r>
            <w:r>
              <w:rPr>
                <w:rFonts w:hint="eastAsia" w:ascii="宋体" w:hAnsi="宋体" w:eastAsia="宋体" w:cs="宋体"/>
                <w:i w:val="0"/>
                <w:iCs w:val="0"/>
                <w:color w:val="000000"/>
                <w:kern w:val="0"/>
                <w:sz w:val="16"/>
                <w:szCs w:val="16"/>
                <w:u w:val="none" w:color="FFFFFF"/>
                <w:shd w:val="clear" w:fill="FFFFFF"/>
                <w:lang w:val="en-US" w:eastAsia="zh-CN" w:bidi="ar"/>
              </w:rPr>
              <w:t>彻落</w:t>
            </w:r>
            <w:r>
              <w:rPr>
                <w:rFonts w:hint="eastAsia" w:ascii="宋体" w:hAnsi="宋体" w:eastAsia="宋体" w:cs="宋体"/>
                <w:i w:val="0"/>
                <w:iCs w:val="0"/>
                <w:color w:val="000000"/>
                <w:kern w:val="0"/>
                <w:sz w:val="16"/>
                <w:szCs w:val="16"/>
                <w:u w:val="none"/>
                <w:lang w:val="en-US" w:eastAsia="zh-CN" w:bidi="ar"/>
              </w:rPr>
              <w:t>实好党的各项方针政策。2.完成全镇财政收支目标任务，保工资、保政府运转、保民生工程。2.确保预算资金全方位、全过程、全覆盖绩效管理。3.为民服务，发展地方经济，确保</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任务全面完成。4.</w:t>
            </w:r>
            <w:r>
              <w:rPr>
                <w:rFonts w:hint="eastAsia" w:ascii="宋体" w:hAnsi="宋体" w:cs="宋体"/>
                <w:i w:val="0"/>
                <w:iCs w:val="0"/>
                <w:color w:val="000000"/>
                <w:kern w:val="0"/>
                <w:sz w:val="16"/>
                <w:szCs w:val="16"/>
                <w:u w:val="none" w:color="FFFFFF"/>
                <w:shd w:val="clear" w:fill="FFFFFF"/>
                <w:lang w:val="en-US" w:eastAsia="zh-CN" w:bidi="ar"/>
              </w:rPr>
              <w:t>确保</w:t>
            </w:r>
            <w:r>
              <w:rPr>
                <w:rFonts w:hint="eastAsia" w:ascii="宋体" w:hAnsi="宋体" w:eastAsia="宋体" w:cs="宋体"/>
                <w:i w:val="0"/>
                <w:iCs w:val="0"/>
                <w:color w:val="000000"/>
                <w:kern w:val="0"/>
                <w:sz w:val="16"/>
                <w:szCs w:val="16"/>
                <w:u w:val="none"/>
                <w:lang w:val="en-US" w:eastAsia="zh-CN" w:bidi="ar"/>
              </w:rPr>
              <w:t>涉农资金全面兑现。4.</w:t>
            </w:r>
            <w:r>
              <w:rPr>
                <w:rFonts w:hint="eastAsia" w:ascii="宋体" w:hAnsi="宋体" w:cs="宋体"/>
                <w:i w:val="0"/>
                <w:iCs w:val="0"/>
                <w:color w:val="000000"/>
                <w:kern w:val="0"/>
                <w:sz w:val="16"/>
                <w:szCs w:val="16"/>
                <w:u w:val="none" w:color="FFFFFF"/>
                <w:shd w:val="clear" w:fill="FFFFFF"/>
                <w:lang w:val="en-US" w:eastAsia="zh-CN" w:bidi="ar"/>
              </w:rPr>
              <w:t>确保</w:t>
            </w:r>
            <w:r>
              <w:rPr>
                <w:rFonts w:hint="eastAsia" w:ascii="宋体" w:hAnsi="宋体" w:eastAsia="宋体" w:cs="宋体"/>
                <w:i w:val="0"/>
                <w:iCs w:val="0"/>
                <w:color w:val="000000"/>
                <w:kern w:val="0"/>
                <w:sz w:val="16"/>
                <w:szCs w:val="16"/>
                <w:u w:val="none"/>
                <w:lang w:val="en-US" w:eastAsia="zh-CN" w:bidi="ar"/>
              </w:rPr>
              <w:t>全镇重点工程项目的实施。</w:t>
            </w:r>
          </w:p>
        </w:tc>
        <w:tc>
          <w:tcPr>
            <w:tcW w:w="2558"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none" w:color="FFFFFF"/>
                <w:shd w:val="clear" w:fill="FFFFFF"/>
                <w:lang w:val="en-US" w:eastAsia="zh-CN" w:bidi="ar"/>
              </w:rPr>
              <w:t>1.</w:t>
            </w:r>
            <w:r>
              <w:rPr>
                <w:rFonts w:hint="eastAsia" w:ascii="宋体" w:hAnsi="宋体" w:eastAsia="宋体" w:cs="宋体"/>
                <w:i w:val="0"/>
                <w:iCs w:val="0"/>
                <w:color w:val="000000"/>
                <w:kern w:val="0"/>
                <w:sz w:val="16"/>
                <w:szCs w:val="16"/>
                <w:u w:val="none"/>
                <w:lang w:val="en-US" w:eastAsia="zh-CN" w:bidi="ar"/>
              </w:rPr>
              <w:t>贯彻落实好党的各项方针政策。2.完成全镇财政收支目标任务，保工资、保政府运转、保民生工程。2.确保预算资金全方位、全过程、全覆盖绩效管理。3.为民服务，发展地方经济，确保</w:t>
            </w:r>
            <w:r>
              <w:rPr>
                <w:rFonts w:hint="eastAsia" w:ascii="宋体" w:hAnsi="宋体" w:cs="宋体"/>
                <w:i w:val="0"/>
                <w:iCs w:val="0"/>
                <w:color w:val="000000"/>
                <w:kern w:val="0"/>
                <w:sz w:val="16"/>
                <w:szCs w:val="16"/>
                <w:u w:val="none" w:color="FFFFFF"/>
                <w:shd w:val="clear" w:fill="FFFFFF"/>
                <w:lang w:val="en-US" w:eastAsia="zh-CN" w:bidi="ar"/>
              </w:rPr>
              <w:t>脱贫攻坚</w:t>
            </w:r>
            <w:r>
              <w:rPr>
                <w:rFonts w:hint="eastAsia" w:ascii="宋体" w:hAnsi="宋体" w:eastAsia="宋体" w:cs="宋体"/>
                <w:i w:val="0"/>
                <w:iCs w:val="0"/>
                <w:color w:val="000000"/>
                <w:kern w:val="0"/>
                <w:sz w:val="16"/>
                <w:szCs w:val="16"/>
                <w:u w:val="none"/>
                <w:lang w:val="en-US" w:eastAsia="zh-CN" w:bidi="ar"/>
              </w:rPr>
              <w:t>任务全面完成。4.</w:t>
            </w:r>
            <w:r>
              <w:rPr>
                <w:rFonts w:hint="eastAsia" w:ascii="宋体" w:hAnsi="宋体" w:cs="宋体"/>
                <w:i w:val="0"/>
                <w:iCs w:val="0"/>
                <w:color w:val="000000"/>
                <w:kern w:val="0"/>
                <w:sz w:val="16"/>
                <w:szCs w:val="16"/>
                <w:u w:val="none" w:color="FFFFFF"/>
                <w:shd w:val="clear" w:fill="FFFFFF"/>
                <w:lang w:val="en-US" w:eastAsia="zh-CN" w:bidi="ar"/>
              </w:rPr>
              <w:t>确保</w:t>
            </w:r>
            <w:r>
              <w:rPr>
                <w:rFonts w:hint="eastAsia" w:ascii="宋体" w:hAnsi="宋体" w:eastAsia="宋体" w:cs="宋体"/>
                <w:i w:val="0"/>
                <w:iCs w:val="0"/>
                <w:color w:val="000000"/>
                <w:kern w:val="0"/>
                <w:sz w:val="16"/>
                <w:szCs w:val="16"/>
                <w:u w:val="none"/>
                <w:lang w:val="en-US" w:eastAsia="zh-CN" w:bidi="ar"/>
              </w:rPr>
              <w:t>涉农资金全面兑现。4.</w:t>
            </w:r>
            <w:r>
              <w:rPr>
                <w:rFonts w:hint="eastAsia" w:ascii="宋体" w:hAnsi="宋体" w:cs="宋体"/>
                <w:i w:val="0"/>
                <w:iCs w:val="0"/>
                <w:color w:val="000000"/>
                <w:kern w:val="0"/>
                <w:sz w:val="16"/>
                <w:szCs w:val="16"/>
                <w:u w:val="none" w:color="FFFFFF"/>
                <w:shd w:val="clear" w:fill="FFFFFF"/>
                <w:lang w:val="en-US" w:eastAsia="zh-CN" w:bidi="ar"/>
              </w:rPr>
              <w:t>确保</w:t>
            </w:r>
            <w:r>
              <w:rPr>
                <w:rFonts w:hint="eastAsia" w:ascii="宋体" w:hAnsi="宋体" w:eastAsia="宋体" w:cs="宋体"/>
                <w:i w:val="0"/>
                <w:iCs w:val="0"/>
                <w:color w:val="000000"/>
                <w:kern w:val="0"/>
                <w:sz w:val="16"/>
                <w:szCs w:val="16"/>
                <w:u w:val="none"/>
                <w:lang w:val="en-US" w:eastAsia="zh-CN" w:bidi="ar"/>
              </w:rPr>
              <w:t>全镇重点</w:t>
            </w:r>
            <w:r>
              <w:rPr>
                <w:rFonts w:hint="eastAsia" w:ascii="宋体" w:hAnsi="宋体" w:eastAsia="宋体" w:cs="宋体"/>
                <w:i w:val="0"/>
                <w:iCs w:val="0"/>
                <w:color w:val="000000"/>
                <w:kern w:val="0"/>
                <w:sz w:val="16"/>
                <w:szCs w:val="16"/>
                <w:u w:val="thick" w:color="FFFFFF"/>
                <w:shd w:val="clear" w:fill="FFFFFF"/>
                <w:lang w:val="en-US" w:eastAsia="zh-CN" w:bidi="ar"/>
              </w:rPr>
              <w:t>工程项目的实施。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绩效指标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一级</w:t>
            </w:r>
            <w:r>
              <w:rPr>
                <w:rFonts w:hint="eastAsia" w:ascii="宋体" w:hAnsi="宋体" w:eastAsia="宋体" w:cs="宋体"/>
                <w:i w:val="0"/>
                <w:iCs w:val="0"/>
                <w:color w:val="000000"/>
                <w:kern w:val="0"/>
                <w:sz w:val="16"/>
                <w:szCs w:val="16"/>
                <w:u w:val="thick" w:color="FFFFFF"/>
                <w:shd w:val="clear" w:fill="FFFFFF"/>
                <w:lang w:val="en-US" w:eastAsia="zh-CN" w:bidi="ar"/>
              </w:rPr>
              <w:br w:type="textWrapping"/>
            </w:r>
            <w:r>
              <w:rPr>
                <w:rFonts w:hint="eastAsia" w:ascii="宋体" w:hAnsi="宋体" w:eastAsia="宋体" w:cs="宋体"/>
                <w:i w:val="0"/>
                <w:iCs w:val="0"/>
                <w:color w:val="000000"/>
                <w:kern w:val="0"/>
                <w:sz w:val="16"/>
                <w:szCs w:val="16"/>
                <w:u w:val="thick" w:color="FFFFFF"/>
                <w:shd w:val="clear" w:fill="FFFFFF"/>
                <w:lang w:val="en-US" w:eastAsia="zh-CN" w:bidi="ar"/>
              </w:rPr>
              <w:t>指标</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thick" w:color="FFFFFF"/>
                <w:shd w:val="clear" w:fill="FFFFFF"/>
                <w:lang w:val="en-US" w:eastAsia="zh-CN" w:bidi="ar"/>
              </w:rPr>
              <w:t>二级</w:t>
            </w:r>
            <w:r>
              <w:rPr>
                <w:rFonts w:hint="eastAsia" w:ascii="宋体" w:hAnsi="宋体" w:eastAsia="宋体" w:cs="宋体"/>
                <w:i w:val="0"/>
                <w:iCs w:val="0"/>
                <w:color w:val="000000"/>
                <w:kern w:val="0"/>
                <w:sz w:val="16"/>
                <w:szCs w:val="16"/>
                <w:u w:val="none"/>
                <w:lang w:val="en-US" w:eastAsia="zh-CN" w:bidi="ar"/>
              </w:rPr>
              <w:t>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color="FFFFFF"/>
                <w:shd w:val="clear" w:fill="FFFFFF"/>
              </w:rPr>
            </w:pPr>
            <w:r>
              <w:rPr>
                <w:rFonts w:hint="eastAsia" w:ascii="宋体" w:hAnsi="宋体" w:eastAsia="宋体" w:cs="宋体"/>
                <w:i w:val="0"/>
                <w:iCs w:val="0"/>
                <w:color w:val="000000"/>
                <w:kern w:val="0"/>
                <w:sz w:val="16"/>
                <w:szCs w:val="16"/>
                <w:u w:val="none" w:color="FFFFFF"/>
                <w:shd w:val="clear" w:fill="FFFFFF"/>
                <w:lang w:val="en-US" w:eastAsia="zh-CN" w:bidi="ar"/>
              </w:rPr>
              <w:t>全年实际值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FFFFFF"/>
                <w:shd w:val="clear" w:fill="FFFFFF"/>
                <w:lang w:val="en-US" w:eastAsia="zh-CN" w:bidi="ar"/>
              </w:rPr>
              <w:t>未完成原因及拟采取的改进措施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color="FFFFFF"/>
                <w:shd w:val="clear" w:fill="FFFFFF"/>
                <w:lang w:val="en-US" w:eastAsia="zh-CN" w:bidi="ar"/>
              </w:rPr>
              <w:t>（</w:t>
            </w:r>
            <w:r>
              <w:rPr>
                <w:rFonts w:hint="eastAsia" w:ascii="宋体" w:hAnsi="宋体" w:eastAsia="宋体" w:cs="宋体"/>
                <w:i w:val="0"/>
                <w:iCs w:val="0"/>
                <w:color w:val="000000"/>
                <w:kern w:val="0"/>
                <w:sz w:val="16"/>
                <w:szCs w:val="16"/>
                <w:u w:val="none"/>
                <w:lang w:val="en-US" w:eastAsia="zh-CN" w:bidi="ar"/>
              </w:rPr>
              <w:t>50分</w:t>
            </w:r>
            <w:r>
              <w:rPr>
                <w:rFonts w:hint="eastAsia" w:ascii="宋体" w:hAnsi="宋体" w:cs="宋体"/>
                <w:i w:val="0"/>
                <w:iCs w:val="0"/>
                <w:color w:val="000000"/>
                <w:kern w:val="0"/>
                <w:sz w:val="16"/>
                <w:szCs w:val="16"/>
                <w:u w:val="none" w:color="FFFFFF"/>
                <w:shd w:val="clear" w:fill="FFFFFF"/>
                <w:lang w:val="en-US" w:eastAsia="zh-CN" w:bidi="ar"/>
              </w:rPr>
              <w:t>）</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工资福利</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年内职工出差天数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≥14800天</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≥14800天</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公务接待批次</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≤10次</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none"/>
                <w:lang w:val="en-US" w:eastAsia="zh-CN" w:bidi="ar"/>
              </w:rPr>
              <w:t>购置办</w:t>
            </w:r>
            <w:r>
              <w:rPr>
                <w:rFonts w:hint="eastAsia" w:ascii="宋体" w:hAnsi="宋体" w:eastAsia="宋体" w:cs="宋体"/>
                <w:i w:val="0"/>
                <w:iCs w:val="0"/>
                <w:color w:val="000000"/>
                <w:kern w:val="0"/>
                <w:sz w:val="16"/>
                <w:szCs w:val="16"/>
                <w:u w:val="thick" w:color="FFFFFF"/>
                <w:shd w:val="clear" w:fill="FFFFFF"/>
                <w:lang w:val="en-US" w:eastAsia="zh-CN" w:bidi="ar"/>
              </w:rPr>
              <w:t>公设备数量</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≥15套</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thick" w:color="FFFFFF"/>
                <w:shd w:val="clear" w:fill="FFFFFF"/>
              </w:rPr>
            </w:pPr>
            <w:r>
              <w:rPr>
                <w:rFonts w:hint="eastAsia" w:ascii="宋体" w:hAnsi="宋体" w:eastAsia="宋体" w:cs="宋体"/>
                <w:i w:val="0"/>
                <w:iCs w:val="0"/>
                <w:color w:val="000000"/>
                <w:kern w:val="0"/>
                <w:sz w:val="16"/>
                <w:szCs w:val="16"/>
                <w:u w:val="thick" w:color="FFFFFF"/>
                <w:shd w:val="clear" w:fill="FFFFFF"/>
                <w:lang w:val="en-US" w:eastAsia="zh-CN" w:bidi="ar"/>
              </w:rPr>
              <w:t>≥10套</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thick" w:color="FFFFFF"/>
                <w:shd w:val="clear" w:fill="FFFFFF"/>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thick" w:color="FFFFFF"/>
                <w:shd w:val="clear"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thick" w:color="FFFFFF"/>
                <w:shd w:val="clear" w:fill="FFFFFF"/>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thick" w:color="FFFFFF"/>
                <w:shd w:val="clear" w:fill="FFFFFF"/>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举办（组织外出）培训（会议）批次</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≥20次</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脱贫攻坚项目资金</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涉农资金户数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7980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7980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工资福利保障率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经济发展</w:t>
            </w:r>
            <w:r>
              <w:rPr>
                <w:rFonts w:hint="eastAsia" w:ascii="宋体" w:hAnsi="宋体" w:cs="宋体"/>
                <w:i w:val="0"/>
                <w:iCs w:val="0"/>
                <w:color w:val="000000"/>
                <w:kern w:val="0"/>
                <w:sz w:val="16"/>
                <w:szCs w:val="16"/>
                <w:u w:val="none" w:color="FFFFFF"/>
                <w:shd w:val="clear" w:fill="FFFFFF"/>
                <w:lang w:val="en-US" w:eastAsia="zh-CN" w:bidi="ar"/>
              </w:rPr>
              <w:t>同步增长</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color="FFFFFF"/>
                <w:shd w:val="clear" w:fill="FFFFFF"/>
              </w:rPr>
            </w:pPr>
            <w:r>
              <w:rPr>
                <w:rFonts w:hint="eastAsia" w:ascii="宋体" w:hAnsi="宋体" w:eastAsia="宋体" w:cs="宋体"/>
                <w:i w:val="0"/>
                <w:iCs w:val="0"/>
                <w:color w:val="000000"/>
                <w:kern w:val="0"/>
                <w:sz w:val="16"/>
                <w:szCs w:val="16"/>
                <w:u w:val="none"/>
                <w:lang w:val="en-US" w:eastAsia="zh-CN" w:bidi="ar"/>
              </w:rPr>
              <w:t>公务接待下</w:t>
            </w:r>
            <w:r>
              <w:rPr>
                <w:rFonts w:hint="eastAsia" w:ascii="宋体" w:hAnsi="宋体" w:eastAsia="宋体" w:cs="宋体"/>
                <w:i w:val="0"/>
                <w:iCs w:val="0"/>
                <w:color w:val="000000"/>
                <w:kern w:val="0"/>
                <w:sz w:val="16"/>
                <w:szCs w:val="16"/>
                <w:u w:val="none" w:color="FFFFFF"/>
                <w:shd w:val="clear" w:fill="FFFFFF"/>
                <w:lang w:val="en-US" w:eastAsia="zh-CN" w:bidi="ar"/>
              </w:rPr>
              <w:t>降率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FFFFFF"/>
                <w:shd w:val="clear" w:fill="FFFFFF"/>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涉农资金兑现率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FFFFFF"/>
                <w:shd w:val="clear" w:fill="FFFFFF"/>
                <w:lang w:val="en-US" w:eastAsia="zh-CN" w:bidi="ar"/>
              </w:rPr>
              <w:t>工资福利及时率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有待完善工资改革体制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脱贫攻坚项目完成时间</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2021年3月</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2021年3月</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color="98967F"/>
                <w:shd w:val="clear" w:fill="98967F"/>
              </w:rPr>
            </w:pPr>
            <w:r>
              <w:rPr>
                <w:rFonts w:hint="eastAsia" w:ascii="宋体" w:hAnsi="宋体" w:eastAsia="宋体" w:cs="宋体"/>
                <w:i w:val="0"/>
                <w:iCs w:val="0"/>
                <w:color w:val="000000"/>
                <w:kern w:val="0"/>
                <w:sz w:val="16"/>
                <w:szCs w:val="16"/>
                <w:u w:val="none"/>
                <w:lang w:val="en-US" w:eastAsia="zh-CN" w:bidi="ar"/>
              </w:rPr>
              <w:t>公务经</w:t>
            </w:r>
            <w:r>
              <w:rPr>
                <w:rFonts w:hint="eastAsia" w:ascii="宋体" w:hAnsi="宋体" w:eastAsia="宋体" w:cs="宋体"/>
                <w:i w:val="0"/>
                <w:iCs w:val="0"/>
                <w:color w:val="000000"/>
                <w:kern w:val="0"/>
                <w:sz w:val="16"/>
                <w:szCs w:val="16"/>
                <w:u w:val="none" w:color="98967F"/>
                <w:shd w:val="clear" w:fill="98967F"/>
                <w:lang w:val="en-US" w:eastAsia="zh-CN" w:bidi="ar"/>
              </w:rPr>
              <w:t>费及时性</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color="98967F"/>
                <w:shd w:val="clear" w:fill="98967F"/>
                <w:lang w:val="en-US" w:eastAsia="zh-CN" w:bidi="ar"/>
              </w:rPr>
              <w:t>10</w:t>
            </w:r>
            <w:r>
              <w:rPr>
                <w:rFonts w:hint="eastAsia" w:ascii="宋体" w:hAnsi="宋体" w:eastAsia="宋体" w:cs="宋体"/>
                <w:i w:val="0"/>
                <w:iCs w:val="0"/>
                <w:color w:val="000000"/>
                <w:kern w:val="0"/>
                <w:sz w:val="16"/>
                <w:szCs w:val="16"/>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w:t>
            </w:r>
            <w:r>
              <w:rPr>
                <w:rFonts w:hint="eastAsia" w:ascii="宋体" w:hAnsi="宋体" w:eastAsia="宋体" w:cs="宋体"/>
                <w:i w:val="0"/>
                <w:iCs w:val="0"/>
                <w:color w:val="000000"/>
                <w:kern w:val="0"/>
                <w:sz w:val="16"/>
                <w:szCs w:val="16"/>
                <w:u w:val="none" w:color="FFFFFF"/>
                <w:shd w:val="clear" w:fill="FFFFFF"/>
                <w:lang w:val="en-US" w:eastAsia="zh-CN" w:bidi="ar"/>
              </w:rPr>
              <w:t>工资</w:t>
            </w:r>
            <w:r>
              <w:rPr>
                <w:rFonts w:hint="eastAsia" w:ascii="宋体" w:hAnsi="宋体" w:eastAsia="宋体" w:cs="宋体"/>
                <w:i w:val="0"/>
                <w:iCs w:val="0"/>
                <w:color w:val="000000"/>
                <w:kern w:val="0"/>
                <w:sz w:val="16"/>
                <w:szCs w:val="16"/>
                <w:u w:val="none"/>
                <w:lang w:val="en-US" w:eastAsia="zh-CN" w:bidi="ar"/>
              </w:rPr>
              <w:t>福利水平</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人均生活水平提高</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脱贫攻坚项目成本</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人均公用经费</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人均公务接待成本</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color="FFFFFF"/>
                <w:shd w:val="clear" w:fill="FFFFFF"/>
                <w:lang w:val="en-US" w:eastAsia="zh-CN" w:bidi="ar"/>
              </w:rPr>
              <w:t>（</w:t>
            </w:r>
            <w:r>
              <w:rPr>
                <w:rFonts w:hint="eastAsia" w:ascii="宋体" w:hAnsi="宋体" w:eastAsia="宋体" w:cs="宋体"/>
                <w:i w:val="0"/>
                <w:iCs w:val="0"/>
                <w:color w:val="000000"/>
                <w:kern w:val="0"/>
                <w:sz w:val="16"/>
                <w:szCs w:val="16"/>
                <w:u w:val="none"/>
                <w:lang w:val="en-US" w:eastAsia="zh-CN" w:bidi="ar"/>
              </w:rPr>
              <w:t>30分</w:t>
            </w:r>
            <w:r>
              <w:rPr>
                <w:rFonts w:hint="eastAsia" w:ascii="宋体" w:hAnsi="宋体" w:cs="宋体"/>
                <w:i w:val="0"/>
                <w:iCs w:val="0"/>
                <w:color w:val="000000"/>
                <w:kern w:val="0"/>
                <w:sz w:val="16"/>
                <w:szCs w:val="16"/>
                <w:u w:val="none" w:color="FFFFFF"/>
                <w:shd w:val="clear" w:fill="FFFFFF"/>
                <w:lang w:val="en-US" w:eastAsia="zh-CN" w:bidi="ar"/>
              </w:rPr>
              <w:t>）</w:t>
            </w:r>
          </w:p>
        </w:tc>
        <w:tc>
          <w:tcPr>
            <w:tcW w:w="2283"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职工工资增长率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受益农民人</w:t>
            </w:r>
            <w:r>
              <w:rPr>
                <w:rFonts w:hint="eastAsia" w:ascii="宋体" w:hAnsi="宋体" w:eastAsia="宋体" w:cs="宋体"/>
                <w:i w:val="0"/>
                <w:iCs w:val="0"/>
                <w:color w:val="000000"/>
                <w:kern w:val="0"/>
                <w:sz w:val="16"/>
                <w:szCs w:val="16"/>
                <w:u w:val="none" w:color="FFFFFF"/>
                <w:shd w:val="clear" w:fill="FFFFFF"/>
                <w:lang w:val="en-US" w:eastAsia="zh-CN" w:bidi="ar"/>
              </w:rPr>
              <w:t>平增长</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培训对象增收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≥0.1万元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培训带动就业增长率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加强培训业务</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生态效益更加重视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环境污染率下降</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安全生产事故下降率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对未来经济</w:t>
            </w:r>
            <w:r>
              <w:rPr>
                <w:rFonts w:hint="eastAsia" w:ascii="宋体" w:hAnsi="宋体" w:eastAsia="宋体" w:cs="宋体"/>
                <w:i w:val="0"/>
                <w:iCs w:val="0"/>
                <w:color w:val="000000"/>
                <w:kern w:val="0"/>
                <w:sz w:val="16"/>
                <w:szCs w:val="16"/>
                <w:u w:val="none" w:color="FFFFFF"/>
                <w:shd w:val="clear" w:fill="FFFFFF"/>
                <w:lang w:val="en-US" w:eastAsia="zh-CN" w:bidi="ar"/>
              </w:rPr>
              <w:t>发展影响</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color="FFFFFF"/>
                <w:shd w:val="clear" w:fill="FFFFFF"/>
                <w:lang w:val="en-US" w:eastAsia="zh-CN" w:bidi="ar"/>
              </w:rPr>
              <w:t>（</w:t>
            </w:r>
            <w:r>
              <w:rPr>
                <w:rFonts w:hint="eastAsia" w:ascii="宋体" w:hAnsi="宋体" w:eastAsia="宋体" w:cs="宋体"/>
                <w:i w:val="0"/>
                <w:iCs w:val="0"/>
                <w:color w:val="000000"/>
                <w:kern w:val="0"/>
                <w:sz w:val="16"/>
                <w:szCs w:val="16"/>
                <w:u w:val="none"/>
                <w:lang w:val="en-US" w:eastAsia="zh-CN" w:bidi="ar"/>
              </w:rPr>
              <w:t>10分</w:t>
            </w:r>
            <w:r>
              <w:rPr>
                <w:rFonts w:hint="eastAsia" w:ascii="宋体" w:hAnsi="宋体" w:cs="宋体"/>
                <w:i w:val="0"/>
                <w:iCs w:val="0"/>
                <w:color w:val="000000"/>
                <w:kern w:val="0"/>
                <w:sz w:val="16"/>
                <w:szCs w:val="16"/>
                <w:u w:val="none" w:color="FFFFFF"/>
                <w:shd w:val="clear" w:fill="FFFFFF"/>
                <w:lang w:val="en-US" w:eastAsia="zh-CN" w:bidi="ar"/>
              </w:rPr>
              <w:t>）</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基层群众对政府工作的满意度</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加强服务意识，提高整体素质</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上级政府的满意度</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6"/>
                <w:szCs w:val="16"/>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总分</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90</w:t>
            </w:r>
          </w:p>
        </w:tc>
      </w:tr>
    </w:tbl>
    <w:p>
      <w:pPr>
        <w:pStyle w:val="2"/>
        <w:rPr>
          <w:rFonts w:hint="eastAsia"/>
          <w:sz w:val="18"/>
          <w:szCs w:val="18"/>
          <w:lang w:val="en-US"/>
        </w:rPr>
      </w:pPr>
    </w:p>
    <w:p>
      <w:pPr>
        <w:keepNext/>
        <w:keepLines/>
        <w:spacing w:beforeLines="0" w:afterLines="0" w:line="560" w:lineRule="exact"/>
        <w:rPr>
          <w:rFonts w:hint="default" w:eastAsia="仿宋_GB2312"/>
          <w:lang w:val="en-US" w:eastAsia="zh-CN"/>
        </w:rPr>
      </w:pPr>
    </w:p>
    <w:p>
      <w:pPr>
        <w:numPr>
          <w:ilvl w:val="0"/>
          <w:numId w:val="0"/>
        </w:numPr>
        <w:spacing w:beforeLines="0" w:afterLines="0" w:line="600" w:lineRule="exact"/>
        <w:ind w:firstLine="640" w:firstLineChars="200"/>
        <w:jc w:val="both"/>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p>
      <w:pPr>
        <w:pStyle w:val="2"/>
        <w:rPr>
          <w:rFonts w:hint="eastAsia" w:ascii="仿宋_GB2312" w:hAnsi="仿宋_GB2312" w:eastAsia="仿宋_GB2312" w:cs="Times New Roman"/>
          <w:color w:val="auto"/>
          <w:sz w:val="32"/>
          <w:szCs w:val="24"/>
          <w:lang w:val="en-US"/>
        </w:rPr>
      </w:pPr>
    </w:p>
    <w:bookmarkEnd w:id="57"/>
    <w:p>
      <w:pPr>
        <w:numPr>
          <w:ilvl w:val="0"/>
          <w:numId w:val="3"/>
        </w:numPr>
        <w:spacing w:line="600" w:lineRule="exact"/>
        <w:ind w:firstLine="2640" w:firstLineChars="600"/>
        <w:jc w:val="both"/>
        <w:outlineLvl w:val="0"/>
        <w:rPr>
          <w:rStyle w:val="26"/>
          <w:rFonts w:hint="eastAsia" w:ascii="黑体" w:hAnsi="黑体" w:eastAsia="黑体"/>
          <w:b w:val="0"/>
          <w:color w:val="auto"/>
          <w:highlight w:val="none"/>
        </w:rPr>
      </w:pPr>
      <w:bookmarkStart w:id="60" w:name="_Toc15341"/>
      <w:bookmarkStart w:id="61" w:name="_Toc8995"/>
      <w:r>
        <w:rPr>
          <w:rStyle w:val="26"/>
          <w:rFonts w:hint="eastAsia" w:ascii="黑体" w:hAnsi="黑体" w:eastAsia="黑体"/>
          <w:b w:val="0"/>
          <w:color w:val="auto"/>
          <w:highlight w:val="none"/>
        </w:rPr>
        <w:t>附表</w:t>
      </w:r>
      <w:bookmarkEnd w:id="60"/>
      <w:bookmarkEnd w:id="61"/>
    </w:p>
    <w:p>
      <w:pPr>
        <w:pageBreakBefore w:val="0"/>
        <w:widowControl w:val="0"/>
        <w:numPr>
          <w:ilvl w:val="0"/>
          <w:numId w:val="4"/>
        </w:numPr>
        <w:kinsoku/>
        <w:wordWrap/>
        <w:overflowPunct/>
        <w:topLinePunct w:val="0"/>
        <w:autoSpaceDE/>
        <w:autoSpaceDN/>
        <w:bidi w:val="0"/>
        <w:adjustRightInd/>
        <w:snapToGrid/>
        <w:spacing w:line="560" w:lineRule="exact"/>
        <w:jc w:val="both"/>
        <w:textAlignment w:val="auto"/>
        <w:outlineLvl w:val="1"/>
        <w:rPr>
          <w:rFonts w:hint="eastAsia" w:ascii="仿宋" w:hAnsi="仿宋" w:eastAsia="仿宋"/>
          <w:b w:val="0"/>
          <w:bCs w:val="0"/>
          <w:color w:val="auto"/>
          <w:kern w:val="2"/>
          <w:sz w:val="32"/>
          <w:szCs w:val="24"/>
          <w:lang w:val="en-US"/>
        </w:rPr>
      </w:pPr>
      <w:bookmarkStart w:id="62" w:name="_Toc24688"/>
      <w:bookmarkStart w:id="63" w:name="_Toc2410"/>
      <w:r>
        <w:rPr>
          <w:rFonts w:hint="eastAsia" w:ascii="仿宋" w:hAnsi="仿宋" w:eastAsia="仿宋"/>
          <w:b w:val="0"/>
          <w:bCs w:val="0"/>
          <w:color w:val="auto"/>
          <w:kern w:val="2"/>
          <w:sz w:val="32"/>
          <w:szCs w:val="24"/>
          <w:lang w:val="en-US"/>
        </w:rPr>
        <w:t>收入支出决算总表</w:t>
      </w:r>
      <w:bookmarkEnd w:id="62"/>
      <w:bookmarkEnd w:id="63"/>
      <w:bookmarkStart w:id="64" w:name="_Toc4365"/>
      <w:bookmarkStart w:id="65" w:name="_Toc5805"/>
    </w:p>
    <w:p>
      <w:pPr>
        <w:pageBreakBefore w:val="0"/>
        <w:widowControl w:val="0"/>
        <w:numPr>
          <w:ilvl w:val="0"/>
          <w:numId w:val="4"/>
        </w:numPr>
        <w:kinsoku/>
        <w:wordWrap/>
        <w:overflowPunct/>
        <w:topLinePunct w:val="0"/>
        <w:autoSpaceDE/>
        <w:autoSpaceDN/>
        <w:bidi w:val="0"/>
        <w:adjustRightInd/>
        <w:snapToGrid/>
        <w:spacing w:line="560" w:lineRule="exact"/>
        <w:jc w:val="both"/>
        <w:textAlignment w:val="auto"/>
        <w:outlineLvl w:val="1"/>
        <w:rPr>
          <w:rFonts w:hint="eastAsia" w:ascii="仿宋" w:hAnsi="仿宋" w:eastAsia="仿宋"/>
          <w:b w:val="0"/>
          <w:bCs w:val="0"/>
          <w:color w:val="auto"/>
          <w:kern w:val="2"/>
          <w:sz w:val="32"/>
          <w:szCs w:val="24"/>
          <w:lang w:val="en-US"/>
        </w:rPr>
      </w:pPr>
      <w:r>
        <w:rPr>
          <w:rFonts w:hint="eastAsia" w:ascii="仿宋" w:hAnsi="仿宋" w:eastAsia="仿宋"/>
          <w:b w:val="0"/>
          <w:bCs w:val="0"/>
          <w:color w:val="auto"/>
          <w:kern w:val="2"/>
          <w:sz w:val="32"/>
          <w:szCs w:val="24"/>
          <w:lang w:val="en-US"/>
        </w:rPr>
        <w:t>收入决算表</w:t>
      </w:r>
      <w:bookmarkEnd w:id="64"/>
      <w:bookmarkEnd w:id="65"/>
      <w:bookmarkStart w:id="66" w:name="_Toc26448"/>
      <w:bookmarkStart w:id="67" w:name="_Toc20217"/>
    </w:p>
    <w:p>
      <w:pPr>
        <w:pageBreakBefore w:val="0"/>
        <w:widowControl w:val="0"/>
        <w:numPr>
          <w:ilvl w:val="0"/>
          <w:numId w:val="4"/>
        </w:numPr>
        <w:kinsoku/>
        <w:wordWrap/>
        <w:overflowPunct/>
        <w:topLinePunct w:val="0"/>
        <w:autoSpaceDE/>
        <w:autoSpaceDN/>
        <w:bidi w:val="0"/>
        <w:adjustRightInd/>
        <w:snapToGrid/>
        <w:spacing w:line="560" w:lineRule="exact"/>
        <w:jc w:val="both"/>
        <w:textAlignment w:val="auto"/>
        <w:outlineLvl w:val="1"/>
        <w:rPr>
          <w:rFonts w:hint="eastAsia" w:ascii="仿宋" w:hAnsi="仿宋" w:eastAsia="仿宋"/>
          <w:b w:val="0"/>
          <w:bCs w:val="0"/>
          <w:color w:val="auto"/>
          <w:kern w:val="2"/>
          <w:sz w:val="32"/>
          <w:szCs w:val="24"/>
          <w:lang w:val="en-US"/>
        </w:rPr>
      </w:pPr>
      <w:r>
        <w:rPr>
          <w:rFonts w:hint="eastAsia" w:ascii="仿宋" w:hAnsi="仿宋" w:eastAsia="仿宋"/>
          <w:b w:val="0"/>
          <w:bCs w:val="0"/>
          <w:color w:val="auto"/>
          <w:kern w:val="2"/>
          <w:sz w:val="32"/>
          <w:szCs w:val="24"/>
          <w:lang w:val="en-US"/>
        </w:rPr>
        <w:t>支出决算表</w:t>
      </w:r>
      <w:bookmarkEnd w:id="66"/>
      <w:bookmarkEnd w:id="67"/>
      <w:bookmarkStart w:id="68" w:name="_Toc8722"/>
      <w:bookmarkStart w:id="69" w:name="_Toc26463"/>
    </w:p>
    <w:p>
      <w:pPr>
        <w:pageBreakBefore w:val="0"/>
        <w:widowControl w:val="0"/>
        <w:numPr>
          <w:ilvl w:val="0"/>
          <w:numId w:val="4"/>
        </w:numPr>
        <w:kinsoku/>
        <w:wordWrap/>
        <w:overflowPunct/>
        <w:topLinePunct w:val="0"/>
        <w:autoSpaceDE/>
        <w:autoSpaceDN/>
        <w:bidi w:val="0"/>
        <w:adjustRightInd/>
        <w:snapToGrid/>
        <w:spacing w:line="560" w:lineRule="exact"/>
        <w:jc w:val="both"/>
        <w:textAlignment w:val="auto"/>
        <w:outlineLvl w:val="1"/>
        <w:rPr>
          <w:rFonts w:hint="eastAsia" w:ascii="仿宋" w:hAnsi="仿宋" w:eastAsia="仿宋"/>
          <w:b w:val="0"/>
          <w:bCs w:val="0"/>
          <w:color w:val="auto"/>
          <w:kern w:val="2"/>
          <w:sz w:val="32"/>
          <w:szCs w:val="24"/>
          <w:lang w:val="en-US"/>
        </w:rPr>
      </w:pPr>
      <w:r>
        <w:rPr>
          <w:rFonts w:hint="eastAsia" w:ascii="仿宋" w:hAnsi="仿宋" w:eastAsia="仿宋"/>
          <w:b w:val="0"/>
          <w:bCs w:val="0"/>
          <w:color w:val="auto"/>
          <w:kern w:val="2"/>
          <w:sz w:val="32"/>
          <w:szCs w:val="24"/>
          <w:lang w:val="en-US"/>
        </w:rPr>
        <w:t>四、财政拨款收入支出决算总表</w:t>
      </w:r>
      <w:bookmarkEnd w:id="68"/>
      <w:bookmarkEnd w:id="69"/>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rPr>
      </w:pPr>
      <w:bookmarkStart w:id="70" w:name="_Toc9051"/>
      <w:bookmarkStart w:id="71" w:name="_Toc27135"/>
      <w:r>
        <w:rPr>
          <w:rFonts w:hint="eastAsia" w:ascii="仿宋" w:hAnsi="仿宋" w:eastAsia="仿宋"/>
          <w:b w:val="0"/>
          <w:bCs w:val="0"/>
          <w:color w:val="auto"/>
          <w:kern w:val="2"/>
          <w:sz w:val="32"/>
          <w:szCs w:val="24"/>
          <w:lang w:val="en-US"/>
        </w:rPr>
        <w:t>五、财政拨款支出决算明细表</w:t>
      </w:r>
      <w:bookmarkEnd w:id="70"/>
      <w:bookmarkEnd w:id="71"/>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rPr>
      </w:pPr>
      <w:bookmarkStart w:id="72" w:name="_Toc11468"/>
      <w:bookmarkStart w:id="73" w:name="_Toc28432"/>
      <w:r>
        <w:rPr>
          <w:rFonts w:hint="eastAsia" w:ascii="仿宋" w:hAnsi="仿宋" w:eastAsia="仿宋"/>
          <w:b w:val="0"/>
          <w:bCs w:val="0"/>
          <w:color w:val="auto"/>
          <w:kern w:val="2"/>
          <w:sz w:val="32"/>
          <w:szCs w:val="24"/>
          <w:lang w:val="en-US"/>
        </w:rPr>
        <w:t>六、一般公共预算财政拨款支出决算表</w:t>
      </w:r>
      <w:bookmarkEnd w:id="72"/>
      <w:bookmarkEnd w:id="73"/>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rPr>
      </w:pPr>
      <w:bookmarkStart w:id="74" w:name="_Toc12669"/>
      <w:bookmarkStart w:id="75" w:name="_Toc14597"/>
      <w:r>
        <w:rPr>
          <w:rFonts w:hint="eastAsia" w:ascii="仿宋" w:hAnsi="仿宋" w:eastAsia="仿宋"/>
          <w:b w:val="0"/>
          <w:bCs w:val="0"/>
          <w:color w:val="auto"/>
          <w:kern w:val="2"/>
          <w:sz w:val="32"/>
          <w:szCs w:val="24"/>
          <w:lang w:val="en-US"/>
        </w:rPr>
        <w:t>七、一般公共预算财政拨款支出决算明细表</w:t>
      </w:r>
      <w:bookmarkEnd w:id="74"/>
      <w:bookmarkEnd w:id="75"/>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rPr>
      </w:pPr>
      <w:bookmarkStart w:id="76" w:name="_Toc29905"/>
      <w:bookmarkStart w:id="77" w:name="_Toc16543"/>
      <w:r>
        <w:rPr>
          <w:rFonts w:hint="eastAsia" w:ascii="仿宋" w:hAnsi="仿宋" w:eastAsia="仿宋"/>
          <w:b w:val="0"/>
          <w:bCs w:val="0"/>
          <w:color w:val="auto"/>
          <w:kern w:val="2"/>
          <w:sz w:val="32"/>
          <w:szCs w:val="24"/>
          <w:lang w:val="en-US"/>
        </w:rPr>
        <w:t>八、一般公共预算财政拨款基本支出决算表</w:t>
      </w:r>
      <w:bookmarkEnd w:id="76"/>
      <w:bookmarkEnd w:id="77"/>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eastAsia="zh-CN"/>
        </w:rPr>
      </w:pPr>
      <w:bookmarkStart w:id="78" w:name="_Toc26260"/>
      <w:bookmarkStart w:id="79" w:name="_Toc22858"/>
      <w:r>
        <w:rPr>
          <w:rFonts w:hint="eastAsia" w:ascii="仿宋" w:hAnsi="仿宋" w:eastAsia="仿宋"/>
          <w:b w:val="0"/>
          <w:bCs w:val="0"/>
          <w:color w:val="auto"/>
          <w:kern w:val="2"/>
          <w:sz w:val="32"/>
          <w:szCs w:val="24"/>
          <w:lang w:val="en-US"/>
        </w:rPr>
        <w:t>九、一般公共预算财政拨款项目支出决算表</w:t>
      </w:r>
      <w:bookmarkEnd w:id="78"/>
      <w:bookmarkEnd w:id="79"/>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eastAsia="zh-CN"/>
        </w:rPr>
      </w:pPr>
      <w:bookmarkStart w:id="80" w:name="_Toc30833"/>
      <w:bookmarkStart w:id="81" w:name="_Toc14044"/>
      <w:r>
        <w:rPr>
          <w:rFonts w:hint="eastAsia" w:ascii="仿宋" w:hAnsi="仿宋" w:eastAsia="仿宋"/>
          <w:b w:val="0"/>
          <w:bCs w:val="0"/>
          <w:color w:val="auto"/>
          <w:kern w:val="2"/>
          <w:sz w:val="32"/>
          <w:szCs w:val="24"/>
          <w:lang w:val="en-US"/>
        </w:rPr>
        <w:t>十、政府性基金预</w:t>
      </w:r>
      <w:r>
        <w:rPr>
          <w:rFonts w:hint="eastAsia" w:ascii="仿宋" w:hAnsi="仿宋" w:eastAsia="仿宋"/>
          <w:b w:val="0"/>
          <w:bCs w:val="0"/>
          <w:color w:val="auto"/>
          <w:kern w:val="2"/>
          <w:sz w:val="32"/>
          <w:szCs w:val="24"/>
          <w:u w:val="none" w:color="FFFFFF"/>
          <w:shd w:val="clear" w:fill="FFFFFF"/>
          <w:lang w:val="en-US"/>
        </w:rPr>
        <w:t>算</w:t>
      </w:r>
      <w:r>
        <w:rPr>
          <w:rFonts w:hint="eastAsia" w:ascii="仿宋" w:hAnsi="仿宋" w:eastAsia="仿宋"/>
          <w:b w:val="0"/>
          <w:bCs w:val="0"/>
          <w:color w:val="auto"/>
          <w:kern w:val="2"/>
          <w:sz w:val="32"/>
          <w:szCs w:val="24"/>
          <w:lang w:val="en-US"/>
        </w:rPr>
        <w:t>财政拨款收入支出决算表</w:t>
      </w:r>
      <w:bookmarkEnd w:id="80"/>
      <w:bookmarkEnd w:id="81"/>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eastAsia="zh-CN"/>
        </w:rPr>
      </w:pPr>
      <w:bookmarkStart w:id="82" w:name="_Toc28027"/>
      <w:bookmarkStart w:id="83" w:name="_Toc22081"/>
      <w:r>
        <w:rPr>
          <w:rFonts w:hint="eastAsia" w:ascii="仿宋" w:hAnsi="仿宋" w:eastAsia="仿宋"/>
          <w:b w:val="0"/>
          <w:bCs w:val="0"/>
          <w:color w:val="auto"/>
          <w:kern w:val="2"/>
          <w:sz w:val="32"/>
          <w:szCs w:val="24"/>
          <w:lang w:val="en-US"/>
        </w:rPr>
        <w:t>十一、国有资本经营预</w:t>
      </w:r>
      <w:r>
        <w:rPr>
          <w:rFonts w:hint="eastAsia" w:ascii="仿宋" w:hAnsi="仿宋" w:eastAsia="仿宋"/>
          <w:b w:val="0"/>
          <w:bCs w:val="0"/>
          <w:color w:val="auto"/>
          <w:kern w:val="2"/>
          <w:sz w:val="32"/>
          <w:szCs w:val="24"/>
          <w:u w:val="none" w:color="FFFFFF"/>
          <w:shd w:val="clear" w:fill="FFFFFF"/>
          <w:lang w:val="en-US"/>
        </w:rPr>
        <w:t>算</w:t>
      </w:r>
      <w:r>
        <w:rPr>
          <w:rFonts w:hint="eastAsia" w:ascii="仿宋" w:hAnsi="仿宋" w:eastAsia="仿宋"/>
          <w:b w:val="0"/>
          <w:bCs w:val="0"/>
          <w:color w:val="auto"/>
          <w:kern w:val="2"/>
          <w:sz w:val="32"/>
          <w:szCs w:val="24"/>
          <w:lang w:val="en-US"/>
        </w:rPr>
        <w:t>财政拨款收入支出决算表</w:t>
      </w:r>
      <w:bookmarkEnd w:id="82"/>
      <w:bookmarkEnd w:id="83"/>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eastAsia="zh-CN"/>
        </w:rPr>
      </w:pPr>
      <w:bookmarkStart w:id="84" w:name="_Toc11855"/>
      <w:bookmarkStart w:id="85" w:name="_Toc837"/>
      <w:r>
        <w:rPr>
          <w:rFonts w:hint="eastAsia" w:ascii="仿宋" w:hAnsi="仿宋" w:eastAsia="仿宋"/>
          <w:b w:val="0"/>
          <w:bCs w:val="0"/>
          <w:color w:val="auto"/>
          <w:kern w:val="2"/>
          <w:sz w:val="32"/>
          <w:szCs w:val="24"/>
          <w:lang w:val="en-US"/>
        </w:rPr>
        <w:t>十二、国有资本经营预算财政拨款支出决算表</w:t>
      </w:r>
      <w:bookmarkEnd w:id="84"/>
      <w:bookmarkEnd w:id="85"/>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b w:val="0"/>
          <w:bCs w:val="0"/>
          <w:color w:val="auto"/>
          <w:kern w:val="2"/>
          <w:sz w:val="32"/>
          <w:szCs w:val="24"/>
          <w:lang w:val="en-US"/>
        </w:rPr>
      </w:pPr>
      <w:bookmarkStart w:id="86" w:name="_Toc1450"/>
      <w:bookmarkStart w:id="87" w:name="_Toc26314"/>
      <w:r>
        <w:rPr>
          <w:rFonts w:hint="eastAsia" w:ascii="仿宋" w:hAnsi="仿宋" w:eastAsia="仿宋"/>
          <w:b w:val="0"/>
          <w:bCs w:val="0"/>
          <w:color w:val="auto"/>
          <w:kern w:val="2"/>
          <w:sz w:val="32"/>
          <w:szCs w:val="24"/>
          <w:lang w:val="en-US"/>
        </w:rPr>
        <w:t>十三、财政拨款“三公”经费支出决算表</w:t>
      </w:r>
      <w:bookmarkEnd w:id="86"/>
      <w:bookmarkEnd w:id="87"/>
    </w:p>
    <w:p>
      <w:pPr>
        <w:ind w:firstLine="624" w:firstLineChars="195"/>
        <w:jc w:val="left"/>
        <w:rPr>
          <w:rFonts w:hint="eastAsia" w:ascii="仿宋_GB2312" w:hAnsi="仿宋_GB2312" w:eastAsia="仿宋_GB2312" w:cs="仿宋_GB2312"/>
          <w:bCs/>
          <w:sz w:val="32"/>
          <w:szCs w:val="32"/>
          <w:lang w:val="zh-CN" w:eastAsia="zh-CN"/>
        </w:rPr>
      </w:pPr>
    </w:p>
    <w:sectPr>
      <w:headerReference r:id="rId3" w:type="default"/>
      <w:footerReference r:id="rId4" w:type="default"/>
      <w:pgSz w:w="11906" w:h="16838"/>
      <w:pgMar w:top="2098" w:right="1474" w:bottom="2098" w:left="1587" w:header="851" w:footer="1587"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520F7"/>
    <w:multiLevelType w:val="singleLevel"/>
    <w:tmpl w:val="819520F7"/>
    <w:lvl w:ilvl="0" w:tentative="0">
      <w:start w:val="2"/>
      <w:numFmt w:val="chineseCounting"/>
      <w:suff w:val="nothing"/>
      <w:lvlText w:val="%1、"/>
      <w:lvlJc w:val="left"/>
      <w:rPr>
        <w:rFonts w:hint="eastAsia"/>
      </w:rPr>
    </w:lvl>
  </w:abstractNum>
  <w:abstractNum w:abstractNumId="1">
    <w:nsid w:val="85FBFCB6"/>
    <w:multiLevelType w:val="singleLevel"/>
    <w:tmpl w:val="85FBFCB6"/>
    <w:lvl w:ilvl="0" w:tentative="0">
      <w:start w:val="1"/>
      <w:numFmt w:val="chineseCounting"/>
      <w:suff w:val="nothing"/>
      <w:lvlText w:val="%1、"/>
      <w:lvlJc w:val="left"/>
      <w:rPr>
        <w:rFonts w:hint="eastAsia"/>
      </w:rPr>
    </w:lvl>
  </w:abstractNum>
  <w:abstractNum w:abstractNumId="2">
    <w:nsid w:val="C4B8D2F2"/>
    <w:multiLevelType w:val="singleLevel"/>
    <w:tmpl w:val="C4B8D2F2"/>
    <w:lvl w:ilvl="0" w:tentative="0">
      <w:start w:val="2"/>
      <w:numFmt w:val="chineseCounting"/>
      <w:suff w:val="nothing"/>
      <w:lvlText w:val="（%1）"/>
      <w:lvlJc w:val="left"/>
      <w:rPr>
        <w:rFonts w:hint="eastAsia"/>
      </w:rPr>
    </w:lvl>
  </w:abstractNum>
  <w:abstractNum w:abstractNumId="3">
    <w:nsid w:val="D2BFC69B"/>
    <w:multiLevelType w:val="singleLevel"/>
    <w:tmpl w:val="D2BFC69B"/>
    <w:lvl w:ilvl="0" w:tentative="0">
      <w:start w:val="5"/>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NlNmM5ZjQxMzIwMjQwNWMyODAyMThjMGY3Yzc2MzUifQ=="/>
  </w:docVars>
  <w:rsids>
    <w:rsidRoot w:val="00F1361C"/>
    <w:rsid w:val="000222C6"/>
    <w:rsid w:val="0002549F"/>
    <w:rsid w:val="00044C7E"/>
    <w:rsid w:val="00050753"/>
    <w:rsid w:val="00063135"/>
    <w:rsid w:val="0006487A"/>
    <w:rsid w:val="00065F8F"/>
    <w:rsid w:val="000768F2"/>
    <w:rsid w:val="00082D63"/>
    <w:rsid w:val="0009184B"/>
    <w:rsid w:val="0009593C"/>
    <w:rsid w:val="00096A93"/>
    <w:rsid w:val="000A55C8"/>
    <w:rsid w:val="000B047F"/>
    <w:rsid w:val="000B5923"/>
    <w:rsid w:val="000B5A48"/>
    <w:rsid w:val="000B6FF3"/>
    <w:rsid w:val="000C1D14"/>
    <w:rsid w:val="000C3467"/>
    <w:rsid w:val="000C36CE"/>
    <w:rsid w:val="000C3CA6"/>
    <w:rsid w:val="000D1267"/>
    <w:rsid w:val="000D1D50"/>
    <w:rsid w:val="000D49C0"/>
    <w:rsid w:val="000D5782"/>
    <w:rsid w:val="000D649D"/>
    <w:rsid w:val="000D74C8"/>
    <w:rsid w:val="000E6613"/>
    <w:rsid w:val="000E7119"/>
    <w:rsid w:val="000F783A"/>
    <w:rsid w:val="00114E9B"/>
    <w:rsid w:val="00117480"/>
    <w:rsid w:val="00121C75"/>
    <w:rsid w:val="0013521D"/>
    <w:rsid w:val="0014729F"/>
    <w:rsid w:val="00157BAB"/>
    <w:rsid w:val="001654D1"/>
    <w:rsid w:val="001712E8"/>
    <w:rsid w:val="00173A40"/>
    <w:rsid w:val="001757CF"/>
    <w:rsid w:val="00176648"/>
    <w:rsid w:val="00180138"/>
    <w:rsid w:val="0018106D"/>
    <w:rsid w:val="001859DB"/>
    <w:rsid w:val="001877A7"/>
    <w:rsid w:val="00191536"/>
    <w:rsid w:val="0019273C"/>
    <w:rsid w:val="00196687"/>
    <w:rsid w:val="001976FD"/>
    <w:rsid w:val="001A41EE"/>
    <w:rsid w:val="001A6E9E"/>
    <w:rsid w:val="001C0962"/>
    <w:rsid w:val="001C22E2"/>
    <w:rsid w:val="001C2648"/>
    <w:rsid w:val="001C51E2"/>
    <w:rsid w:val="001D7531"/>
    <w:rsid w:val="001E429C"/>
    <w:rsid w:val="001E737D"/>
    <w:rsid w:val="001F0592"/>
    <w:rsid w:val="001F6025"/>
    <w:rsid w:val="001F7506"/>
    <w:rsid w:val="002006CD"/>
    <w:rsid w:val="00202B36"/>
    <w:rsid w:val="00204B7A"/>
    <w:rsid w:val="0021101A"/>
    <w:rsid w:val="00214019"/>
    <w:rsid w:val="002141DD"/>
    <w:rsid w:val="002200FE"/>
    <w:rsid w:val="00220536"/>
    <w:rsid w:val="002261CD"/>
    <w:rsid w:val="0022692E"/>
    <w:rsid w:val="00235629"/>
    <w:rsid w:val="00260C38"/>
    <w:rsid w:val="002616C0"/>
    <w:rsid w:val="00264159"/>
    <w:rsid w:val="002662AA"/>
    <w:rsid w:val="00274FE6"/>
    <w:rsid w:val="00280496"/>
    <w:rsid w:val="00280A70"/>
    <w:rsid w:val="00295495"/>
    <w:rsid w:val="002B2613"/>
    <w:rsid w:val="002B598D"/>
    <w:rsid w:val="002F1818"/>
    <w:rsid w:val="002F567B"/>
    <w:rsid w:val="003003A3"/>
    <w:rsid w:val="00311E5A"/>
    <w:rsid w:val="003216A9"/>
    <w:rsid w:val="00326A76"/>
    <w:rsid w:val="00347B75"/>
    <w:rsid w:val="003610B3"/>
    <w:rsid w:val="00367768"/>
    <w:rsid w:val="0037013F"/>
    <w:rsid w:val="00370C89"/>
    <w:rsid w:val="00380C92"/>
    <w:rsid w:val="003A484F"/>
    <w:rsid w:val="003A7304"/>
    <w:rsid w:val="003B07EB"/>
    <w:rsid w:val="003B0BE0"/>
    <w:rsid w:val="003B0C1B"/>
    <w:rsid w:val="003B3A6A"/>
    <w:rsid w:val="003B688C"/>
    <w:rsid w:val="003C0291"/>
    <w:rsid w:val="003C39AE"/>
    <w:rsid w:val="003C7B60"/>
    <w:rsid w:val="003D1FB2"/>
    <w:rsid w:val="003D4484"/>
    <w:rsid w:val="003D66DA"/>
    <w:rsid w:val="003E1310"/>
    <w:rsid w:val="003E6F55"/>
    <w:rsid w:val="00406254"/>
    <w:rsid w:val="004223DE"/>
    <w:rsid w:val="00434489"/>
    <w:rsid w:val="00437085"/>
    <w:rsid w:val="00443880"/>
    <w:rsid w:val="004464F4"/>
    <w:rsid w:val="00452AF9"/>
    <w:rsid w:val="00471401"/>
    <w:rsid w:val="00473F31"/>
    <w:rsid w:val="0048263A"/>
    <w:rsid w:val="00487E5D"/>
    <w:rsid w:val="004A6AD5"/>
    <w:rsid w:val="004A711F"/>
    <w:rsid w:val="004B199D"/>
    <w:rsid w:val="004B1BEB"/>
    <w:rsid w:val="004B4690"/>
    <w:rsid w:val="004C1B83"/>
    <w:rsid w:val="004D0C34"/>
    <w:rsid w:val="004D2E47"/>
    <w:rsid w:val="004E0A2D"/>
    <w:rsid w:val="004E206B"/>
    <w:rsid w:val="004E616D"/>
    <w:rsid w:val="004E6DF7"/>
    <w:rsid w:val="004F0FBD"/>
    <w:rsid w:val="00505A47"/>
    <w:rsid w:val="00512FDA"/>
    <w:rsid w:val="00520DA0"/>
    <w:rsid w:val="0053452C"/>
    <w:rsid w:val="005354C9"/>
    <w:rsid w:val="005371B5"/>
    <w:rsid w:val="005464D8"/>
    <w:rsid w:val="00547699"/>
    <w:rsid w:val="005529C8"/>
    <w:rsid w:val="005664BB"/>
    <w:rsid w:val="0056745B"/>
    <w:rsid w:val="00573747"/>
    <w:rsid w:val="0057481D"/>
    <w:rsid w:val="00577341"/>
    <w:rsid w:val="00577A30"/>
    <w:rsid w:val="0058486E"/>
    <w:rsid w:val="005952FE"/>
    <w:rsid w:val="005A0C75"/>
    <w:rsid w:val="005D1C8B"/>
    <w:rsid w:val="005D5514"/>
    <w:rsid w:val="005D5CED"/>
    <w:rsid w:val="005E3DAA"/>
    <w:rsid w:val="005F1A4C"/>
    <w:rsid w:val="00605688"/>
    <w:rsid w:val="006070AF"/>
    <w:rsid w:val="00607E56"/>
    <w:rsid w:val="00607E6C"/>
    <w:rsid w:val="006101B1"/>
    <w:rsid w:val="00614E44"/>
    <w:rsid w:val="00622830"/>
    <w:rsid w:val="00630AEF"/>
    <w:rsid w:val="006325F8"/>
    <w:rsid w:val="00634C9A"/>
    <w:rsid w:val="006440E4"/>
    <w:rsid w:val="0066343B"/>
    <w:rsid w:val="0066346F"/>
    <w:rsid w:val="00664777"/>
    <w:rsid w:val="00664D3F"/>
    <w:rsid w:val="006748A4"/>
    <w:rsid w:val="0068086E"/>
    <w:rsid w:val="00683E73"/>
    <w:rsid w:val="006901E5"/>
    <w:rsid w:val="00694EC2"/>
    <w:rsid w:val="00696879"/>
    <w:rsid w:val="006A3141"/>
    <w:rsid w:val="006A5E34"/>
    <w:rsid w:val="006B2422"/>
    <w:rsid w:val="006B2B9A"/>
    <w:rsid w:val="006C1937"/>
    <w:rsid w:val="006F020C"/>
    <w:rsid w:val="0070342C"/>
    <w:rsid w:val="007127B7"/>
    <w:rsid w:val="00712D4A"/>
    <w:rsid w:val="00715322"/>
    <w:rsid w:val="0072006C"/>
    <w:rsid w:val="00733101"/>
    <w:rsid w:val="007416B6"/>
    <w:rsid w:val="00746390"/>
    <w:rsid w:val="00746F48"/>
    <w:rsid w:val="0075404D"/>
    <w:rsid w:val="00756E7B"/>
    <w:rsid w:val="0076182A"/>
    <w:rsid w:val="00767B7E"/>
    <w:rsid w:val="00770AB0"/>
    <w:rsid w:val="007770C3"/>
    <w:rsid w:val="00784D24"/>
    <w:rsid w:val="00785FBA"/>
    <w:rsid w:val="00786E4A"/>
    <w:rsid w:val="007875EB"/>
    <w:rsid w:val="0079426B"/>
    <w:rsid w:val="007A14F6"/>
    <w:rsid w:val="007A36F9"/>
    <w:rsid w:val="007B7581"/>
    <w:rsid w:val="007C1866"/>
    <w:rsid w:val="007D312A"/>
    <w:rsid w:val="007D3F19"/>
    <w:rsid w:val="007E23B0"/>
    <w:rsid w:val="007F1991"/>
    <w:rsid w:val="007F2C2F"/>
    <w:rsid w:val="007F55FC"/>
    <w:rsid w:val="007F5665"/>
    <w:rsid w:val="00800112"/>
    <w:rsid w:val="008253BB"/>
    <w:rsid w:val="0083706E"/>
    <w:rsid w:val="008423A5"/>
    <w:rsid w:val="00850625"/>
    <w:rsid w:val="0085231B"/>
    <w:rsid w:val="00853718"/>
    <w:rsid w:val="00855221"/>
    <w:rsid w:val="00860645"/>
    <w:rsid w:val="008628F3"/>
    <w:rsid w:val="00871F71"/>
    <w:rsid w:val="0088423F"/>
    <w:rsid w:val="00885AF4"/>
    <w:rsid w:val="008939CD"/>
    <w:rsid w:val="0089490D"/>
    <w:rsid w:val="008A6ECC"/>
    <w:rsid w:val="008B4E96"/>
    <w:rsid w:val="008B768C"/>
    <w:rsid w:val="008C4DB1"/>
    <w:rsid w:val="008C4EAF"/>
    <w:rsid w:val="008C5176"/>
    <w:rsid w:val="008C7FD0"/>
    <w:rsid w:val="008E1DE7"/>
    <w:rsid w:val="008E707C"/>
    <w:rsid w:val="008E7418"/>
    <w:rsid w:val="00900B08"/>
    <w:rsid w:val="00902155"/>
    <w:rsid w:val="00902FA3"/>
    <w:rsid w:val="00904401"/>
    <w:rsid w:val="0090462B"/>
    <w:rsid w:val="00923564"/>
    <w:rsid w:val="0092392E"/>
    <w:rsid w:val="00926478"/>
    <w:rsid w:val="009315F9"/>
    <w:rsid w:val="00946945"/>
    <w:rsid w:val="00951248"/>
    <w:rsid w:val="0095152F"/>
    <w:rsid w:val="00954C49"/>
    <w:rsid w:val="00956646"/>
    <w:rsid w:val="0097099F"/>
    <w:rsid w:val="00971997"/>
    <w:rsid w:val="00971FFC"/>
    <w:rsid w:val="0098488C"/>
    <w:rsid w:val="0098660A"/>
    <w:rsid w:val="009931C3"/>
    <w:rsid w:val="009B2C43"/>
    <w:rsid w:val="009B4EAE"/>
    <w:rsid w:val="009B7573"/>
    <w:rsid w:val="009C22F4"/>
    <w:rsid w:val="009C2E98"/>
    <w:rsid w:val="009D1EEA"/>
    <w:rsid w:val="009D2071"/>
    <w:rsid w:val="009D3447"/>
    <w:rsid w:val="009D35B6"/>
    <w:rsid w:val="009D3C6F"/>
    <w:rsid w:val="009D4711"/>
    <w:rsid w:val="009E3F15"/>
    <w:rsid w:val="009F1185"/>
    <w:rsid w:val="009F18CD"/>
    <w:rsid w:val="009F2A13"/>
    <w:rsid w:val="00A04EB0"/>
    <w:rsid w:val="00A13CC1"/>
    <w:rsid w:val="00A16847"/>
    <w:rsid w:val="00A237D8"/>
    <w:rsid w:val="00A268C4"/>
    <w:rsid w:val="00A307CD"/>
    <w:rsid w:val="00A40A00"/>
    <w:rsid w:val="00A4142F"/>
    <w:rsid w:val="00A4653B"/>
    <w:rsid w:val="00A47451"/>
    <w:rsid w:val="00A56DF2"/>
    <w:rsid w:val="00A64CD3"/>
    <w:rsid w:val="00A67AB5"/>
    <w:rsid w:val="00A72FE3"/>
    <w:rsid w:val="00A91760"/>
    <w:rsid w:val="00A93B00"/>
    <w:rsid w:val="00A93C21"/>
    <w:rsid w:val="00A9515E"/>
    <w:rsid w:val="00AA39A2"/>
    <w:rsid w:val="00AA49CB"/>
    <w:rsid w:val="00AB2F84"/>
    <w:rsid w:val="00AC3C6A"/>
    <w:rsid w:val="00AD5620"/>
    <w:rsid w:val="00AD7C1B"/>
    <w:rsid w:val="00AE16BA"/>
    <w:rsid w:val="00AE1EBE"/>
    <w:rsid w:val="00AF6F20"/>
    <w:rsid w:val="00B0059E"/>
    <w:rsid w:val="00B03C9D"/>
    <w:rsid w:val="00B060AE"/>
    <w:rsid w:val="00B10517"/>
    <w:rsid w:val="00B12AA5"/>
    <w:rsid w:val="00B14E76"/>
    <w:rsid w:val="00B161B8"/>
    <w:rsid w:val="00B2048C"/>
    <w:rsid w:val="00B25676"/>
    <w:rsid w:val="00B310B9"/>
    <w:rsid w:val="00B332D1"/>
    <w:rsid w:val="00B35F3F"/>
    <w:rsid w:val="00B36CBB"/>
    <w:rsid w:val="00B425E0"/>
    <w:rsid w:val="00B440AA"/>
    <w:rsid w:val="00B44B70"/>
    <w:rsid w:val="00B50535"/>
    <w:rsid w:val="00B53C56"/>
    <w:rsid w:val="00B572F6"/>
    <w:rsid w:val="00B71D16"/>
    <w:rsid w:val="00B77EA6"/>
    <w:rsid w:val="00B81598"/>
    <w:rsid w:val="00B841F1"/>
    <w:rsid w:val="00B85797"/>
    <w:rsid w:val="00B86C7C"/>
    <w:rsid w:val="00B93F2F"/>
    <w:rsid w:val="00B944D6"/>
    <w:rsid w:val="00BA6650"/>
    <w:rsid w:val="00BB01D9"/>
    <w:rsid w:val="00BB4DF0"/>
    <w:rsid w:val="00BB66F5"/>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5AD"/>
    <w:rsid w:val="00C90F62"/>
    <w:rsid w:val="00C91CBB"/>
    <w:rsid w:val="00CC09B6"/>
    <w:rsid w:val="00CC666F"/>
    <w:rsid w:val="00CC6A28"/>
    <w:rsid w:val="00CD1E3F"/>
    <w:rsid w:val="00CD6190"/>
    <w:rsid w:val="00CE44F6"/>
    <w:rsid w:val="00CE49DA"/>
    <w:rsid w:val="00CE7B61"/>
    <w:rsid w:val="00CF6407"/>
    <w:rsid w:val="00CF7C72"/>
    <w:rsid w:val="00D00095"/>
    <w:rsid w:val="00D0623C"/>
    <w:rsid w:val="00D20620"/>
    <w:rsid w:val="00D22D16"/>
    <w:rsid w:val="00D231F5"/>
    <w:rsid w:val="00D26091"/>
    <w:rsid w:val="00D34E7C"/>
    <w:rsid w:val="00D35489"/>
    <w:rsid w:val="00D51276"/>
    <w:rsid w:val="00D52B43"/>
    <w:rsid w:val="00D54B08"/>
    <w:rsid w:val="00D6151F"/>
    <w:rsid w:val="00D7035F"/>
    <w:rsid w:val="00D7418E"/>
    <w:rsid w:val="00D912A9"/>
    <w:rsid w:val="00D96EAA"/>
    <w:rsid w:val="00DA17F2"/>
    <w:rsid w:val="00DA65AC"/>
    <w:rsid w:val="00DB1913"/>
    <w:rsid w:val="00DB7581"/>
    <w:rsid w:val="00DC410D"/>
    <w:rsid w:val="00DC4B56"/>
    <w:rsid w:val="00DC68CA"/>
    <w:rsid w:val="00DC7CBA"/>
    <w:rsid w:val="00DD73B7"/>
    <w:rsid w:val="00DF28BC"/>
    <w:rsid w:val="00DF34B9"/>
    <w:rsid w:val="00E01053"/>
    <w:rsid w:val="00E07ACF"/>
    <w:rsid w:val="00E17DAC"/>
    <w:rsid w:val="00E331A1"/>
    <w:rsid w:val="00E33202"/>
    <w:rsid w:val="00E336A9"/>
    <w:rsid w:val="00E46F94"/>
    <w:rsid w:val="00E50624"/>
    <w:rsid w:val="00E52FDD"/>
    <w:rsid w:val="00E54444"/>
    <w:rsid w:val="00E568DF"/>
    <w:rsid w:val="00E61526"/>
    <w:rsid w:val="00E64269"/>
    <w:rsid w:val="00E735E5"/>
    <w:rsid w:val="00E74D98"/>
    <w:rsid w:val="00E82267"/>
    <w:rsid w:val="00EA010F"/>
    <w:rsid w:val="00ED1B63"/>
    <w:rsid w:val="00ED3C1F"/>
    <w:rsid w:val="00ED4085"/>
    <w:rsid w:val="00ED420E"/>
    <w:rsid w:val="00ED7635"/>
    <w:rsid w:val="00EE20C2"/>
    <w:rsid w:val="00EE2F57"/>
    <w:rsid w:val="00EF3D9C"/>
    <w:rsid w:val="00EF4C34"/>
    <w:rsid w:val="00EF77C6"/>
    <w:rsid w:val="00F0293C"/>
    <w:rsid w:val="00F05438"/>
    <w:rsid w:val="00F1361C"/>
    <w:rsid w:val="00F160C7"/>
    <w:rsid w:val="00F1715D"/>
    <w:rsid w:val="00F220F5"/>
    <w:rsid w:val="00F36D8F"/>
    <w:rsid w:val="00F40951"/>
    <w:rsid w:val="00F417B1"/>
    <w:rsid w:val="00F41D8B"/>
    <w:rsid w:val="00F602DF"/>
    <w:rsid w:val="00F60BC7"/>
    <w:rsid w:val="00F80FD7"/>
    <w:rsid w:val="00F81FD9"/>
    <w:rsid w:val="00F841AA"/>
    <w:rsid w:val="00F87DD9"/>
    <w:rsid w:val="00F92F93"/>
    <w:rsid w:val="00FA23E8"/>
    <w:rsid w:val="00FC114B"/>
    <w:rsid w:val="00FD3CC1"/>
    <w:rsid w:val="00FD787C"/>
    <w:rsid w:val="00FF1E02"/>
    <w:rsid w:val="00FF27EA"/>
    <w:rsid w:val="00FF30B4"/>
    <w:rsid w:val="00FF545F"/>
    <w:rsid w:val="012A7F7B"/>
    <w:rsid w:val="015164A6"/>
    <w:rsid w:val="01631BFE"/>
    <w:rsid w:val="01707A92"/>
    <w:rsid w:val="01BE02C3"/>
    <w:rsid w:val="01C54B55"/>
    <w:rsid w:val="01C963F3"/>
    <w:rsid w:val="0200793B"/>
    <w:rsid w:val="026478F5"/>
    <w:rsid w:val="02A37917"/>
    <w:rsid w:val="02C70806"/>
    <w:rsid w:val="02CE3D67"/>
    <w:rsid w:val="02F456F2"/>
    <w:rsid w:val="02F71D68"/>
    <w:rsid w:val="03617E11"/>
    <w:rsid w:val="037B627B"/>
    <w:rsid w:val="040222A2"/>
    <w:rsid w:val="04045083"/>
    <w:rsid w:val="0471373D"/>
    <w:rsid w:val="04A572A2"/>
    <w:rsid w:val="04C609C8"/>
    <w:rsid w:val="04D255BF"/>
    <w:rsid w:val="050135B7"/>
    <w:rsid w:val="055F2BCB"/>
    <w:rsid w:val="05755256"/>
    <w:rsid w:val="059518AA"/>
    <w:rsid w:val="059F6AE2"/>
    <w:rsid w:val="06C1684A"/>
    <w:rsid w:val="07212748"/>
    <w:rsid w:val="07D443A0"/>
    <w:rsid w:val="086068D0"/>
    <w:rsid w:val="08640D82"/>
    <w:rsid w:val="090903B8"/>
    <w:rsid w:val="0A2B5730"/>
    <w:rsid w:val="0A467155"/>
    <w:rsid w:val="0A5409F7"/>
    <w:rsid w:val="0A5E16A3"/>
    <w:rsid w:val="0A860F38"/>
    <w:rsid w:val="0AA7129C"/>
    <w:rsid w:val="0AA87889"/>
    <w:rsid w:val="0AB73E1B"/>
    <w:rsid w:val="0B016BFE"/>
    <w:rsid w:val="0B7F5D75"/>
    <w:rsid w:val="0B87080D"/>
    <w:rsid w:val="0BA436F8"/>
    <w:rsid w:val="0BEF6A57"/>
    <w:rsid w:val="0C0054E2"/>
    <w:rsid w:val="0C346B5F"/>
    <w:rsid w:val="0CDA5987"/>
    <w:rsid w:val="0D277ECF"/>
    <w:rsid w:val="0D4508F8"/>
    <w:rsid w:val="0D487698"/>
    <w:rsid w:val="0D587C47"/>
    <w:rsid w:val="0E2B2D0D"/>
    <w:rsid w:val="0E513EEF"/>
    <w:rsid w:val="0E9C260A"/>
    <w:rsid w:val="0EE0414A"/>
    <w:rsid w:val="0EEB3247"/>
    <w:rsid w:val="0F9C364F"/>
    <w:rsid w:val="0FDB4CBE"/>
    <w:rsid w:val="0FE97437"/>
    <w:rsid w:val="100E76C7"/>
    <w:rsid w:val="101C3B92"/>
    <w:rsid w:val="10667503"/>
    <w:rsid w:val="107512CA"/>
    <w:rsid w:val="10856011"/>
    <w:rsid w:val="10A63F11"/>
    <w:rsid w:val="10C055FF"/>
    <w:rsid w:val="11D566EF"/>
    <w:rsid w:val="12064AFA"/>
    <w:rsid w:val="12296A3A"/>
    <w:rsid w:val="12486EC1"/>
    <w:rsid w:val="127B76CB"/>
    <w:rsid w:val="12AC455A"/>
    <w:rsid w:val="12D1780C"/>
    <w:rsid w:val="12D94892"/>
    <w:rsid w:val="13331472"/>
    <w:rsid w:val="13945538"/>
    <w:rsid w:val="13C359BB"/>
    <w:rsid w:val="13C657CF"/>
    <w:rsid w:val="13E93BC1"/>
    <w:rsid w:val="13F07810"/>
    <w:rsid w:val="14024910"/>
    <w:rsid w:val="147C7727"/>
    <w:rsid w:val="14C34533"/>
    <w:rsid w:val="14CB2C77"/>
    <w:rsid w:val="14CC3FD8"/>
    <w:rsid w:val="14D36495"/>
    <w:rsid w:val="14DD6BBD"/>
    <w:rsid w:val="14ED1AFF"/>
    <w:rsid w:val="14F06BEC"/>
    <w:rsid w:val="153D4CD7"/>
    <w:rsid w:val="157B0E48"/>
    <w:rsid w:val="157B1C50"/>
    <w:rsid w:val="158C40CE"/>
    <w:rsid w:val="15C947BC"/>
    <w:rsid w:val="16102658"/>
    <w:rsid w:val="16274D74"/>
    <w:rsid w:val="167F197C"/>
    <w:rsid w:val="16B0732B"/>
    <w:rsid w:val="16BB723D"/>
    <w:rsid w:val="16C1557E"/>
    <w:rsid w:val="16C17241"/>
    <w:rsid w:val="16E86460"/>
    <w:rsid w:val="173C1AF3"/>
    <w:rsid w:val="17481711"/>
    <w:rsid w:val="174D6D27"/>
    <w:rsid w:val="17881EAA"/>
    <w:rsid w:val="17BE7E7C"/>
    <w:rsid w:val="17F45DAB"/>
    <w:rsid w:val="189078DA"/>
    <w:rsid w:val="18DE232D"/>
    <w:rsid w:val="192B4E46"/>
    <w:rsid w:val="193947BF"/>
    <w:rsid w:val="19456404"/>
    <w:rsid w:val="19483C4A"/>
    <w:rsid w:val="19A12069"/>
    <w:rsid w:val="19D46798"/>
    <w:rsid w:val="1A057D8D"/>
    <w:rsid w:val="1A187F1D"/>
    <w:rsid w:val="1A420699"/>
    <w:rsid w:val="1A7636C6"/>
    <w:rsid w:val="1A7636EA"/>
    <w:rsid w:val="1A8E38DF"/>
    <w:rsid w:val="1AA650CC"/>
    <w:rsid w:val="1AB23A71"/>
    <w:rsid w:val="1B5C5531"/>
    <w:rsid w:val="1B854CE1"/>
    <w:rsid w:val="1B8B6070"/>
    <w:rsid w:val="1C8B0123"/>
    <w:rsid w:val="1C8E7BC6"/>
    <w:rsid w:val="1C9B221C"/>
    <w:rsid w:val="1CCD5CBE"/>
    <w:rsid w:val="1D22273D"/>
    <w:rsid w:val="1D324A87"/>
    <w:rsid w:val="1D3A1AFC"/>
    <w:rsid w:val="1D6C6564"/>
    <w:rsid w:val="1E1F0017"/>
    <w:rsid w:val="1E231722"/>
    <w:rsid w:val="1E6F10B6"/>
    <w:rsid w:val="1E743DA6"/>
    <w:rsid w:val="1EB15DEE"/>
    <w:rsid w:val="1ECD4AB3"/>
    <w:rsid w:val="1ED1128E"/>
    <w:rsid w:val="1F0E1492"/>
    <w:rsid w:val="1F242E99"/>
    <w:rsid w:val="1F3C0611"/>
    <w:rsid w:val="1F9E4534"/>
    <w:rsid w:val="1FA566D2"/>
    <w:rsid w:val="20482782"/>
    <w:rsid w:val="213970B8"/>
    <w:rsid w:val="21C7047B"/>
    <w:rsid w:val="225617ED"/>
    <w:rsid w:val="22702742"/>
    <w:rsid w:val="2273035C"/>
    <w:rsid w:val="22D372E8"/>
    <w:rsid w:val="22E20377"/>
    <w:rsid w:val="23270858"/>
    <w:rsid w:val="235D4796"/>
    <w:rsid w:val="23696C97"/>
    <w:rsid w:val="23BB41D9"/>
    <w:rsid w:val="240371BF"/>
    <w:rsid w:val="241935DA"/>
    <w:rsid w:val="247140A4"/>
    <w:rsid w:val="24B369D8"/>
    <w:rsid w:val="24C52987"/>
    <w:rsid w:val="24C702E4"/>
    <w:rsid w:val="2500187D"/>
    <w:rsid w:val="251B1DA5"/>
    <w:rsid w:val="252C0DB5"/>
    <w:rsid w:val="252E35B9"/>
    <w:rsid w:val="252E7B8D"/>
    <w:rsid w:val="252F0FA7"/>
    <w:rsid w:val="25F854FF"/>
    <w:rsid w:val="262352BC"/>
    <w:rsid w:val="26971D6D"/>
    <w:rsid w:val="26DD00C8"/>
    <w:rsid w:val="2769143C"/>
    <w:rsid w:val="27825319"/>
    <w:rsid w:val="27A97FAA"/>
    <w:rsid w:val="27EC7E96"/>
    <w:rsid w:val="27ED30FF"/>
    <w:rsid w:val="28090A48"/>
    <w:rsid w:val="285A367B"/>
    <w:rsid w:val="28773C04"/>
    <w:rsid w:val="28A272E0"/>
    <w:rsid w:val="29283150"/>
    <w:rsid w:val="293143F3"/>
    <w:rsid w:val="299E3412"/>
    <w:rsid w:val="29AA20A3"/>
    <w:rsid w:val="29DE757B"/>
    <w:rsid w:val="29EF5D95"/>
    <w:rsid w:val="29FD04D3"/>
    <w:rsid w:val="2A0911D4"/>
    <w:rsid w:val="2A433E6F"/>
    <w:rsid w:val="2A690798"/>
    <w:rsid w:val="2A7A79DB"/>
    <w:rsid w:val="2AB27BDE"/>
    <w:rsid w:val="2AEC1029"/>
    <w:rsid w:val="2B0A0BD5"/>
    <w:rsid w:val="2B5D17D7"/>
    <w:rsid w:val="2B5F1DA3"/>
    <w:rsid w:val="2B762899"/>
    <w:rsid w:val="2BB804EE"/>
    <w:rsid w:val="2BD80E5D"/>
    <w:rsid w:val="2C0639BF"/>
    <w:rsid w:val="2C602C01"/>
    <w:rsid w:val="2CA3146B"/>
    <w:rsid w:val="2CB119DD"/>
    <w:rsid w:val="2CB2345D"/>
    <w:rsid w:val="2CC72508"/>
    <w:rsid w:val="2D371BB4"/>
    <w:rsid w:val="2D6706EB"/>
    <w:rsid w:val="2D9B4590"/>
    <w:rsid w:val="2DCF4AFC"/>
    <w:rsid w:val="2DD53498"/>
    <w:rsid w:val="2DEC78FA"/>
    <w:rsid w:val="2E010A5F"/>
    <w:rsid w:val="2E100D83"/>
    <w:rsid w:val="2E4E5407"/>
    <w:rsid w:val="2E9E3E97"/>
    <w:rsid w:val="2EFD02F7"/>
    <w:rsid w:val="2F45680A"/>
    <w:rsid w:val="2F5743DF"/>
    <w:rsid w:val="2FB268EE"/>
    <w:rsid w:val="30273D98"/>
    <w:rsid w:val="304940D8"/>
    <w:rsid w:val="30575C3C"/>
    <w:rsid w:val="3071156C"/>
    <w:rsid w:val="30B71989"/>
    <w:rsid w:val="30F26836"/>
    <w:rsid w:val="31185880"/>
    <w:rsid w:val="31322DBE"/>
    <w:rsid w:val="313E7C71"/>
    <w:rsid w:val="31767194"/>
    <w:rsid w:val="319F7F4E"/>
    <w:rsid w:val="31C12394"/>
    <w:rsid w:val="31F6678D"/>
    <w:rsid w:val="32215927"/>
    <w:rsid w:val="32777C53"/>
    <w:rsid w:val="328A1113"/>
    <w:rsid w:val="32B00E99"/>
    <w:rsid w:val="32B2283D"/>
    <w:rsid w:val="32C865AF"/>
    <w:rsid w:val="32D00909"/>
    <w:rsid w:val="32E2366C"/>
    <w:rsid w:val="332E17A1"/>
    <w:rsid w:val="339E298D"/>
    <w:rsid w:val="33AF3E26"/>
    <w:rsid w:val="33CA19D4"/>
    <w:rsid w:val="33DB773D"/>
    <w:rsid w:val="347100A1"/>
    <w:rsid w:val="34E83120"/>
    <w:rsid w:val="350E769E"/>
    <w:rsid w:val="357864AF"/>
    <w:rsid w:val="357F059C"/>
    <w:rsid w:val="3589141A"/>
    <w:rsid w:val="35A61FCC"/>
    <w:rsid w:val="35A804C7"/>
    <w:rsid w:val="35A82B85"/>
    <w:rsid w:val="35C16E06"/>
    <w:rsid w:val="35D501BC"/>
    <w:rsid w:val="36001AFD"/>
    <w:rsid w:val="362F3D70"/>
    <w:rsid w:val="36AA3165"/>
    <w:rsid w:val="36AA5AEC"/>
    <w:rsid w:val="36E253CA"/>
    <w:rsid w:val="36EB413B"/>
    <w:rsid w:val="36FB403C"/>
    <w:rsid w:val="37031F9E"/>
    <w:rsid w:val="37046FAB"/>
    <w:rsid w:val="3705313D"/>
    <w:rsid w:val="37074CED"/>
    <w:rsid w:val="37623CD1"/>
    <w:rsid w:val="379245B6"/>
    <w:rsid w:val="37995943"/>
    <w:rsid w:val="386F3B58"/>
    <w:rsid w:val="388F4F9A"/>
    <w:rsid w:val="38AE1391"/>
    <w:rsid w:val="39027305"/>
    <w:rsid w:val="39525A9F"/>
    <w:rsid w:val="39AD3929"/>
    <w:rsid w:val="39D2547F"/>
    <w:rsid w:val="3A2E7225"/>
    <w:rsid w:val="3A483652"/>
    <w:rsid w:val="3A5E2E76"/>
    <w:rsid w:val="3A7851CA"/>
    <w:rsid w:val="3AC25D52"/>
    <w:rsid w:val="3B571404"/>
    <w:rsid w:val="3BC0486E"/>
    <w:rsid w:val="3C253097"/>
    <w:rsid w:val="3C696321"/>
    <w:rsid w:val="3C7E335B"/>
    <w:rsid w:val="3C851800"/>
    <w:rsid w:val="3CF4135D"/>
    <w:rsid w:val="3D5E4F3B"/>
    <w:rsid w:val="3DA60DBB"/>
    <w:rsid w:val="3DB31FAE"/>
    <w:rsid w:val="3DC75AA8"/>
    <w:rsid w:val="3DC84598"/>
    <w:rsid w:val="3DD44DB4"/>
    <w:rsid w:val="3DFE0E07"/>
    <w:rsid w:val="3E862623"/>
    <w:rsid w:val="3E895FE7"/>
    <w:rsid w:val="3F07147F"/>
    <w:rsid w:val="3F2A3279"/>
    <w:rsid w:val="3F457C4D"/>
    <w:rsid w:val="3F4A7018"/>
    <w:rsid w:val="3F51035F"/>
    <w:rsid w:val="3F607592"/>
    <w:rsid w:val="3F7E3565"/>
    <w:rsid w:val="3FC767B2"/>
    <w:rsid w:val="3FEF19BE"/>
    <w:rsid w:val="40112738"/>
    <w:rsid w:val="40253E77"/>
    <w:rsid w:val="405759DA"/>
    <w:rsid w:val="40575BB0"/>
    <w:rsid w:val="409D5867"/>
    <w:rsid w:val="40AB493B"/>
    <w:rsid w:val="40C80836"/>
    <w:rsid w:val="4107102E"/>
    <w:rsid w:val="416F415D"/>
    <w:rsid w:val="41883CFA"/>
    <w:rsid w:val="418C651A"/>
    <w:rsid w:val="41901313"/>
    <w:rsid w:val="41B617E9"/>
    <w:rsid w:val="41C561D3"/>
    <w:rsid w:val="42297E65"/>
    <w:rsid w:val="42716438"/>
    <w:rsid w:val="42977218"/>
    <w:rsid w:val="42AD499A"/>
    <w:rsid w:val="42F500EF"/>
    <w:rsid w:val="435766B4"/>
    <w:rsid w:val="438759D1"/>
    <w:rsid w:val="43AA0256"/>
    <w:rsid w:val="43CF26EE"/>
    <w:rsid w:val="4420603D"/>
    <w:rsid w:val="446326AF"/>
    <w:rsid w:val="44742620"/>
    <w:rsid w:val="448654A3"/>
    <w:rsid w:val="44F14B63"/>
    <w:rsid w:val="45981CE4"/>
    <w:rsid w:val="45A150B5"/>
    <w:rsid w:val="45A27A3D"/>
    <w:rsid w:val="45C014AB"/>
    <w:rsid w:val="46297607"/>
    <w:rsid w:val="46346573"/>
    <w:rsid w:val="463B406B"/>
    <w:rsid w:val="46930741"/>
    <w:rsid w:val="46B172C7"/>
    <w:rsid w:val="47482EE3"/>
    <w:rsid w:val="4760647F"/>
    <w:rsid w:val="477076CC"/>
    <w:rsid w:val="479B46E5"/>
    <w:rsid w:val="47D65B3B"/>
    <w:rsid w:val="47DC6A85"/>
    <w:rsid w:val="48021D0E"/>
    <w:rsid w:val="481C1C7A"/>
    <w:rsid w:val="49021329"/>
    <w:rsid w:val="49193450"/>
    <w:rsid w:val="4954230A"/>
    <w:rsid w:val="49A32140"/>
    <w:rsid w:val="49CC4E4A"/>
    <w:rsid w:val="4A9E2E1A"/>
    <w:rsid w:val="4AAA07F5"/>
    <w:rsid w:val="4AAC6A95"/>
    <w:rsid w:val="4ACB1AE1"/>
    <w:rsid w:val="4AF173EE"/>
    <w:rsid w:val="4B043A49"/>
    <w:rsid w:val="4B111A14"/>
    <w:rsid w:val="4B5C5550"/>
    <w:rsid w:val="4B852CB2"/>
    <w:rsid w:val="4B9009B5"/>
    <w:rsid w:val="4BA425DA"/>
    <w:rsid w:val="4BAD0C27"/>
    <w:rsid w:val="4C0849EF"/>
    <w:rsid w:val="4C2630C7"/>
    <w:rsid w:val="4D4D1254"/>
    <w:rsid w:val="4D9445CD"/>
    <w:rsid w:val="4DE72E07"/>
    <w:rsid w:val="4DFD16F3"/>
    <w:rsid w:val="4E64184C"/>
    <w:rsid w:val="4E9F50CE"/>
    <w:rsid w:val="4EA27487"/>
    <w:rsid w:val="4F6B59C1"/>
    <w:rsid w:val="4F7226C3"/>
    <w:rsid w:val="4FB95338"/>
    <w:rsid w:val="4FC21359"/>
    <w:rsid w:val="4FC82E13"/>
    <w:rsid w:val="4FE85275"/>
    <w:rsid w:val="50141FA4"/>
    <w:rsid w:val="50526B81"/>
    <w:rsid w:val="51402E7D"/>
    <w:rsid w:val="515500CB"/>
    <w:rsid w:val="517F5754"/>
    <w:rsid w:val="5184720E"/>
    <w:rsid w:val="51DB5F42"/>
    <w:rsid w:val="51DF3856"/>
    <w:rsid w:val="52192B0A"/>
    <w:rsid w:val="5253222A"/>
    <w:rsid w:val="525A1D1D"/>
    <w:rsid w:val="5293255D"/>
    <w:rsid w:val="52A173B5"/>
    <w:rsid w:val="5368639A"/>
    <w:rsid w:val="5373002E"/>
    <w:rsid w:val="5432269C"/>
    <w:rsid w:val="543C16DA"/>
    <w:rsid w:val="54545B4D"/>
    <w:rsid w:val="548A4A00"/>
    <w:rsid w:val="54B576DE"/>
    <w:rsid w:val="54FE4BE1"/>
    <w:rsid w:val="55066247"/>
    <w:rsid w:val="55194410"/>
    <w:rsid w:val="55531D86"/>
    <w:rsid w:val="55D50FDE"/>
    <w:rsid w:val="55ED6F09"/>
    <w:rsid w:val="5612303A"/>
    <w:rsid w:val="56501E2E"/>
    <w:rsid w:val="566A5166"/>
    <w:rsid w:val="56CE3AA9"/>
    <w:rsid w:val="56D0283B"/>
    <w:rsid w:val="572D7534"/>
    <w:rsid w:val="579F3F38"/>
    <w:rsid w:val="57BC2B32"/>
    <w:rsid w:val="57D63BF4"/>
    <w:rsid w:val="57D71A92"/>
    <w:rsid w:val="57DE484E"/>
    <w:rsid w:val="57E8384C"/>
    <w:rsid w:val="57FB18AC"/>
    <w:rsid w:val="57FB5852"/>
    <w:rsid w:val="580A7FD5"/>
    <w:rsid w:val="5823624B"/>
    <w:rsid w:val="58472898"/>
    <w:rsid w:val="58670CF0"/>
    <w:rsid w:val="58CB127E"/>
    <w:rsid w:val="58D04AE7"/>
    <w:rsid w:val="58D8257B"/>
    <w:rsid w:val="58DF3641"/>
    <w:rsid w:val="58EE02E8"/>
    <w:rsid w:val="59462FFB"/>
    <w:rsid w:val="594828CF"/>
    <w:rsid w:val="595C637A"/>
    <w:rsid w:val="595E6596"/>
    <w:rsid w:val="597B2CA5"/>
    <w:rsid w:val="59CC0D16"/>
    <w:rsid w:val="5A67147B"/>
    <w:rsid w:val="5A932270"/>
    <w:rsid w:val="5AA93841"/>
    <w:rsid w:val="5AC41929"/>
    <w:rsid w:val="5B914A01"/>
    <w:rsid w:val="5BDB0E93"/>
    <w:rsid w:val="5BEA5705"/>
    <w:rsid w:val="5C303D38"/>
    <w:rsid w:val="5C7969B5"/>
    <w:rsid w:val="5CB62246"/>
    <w:rsid w:val="5CFF1E3E"/>
    <w:rsid w:val="5D0C2D12"/>
    <w:rsid w:val="5D3C1524"/>
    <w:rsid w:val="5D431D2B"/>
    <w:rsid w:val="5D4B0BE0"/>
    <w:rsid w:val="5D740137"/>
    <w:rsid w:val="5D7F0375"/>
    <w:rsid w:val="5D806479"/>
    <w:rsid w:val="5DA76336"/>
    <w:rsid w:val="5E0F3DB9"/>
    <w:rsid w:val="5E122E95"/>
    <w:rsid w:val="5E8E1597"/>
    <w:rsid w:val="5EC81B1E"/>
    <w:rsid w:val="5EDB5F93"/>
    <w:rsid w:val="5F2A692D"/>
    <w:rsid w:val="5F7C7776"/>
    <w:rsid w:val="6050327F"/>
    <w:rsid w:val="6051650D"/>
    <w:rsid w:val="60E70449"/>
    <w:rsid w:val="60FB291D"/>
    <w:rsid w:val="61466AA0"/>
    <w:rsid w:val="61D07906"/>
    <w:rsid w:val="62397BA1"/>
    <w:rsid w:val="6243393F"/>
    <w:rsid w:val="626F36BE"/>
    <w:rsid w:val="62AF67D8"/>
    <w:rsid w:val="62C670AD"/>
    <w:rsid w:val="62FB30A8"/>
    <w:rsid w:val="635853BA"/>
    <w:rsid w:val="6379750C"/>
    <w:rsid w:val="63DF6526"/>
    <w:rsid w:val="642A77A1"/>
    <w:rsid w:val="64395358"/>
    <w:rsid w:val="64B654D9"/>
    <w:rsid w:val="650C6EA7"/>
    <w:rsid w:val="651A5A67"/>
    <w:rsid w:val="654C7BEB"/>
    <w:rsid w:val="656E190F"/>
    <w:rsid w:val="65C6100F"/>
    <w:rsid w:val="663141D4"/>
    <w:rsid w:val="66832DFD"/>
    <w:rsid w:val="669B6A5C"/>
    <w:rsid w:val="669B7B9D"/>
    <w:rsid w:val="66DD00FA"/>
    <w:rsid w:val="670B29FF"/>
    <w:rsid w:val="67632A5E"/>
    <w:rsid w:val="67784CC7"/>
    <w:rsid w:val="67E75368"/>
    <w:rsid w:val="68142C42"/>
    <w:rsid w:val="68164DEB"/>
    <w:rsid w:val="681E586F"/>
    <w:rsid w:val="68580DAE"/>
    <w:rsid w:val="68725E6D"/>
    <w:rsid w:val="6878479B"/>
    <w:rsid w:val="689E42BA"/>
    <w:rsid w:val="69134889"/>
    <w:rsid w:val="691F72A9"/>
    <w:rsid w:val="698174B2"/>
    <w:rsid w:val="698F6A31"/>
    <w:rsid w:val="699C38C6"/>
    <w:rsid w:val="69E31D65"/>
    <w:rsid w:val="69FC59C4"/>
    <w:rsid w:val="6A413A96"/>
    <w:rsid w:val="6ADD0F4E"/>
    <w:rsid w:val="6B1C1E0E"/>
    <w:rsid w:val="6B332415"/>
    <w:rsid w:val="6B731A0F"/>
    <w:rsid w:val="6B9B71D6"/>
    <w:rsid w:val="6BDF79BA"/>
    <w:rsid w:val="6BEE37AA"/>
    <w:rsid w:val="6C094140"/>
    <w:rsid w:val="6C457D6E"/>
    <w:rsid w:val="6C4B6506"/>
    <w:rsid w:val="6CFC5A53"/>
    <w:rsid w:val="6D8A4356"/>
    <w:rsid w:val="6DD7226C"/>
    <w:rsid w:val="6E070B53"/>
    <w:rsid w:val="6E782CEC"/>
    <w:rsid w:val="6E7A74D3"/>
    <w:rsid w:val="6E7E4CD7"/>
    <w:rsid w:val="6EA445F4"/>
    <w:rsid w:val="6F3C2A7E"/>
    <w:rsid w:val="6F9355BC"/>
    <w:rsid w:val="6F9957DB"/>
    <w:rsid w:val="6F9A1B99"/>
    <w:rsid w:val="70BD119D"/>
    <w:rsid w:val="70F9105C"/>
    <w:rsid w:val="711B78B6"/>
    <w:rsid w:val="718C1770"/>
    <w:rsid w:val="718D348F"/>
    <w:rsid w:val="71C42E0D"/>
    <w:rsid w:val="71DA2F33"/>
    <w:rsid w:val="71F66E45"/>
    <w:rsid w:val="723D72E0"/>
    <w:rsid w:val="7241389E"/>
    <w:rsid w:val="72824C4C"/>
    <w:rsid w:val="72966949"/>
    <w:rsid w:val="72CD4767"/>
    <w:rsid w:val="72D336FA"/>
    <w:rsid w:val="72DD1E82"/>
    <w:rsid w:val="7315161C"/>
    <w:rsid w:val="73421CE2"/>
    <w:rsid w:val="739B6209"/>
    <w:rsid w:val="73D47729"/>
    <w:rsid w:val="73F863E7"/>
    <w:rsid w:val="746A6679"/>
    <w:rsid w:val="74783976"/>
    <w:rsid w:val="74836A59"/>
    <w:rsid w:val="74C57072"/>
    <w:rsid w:val="74D43450"/>
    <w:rsid w:val="74EC45FF"/>
    <w:rsid w:val="74FB2A94"/>
    <w:rsid w:val="75387844"/>
    <w:rsid w:val="754461E9"/>
    <w:rsid w:val="754E6A41"/>
    <w:rsid w:val="75C74149"/>
    <w:rsid w:val="75D831EF"/>
    <w:rsid w:val="75D94A2A"/>
    <w:rsid w:val="764542EE"/>
    <w:rsid w:val="76465F91"/>
    <w:rsid w:val="7657019E"/>
    <w:rsid w:val="76AD7DBE"/>
    <w:rsid w:val="76D10AB1"/>
    <w:rsid w:val="771361D7"/>
    <w:rsid w:val="77735721"/>
    <w:rsid w:val="78481319"/>
    <w:rsid w:val="78560421"/>
    <w:rsid w:val="788623E0"/>
    <w:rsid w:val="789D458E"/>
    <w:rsid w:val="78AA22F4"/>
    <w:rsid w:val="78DA6E1C"/>
    <w:rsid w:val="790222C6"/>
    <w:rsid w:val="796450AB"/>
    <w:rsid w:val="79872B48"/>
    <w:rsid w:val="79876430"/>
    <w:rsid w:val="79CF6ED7"/>
    <w:rsid w:val="79D0629D"/>
    <w:rsid w:val="7A4C3F95"/>
    <w:rsid w:val="7AD718AD"/>
    <w:rsid w:val="7ADC1BFE"/>
    <w:rsid w:val="7B7E18C9"/>
    <w:rsid w:val="7BAC5C36"/>
    <w:rsid w:val="7BC1083A"/>
    <w:rsid w:val="7C2571FC"/>
    <w:rsid w:val="7C620D2F"/>
    <w:rsid w:val="7C68757C"/>
    <w:rsid w:val="7C773704"/>
    <w:rsid w:val="7C9712F4"/>
    <w:rsid w:val="7CD854F0"/>
    <w:rsid w:val="7D0540F8"/>
    <w:rsid w:val="7D0A41BC"/>
    <w:rsid w:val="7D1B7C00"/>
    <w:rsid w:val="7D242638"/>
    <w:rsid w:val="7D9B3066"/>
    <w:rsid w:val="7D9C1F32"/>
    <w:rsid w:val="7DD345AE"/>
    <w:rsid w:val="7E1370A0"/>
    <w:rsid w:val="7E266138"/>
    <w:rsid w:val="7E2F0385"/>
    <w:rsid w:val="7E3A63DB"/>
    <w:rsid w:val="7E6E7AAC"/>
    <w:rsid w:val="7EB54F9B"/>
    <w:rsid w:val="7ECB34D7"/>
    <w:rsid w:val="7ED54355"/>
    <w:rsid w:val="7F4A72C3"/>
    <w:rsid w:val="7F556E2D"/>
    <w:rsid w:val="7F5D4E94"/>
    <w:rsid w:val="7F610FB3"/>
    <w:rsid w:val="7F8E2E82"/>
    <w:rsid w:val="7FC00B62"/>
    <w:rsid w:val="7FF432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Body Text 2"/>
    <w:basedOn w:val="1"/>
    <w:semiHidden/>
    <w:qFormat/>
    <w:uiPriority w:val="0"/>
    <w:pPr>
      <w:spacing w:after="120" w:line="480" w:lineRule="auto"/>
    </w:pPr>
  </w:style>
  <w:style w:type="table" w:styleId="14">
    <w:name w:val="Table Grid"/>
    <w:basedOn w:val="13"/>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Pr>
    <w:tcPr>
      <w:vAlign w:val="center"/>
    </w:tc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character" w:customStyle="1" w:styleId="31">
    <w:name w:val="四号正文 Char"/>
    <w:basedOn w:val="15"/>
    <w:link w:val="32"/>
    <w:qFormat/>
    <w:uiPriority w:val="0"/>
    <w:rPr>
      <w:rFonts w:ascii="??" w:hAnsi="??" w:cs="宋体"/>
      <w:color w:val="000000"/>
      <w:sz w:val="28"/>
      <w:szCs w:val="21"/>
    </w:rPr>
  </w:style>
  <w:style w:type="paragraph" w:customStyle="1" w:styleId="32">
    <w:name w:val="四号正文"/>
    <w:basedOn w:val="1"/>
    <w:link w:val="31"/>
    <w:qFormat/>
    <w:uiPriority w:val="0"/>
    <w:pPr>
      <w:spacing w:line="360" w:lineRule="auto"/>
    </w:pPr>
    <w:rPr>
      <w:rFonts w:ascii="??" w:hAnsi="??" w:cs="宋体"/>
      <w:color w:val="000000"/>
      <w:kern w:val="0"/>
      <w:sz w:val="28"/>
      <w:szCs w:val="21"/>
    </w:rPr>
  </w:style>
  <w:style w:type="character" w:customStyle="1" w:styleId="33">
    <w:name w:val="font61"/>
    <w:basedOn w:val="15"/>
    <w:qFormat/>
    <w:uiPriority w:val="0"/>
    <w:rPr>
      <w:rFonts w:hint="eastAsia" w:ascii="宋体" w:hAnsi="宋体" w:eastAsia="宋体" w:cs="宋体"/>
      <w:color w:val="000000"/>
      <w:sz w:val="32"/>
      <w:szCs w:val="32"/>
      <w:u w:val="none"/>
    </w:rPr>
  </w:style>
  <w:style w:type="character" w:customStyle="1" w:styleId="34">
    <w:name w:val="font71"/>
    <w:basedOn w:val="15"/>
    <w:qFormat/>
    <w:uiPriority w:val="0"/>
    <w:rPr>
      <w:rFonts w:hint="eastAsia" w:ascii="宋体" w:hAnsi="宋体" w:eastAsia="宋体" w:cs="宋体"/>
      <w:color w:val="000000"/>
      <w:sz w:val="18"/>
      <w:szCs w:val="18"/>
      <w:u w:val="none"/>
    </w:rPr>
  </w:style>
  <w:style w:type="character" w:customStyle="1" w:styleId="35">
    <w:name w:val="font31"/>
    <w:basedOn w:val="15"/>
    <w:qFormat/>
    <w:uiPriority w:val="0"/>
    <w:rPr>
      <w:rFonts w:hint="eastAsia" w:ascii="宋体" w:hAnsi="宋体" w:eastAsia="宋体" w:cs="宋体"/>
      <w:color w:val="000000"/>
      <w:sz w:val="12"/>
      <w:szCs w:val="12"/>
      <w:u w:val="none"/>
    </w:rPr>
  </w:style>
  <w:style w:type="character" w:customStyle="1" w:styleId="36">
    <w:name w:val="font41"/>
    <w:basedOn w:val="15"/>
    <w:qFormat/>
    <w:uiPriority w:val="0"/>
    <w:rPr>
      <w:rFonts w:hint="eastAsia" w:ascii="宋体" w:hAnsi="宋体" w:eastAsia="宋体" w:cs="宋体"/>
      <w:color w:val="000000"/>
      <w:sz w:val="32"/>
      <w:szCs w:val="32"/>
      <w:u w:val="none"/>
    </w:rPr>
  </w:style>
  <w:style w:type="character" w:customStyle="1" w:styleId="37">
    <w:name w:val="font01"/>
    <w:basedOn w:val="15"/>
    <w:qFormat/>
    <w:uiPriority w:val="0"/>
    <w:rPr>
      <w:rFonts w:hint="eastAsia" w:ascii="宋体" w:hAnsi="宋体" w:eastAsia="宋体" w:cs="宋体"/>
      <w:color w:val="000000"/>
      <w:sz w:val="32"/>
      <w:szCs w:val="32"/>
      <w:u w:val="none"/>
    </w:rPr>
  </w:style>
  <w:style w:type="character" w:customStyle="1" w:styleId="38">
    <w:name w:val="font21"/>
    <w:basedOn w:val="15"/>
    <w:qFormat/>
    <w:uiPriority w:val="0"/>
    <w:rPr>
      <w:rFonts w:hint="eastAsia" w:ascii="宋体" w:hAnsi="宋体" w:eastAsia="宋体" w:cs="宋体"/>
      <w:color w:val="000000"/>
      <w:sz w:val="28"/>
      <w:szCs w:val="28"/>
      <w:u w:val="none"/>
    </w:rPr>
  </w:style>
  <w:style w:type="character" w:customStyle="1" w:styleId="39">
    <w:name w:val="font51"/>
    <w:basedOn w:val="15"/>
    <w:qFormat/>
    <w:uiPriority w:val="0"/>
    <w:rPr>
      <w:rFonts w:hint="eastAsia" w:ascii="宋体" w:hAnsi="宋体" w:eastAsia="宋体" w:cs="宋体"/>
      <w:color w:val="000000"/>
      <w:sz w:val="16"/>
      <w:szCs w:val="16"/>
      <w:u w:val="none"/>
    </w:rPr>
  </w:style>
  <w:style w:type="character" w:customStyle="1" w:styleId="40">
    <w:name w:val="font101"/>
    <w:basedOn w:val="15"/>
    <w:qFormat/>
    <w:uiPriority w:val="0"/>
    <w:rPr>
      <w:rFonts w:hint="eastAsia" w:ascii="楷体" w:hAnsi="楷体" w:eastAsia="楷体" w:cs="楷体"/>
      <w:b/>
      <w:bCs/>
      <w:color w:val="000000"/>
      <w:sz w:val="22"/>
      <w:szCs w:val="22"/>
      <w:u w:val="none"/>
    </w:rPr>
  </w:style>
  <w:style w:type="paragraph" w:customStyle="1" w:styleId="41">
    <w:name w:val="WPSOffice手动目录 1"/>
    <w:uiPriority w:val="0"/>
    <w:pPr>
      <w:ind w:leftChars="0"/>
    </w:pPr>
    <w:rPr>
      <w:rFonts w:ascii="Times New Roman" w:hAnsi="Times New Roman" w:eastAsia="宋体" w:cs="Times New Roman"/>
      <w:sz w:val="20"/>
      <w:szCs w:val="20"/>
    </w:rPr>
  </w:style>
  <w:style w:type="paragraph" w:customStyle="1" w:styleId="42">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Desktop\&#24037;&#20316;&#31807;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Desktop\&#24037;&#20316;&#3180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1\Desktop\&#24037;&#20316;&#31807;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1\Desktop\&#24037;&#20316;&#31807;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1\Desktop\&#24037;&#20316;&#3180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1\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sz="1200"/>
              <a:t>图1:202</a:t>
            </a:r>
            <a:r>
              <a:rPr lang="en-US" altLang="zh-CN" sz="1200"/>
              <a:t>2</a:t>
            </a:r>
            <a:r>
              <a:rPr sz="1200"/>
              <a:t>年总收入</a:t>
            </a:r>
            <a:r>
              <a:rPr sz="1200">
                <a:solidFill>
                  <a:schemeClr val="tx1">
                    <a:lumMod val="75000"/>
                    <a:lumOff val="25000"/>
                  </a:schemeClr>
                </a:solidFill>
                <a:uFillTx/>
              </a:rPr>
              <a:t>决算</a:t>
            </a:r>
            <a:r>
              <a:rPr sz="1200"/>
              <a:t>数结构图</a:t>
            </a:r>
            <a:endParaRPr sz="1200"/>
          </a:p>
        </c:rich>
      </c:tx>
      <c:layout>
        <c:manualLayout>
          <c:xMode val="edge"/>
          <c:yMode val="edge"/>
          <c:x val="0.214662768914227"/>
          <c:y val="0.0223200698382609"/>
        </c:manualLayout>
      </c:layout>
      <c:overlay val="0"/>
      <c:spPr>
        <a:noFill/>
        <a:ln>
          <a:noFill/>
        </a:ln>
        <a:effectLst/>
      </c:spPr>
    </c:title>
    <c:autoTitleDeleted val="0"/>
    <c:plotArea>
      <c:layout>
        <c:manualLayout>
          <c:layoutTarget val="inner"/>
          <c:xMode val="edge"/>
          <c:yMode val="edge"/>
          <c:x val="0.268773474623879"/>
          <c:y val="0.199552127394874"/>
          <c:w val="0.441773995282072"/>
          <c:h val="0.786707261566009"/>
        </c:manualLayout>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0464617107873725"/>
                  <c:y val="-0.64165132625440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sz="800" b="0">
                        <a:solidFill>
                          <a:schemeClr val="bg1"/>
                        </a:solidFill>
                        <a:uFillTx/>
                      </a:rPr>
                      <a:t>政府性基金预算财政拨款收入</a:t>
                    </a:r>
                    <a:r>
                      <a:rPr lang="en-US" altLang="zh-CN" sz="800" b="0">
                        <a:solidFill>
                          <a:schemeClr val="bg1"/>
                        </a:solidFill>
                        <a:uFillTx/>
                      </a:rPr>
                      <a:t>0.3</a:t>
                    </a:r>
                    <a:r>
                      <a:rPr lang="en-US" altLang="zh-CN" sz="800" b="0"/>
                      <a:t>0</a:t>
                    </a:r>
                    <a:r>
                      <a:rPr sz="800" b="0"/>
                      <a:t>%</a:t>
                    </a:r>
                    <a:endParaRPr sz="800" b="0"/>
                  </a:p>
                </c:rich>
              </c:tx>
              <c:dLblPos val="bestFit"/>
              <c:showLegendKey val="0"/>
              <c:showVal val="1"/>
              <c:showCatName val="0"/>
              <c:showSerName val="0"/>
              <c:showPercent val="1"/>
              <c:showBubbleSize val="0"/>
              <c:extLst>
                <c:ext xmlns:c15="http://schemas.microsoft.com/office/drawing/2012/chart" uri="{CE6537A1-D6FC-4f65-9D91-7224C49458BB}">
                  <c15:layout>
                    <c:manualLayout>
                      <c:w val="0.215313678915747"/>
                      <c:h val="0.183607441358857"/>
                    </c:manualLayout>
                  </c15:layout>
                </c:ext>
              </c:extLst>
            </c:dLbl>
            <c:dLbl>
              <c:idx val="1"/>
              <c:layout>
                <c:manualLayout>
                  <c:x val="-0.144024076578783"/>
                  <c:y val="0.437319579864861"/>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altLang="en-US" sz="800" b="0">
                        <a:solidFill>
                          <a:schemeClr val="bg1"/>
                        </a:solidFill>
                        <a:uFillTx/>
                        <a:latin typeface="+mj-ea"/>
                        <a:cs typeface="+mj-ea"/>
                      </a:rPr>
                      <a:t>一般公共预算财政拨款收入</a:t>
                    </a:r>
                    <a:r>
                      <a:rPr lang="en-US" altLang="zh-CN" sz="800" b="0">
                        <a:solidFill>
                          <a:schemeClr val="bg1"/>
                        </a:solidFill>
                        <a:uFillTx/>
                        <a:latin typeface="+mj-ea"/>
                        <a:cs typeface="+mj-ea"/>
                      </a:rPr>
                      <a:t>99.70</a:t>
                    </a:r>
                    <a:r>
                      <a:rPr sz="800" b="0">
                        <a:solidFill>
                          <a:schemeClr val="bg1"/>
                        </a:solidFill>
                        <a:uFillTx/>
                        <a:latin typeface="+mj-ea"/>
                        <a:cs typeface="+mj-ea"/>
                      </a:rPr>
                      <a:t>%</a:t>
                    </a:r>
                    <a:endParaRPr sz="800" b="0">
                      <a:solidFill>
                        <a:schemeClr val="bg1"/>
                      </a:solidFill>
                      <a:uFillTx/>
                      <a:latin typeface="+mj-ea"/>
                      <a:cs typeface="+mj-ea"/>
                    </a:endParaRPr>
                  </a:p>
                </c:rich>
              </c:tx>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240743328210144"/>
                      <c:h val="0.19656631002737"/>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extLst>
                <c:ext xmlns:c15="http://schemas.microsoft.com/office/drawing/2012/chart" uri="{02D57815-91ED-43cb-92C2-25804820EDAC}">
                  <c15:fullRef>
                    <c15:sqref>[工作簿1.xlsx]Sheet1!$B$4:$E$4</c15:sqref>
                  </c15:fullRef>
                </c:ext>
              </c:extLst>
              <c:f>[工作簿1.xlsx]Sheet1!$B$4:$C$4</c:f>
              <c:strCache>
                <c:ptCount val="2"/>
                <c:pt idx="0">
                  <c:v>一般公共预算财政拨款收入</c:v>
                </c:pt>
                <c:pt idx="1">
                  <c:v>政府性基金预算财政拨款收入</c:v>
                </c:pt>
              </c:strCache>
            </c:strRef>
          </c:cat>
          <c:val>
            <c:numRef>
              <c:extLst>
                <c:ext xmlns:c15="http://schemas.microsoft.com/office/drawing/2012/chart" uri="{02D57815-91ED-43cb-92C2-25804820EDAC}">
                  <c15:fullRef>
                    <c15:sqref>Sheet1!$B$5:$E$5</c15:sqref>
                  </c15:fullRef>
                </c:ext>
              </c:extLst>
              <c:f>[工作簿1.xlsx]Sheet1!$B$5:$C$5</c:f>
              <c:numCache>
                <c:formatCode>0.00%</c:formatCode>
                <c:ptCount val="2"/>
                <c:pt idx="0">
                  <c:v>0.997</c:v>
                </c:pt>
                <c:pt idx="1">
                  <c:v>0.003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legendEntry>
      <c:layout>
        <c:manualLayout>
          <c:xMode val="edge"/>
          <c:yMode val="edge"/>
          <c:x val="0.745362099766387"/>
          <c:y val="0.660014781966001"/>
          <c:w val="0.245980486464202"/>
          <c:h val="0.241438778024144"/>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8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sz="1200">
                <a:solidFill>
                  <a:schemeClr val="tx1">
                    <a:lumMod val="75000"/>
                    <a:lumOff val="25000"/>
                  </a:schemeClr>
                </a:solidFill>
                <a:uFillTx/>
              </a:rPr>
              <a:t>图</a:t>
            </a:r>
            <a:r>
              <a:rPr lang="en-US" altLang="zh-CN" sz="1200">
                <a:solidFill>
                  <a:schemeClr val="tx1">
                    <a:lumMod val="75000"/>
                    <a:lumOff val="25000"/>
                  </a:schemeClr>
                </a:solidFill>
                <a:uFillTx/>
              </a:rPr>
              <a:t>2</a:t>
            </a:r>
            <a:r>
              <a:rPr sz="1200">
                <a:solidFill>
                  <a:schemeClr val="tx1">
                    <a:lumMod val="75000"/>
                    <a:lumOff val="25000"/>
                  </a:schemeClr>
                </a:solidFill>
                <a:uFillTx/>
              </a:rPr>
              <a:t>:202</a:t>
            </a:r>
            <a:r>
              <a:rPr lang="en-US" altLang="zh-CN" sz="1200">
                <a:solidFill>
                  <a:schemeClr val="tx1">
                    <a:lumMod val="75000"/>
                    <a:lumOff val="25000"/>
                  </a:schemeClr>
                </a:solidFill>
                <a:uFillTx/>
              </a:rPr>
              <a:t>2</a:t>
            </a:r>
            <a:r>
              <a:rPr sz="1200">
                <a:solidFill>
                  <a:schemeClr val="tx1">
                    <a:lumMod val="75000"/>
                    <a:lumOff val="25000"/>
                  </a:schemeClr>
                </a:solidFill>
                <a:uFillTx/>
              </a:rPr>
              <a:t>年总支出决算结构图</a:t>
            </a:r>
            <a:endParaRPr sz="1200">
              <a:solidFill>
                <a:schemeClr val="tx1">
                  <a:lumMod val="75000"/>
                  <a:lumOff val="25000"/>
                </a:schemeClr>
              </a:solidFill>
              <a:uFillTx/>
            </a:endParaRPr>
          </a:p>
        </c:rich>
      </c:tx>
      <c:layout>
        <c:manualLayout>
          <c:xMode val="edge"/>
          <c:yMode val="edge"/>
          <c:x val="0.230568917078932"/>
          <c:y val="0.0172566466094824"/>
        </c:manualLayout>
      </c:layout>
      <c:overlay val="0"/>
      <c:spPr>
        <a:noFill/>
        <a:ln>
          <a:noFill/>
        </a:ln>
        <a:effectLst/>
      </c:spPr>
    </c:title>
    <c:autoTitleDeleted val="0"/>
    <c:plotArea>
      <c:layout>
        <c:manualLayout>
          <c:layoutTarget val="inner"/>
          <c:xMode val="edge"/>
          <c:yMode val="edge"/>
          <c:x val="0.201481158788935"/>
          <c:y val="0.140601217656012"/>
          <c:w val="0.484099324765846"/>
          <c:h val="0.845700152207002"/>
        </c:manualLayout>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302538979342485"/>
                  <c:y val="-0.158258262475147"/>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sz="900" b="0">
                        <a:solidFill>
                          <a:schemeClr val="bg1"/>
                        </a:solidFill>
                        <a:uFillTx/>
                      </a:rPr>
                      <a:t>基本支出</a:t>
                    </a:r>
                    <a:r>
                      <a:rPr lang="en-US" altLang="zh-CN" sz="900" b="0">
                        <a:solidFill>
                          <a:schemeClr val="bg1"/>
                        </a:solidFill>
                        <a:uFillTx/>
                      </a:rPr>
                      <a:t>47.54</a:t>
                    </a:r>
                    <a:r>
                      <a:rPr sz="900" b="0">
                        <a:solidFill>
                          <a:schemeClr val="bg1"/>
                        </a:solidFill>
                        <a:uFillTx/>
                      </a:rPr>
                      <a:t>%</a:t>
                    </a:r>
                    <a:endParaRPr sz="900" b="0">
                      <a:solidFill>
                        <a:schemeClr val="bg1"/>
                      </a:solidFill>
                      <a:uFillTx/>
                    </a:endParaRPr>
                  </a:p>
                </c:rich>
              </c:tx>
              <c:dLblPos val="bestFit"/>
              <c:showLegendKey val="0"/>
              <c:showVal val="1"/>
              <c:showCatName val="0"/>
              <c:showSerName val="0"/>
              <c:showPercent val="1"/>
              <c:showBubbleSize val="0"/>
              <c:extLst>
                <c:ext xmlns:c15="http://schemas.microsoft.com/office/drawing/2012/chart" uri="{CE6537A1-D6FC-4f65-9D91-7224C49458BB}">
                  <c15:layout>
                    <c:manualLayout>
                      <c:w val="0.204039852599973"/>
                      <c:h val="0.139929149797571"/>
                    </c:manualLayout>
                  </c15:layout>
                </c:ext>
              </c:extLst>
            </c:dLbl>
            <c:dLbl>
              <c:idx val="1"/>
              <c:layout>
                <c:manualLayout>
                  <c:x val="0.233609235460684"/>
                  <c:y val="-0.053350911628216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sz="900" b="0">
                        <a:solidFill>
                          <a:schemeClr val="bg1"/>
                        </a:solidFill>
                        <a:uFillTx/>
                      </a:rPr>
                      <a:t>项目支出</a:t>
                    </a:r>
                    <a:r>
                      <a:rPr lang="en-US" altLang="zh-CN" sz="900" b="0">
                        <a:solidFill>
                          <a:schemeClr val="bg1"/>
                        </a:solidFill>
                        <a:uFillTx/>
                      </a:rPr>
                      <a:t>52.46</a:t>
                    </a:r>
                    <a:r>
                      <a:rPr sz="900" b="0">
                        <a:solidFill>
                          <a:schemeClr val="bg1"/>
                        </a:solidFill>
                        <a:uFillTx/>
                      </a:rPr>
                      <a:t>%</a:t>
                    </a:r>
                    <a:endParaRPr sz="900" b="0">
                      <a:solidFill>
                        <a:schemeClr val="bg1"/>
                      </a:solidFill>
                      <a:uFillTx/>
                    </a:endParaRPr>
                  </a:p>
                </c:rich>
              </c:tx>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212916575909388"/>
                      <c:h val="0.134132420091324"/>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extLst>
                <c:ext xmlns:c15="http://schemas.microsoft.com/office/drawing/2012/chart" uri="{02D57815-91ED-43cb-92C2-25804820EDAC}">
                  <c15:fullRef>
                    <c15:sqref>[工作簿1.xlsx]Sheet1!$B$4:$E$4</c15:sqref>
                  </c15:fullRef>
                </c:ext>
              </c:extLst>
              <c:f>[工作簿1.xlsx]Sheet1!$B$4:$C$4</c:f>
              <c:strCache>
                <c:ptCount val="2"/>
                <c:pt idx="0">
                  <c:v>基本支出</c:v>
                </c:pt>
                <c:pt idx="1">
                  <c:v>项目支出</c:v>
                </c:pt>
              </c:strCache>
            </c:strRef>
          </c:cat>
          <c:val>
            <c:numRef>
              <c:extLst>
                <c:ext xmlns:c15="http://schemas.microsoft.com/office/drawing/2012/chart" uri="{02D57815-91ED-43cb-92C2-25804820EDAC}">
                  <c15:fullRef>
                    <c15:sqref>Sheet1!$B$5:$E$5</c15:sqref>
                  </c15:fullRef>
                </c:ext>
              </c:extLst>
              <c:f>[工作簿1.xlsx]Sheet1!$B$5:$C$5</c:f>
              <c:numCache>
                <c:formatCode>0.00%</c:formatCode>
                <c:ptCount val="2"/>
                <c:pt idx="0">
                  <c:v>0.4754</c:v>
                </c:pt>
                <c:pt idx="1">
                  <c:v>0.5246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0" i="0" u="none" strike="noStrike" kern="1200" baseline="0">
                <a:solidFill>
                  <a:schemeClr val="dk1">
                    <a:lumMod val="65000"/>
                    <a:lumOff val="35000"/>
                    <a:alpha val="97000"/>
                  </a:schemeClr>
                </a:solidFill>
                <a:effectLst/>
                <a:latin typeface="+mn-lt"/>
                <a:ea typeface="+mn-ea"/>
                <a:cs typeface="+mn-cs"/>
              </a:defRPr>
            </a:pPr>
            <a:r>
              <a:rPr sz="1200" b="1">
                <a:solidFill>
                  <a:schemeClr val="tx1">
                    <a:lumMod val="65000"/>
                    <a:lumOff val="35000"/>
                    <a:alpha val="97000"/>
                  </a:schemeClr>
                </a:solidFill>
                <a:uFillTx/>
              </a:rPr>
              <a:t>图</a:t>
            </a:r>
            <a:r>
              <a:rPr lang="en-US" altLang="zh-CN" sz="1200" b="1">
                <a:solidFill>
                  <a:schemeClr val="tx1">
                    <a:lumMod val="65000"/>
                    <a:lumOff val="35000"/>
                    <a:alpha val="97000"/>
                  </a:schemeClr>
                </a:solidFill>
                <a:uFillTx/>
              </a:rPr>
              <a:t>3</a:t>
            </a:r>
            <a:r>
              <a:rPr sz="1200" b="1">
                <a:solidFill>
                  <a:schemeClr val="tx1">
                    <a:lumMod val="65000"/>
                    <a:lumOff val="35000"/>
                    <a:alpha val="97000"/>
                  </a:schemeClr>
                </a:solidFill>
                <a:uFillTx/>
              </a:rPr>
              <a:t>：财政拨款收支决算变动情况图</a:t>
            </a:r>
            <a:endParaRPr sz="1200" b="1">
              <a:solidFill>
                <a:schemeClr val="tx1">
                  <a:lumMod val="65000"/>
                  <a:lumOff val="35000"/>
                  <a:alpha val="97000"/>
                </a:schemeClr>
              </a:solidFill>
              <a:uFillTx/>
            </a:endParaRPr>
          </a:p>
        </c:rich>
      </c:tx>
      <c:layout>
        <c:manualLayout>
          <c:xMode val="edge"/>
          <c:yMode val="edge"/>
          <c:x val="0.235122259686854"/>
          <c:y val="0.0337438079340243"/>
        </c:manualLayout>
      </c:layout>
      <c:overlay val="0"/>
      <c:spPr>
        <a:noFill/>
        <a:ln>
          <a:noFill/>
        </a:ln>
        <a:effectLst/>
      </c:spPr>
    </c:title>
    <c:autoTitleDeleted val="0"/>
    <c:plotArea>
      <c:layout>
        <c:manualLayout>
          <c:layoutTarget val="inner"/>
          <c:xMode val="edge"/>
          <c:yMode val="edge"/>
          <c:x val="0.143151943462898"/>
          <c:y val="0.171635311143271"/>
          <c:w val="0.807095406360424"/>
          <c:h val="0.567062228654124"/>
        </c:manualLayout>
      </c:layout>
      <c:barChart>
        <c:barDir val="col"/>
        <c:grouping val="clustered"/>
        <c:varyColors val="0"/>
        <c:ser>
          <c:idx val="0"/>
          <c:order val="0"/>
          <c:tx>
            <c:strRef>
              <c:f>"金额"</c:f>
              <c:strCache>
                <c:ptCount val="1"/>
                <c:pt idx="0">
                  <c:v>金额</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cap="none" spc="0" normalizeH="0" baseline="0">
                    <a:solidFill>
                      <a:schemeClr val="tx1"/>
                    </a:solidFill>
                    <a:uFill>
                      <a:solidFill>
                        <a:schemeClr val="bg1"/>
                      </a:solidFill>
                    </a:u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[工作簿1.xlsx]Sheet1!$H$25:$H$28</c:f>
              <c:strCache>
                <c:ptCount val="4"/>
                <c:pt idx="0">
                  <c:v>2022年财政拨款收支总额</c:v>
                </c:pt>
                <c:pt idx="1">
                  <c:v>2021年财政拨款收支总额</c:v>
                </c:pt>
                <c:pt idx="2">
                  <c:v>较21年减少数</c:v>
                </c:pt>
                <c:pt idx="3">
                  <c:v>较21年减少比例</c:v>
                </c:pt>
              </c:strCache>
            </c:strRef>
          </c:cat>
          <c:val>
            <c:numRef>
              <c:f>[工作簿1.xlsx]Sheet1!$I$25:$I$28</c:f>
              <c:numCache>
                <c:formatCode>#,##0.00</c:formatCode>
                <c:ptCount val="4"/>
                <c:pt idx="0">
                  <c:v>3783.4</c:v>
                </c:pt>
                <c:pt idx="1">
                  <c:v>4869.9</c:v>
                </c:pt>
                <c:pt idx="2">
                  <c:v>1086.5</c:v>
                </c:pt>
                <c:pt idx="3" c:formatCode="0.00%">
                  <c:v>0.2872</c:v>
                </c:pt>
              </c:numCache>
            </c:numRef>
          </c:val>
        </c:ser>
        <c:dLbls>
          <c:showLegendKey val="0"/>
          <c:showVal val="1"/>
          <c:showCatName val="0"/>
          <c:showSerName val="0"/>
          <c:showPercent val="0"/>
          <c:showBubbleSize val="0"/>
        </c:dLbls>
        <c:gapWidth val="41"/>
        <c:overlap val="0"/>
        <c:axId val="3446223"/>
        <c:axId val="3435823"/>
      </c:barChart>
      <c:catAx>
        <c:axId val="3446223"/>
        <c:scaling>
          <c:orientation val="minMax"/>
        </c:scaling>
        <c:delete val="0"/>
        <c:axPos val="b"/>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3435823"/>
        <c:crosses val="autoZero"/>
        <c:auto val="1"/>
        <c:lblAlgn val="ctr"/>
        <c:lblOffset val="100"/>
        <c:noMultiLvlLbl val="0"/>
      </c:catAx>
      <c:valAx>
        <c:axId val="3435823"/>
        <c:scaling>
          <c:orientation val="minMax"/>
        </c:scaling>
        <c:delete val="1"/>
        <c:axPos val="l"/>
        <c:title>
          <c:tx>
            <c:rich>
              <a:bodyPr rot="-5400000" spcFirstLastPara="0"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t>单位：万元</a:t>
                </a:r>
              </a:p>
            </c:rich>
          </c:tx>
          <c:layout/>
          <c:overlay val="0"/>
          <c:spPr>
            <a:noFill/>
            <a:ln>
              <a:noFill/>
            </a:ln>
            <a:effectLst/>
          </c:spPr>
        </c:title>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3446223"/>
        <c:crosses val="autoZero"/>
        <c:crossBetween val="between"/>
      </c:valAx>
      <c:dTable>
        <c:showHorzBorder val="1"/>
        <c:showVertBorder val="1"/>
        <c:showOutline val="1"/>
        <c:showKeys val="1"/>
        <c:spPr>
          <a:noFill/>
          <a:ln w="9525">
            <a:solidFill>
              <a:schemeClr val="dk1">
                <a:lumMod val="15000"/>
                <a:lumOff val="85000"/>
              </a:schemeClr>
            </a:solidFill>
          </a:ln>
          <a:effectLst/>
        </c:spPr>
        <c:txPr>
          <a:bodyPr rot="0" spcFirstLastPara="0" vertOverflow="ellipsis" vert="horz" wrap="square" anchor="ctr" anchorCtr="1"/>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dTable>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cap="none" baseline="0">
                <a:solidFill>
                  <a:schemeClr val="lt1">
                    <a:lumMod val="85000"/>
                  </a:schemeClr>
                </a:solidFill>
                <a:latin typeface="+mn-lt"/>
                <a:ea typeface="+mn-ea"/>
                <a:cs typeface="+mn-cs"/>
              </a:defRPr>
            </a:pPr>
            <a:r>
              <a:rPr sz="1200"/>
              <a:t>图4：</a:t>
            </a:r>
            <a:r>
              <a:rPr sz="1200">
                <a:solidFill>
                  <a:schemeClr val="bg1">
                    <a:lumMod val="85000"/>
                  </a:schemeClr>
                </a:solidFill>
                <a:uFillTx/>
              </a:rPr>
              <a:t>一般</a:t>
            </a:r>
            <a:r>
              <a:rPr sz="1200"/>
              <a:t>公共预算财政拨款支出决算变动情况图</a:t>
            </a:r>
            <a:endParaRPr sz="1200"/>
          </a:p>
        </c:rich>
      </c:tx>
      <c:layout>
        <c:manualLayout>
          <c:xMode val="edge"/>
          <c:yMode val="edge"/>
          <c:x val="0.12956686693374"/>
          <c:y val="0.0306413494036617"/>
        </c:manualLayout>
      </c:layout>
      <c:overlay val="0"/>
      <c:spPr>
        <a:noFill/>
        <a:ln>
          <a:noFill/>
        </a:ln>
        <a:effectLst/>
      </c:spPr>
    </c:title>
    <c:autoTitleDeleted val="0"/>
    <c:plotArea>
      <c:layout>
        <c:manualLayout>
          <c:layoutTarget val="inner"/>
          <c:xMode val="edge"/>
          <c:yMode val="edge"/>
          <c:x val="0.168656099241902"/>
          <c:y val="0.214787878787879"/>
          <c:w val="0.806533425223984"/>
          <c:h val="0.478448484848485"/>
        </c:manualLayout>
      </c:layout>
      <c:barChart>
        <c:barDir val="col"/>
        <c:grouping val="clustered"/>
        <c:varyColors val="0"/>
        <c:ser>
          <c:idx val="0"/>
          <c:order val="0"/>
          <c:tx>
            <c:strRef>
              <c:f>"金额"</c:f>
              <c:strCache>
                <c:ptCount val="1"/>
                <c:pt idx="0">
                  <c:v>金额</c:v>
                </c:pt>
              </c:strCache>
            </c:strRef>
          </c:tx>
          <c:spPr>
            <a:noFill/>
            <a:ln w="9525" cap="flat" cmpd="sng" algn="ctr">
              <a:solidFill>
                <a:schemeClr val="accent6"/>
              </a:solidFill>
              <a:miter lim="800000"/>
            </a:ln>
            <a:effectLst>
              <a:glow rad="63500">
                <a:schemeClr val="accent6">
                  <a:satMod val="175000"/>
                  <a:alpha val="25000"/>
                </a:schemeClr>
              </a:glo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7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lt1">
                          <a:lumMod val="50000"/>
                        </a:schemeClr>
                      </a:solidFill>
                      <a:round/>
                    </a:ln>
                    <a:effectLst/>
                  </c:spPr>
                </c15:leaderLines>
              </c:ext>
            </c:extLst>
          </c:dLbls>
          <c:cat>
            <c:strRef>
              <c:f>[工作簿1.xlsx]Sheet1!$H$25:$H$28</c:f>
              <c:strCache>
                <c:ptCount val="4"/>
                <c:pt idx="0">
                  <c:v>2022年一般公共预算财政拨款支出总额</c:v>
                </c:pt>
                <c:pt idx="1">
                  <c:v>2021年一般公共预算财政拨款支出总额</c:v>
                </c:pt>
                <c:pt idx="2">
                  <c:v>较21年减少数</c:v>
                </c:pt>
                <c:pt idx="3">
                  <c:v>较21年减少比例</c:v>
                </c:pt>
              </c:strCache>
            </c:strRef>
          </c:cat>
          <c:val>
            <c:numRef>
              <c:f>[工作簿1.xlsx]Sheet1!$I$25:$I$28</c:f>
              <c:numCache>
                <c:formatCode>#,##0.00</c:formatCode>
                <c:ptCount val="4"/>
                <c:pt idx="0">
                  <c:v>3773.4</c:v>
                </c:pt>
                <c:pt idx="1">
                  <c:v>4868.3</c:v>
                </c:pt>
                <c:pt idx="2">
                  <c:v>1094.9</c:v>
                </c:pt>
                <c:pt idx="3" c:formatCode="0.00%">
                  <c:v>0.2902</c:v>
                </c:pt>
              </c:numCache>
            </c:numRef>
          </c:val>
        </c:ser>
        <c:dLbls>
          <c:showLegendKey val="0"/>
          <c:showVal val="1"/>
          <c:showCatName val="0"/>
          <c:showSerName val="0"/>
          <c:showPercent val="0"/>
          <c:showBubbleSize val="0"/>
        </c:dLbls>
        <c:gapWidth val="315"/>
        <c:overlap val="-40"/>
        <c:axId val="3446223"/>
        <c:axId val="3435823"/>
      </c:barChart>
      <c:catAx>
        <c:axId val="3446223"/>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75000"/>
                  </a:schemeClr>
                </a:solidFill>
                <a:latin typeface="+mn-lt"/>
                <a:ea typeface="+mn-ea"/>
                <a:cs typeface="+mn-cs"/>
              </a:defRPr>
            </a:pPr>
          </a:p>
        </c:txPr>
        <c:crossAx val="3435823"/>
        <c:crosses val="autoZero"/>
        <c:auto val="1"/>
        <c:lblAlgn val="ctr"/>
        <c:lblOffset val="100"/>
        <c:noMultiLvlLbl val="0"/>
      </c:catAx>
      <c:valAx>
        <c:axId val="3435823"/>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0" vertOverflow="ellipsis" vert="horz" wrap="square" anchor="ctr" anchorCtr="1"/>
              <a:lstStyle/>
              <a:p>
                <a:pPr>
                  <a:defRPr lang="zh-CN" sz="900" b="1" i="0" u="none" strike="noStrike" kern="1200" baseline="0">
                    <a:solidFill>
                      <a:schemeClr val="lt1">
                        <a:lumMod val="75000"/>
                      </a:schemeClr>
                    </a:solidFill>
                    <a:latin typeface="+mn-lt"/>
                    <a:ea typeface="+mn-ea"/>
                    <a:cs typeface="+mn-cs"/>
                  </a:defRPr>
                </a:pPr>
                <a:r>
                  <a:t>单位：万元</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75000"/>
                  </a:schemeClr>
                </a:solidFill>
                <a:latin typeface="+mn-lt"/>
                <a:ea typeface="+mn-ea"/>
                <a:cs typeface="+mn-cs"/>
              </a:defRPr>
            </a:pPr>
          </a:p>
        </c:txPr>
        <c:crossAx val="3446223"/>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0" vertOverflow="ellipsis" vert="horz" wrap="square" anchor="ctr" anchorCtr="1"/>
          <a:lstStyle/>
          <a:p>
            <a:pPr>
              <a:defRPr lang="zh-CN" sz="900" b="0" i="0" u="none" strike="noStrike" kern="1200" baseline="0">
                <a:solidFill>
                  <a:schemeClr val="lt1">
                    <a:lumMod val="75000"/>
                  </a:schemeClr>
                </a:solidFill>
                <a:latin typeface="+mn-lt"/>
                <a:ea typeface="+mn-ea"/>
                <a:cs typeface="+mn-cs"/>
              </a:defRPr>
            </a:pPr>
          </a:p>
        </c:txPr>
      </c:dTable>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alpha val="68000"/>
                  </a:schemeClr>
                </a:solidFill>
                <a:latin typeface="+mn-lt"/>
                <a:ea typeface="+mn-ea"/>
                <a:cs typeface="+mn-cs"/>
              </a:defRPr>
            </a:pPr>
            <a:r>
              <a:rPr lang="zh-CN" altLang="en-US" sz="1200" b="1">
                <a:solidFill>
                  <a:schemeClr val="tx1">
                    <a:alpha val="68000"/>
                  </a:schemeClr>
                </a:solidFill>
                <a:uFillTx/>
              </a:rPr>
              <a:t>图</a:t>
            </a:r>
            <a:r>
              <a:rPr lang="en-US" altLang="zh-CN" sz="1200" b="1">
                <a:solidFill>
                  <a:schemeClr val="tx1">
                    <a:alpha val="68000"/>
                  </a:schemeClr>
                </a:solidFill>
                <a:uFillTx/>
              </a:rPr>
              <a:t>5</a:t>
            </a:r>
            <a:r>
              <a:rPr lang="zh-CN" altLang="en-US" sz="1200" b="1">
                <a:solidFill>
                  <a:schemeClr val="tx1">
                    <a:alpha val="68000"/>
                  </a:schemeClr>
                </a:solidFill>
                <a:uFillTx/>
              </a:rPr>
              <a:t>：一般公共预算财政拨款支出决算结构图</a:t>
            </a:r>
            <a:endParaRPr lang="zh-CN" altLang="en-US" sz="1200" b="1">
              <a:solidFill>
                <a:schemeClr val="tx1">
                  <a:alpha val="68000"/>
                </a:schemeClr>
              </a:solidFill>
              <a:uFillTx/>
            </a:endParaRPr>
          </a:p>
        </c:rich>
      </c:tx>
      <c:layout>
        <c:manualLayout>
          <c:xMode val="edge"/>
          <c:yMode val="edge"/>
          <c:x val="0.208292645239396"/>
          <c:y val="0.0587692645965747"/>
        </c:manualLayout>
      </c:layout>
      <c:overlay val="0"/>
      <c:spPr>
        <a:noFill/>
        <a:ln>
          <a:noFill/>
        </a:ln>
        <a:effectLst/>
      </c:spPr>
    </c:title>
    <c:autoTitleDeleted val="0"/>
    <c:plotArea>
      <c:layout>
        <c:manualLayout>
          <c:layoutTarget val="inner"/>
          <c:xMode val="edge"/>
          <c:yMode val="edge"/>
          <c:x val="0.112739726027397"/>
          <c:y val="0.268041237113402"/>
          <c:w val="0.445342465753425"/>
          <c:h val="0.69823883161512"/>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dLbl>
              <c:idx val="1"/>
              <c:layout>
                <c:manualLayout>
                  <c:x val="0.0379575616542235"/>
                  <c:y val="0.008018530671449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99944924895089"/>
                  <c:y val="0.02775182096512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45878701172904"/>
                  <c:y val="0.0049940953092833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7137911136757"/>
                      <c:h val="0.0728682170542636"/>
                    </c:manualLayout>
                  </c15:layout>
                </c:ext>
              </c:extLst>
            </c:dLbl>
            <c:dLbl>
              <c:idx val="4"/>
              <c:layout>
                <c:manualLayout>
                  <c:x val="0.000599803586540841"/>
                  <c:y val="0.018495256732370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2734864300626"/>
                      <c:h val="0.0608257804632427"/>
                    </c:manualLayout>
                  </c15:layout>
                </c:ext>
              </c:extLst>
            </c:dLbl>
            <c:dLbl>
              <c:idx val="6"/>
              <c:layout>
                <c:manualLayout>
                  <c:x val="0.00913946622717241"/>
                  <c:y val="-0.02114803625377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49206144837449"/>
                  <c:y val="0.002681804254646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218917980334077"/>
                  <c:y val="-0.0211480362537765"/>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6602296450939"/>
                      <c:h val="0.021997360316762"/>
                    </c:manualLayout>
                  </c15:layout>
                </c:ext>
              </c:extLst>
            </c:dLbl>
            <c:dLbl>
              <c:idx val="9"/>
              <c:layout>
                <c:manualLayout>
                  <c:x val="0.0819163662253626"/>
                  <c:y val="0.01523388781345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alpha val="68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[工作簿1.xlsx]Sheet1!$B$47:$L$47</c:f>
              <c:strCache>
                <c:ptCount val="11"/>
                <c:pt idx="0">
                  <c:v>一般公共服务支出</c:v>
                </c:pt>
                <c:pt idx="1">
                  <c:v>灾害防治及应急管理支出</c:v>
                </c:pt>
                <c:pt idx="2">
                  <c:v>社会保障和就业支出</c:v>
                </c:pt>
                <c:pt idx="3">
                  <c:v>卫生健康支出</c:v>
                </c:pt>
                <c:pt idx="5">
                  <c:v>农林水支出</c:v>
                </c:pt>
                <c:pt idx="7">
                  <c:v>住房保障支出</c:v>
                </c:pt>
              </c:strCache>
            </c:strRef>
          </c:cat>
          <c:val>
            <c:numRef>
              <c:f>[工作簿1.xlsx]Sheet1!$B$48:$L$48</c:f>
              <c:numCache>
                <c:formatCode>0.00%</c:formatCode>
                <c:ptCount val="11"/>
                <c:pt idx="0">
                  <c:v>0.2978</c:v>
                </c:pt>
                <c:pt idx="1">
                  <c:v>0.0016</c:v>
                </c:pt>
                <c:pt idx="2">
                  <c:v>0.0726</c:v>
                </c:pt>
                <c:pt idx="3">
                  <c:v>0.0292</c:v>
                </c:pt>
                <c:pt idx="5">
                  <c:v>0.5123</c:v>
                </c:pt>
                <c:pt idx="7">
                  <c:v>0.0865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4"/>
        <c:delete val="1"/>
      </c:legendEntry>
      <c:legendEntry>
        <c:idx val="5"/>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6"/>
        <c:delete val="1"/>
      </c:legendEntry>
      <c:legendEntry>
        <c:idx val="7"/>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Entry>
      <c:legendEntry>
        <c:idx val="8"/>
        <c:delete val="1"/>
      </c:legendEntry>
      <c:legendEntry>
        <c:idx val="9"/>
        <c:delete val="1"/>
      </c:legendEntry>
      <c:legendEntry>
        <c:idx val="10"/>
        <c:delete val="1"/>
      </c:legendEntry>
      <c:layout>
        <c:manualLayout>
          <c:xMode val="edge"/>
          <c:yMode val="edge"/>
          <c:x val="0.695068493150685"/>
          <c:y val="0.375644329896907"/>
          <c:w val="0.300821917808219"/>
          <c:h val="0.5768900343642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alpha val="68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alpha val="68000"/>
            </a:schemeClr>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solidFill>
                  <a:schemeClr val="tx1">
                    <a:lumMod val="65000"/>
                    <a:lumOff val="35000"/>
                  </a:schemeClr>
                </a:solidFill>
                <a:uFillTx/>
              </a:rPr>
              <a:t>图</a:t>
            </a:r>
            <a:r>
              <a:rPr lang="en-US" altLang="zh-CN" sz="1200" b="1">
                <a:solidFill>
                  <a:schemeClr val="tx1">
                    <a:lumMod val="65000"/>
                    <a:lumOff val="35000"/>
                  </a:schemeClr>
                </a:solidFill>
                <a:uFillTx/>
              </a:rPr>
              <a:t>6</a:t>
            </a:r>
            <a:r>
              <a:rPr altLang="en-US" sz="1200" b="1">
                <a:solidFill>
                  <a:schemeClr val="tx1">
                    <a:lumMod val="65000"/>
                    <a:lumOff val="35000"/>
                  </a:schemeClr>
                </a:solidFill>
                <a:uFillTx/>
              </a:rPr>
              <a:t>：</a:t>
            </a:r>
            <a:r>
              <a:rPr lang="en-US" altLang="zh-CN" sz="1200" b="1">
                <a:solidFill>
                  <a:schemeClr val="tx1">
                    <a:lumMod val="65000"/>
                    <a:lumOff val="35000"/>
                  </a:schemeClr>
                </a:solidFill>
                <a:uFillTx/>
              </a:rPr>
              <a:t>2022</a:t>
            </a:r>
            <a:r>
              <a:rPr altLang="en-US" sz="1200" b="1">
                <a:solidFill>
                  <a:schemeClr val="tx1">
                    <a:lumMod val="65000"/>
                    <a:lumOff val="35000"/>
                  </a:schemeClr>
                </a:solidFill>
                <a:uFillTx/>
              </a:rPr>
              <a:t>年</a:t>
            </a:r>
            <a:r>
              <a:rPr lang="en-US" altLang="zh-CN" sz="1200" b="1">
                <a:solidFill>
                  <a:schemeClr val="tx1">
                    <a:lumMod val="65000"/>
                    <a:lumOff val="35000"/>
                  </a:schemeClr>
                </a:solidFill>
                <a:uFillTx/>
              </a:rPr>
              <a:t>“</a:t>
            </a:r>
            <a:r>
              <a:rPr altLang="en-US" sz="1200" b="1">
                <a:solidFill>
                  <a:schemeClr val="tx1">
                    <a:lumMod val="65000"/>
                    <a:lumOff val="35000"/>
                  </a:schemeClr>
                </a:solidFill>
                <a:uFillTx/>
              </a:rPr>
              <a:t>三公</a:t>
            </a:r>
            <a:r>
              <a:rPr lang="en-US" altLang="zh-CN" sz="1200" b="1">
                <a:solidFill>
                  <a:schemeClr val="tx1">
                    <a:lumMod val="65000"/>
                    <a:lumOff val="35000"/>
                  </a:schemeClr>
                </a:solidFill>
                <a:uFillTx/>
              </a:rPr>
              <a:t>”</a:t>
            </a:r>
            <a:r>
              <a:rPr altLang="en-US" sz="1200" b="1">
                <a:solidFill>
                  <a:schemeClr val="tx1">
                    <a:lumMod val="65000"/>
                    <a:lumOff val="35000"/>
                  </a:schemeClr>
                </a:solidFill>
                <a:uFillTx/>
              </a:rPr>
              <a:t>经费财政拨款支出决算结构图</a:t>
            </a:r>
            <a:endParaRPr altLang="en-US" sz="1200" b="1">
              <a:solidFill>
                <a:schemeClr val="tx1">
                  <a:lumMod val="65000"/>
                  <a:lumOff val="35000"/>
                </a:schemeClr>
              </a:solidFill>
              <a:uFillTx/>
            </a:endParaRPr>
          </a:p>
        </c:rich>
      </c:tx>
      <c:layout>
        <c:manualLayout>
          <c:xMode val="edge"/>
          <c:yMode val="edge"/>
          <c:x val="0.141381348666116"/>
          <c:y val="0.0215348881788906"/>
        </c:manualLayout>
      </c:layout>
      <c:overlay val="0"/>
      <c:spPr>
        <a:noFill/>
        <a:ln>
          <a:noFill/>
        </a:ln>
        <a:effectLst/>
      </c:spPr>
    </c:title>
    <c:autoTitleDeleted val="0"/>
    <c:plotArea>
      <c:layout>
        <c:manualLayout>
          <c:layoutTarget val="inner"/>
          <c:xMode val="edge"/>
          <c:yMode val="edge"/>
          <c:x val="0.199112510735757"/>
          <c:y val="0.229455964020712"/>
          <c:w val="0.382187796845875"/>
          <c:h val="0.714849785479326"/>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521404367481205"/>
                  <c:y val="-0.2660881980844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[工作簿1.xlsx]Sheet1!$B$70:$H$70</c15:sqref>
                  </c15:fullRef>
                </c:ext>
              </c:extLst>
              <c:f>[工作簿1.xlsx]Sheet1!$B$70:$C$70</c:f>
              <c:strCache>
                <c:ptCount val="2"/>
                <c:pt idx="0">
                  <c:v>公务用车购置及运行维护费支出</c:v>
                </c:pt>
                <c:pt idx="1">
                  <c:v>公务接待费支出</c:v>
                </c:pt>
              </c:strCache>
            </c:strRef>
          </c:cat>
          <c:val>
            <c:numRef>
              <c:extLst>
                <c:ext xmlns:c15="http://schemas.microsoft.com/office/drawing/2012/chart" uri="{02D57815-91ED-43cb-92C2-25804820EDAC}">
                  <c15:fullRef>
                    <c15:sqref>Sheet1!$B$71:$H$71</c15:sqref>
                  </c15:fullRef>
                </c:ext>
              </c:extLst>
              <c:f>[工作簿1.xlsx]Sheet1!$B$71:$C$71</c:f>
              <c:numCache>
                <c:formatCode>0.00%</c:formatCode>
                <c:ptCount val="2"/>
                <c:pt idx="0">
                  <c:v>0.842</c:v>
                </c:pt>
                <c:pt idx="1">
                  <c:v>0.158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695123758707574"/>
          <c:y val="0.491464045525091"/>
          <c:w val="0.290944123314065"/>
          <c:h val="0.336264873254009"/>
        </c:manualLayout>
      </c:layout>
      <c:overlay val="0"/>
      <c:spPr>
        <a:noFill/>
        <a:ln>
          <a:noFill/>
        </a:ln>
        <a:effectLst/>
      </c:spPr>
      <c:txPr>
        <a:bodyPr rot="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9584F-15E6-4B01-8841-02E3111F283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13446</Words>
  <Characters>15665</Characters>
  <Lines>58</Lines>
  <Paragraphs>45</Paragraphs>
  <TotalTime>0</TotalTime>
  <ScaleCrop>false</ScaleCrop>
  <LinksUpToDate>false</LinksUpToDate>
  <CharactersWithSpaces>16439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2020-01-17T02:21:00Z</cp:lastPrinted>
  <dcterms:modified xsi:type="dcterms:W3CDTF">2024-12-30T07:54:23Z</dcterms:modified>
  <dc:title>四川省***</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4EDEB974612742F8A94C1EC71A4E533C</vt:lpwstr>
  </property>
</Properties>
</file>