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  <w:t xml:space="preserve">考核指标名称：   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审计整改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tbl>
      <w:tblPr>
        <w:tblStyle w:val="6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涪阳镇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根据审计查出问题整改比例计分。审计查出问题23个，已整改21个。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得分=21/23×0.5,得0.46分。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0.46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其他乡镇（街道）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根据审计查出问题整改比例计分。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审计未涉及或已在规定时间内完成审计查出问题整改，计满分。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党群部门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在规定时间内未完成整改任务、弄虚作假、隐瞒真相的，每个问题扣0.1分。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审计未涉及或已在规定时间内完成审计查出问题整改，无扣分。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政府部门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在规定时间内未完成整改任务、弄虚作假、隐瞒真相的，每个问题扣0.1分。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审计未涉及或已在规定时间内完成审计查出问题整改，无扣分。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</w:pPr>
    </w:p>
    <w:sectPr>
      <w:footerReference r:id="rId3" w:type="default"/>
      <w:pgSz w:w="11906" w:h="16838"/>
      <w:pgMar w:top="2098" w:right="113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167A"/>
    <w:rsid w:val="0D095409"/>
    <w:rsid w:val="22102B5D"/>
    <w:rsid w:val="31F63FDB"/>
    <w:rsid w:val="451A4249"/>
    <w:rsid w:val="5F987ED0"/>
    <w:rsid w:val="60082354"/>
    <w:rsid w:val="67047CC5"/>
    <w:rsid w:val="70BC4B2D"/>
    <w:rsid w:val="7D3C1A3B"/>
    <w:rsid w:val="7E90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439</Characters>
  <Lines>0</Lines>
  <Paragraphs>0</Paragraphs>
  <TotalTime>0</TotalTime>
  <ScaleCrop>false</ScaleCrop>
  <LinksUpToDate>false</LinksUpToDate>
  <CharactersWithSpaces>466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2025-03-04T03:19:00Z</dcterms:created>
  <dc:creator>Lenovo</dc:creator>
  <cp:lastModifiedBy>白开水</cp:lastModifiedBy>
  <dcterms:modified xsi:type="dcterms:W3CDTF">2025-03-17T08:26:00Z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eyJoZGlkIjoiN2QxODQxNDVjYTQzNWE2YjA5N2E1YzY1NWZjZWUzMDYiLCJ1c2VySWQiOiIzMzcxNTMwODYifQ==</vt:lpwstr>
  </property>
  <property fmtid="{D5CDD505-2E9C-101B-9397-08002B2CF9AE}" pid="4" name="ICV">
    <vt:lpwstr>BD496B02498D4A1C96CC46DEC792F117_12</vt:lpwstr>
  </property>
</Properties>
</file>