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69400">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rPr>
          <w:rFonts w:hint="default" w:ascii="Times New Roman" w:hAnsi="Times New Roman" w:eastAsia="方正小标宋简体" w:cs="Times New Roman"/>
          <w:color w:val="auto"/>
          <w:spacing w:val="6"/>
          <w:sz w:val="44"/>
          <w:szCs w:val="44"/>
        </w:rPr>
      </w:pPr>
      <w:r>
        <w:rPr>
          <w:rFonts w:hint="default" w:ascii="Times New Roman" w:hAnsi="Times New Roman" w:eastAsia="方正小标宋简体" w:cs="Times New Roman"/>
          <w:color w:val="auto"/>
          <w:spacing w:val="6"/>
          <w:sz w:val="44"/>
          <w:szCs w:val="44"/>
        </w:rPr>
        <w:t>2024年度综合考核指标考核</w:t>
      </w:r>
      <w:r>
        <w:rPr>
          <w:rFonts w:hint="eastAsia" w:ascii="Times New Roman" w:eastAsia="方正小标宋简体" w:cs="Times New Roman"/>
          <w:color w:val="auto"/>
          <w:spacing w:val="6"/>
          <w:sz w:val="44"/>
          <w:szCs w:val="44"/>
          <w:lang w:eastAsia="zh-CN"/>
        </w:rPr>
        <w:t>结果</w:t>
      </w:r>
      <w:r>
        <w:rPr>
          <w:rFonts w:hint="default" w:ascii="Times New Roman" w:hAnsi="Times New Roman" w:eastAsia="方正小标宋简体" w:cs="Times New Roman"/>
          <w:color w:val="auto"/>
          <w:spacing w:val="6"/>
          <w:sz w:val="44"/>
          <w:szCs w:val="44"/>
        </w:rPr>
        <w:t>汇总表</w:t>
      </w:r>
    </w:p>
    <w:p w14:paraId="38071578">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rPr>
          <w:rFonts w:hint="eastAsia" w:ascii="Times New Roman" w:hAnsi="Times New Roman" w:eastAsia="方正仿宋简体" w:cs="Times New Roman"/>
          <w:color w:val="auto"/>
          <w:spacing w:val="6"/>
          <w:lang w:val="en-US" w:eastAsia="zh-CN"/>
        </w:rPr>
      </w:pPr>
    </w:p>
    <w:p w14:paraId="27E9B14D">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eastAsia" w:ascii="Times New Roman" w:hAnsi="Times New Roman" w:eastAsia="方正仿宋简体" w:cs="Times New Roman"/>
          <w:color w:val="auto"/>
          <w:spacing w:val="6"/>
          <w:u w:val="single"/>
          <w:lang w:val="en-US" w:eastAsia="zh-CN"/>
        </w:rPr>
      </w:pPr>
      <w:r>
        <w:rPr>
          <w:rFonts w:hint="eastAsia" w:ascii="Times New Roman" w:hAnsi="Times New Roman" w:eastAsia="方正仿宋简体" w:cs="Times New Roman"/>
          <w:color w:val="auto"/>
          <w:spacing w:val="6"/>
          <w:sz w:val="22"/>
          <w:szCs w:val="28"/>
          <w:lang w:val="en-US" w:eastAsia="zh-CN"/>
        </w:rPr>
        <w:t>考核指标名称：</w:t>
      </w:r>
      <w:r>
        <w:rPr>
          <w:rFonts w:hint="eastAsia" w:ascii="Times New Roman" w:hAnsi="Times New Roman" w:eastAsia="方正仿宋简体" w:cs="Times New Roman"/>
          <w:color w:val="auto"/>
          <w:spacing w:val="6"/>
          <w:lang w:val="en-US" w:eastAsia="zh-CN"/>
        </w:rPr>
        <w:t xml:space="preserve">   </w:t>
      </w:r>
      <w:r>
        <w:rPr>
          <w:rFonts w:hint="eastAsia" w:ascii="Times New Roman" w:hAnsi="Times New Roman" w:eastAsia="方正仿宋简体" w:cs="Times New Roman"/>
          <w:color w:val="auto"/>
          <w:spacing w:val="6"/>
          <w:u w:val="single"/>
          <w:lang w:val="en-US" w:eastAsia="zh-CN"/>
        </w:rPr>
        <w:t xml:space="preserve">  </w:t>
      </w:r>
      <w:r>
        <w:rPr>
          <w:rFonts w:hint="eastAsia" w:ascii="Times New Roman" w:hAnsi="Times New Roman" w:eastAsia="方正仿宋简体" w:cs="Times New Roman"/>
          <w:b/>
          <w:bCs/>
          <w:color w:val="auto"/>
          <w:spacing w:val="6"/>
          <w:u w:val="single"/>
          <w:lang w:val="en-US" w:eastAsia="zh-CN"/>
        </w:rPr>
        <w:t>政府投资项目执行招投标法律法规</w:t>
      </w:r>
      <w:r>
        <w:rPr>
          <w:rFonts w:hint="eastAsia" w:ascii="Times New Roman" w:hAnsi="Times New Roman" w:eastAsia="方正仿宋简体" w:cs="Times New Roman"/>
          <w:color w:val="auto"/>
          <w:spacing w:val="6"/>
          <w:u w:val="single"/>
          <w:lang w:val="en-US" w:eastAsia="zh-CN"/>
        </w:rPr>
        <w:t xml:space="preserve">  </w:t>
      </w:r>
    </w:p>
    <w:p w14:paraId="5ED0BFEE">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rPr>
          <w:rFonts w:hint="default" w:ascii="Times New Roman" w:hAnsi="Times New Roman" w:eastAsia="方正仿宋简体" w:cs="Times New Roman"/>
          <w:color w:val="auto"/>
          <w:spacing w:val="6"/>
          <w:u w:val="single"/>
          <w:lang w:val="en-US" w:eastAsia="zh-CN"/>
        </w:rPr>
      </w:pPr>
    </w:p>
    <w:tbl>
      <w:tblPr>
        <w:tblStyle w:val="6"/>
        <w:tblW w:w="99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9"/>
        <w:gridCol w:w="1215"/>
        <w:gridCol w:w="5535"/>
        <w:gridCol w:w="1230"/>
        <w:gridCol w:w="572"/>
      </w:tblGrid>
      <w:tr w14:paraId="73EAF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399" w:type="dxa"/>
            <w:noWrap w:val="0"/>
            <w:vAlign w:val="center"/>
          </w:tcPr>
          <w:p w14:paraId="05C5B5D3">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rPr>
            </w:pPr>
            <w:r>
              <w:rPr>
                <w:rFonts w:hint="eastAsia" w:ascii="方正黑体_GBK" w:hAnsi="方正黑体_GBK" w:eastAsia="方正黑体_GBK" w:cs="方正黑体_GBK"/>
                <w:b/>
                <w:bCs/>
                <w:color w:val="auto"/>
                <w:spacing w:val="6"/>
                <w:sz w:val="21"/>
                <w:szCs w:val="21"/>
              </w:rPr>
              <w:t>被</w:t>
            </w:r>
            <w:r>
              <w:rPr>
                <w:rFonts w:hint="eastAsia" w:ascii="方正黑体_GBK" w:hAnsi="方正黑体_GBK" w:eastAsia="方正黑体_GBK" w:cs="方正黑体_GBK"/>
                <w:b/>
                <w:bCs/>
                <w:color w:val="auto"/>
                <w:spacing w:val="6"/>
                <w:sz w:val="21"/>
                <w:szCs w:val="21"/>
                <w:lang w:eastAsia="zh-CN"/>
              </w:rPr>
              <w:t>考核</w:t>
            </w:r>
            <w:r>
              <w:rPr>
                <w:rFonts w:hint="eastAsia" w:ascii="方正黑体_GBK" w:hAnsi="方正黑体_GBK" w:eastAsia="方正黑体_GBK" w:cs="方正黑体_GBK"/>
                <w:b/>
                <w:bCs/>
                <w:color w:val="auto"/>
                <w:spacing w:val="6"/>
                <w:sz w:val="21"/>
                <w:szCs w:val="21"/>
              </w:rPr>
              <w:t>单位</w:t>
            </w:r>
          </w:p>
        </w:tc>
        <w:tc>
          <w:tcPr>
            <w:tcW w:w="1215" w:type="dxa"/>
            <w:tcBorders>
              <w:left w:val="single" w:color="auto" w:sz="4" w:space="0"/>
            </w:tcBorders>
            <w:noWrap w:val="0"/>
            <w:vAlign w:val="center"/>
          </w:tcPr>
          <w:p w14:paraId="0399EF4D">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lang w:val="en-US" w:eastAsia="zh-CN"/>
              </w:rPr>
            </w:pPr>
            <w:r>
              <w:rPr>
                <w:rFonts w:hint="eastAsia" w:ascii="方正黑体_GBK" w:hAnsi="方正黑体_GBK" w:eastAsia="方正黑体_GBK" w:cs="方正黑体_GBK"/>
                <w:b/>
                <w:bCs/>
                <w:color w:val="auto"/>
                <w:spacing w:val="6"/>
                <w:sz w:val="21"/>
                <w:szCs w:val="21"/>
                <w:lang w:val="en-US" w:eastAsia="zh-CN"/>
              </w:rPr>
              <w:t>实际分值</w:t>
            </w:r>
          </w:p>
        </w:tc>
        <w:tc>
          <w:tcPr>
            <w:tcW w:w="5535" w:type="dxa"/>
            <w:tcBorders>
              <w:left w:val="single" w:color="auto" w:sz="4" w:space="0"/>
            </w:tcBorders>
            <w:noWrap w:val="0"/>
            <w:vAlign w:val="center"/>
          </w:tcPr>
          <w:p w14:paraId="627EA638">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lang w:eastAsia="zh-CN"/>
              </w:rPr>
            </w:pPr>
            <w:r>
              <w:rPr>
                <w:rFonts w:hint="eastAsia" w:ascii="方正黑体_GBK" w:hAnsi="方正黑体_GBK" w:eastAsia="方正黑体_GBK" w:cs="方正黑体_GBK"/>
                <w:b/>
                <w:bCs/>
                <w:color w:val="auto"/>
                <w:spacing w:val="6"/>
                <w:sz w:val="21"/>
                <w:szCs w:val="21"/>
                <w:lang w:eastAsia="zh-CN"/>
              </w:rPr>
              <w:t>指标完成情况</w:t>
            </w:r>
          </w:p>
        </w:tc>
        <w:tc>
          <w:tcPr>
            <w:tcW w:w="1230" w:type="dxa"/>
            <w:tcBorders>
              <w:right w:val="single" w:color="auto" w:sz="4" w:space="0"/>
            </w:tcBorders>
            <w:noWrap w:val="0"/>
            <w:vAlign w:val="center"/>
          </w:tcPr>
          <w:p w14:paraId="71E23ED2">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lang w:eastAsia="zh-CN"/>
              </w:rPr>
            </w:pPr>
            <w:r>
              <w:rPr>
                <w:rFonts w:hint="eastAsia" w:ascii="方正黑体_GBK" w:hAnsi="方正黑体_GBK" w:eastAsia="方正黑体_GBK" w:cs="方正黑体_GBK"/>
                <w:b/>
                <w:bCs/>
                <w:color w:val="auto"/>
                <w:spacing w:val="6"/>
                <w:sz w:val="21"/>
                <w:szCs w:val="21"/>
                <w:lang w:eastAsia="zh-CN"/>
              </w:rPr>
              <w:t>考核得分</w:t>
            </w:r>
          </w:p>
        </w:tc>
        <w:tc>
          <w:tcPr>
            <w:tcW w:w="572" w:type="dxa"/>
            <w:tcBorders>
              <w:right w:val="single" w:color="auto" w:sz="4" w:space="0"/>
            </w:tcBorders>
            <w:noWrap w:val="0"/>
            <w:vAlign w:val="center"/>
          </w:tcPr>
          <w:p w14:paraId="3FF4183E">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rPr>
                <w:rFonts w:hint="eastAsia" w:ascii="方正黑体_GBK" w:hAnsi="方正黑体_GBK" w:eastAsia="方正黑体_GBK" w:cs="方正黑体_GBK"/>
                <w:b/>
                <w:bCs/>
                <w:color w:val="auto"/>
                <w:spacing w:val="6"/>
                <w:sz w:val="21"/>
                <w:szCs w:val="21"/>
                <w:lang w:eastAsia="zh-CN"/>
              </w:rPr>
            </w:pPr>
            <w:r>
              <w:rPr>
                <w:rFonts w:hint="eastAsia" w:ascii="方正黑体_GBK" w:hAnsi="方正黑体_GBK" w:eastAsia="方正黑体_GBK" w:cs="方正黑体_GBK"/>
                <w:b/>
                <w:bCs/>
                <w:color w:val="auto"/>
                <w:spacing w:val="6"/>
                <w:sz w:val="21"/>
                <w:szCs w:val="21"/>
                <w:lang w:eastAsia="zh-CN"/>
              </w:rPr>
              <w:t>备注</w:t>
            </w:r>
          </w:p>
        </w:tc>
      </w:tr>
      <w:tr w14:paraId="488D4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9" w:type="dxa"/>
            <w:noWrap w:val="0"/>
            <w:vAlign w:val="center"/>
          </w:tcPr>
          <w:p w14:paraId="2F46783C">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县住建局</w:t>
            </w:r>
          </w:p>
        </w:tc>
        <w:tc>
          <w:tcPr>
            <w:tcW w:w="1215" w:type="dxa"/>
            <w:tcBorders>
              <w:left w:val="single" w:color="auto" w:sz="4" w:space="0"/>
            </w:tcBorders>
            <w:noWrap w:val="0"/>
            <w:vAlign w:val="center"/>
          </w:tcPr>
          <w:p w14:paraId="1EF9C610">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rPr>
                <w:rFonts w:hint="default" w:ascii="Times New Roman" w:hAnsi="Times New Roman" w:eastAsia="方正仿宋简体" w:cs="Times New Roman"/>
                <w:color w:val="auto"/>
                <w:spacing w:val="6"/>
                <w:sz w:val="21"/>
                <w:szCs w:val="21"/>
                <w:lang w:val="en-US"/>
              </w:rPr>
            </w:pPr>
            <w:r>
              <w:rPr>
                <w:rFonts w:hint="eastAsia" w:ascii="Times New Roman" w:hAnsi="Times New Roman" w:eastAsia="方正仿宋简体" w:cs="Times New Roman"/>
                <w:color w:val="auto"/>
                <w:spacing w:val="6"/>
                <w:sz w:val="21"/>
                <w:szCs w:val="21"/>
                <w:lang w:val="en-US" w:eastAsia="zh-CN"/>
              </w:rPr>
              <w:t>0.5</w:t>
            </w:r>
          </w:p>
        </w:tc>
        <w:tc>
          <w:tcPr>
            <w:tcW w:w="5535" w:type="dxa"/>
            <w:tcBorders>
              <w:left w:val="single" w:color="auto" w:sz="4" w:space="0"/>
            </w:tcBorders>
            <w:shd w:val="clear" w:color="auto" w:fill="auto"/>
            <w:noWrap w:val="0"/>
            <w:vAlign w:val="top"/>
          </w:tcPr>
          <w:p w14:paraId="06DE02E4">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通江县南门廊桥至明大王府片区城市燃气管道等老化更新改造项目存在排斥、限制潜在投标人违法行为，违反了《中华人民共和国招标投标法》第6条规定，被市发改委通报，扣0.1分。</w:t>
            </w:r>
          </w:p>
        </w:tc>
        <w:tc>
          <w:tcPr>
            <w:tcW w:w="1230" w:type="dxa"/>
            <w:tcBorders>
              <w:right w:val="single" w:color="auto" w:sz="4" w:space="0"/>
            </w:tcBorders>
            <w:noWrap w:val="0"/>
            <w:vAlign w:val="center"/>
          </w:tcPr>
          <w:p w14:paraId="51BA1C10">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rPr>
                <w:rFonts w:hint="default" w:ascii="Times New Roman" w:hAnsi="Times New Roman" w:eastAsia="方正仿宋简体" w:cs="Times New Roman"/>
                <w:color w:val="auto"/>
                <w:spacing w:val="6"/>
                <w:sz w:val="21"/>
                <w:szCs w:val="21"/>
                <w:lang w:val="en-US" w:eastAsia="zh-CN"/>
              </w:rPr>
            </w:pPr>
            <w:r>
              <w:rPr>
                <w:rFonts w:hint="eastAsia" w:ascii="Times New Roman" w:hAnsi="Times New Roman" w:eastAsia="方正仿宋简体" w:cs="Times New Roman"/>
                <w:color w:val="auto"/>
                <w:spacing w:val="6"/>
                <w:sz w:val="21"/>
                <w:szCs w:val="21"/>
                <w:lang w:val="en-US" w:eastAsia="zh-CN"/>
              </w:rPr>
              <w:t>0.4</w:t>
            </w:r>
          </w:p>
        </w:tc>
        <w:tc>
          <w:tcPr>
            <w:tcW w:w="572" w:type="dxa"/>
            <w:tcBorders>
              <w:right w:val="single" w:color="auto" w:sz="4" w:space="0"/>
            </w:tcBorders>
            <w:noWrap w:val="0"/>
            <w:vAlign w:val="center"/>
          </w:tcPr>
          <w:p w14:paraId="54078559">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rPr>
                <w:rFonts w:hint="default" w:ascii="Times New Roman" w:hAnsi="Times New Roman" w:eastAsia="方正仿宋简体" w:cs="Times New Roman"/>
                <w:color w:val="auto"/>
                <w:spacing w:val="6"/>
                <w:sz w:val="21"/>
                <w:szCs w:val="21"/>
              </w:rPr>
            </w:pPr>
          </w:p>
        </w:tc>
      </w:tr>
      <w:tr w14:paraId="568E3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1399" w:type="dxa"/>
            <w:noWrap w:val="0"/>
            <w:vAlign w:val="center"/>
          </w:tcPr>
          <w:p w14:paraId="44C04D26">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县交运局</w:t>
            </w:r>
          </w:p>
        </w:tc>
        <w:tc>
          <w:tcPr>
            <w:tcW w:w="1215" w:type="dxa"/>
            <w:tcBorders>
              <w:left w:val="single" w:color="auto" w:sz="4" w:space="0"/>
            </w:tcBorders>
            <w:noWrap w:val="0"/>
            <w:vAlign w:val="center"/>
          </w:tcPr>
          <w:p w14:paraId="6429A859">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rPr>
                <w:rFonts w:hint="default" w:ascii="Times New Roman" w:hAnsi="Times New Roman" w:eastAsia="方正仿宋简体" w:cs="Times New Roman"/>
                <w:color w:val="auto"/>
                <w:spacing w:val="6"/>
                <w:sz w:val="21"/>
                <w:szCs w:val="21"/>
                <w:lang w:val="en-US"/>
              </w:rPr>
            </w:pPr>
            <w:r>
              <w:rPr>
                <w:rFonts w:hint="eastAsia" w:ascii="Times New Roman" w:hAnsi="Times New Roman" w:eastAsia="方正仿宋简体" w:cs="Times New Roman"/>
                <w:color w:val="auto"/>
                <w:spacing w:val="6"/>
                <w:sz w:val="21"/>
                <w:szCs w:val="21"/>
                <w:lang w:val="en-US" w:eastAsia="zh-CN"/>
              </w:rPr>
              <w:t>0.5</w:t>
            </w:r>
          </w:p>
        </w:tc>
        <w:tc>
          <w:tcPr>
            <w:tcW w:w="5535" w:type="dxa"/>
            <w:tcBorders>
              <w:left w:val="single" w:color="auto" w:sz="4" w:space="0"/>
            </w:tcBorders>
            <w:noWrap w:val="0"/>
            <w:vAlign w:val="top"/>
          </w:tcPr>
          <w:p w14:paraId="7CD9AC8B">
            <w:pPr>
              <w:keepNext w:val="0"/>
              <w:keepLines w:val="0"/>
              <w:pageBreakBefore w:val="0"/>
              <w:widowControl w:val="0"/>
              <w:kinsoku/>
              <w:wordWrap/>
              <w:overflowPunct/>
              <w:topLinePunct w:val="0"/>
              <w:autoSpaceDE/>
              <w:autoSpaceDN/>
              <w:bidi w:val="0"/>
              <w:adjustRightInd/>
              <w:snapToGrid/>
              <w:spacing w:line="340" w:lineRule="exact"/>
              <w:ind w:right="0" w:rightChars="0"/>
              <w:jc w:val="left"/>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2017年全县农村公路安保工程（路测护栏）建设项目（勘察设计）存在规避招标违法行为，违反了《中华人民共和国招标投标法》第4条规定，被依法查处，扣0.1分。</w:t>
            </w:r>
          </w:p>
        </w:tc>
        <w:tc>
          <w:tcPr>
            <w:tcW w:w="1230" w:type="dxa"/>
            <w:tcBorders>
              <w:right w:val="single" w:color="auto" w:sz="4" w:space="0"/>
            </w:tcBorders>
            <w:noWrap w:val="0"/>
            <w:vAlign w:val="center"/>
          </w:tcPr>
          <w:p w14:paraId="4F0558C6">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rPr>
                <w:rFonts w:hint="default" w:ascii="Times New Roman" w:hAnsi="Times New Roman" w:eastAsia="方正仿宋简体" w:cs="Times New Roman"/>
                <w:color w:val="auto"/>
                <w:spacing w:val="6"/>
                <w:sz w:val="21"/>
                <w:szCs w:val="21"/>
                <w:lang w:val="en-US"/>
              </w:rPr>
            </w:pPr>
            <w:r>
              <w:rPr>
                <w:rFonts w:hint="eastAsia" w:ascii="Times New Roman" w:hAnsi="Times New Roman" w:eastAsia="方正仿宋简体" w:cs="Times New Roman"/>
                <w:color w:val="auto"/>
                <w:spacing w:val="6"/>
                <w:sz w:val="21"/>
                <w:szCs w:val="21"/>
                <w:lang w:val="en-US" w:eastAsia="zh-CN"/>
              </w:rPr>
              <w:t>0.4</w:t>
            </w:r>
          </w:p>
        </w:tc>
        <w:tc>
          <w:tcPr>
            <w:tcW w:w="572" w:type="dxa"/>
            <w:tcBorders>
              <w:right w:val="single" w:color="auto" w:sz="4" w:space="0"/>
            </w:tcBorders>
            <w:noWrap w:val="0"/>
            <w:vAlign w:val="center"/>
          </w:tcPr>
          <w:p w14:paraId="39AAABE8">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rPr>
                <w:rFonts w:hint="default" w:ascii="Times New Roman" w:hAnsi="Times New Roman" w:eastAsia="方正仿宋简体" w:cs="Times New Roman"/>
                <w:color w:val="auto"/>
                <w:spacing w:val="6"/>
                <w:sz w:val="21"/>
                <w:szCs w:val="21"/>
              </w:rPr>
            </w:pPr>
          </w:p>
        </w:tc>
      </w:tr>
      <w:tr w14:paraId="61873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9951" w:type="dxa"/>
            <w:gridSpan w:val="5"/>
            <w:tcBorders>
              <w:right w:val="single" w:color="auto" w:sz="4" w:space="0"/>
            </w:tcBorders>
            <w:noWrap w:val="0"/>
            <w:vAlign w:val="center"/>
          </w:tcPr>
          <w:p w14:paraId="4D614F8C">
            <w:pPr>
              <w:keepNext w:val="0"/>
              <w:keepLines w:val="0"/>
              <w:pageBreakBefore w:val="0"/>
              <w:widowControl w:val="0"/>
              <w:kinsoku/>
              <w:wordWrap/>
              <w:overflowPunct/>
              <w:topLinePunct w:val="0"/>
              <w:autoSpaceDE/>
              <w:autoSpaceDN/>
              <w:bidi w:val="0"/>
              <w:adjustRightInd/>
              <w:snapToGrid/>
              <w:spacing w:line="340" w:lineRule="exact"/>
              <w:ind w:right="0" w:rightChars="0"/>
              <w:jc w:val="center"/>
              <w:textAlignment w:val="auto"/>
              <w:rPr>
                <w:rFonts w:hint="eastAsia" w:ascii="Times New Roman" w:hAnsi="Times New Roman" w:eastAsia="方正仿宋简体" w:cs="Times New Roman"/>
                <w:color w:val="auto"/>
                <w:spacing w:val="6"/>
                <w:sz w:val="21"/>
                <w:szCs w:val="21"/>
                <w:lang w:eastAsia="zh-CN"/>
              </w:rPr>
            </w:pPr>
            <w:r>
              <w:rPr>
                <w:rFonts w:hint="eastAsia" w:ascii="仿宋_GB2312" w:hAnsi="仿宋_GB2312" w:eastAsia="仿宋_GB2312" w:cs="仿宋_GB2312"/>
                <w:kern w:val="2"/>
                <w:sz w:val="24"/>
                <w:szCs w:val="24"/>
                <w:lang w:val="en-US" w:eastAsia="zh-CN" w:bidi="ar-SA"/>
              </w:rPr>
              <w:t>乡镇及其余部门均无扣分</w:t>
            </w:r>
          </w:p>
        </w:tc>
      </w:tr>
    </w:tbl>
    <w:p w14:paraId="05B9ECE7">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pPr>
      <w:r>
        <w:rPr>
          <w:rFonts w:hint="eastAsia" w:ascii="方正黑体_GBK" w:hAnsi="方正黑体_GBK" w:eastAsia="方正黑体_GBK" w:cs="方正黑体_GBK"/>
          <w:b/>
          <w:bCs/>
          <w:color w:val="auto"/>
          <w:spacing w:val="6"/>
          <w:sz w:val="21"/>
          <w:szCs w:val="21"/>
          <w:lang w:eastAsia="zh-CN"/>
        </w:rPr>
        <w:t>备注：</w:t>
      </w:r>
      <w:r>
        <w:rPr>
          <w:rFonts w:hint="default" w:ascii="Times New Roman" w:hAnsi="Times New Roman" w:eastAsia="方正仿宋_GBK" w:cs="Times New Roman"/>
          <w:b/>
          <w:bCs/>
          <w:color w:val="auto"/>
          <w:spacing w:val="6"/>
          <w:sz w:val="21"/>
          <w:szCs w:val="21"/>
          <w:lang w:val="en-US" w:eastAsia="zh-CN"/>
        </w:rPr>
        <w:t>1.所有</w:t>
      </w:r>
      <w:r>
        <w:rPr>
          <w:rFonts w:hint="eastAsia" w:ascii="Times New Roman" w:eastAsia="方正仿宋_GBK" w:cs="Times New Roman"/>
          <w:b/>
          <w:bCs/>
          <w:color w:val="auto"/>
          <w:spacing w:val="6"/>
          <w:sz w:val="21"/>
          <w:szCs w:val="21"/>
          <w:lang w:val="en-US" w:eastAsia="zh-CN"/>
        </w:rPr>
        <w:t>考核</w:t>
      </w:r>
      <w:r>
        <w:rPr>
          <w:rFonts w:hint="default" w:ascii="Times New Roman" w:hAnsi="Times New Roman" w:eastAsia="方正仿宋_GBK" w:cs="Times New Roman"/>
          <w:b/>
          <w:bCs/>
          <w:color w:val="auto"/>
          <w:spacing w:val="6"/>
          <w:sz w:val="21"/>
          <w:szCs w:val="21"/>
          <w:lang w:val="en-US" w:eastAsia="zh-CN"/>
        </w:rPr>
        <w:t>事项均按单项指标赋予的实际分值进行</w:t>
      </w:r>
      <w:r>
        <w:rPr>
          <w:rFonts w:hint="eastAsia" w:ascii="Times New Roman" w:eastAsia="方正仿宋_GBK" w:cs="Times New Roman"/>
          <w:b/>
          <w:bCs/>
          <w:color w:val="auto"/>
          <w:spacing w:val="6"/>
          <w:sz w:val="21"/>
          <w:szCs w:val="21"/>
          <w:lang w:val="en-US" w:eastAsia="zh-CN"/>
        </w:rPr>
        <w:t>考核；</w:t>
      </w:r>
      <w:r>
        <w:rPr>
          <w:rFonts w:hint="default" w:ascii="Times New Roman" w:hAnsi="Times New Roman" w:eastAsia="方正仿宋_GBK" w:cs="Times New Roman"/>
          <w:b/>
          <w:bCs/>
          <w:color w:val="auto"/>
          <w:spacing w:val="6"/>
          <w:sz w:val="21"/>
          <w:szCs w:val="21"/>
          <w:lang w:val="en-US" w:eastAsia="zh-CN"/>
        </w:rPr>
        <w:t>2.所有</w:t>
      </w:r>
      <w:r>
        <w:rPr>
          <w:rFonts w:hint="eastAsia" w:ascii="Times New Roman" w:eastAsia="方正仿宋_GBK" w:cs="Times New Roman"/>
          <w:b/>
          <w:bCs/>
          <w:color w:val="auto"/>
          <w:spacing w:val="6"/>
          <w:sz w:val="21"/>
          <w:szCs w:val="21"/>
          <w:lang w:val="en-US" w:eastAsia="zh-CN"/>
        </w:rPr>
        <w:t>考核事项、</w:t>
      </w:r>
      <w:r>
        <w:rPr>
          <w:rFonts w:hint="default" w:ascii="Times New Roman" w:hAnsi="Times New Roman" w:eastAsia="方正仿宋_GBK" w:cs="Times New Roman"/>
          <w:b/>
          <w:bCs/>
          <w:color w:val="auto"/>
          <w:spacing w:val="6"/>
          <w:sz w:val="21"/>
          <w:szCs w:val="21"/>
          <w:lang w:val="en-US" w:eastAsia="zh-CN"/>
        </w:rPr>
        <w:t>被</w:t>
      </w:r>
      <w:r>
        <w:rPr>
          <w:rFonts w:hint="eastAsia" w:ascii="Times New Roman" w:eastAsia="方正仿宋_GBK" w:cs="Times New Roman"/>
          <w:b/>
          <w:bCs/>
          <w:color w:val="auto"/>
          <w:spacing w:val="6"/>
          <w:sz w:val="21"/>
          <w:szCs w:val="21"/>
          <w:lang w:val="en-US" w:eastAsia="zh-CN"/>
        </w:rPr>
        <w:t>考核</w:t>
      </w:r>
      <w:r>
        <w:rPr>
          <w:rFonts w:hint="default" w:ascii="Times New Roman" w:hAnsi="Times New Roman" w:eastAsia="方正仿宋_GBK" w:cs="Times New Roman"/>
          <w:b/>
          <w:bCs/>
          <w:color w:val="auto"/>
          <w:spacing w:val="6"/>
          <w:sz w:val="21"/>
          <w:szCs w:val="21"/>
          <w:lang w:val="en-US" w:eastAsia="zh-CN"/>
        </w:rPr>
        <w:t>单位应考尽考</w:t>
      </w:r>
      <w:r>
        <w:rPr>
          <w:rFonts w:hint="eastAsia" w:ascii="Times New Roman" w:eastAsia="方正仿宋_GBK" w:cs="Times New Roman"/>
          <w:b/>
          <w:bCs/>
          <w:color w:val="auto"/>
          <w:spacing w:val="6"/>
          <w:sz w:val="21"/>
          <w:szCs w:val="21"/>
          <w:lang w:val="en-US" w:eastAsia="zh-CN"/>
        </w:rPr>
        <w:t>，不得遗漏考核事项、被考核单位；3.</w:t>
      </w:r>
      <w:r>
        <w:rPr>
          <w:rFonts w:hint="default" w:ascii="Times New Roman" w:hAnsi="Times New Roman" w:eastAsia="方正仿宋_GBK" w:cs="Times New Roman"/>
          <w:b/>
          <w:bCs/>
          <w:color w:val="auto"/>
          <w:spacing w:val="6"/>
          <w:sz w:val="21"/>
          <w:szCs w:val="21"/>
          <w:lang w:val="en-US" w:eastAsia="zh-CN"/>
        </w:rPr>
        <w:t>按照“1个考</w:t>
      </w:r>
      <w:r>
        <w:rPr>
          <w:rFonts w:hint="eastAsia" w:ascii="Times New Roman" w:eastAsia="方正仿宋_GBK" w:cs="Times New Roman"/>
          <w:b/>
          <w:bCs/>
          <w:color w:val="auto"/>
          <w:spacing w:val="6"/>
          <w:sz w:val="21"/>
          <w:szCs w:val="21"/>
          <w:lang w:val="en-US" w:eastAsia="zh-CN"/>
        </w:rPr>
        <w:t>核事项</w:t>
      </w:r>
      <w:r>
        <w:rPr>
          <w:rFonts w:hint="default" w:ascii="Times New Roman" w:hAnsi="Times New Roman" w:eastAsia="方正仿宋_GBK" w:cs="Times New Roman"/>
          <w:b/>
          <w:bCs/>
          <w:color w:val="auto"/>
          <w:spacing w:val="6"/>
          <w:sz w:val="21"/>
          <w:szCs w:val="21"/>
          <w:lang w:val="en-US" w:eastAsia="zh-CN"/>
        </w:rPr>
        <w:t>1张</w:t>
      </w:r>
      <w:r>
        <w:rPr>
          <w:rFonts w:hint="eastAsia" w:ascii="Times New Roman" w:eastAsia="方正仿宋_GBK" w:cs="Times New Roman"/>
          <w:b/>
          <w:bCs/>
          <w:color w:val="auto"/>
          <w:spacing w:val="6"/>
          <w:sz w:val="21"/>
          <w:szCs w:val="21"/>
          <w:lang w:val="en-US" w:eastAsia="zh-CN"/>
        </w:rPr>
        <w:t>考核</w:t>
      </w:r>
      <w:r>
        <w:rPr>
          <w:rFonts w:hint="default" w:ascii="Times New Roman" w:hAnsi="Times New Roman" w:eastAsia="方正仿宋_GBK" w:cs="Times New Roman"/>
          <w:b/>
          <w:bCs/>
          <w:color w:val="auto"/>
          <w:spacing w:val="6"/>
          <w:sz w:val="21"/>
          <w:szCs w:val="21"/>
          <w:lang w:val="en-US" w:eastAsia="zh-CN"/>
        </w:rPr>
        <w:t>表”的原则进行填报</w:t>
      </w:r>
      <w:r>
        <w:rPr>
          <w:rFonts w:hint="eastAsia" w:ascii="Times New Roman" w:hAnsi="Times New Roman" w:eastAsia="方正仿宋_GBK" w:cs="Times New Roman"/>
          <w:b/>
          <w:bCs/>
          <w:color w:val="auto"/>
          <w:spacing w:val="6"/>
          <w:sz w:val="21"/>
          <w:szCs w:val="21"/>
          <w:lang w:val="en-US" w:eastAsia="zh-CN"/>
        </w:rPr>
        <w:t>。</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CS仿宋体">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4D12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86F50">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886F50">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MWY4ZGRjMWVkN2JiYTA1ZGU1Y2FhMTU1NmIxNTkifQ=="/>
  </w:docVars>
  <w:rsids>
    <w:rsidRoot w:val="38BB694B"/>
    <w:rsid w:val="062603BC"/>
    <w:rsid w:val="08422633"/>
    <w:rsid w:val="095F07CB"/>
    <w:rsid w:val="0F5C08A7"/>
    <w:rsid w:val="192211BE"/>
    <w:rsid w:val="1C201AE0"/>
    <w:rsid w:val="2907142C"/>
    <w:rsid w:val="2CAA5E21"/>
    <w:rsid w:val="2F1F0B51"/>
    <w:rsid w:val="3632560E"/>
    <w:rsid w:val="38027337"/>
    <w:rsid w:val="38BB694B"/>
    <w:rsid w:val="3B05412E"/>
    <w:rsid w:val="3FA320C9"/>
    <w:rsid w:val="42537169"/>
    <w:rsid w:val="458A4B1F"/>
    <w:rsid w:val="4C9036F0"/>
    <w:rsid w:val="514075C6"/>
    <w:rsid w:val="53682217"/>
    <w:rsid w:val="55E50274"/>
    <w:rsid w:val="563520B6"/>
    <w:rsid w:val="5BC34192"/>
    <w:rsid w:val="66134265"/>
    <w:rsid w:val="6B980243"/>
    <w:rsid w:val="6D78444A"/>
    <w:rsid w:val="6F311040"/>
    <w:rsid w:val="70B34FFE"/>
    <w:rsid w:val="738642C8"/>
    <w:rsid w:val="786646C8"/>
    <w:rsid w:val="7A053C5C"/>
    <w:rsid w:val="7A4F2CD9"/>
    <w:rsid w:val="7AA3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unhideWhenUsed/>
    <w:qFormat/>
    <w:uiPriority w:val="99"/>
    <w:pPr>
      <w:ind w:firstLine="680"/>
    </w:pPr>
    <w:rPr>
      <w:rFonts w:eastAsia="文鼎CS仿宋体"/>
    </w:rPr>
  </w:style>
  <w:style w:type="paragraph" w:styleId="3">
    <w:name w:val="Body Text"/>
    <w:basedOn w:val="1"/>
    <w:next w:val="4"/>
    <w:qFormat/>
    <w:uiPriority w:val="0"/>
    <w:pPr>
      <w:widowControl/>
      <w:spacing w:line="579" w:lineRule="exact"/>
      <w:ind w:firstLine="0" w:firstLineChars="0"/>
      <w:jc w:val="left"/>
    </w:pPr>
    <w:rPr>
      <w:kern w:val="0"/>
      <w:szCs w:val="20"/>
    </w:rPr>
  </w:style>
  <w:style w:type="paragraph" w:styleId="4">
    <w:name w:val="toc 5"/>
    <w:basedOn w:val="1"/>
    <w:next w:val="1"/>
    <w:autoRedefine/>
    <w:unhideWhenUsed/>
    <w:qFormat/>
    <w:uiPriority w:val="39"/>
    <w:pPr>
      <w:ind w:left="1680"/>
    </w:p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文本"/>
    <w:basedOn w:val="1"/>
    <w:next w:val="2"/>
    <w:autoRedefine/>
    <w:qFormat/>
    <w:uiPriority w:val="0"/>
    <w:pPr>
      <w:spacing w:line="360" w:lineRule="auto"/>
      <w:ind w:firstLine="48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372</Words>
  <Characters>404</Characters>
  <Lines>0</Lines>
  <Paragraphs>0</Paragraphs>
  <TotalTime>1</TotalTime>
  <ScaleCrop>false</ScaleCrop>
  <LinksUpToDate>false</LinksUpToDate>
  <CharactersWithSpaces>434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2025-03-11T01:30:00Z</dcterms:created>
  <dc:creator>Administrator</dc:creator>
  <cp:lastModifiedBy>For丨丶Tomorrow</cp:lastModifiedBy>
  <cp:lastPrinted>2025-03-17T09:34:00Z</cp:lastPrinted>
  <dcterms:modified xsi:type="dcterms:W3CDTF">2025-03-18T02:50:34Z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C2794C51CAE04760A10C1CDC240D6611_13</vt:lpwstr>
  </property>
  <property fmtid="{D5CDD505-2E9C-101B-9397-08002B2CF9AE}" pid="4" name="KSOTemplateDocerSaveRecord">
    <vt:lpwstr>eyJoZGlkIjoiMTc3ZDU2ZTBjMTMwYmJiNTQ5NGJmZGFkNWYzOWI4MTMiLCJ1c2VySWQiOiI2ODc3MDI2NjUifQ==</vt:lpwstr>
  </property>
</Properties>
</file>